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6E08CB">
            <w:pPr>
              <w:pStyle w:val="MastHeadState"/>
              <w:jc w:val="right"/>
            </w:pPr>
            <w:bookmarkStart w:id="0" w:name="_GoBack"/>
            <w:bookmarkEnd w:id="0"/>
            <w:r>
              <w:t>State of Florida</w:t>
            </w:r>
          </w:p>
          <w:p w:rsidR="007C0528" w:rsidRDefault="00E136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E1365C">
            <w:pPr>
              <w:pStyle w:val="MemoHeading"/>
            </w:pPr>
            <w:bookmarkStart w:id="1" w:name="FilingDate"/>
            <w:r>
              <w:t>September 21, 2017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93658B">
              <w:t>Stauffer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E1365C" w:rsidRDefault="00E1365C">
            <w:pPr>
              <w:pStyle w:val="MemoHeading"/>
            </w:pPr>
            <w:bookmarkStart w:id="2" w:name="From"/>
            <w:r>
              <w:t>Division of Economics (Guffey, Doherty, Draper)</w:t>
            </w:r>
          </w:p>
          <w:p w:rsidR="007C0528" w:rsidRDefault="00E1365C">
            <w:pPr>
              <w:pStyle w:val="MemoHeading"/>
            </w:pPr>
            <w:r>
              <w:t>Office of the General Counsel (Taylor)</w:t>
            </w:r>
            <w:bookmarkEnd w:id="2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E1365C">
            <w:pPr>
              <w:pStyle w:val="MemoHeadingRe"/>
            </w:pPr>
            <w:bookmarkStart w:id="3" w:name="Re"/>
            <w:r>
              <w:t>Docket No. 20170176-GU – Petition by Florida Division of Chesapeake Utilities Corporation for approval of special contract with Sebring Gas System, Inc.</w:t>
            </w:r>
            <w:bookmarkEnd w:id="3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E1365C">
            <w:pPr>
              <w:pStyle w:val="MemoHeading"/>
            </w:pPr>
            <w:bookmarkStart w:id="4" w:name="AgendaDate"/>
            <w:r>
              <w:t>10/03/17</w:t>
            </w:r>
            <w:bookmarkEnd w:id="4"/>
            <w:r w:rsidR="007C0528">
              <w:t xml:space="preserve"> – </w:t>
            </w:r>
            <w:bookmarkStart w:id="5" w:name="PermittedStatus"/>
            <w:r>
              <w:t>Regular Agenda – Proposed Agency Action – Interested Persons May Participate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E1365C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E1365C">
            <w:pPr>
              <w:pStyle w:val="MemoHeading"/>
            </w:pPr>
            <w:bookmarkStart w:id="7" w:name="PrehearingOfficer"/>
            <w:r>
              <w:t>Polmann</w:t>
            </w:r>
            <w:bookmarkEnd w:id="7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E1365C">
            <w:pPr>
              <w:pStyle w:val="MemoHeading"/>
            </w:pPr>
            <w:bookmarkStart w:id="9" w:name="CriticalDates"/>
            <w:r>
              <w:t>None</w:t>
            </w:r>
            <w:bookmarkEnd w:id="9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E1365C">
            <w:pPr>
              <w:pStyle w:val="MemoHeading"/>
            </w:pPr>
            <w:bookmarkStart w:id="10" w:name="SpecialInstructions"/>
            <w:r>
              <w:t>None</w:t>
            </w:r>
            <w:bookmarkEnd w:id="10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1" w:name="RecToC"/>
      <w:bookmarkEnd w:id="11"/>
      <w:r>
        <w:t xml:space="preserve"> </w:t>
      </w:r>
      <w:bookmarkStart w:id="12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3" w:name="_Toc94516455"/>
      <w:r>
        <w:instrText>Case Background</w:instrText>
      </w:r>
      <w:bookmarkEnd w:id="13"/>
      <w:r>
        <w:instrText xml:space="preserve">" \l 1 </w:instrText>
      </w:r>
      <w:r>
        <w:fldChar w:fldCharType="end"/>
      </w:r>
    </w:p>
    <w:p w:rsidR="0068481F" w:rsidRDefault="00775125">
      <w:pPr>
        <w:pStyle w:val="BodyText"/>
      </w:pPr>
      <w:r>
        <w:t xml:space="preserve">On August 14, 2017, </w:t>
      </w:r>
      <w:r w:rsidR="00E6227B">
        <w:t xml:space="preserve">the </w:t>
      </w:r>
      <w:r>
        <w:t>Florida Division of Chesapeake Utilities Corporation (Chesapeake) filed a petition seeking Commission approval of a Special Contract</w:t>
      </w:r>
      <w:r w:rsidR="00A97FE0">
        <w:t xml:space="preserve"> </w:t>
      </w:r>
      <w:r w:rsidR="00E6227B">
        <w:t xml:space="preserve">(Contract) </w:t>
      </w:r>
      <w:r>
        <w:t>with Sebring Gas System, Inc. (Sebring)</w:t>
      </w:r>
      <w:r w:rsidR="00E6227B">
        <w:t xml:space="preserve">. Pursuant to the Contract, Chesapeake will construct a </w:t>
      </w:r>
      <w:r w:rsidR="002170F8">
        <w:t xml:space="preserve">gas </w:t>
      </w:r>
      <w:r w:rsidR="00E6227B">
        <w:t>pipeline in DeSoto County</w:t>
      </w:r>
      <w:r w:rsidR="002170F8">
        <w:t xml:space="preserve"> near the City of Arcadia</w:t>
      </w:r>
      <w:r w:rsidR="00E6227B">
        <w:t xml:space="preserve">. The pipeline is referred to as </w:t>
      </w:r>
      <w:r w:rsidR="003031EF">
        <w:t xml:space="preserve">the </w:t>
      </w:r>
      <w:r w:rsidR="00E6227B">
        <w:t xml:space="preserve">Arcadia Pipeline on the map shown in Attachment A </w:t>
      </w:r>
      <w:r w:rsidR="002170F8">
        <w:t>to</w:t>
      </w:r>
      <w:r w:rsidR="00E6227B">
        <w:t xml:space="preserve"> the recommendation</w:t>
      </w:r>
      <w:r w:rsidR="00CD312A">
        <w:t xml:space="preserve"> and as </w:t>
      </w:r>
      <w:r w:rsidR="00AC4943">
        <w:t xml:space="preserve">the </w:t>
      </w:r>
      <w:r w:rsidR="00CD312A">
        <w:t>Sebring Pipeline in the Contract.</w:t>
      </w:r>
      <w:r w:rsidR="00A02197">
        <w:t xml:space="preserve"> Chesapeake and Sebring both own and operate natural gas distribution facilities in Florida and are subject to the regulatory jurisdiction of the Commission pursuant to Section</w:t>
      </w:r>
      <w:r w:rsidR="00372B99">
        <w:t xml:space="preserve"> 366.06, </w:t>
      </w:r>
      <w:r w:rsidR="00AC4943">
        <w:t>Florida Statutes (</w:t>
      </w:r>
      <w:r w:rsidR="00372B99">
        <w:t>F.S.</w:t>
      </w:r>
      <w:r w:rsidR="00AC4943">
        <w:t>).</w:t>
      </w:r>
      <w:r w:rsidR="00372B99">
        <w:t xml:space="preserve"> </w:t>
      </w:r>
    </w:p>
    <w:p w:rsidR="00DF2CEF" w:rsidRDefault="00DF2CEF">
      <w:pPr>
        <w:pStyle w:val="BodyText"/>
      </w:pPr>
      <w:r>
        <w:t xml:space="preserve">The </w:t>
      </w:r>
      <w:r w:rsidR="00A97FE0">
        <w:t>C</w:t>
      </w:r>
      <w:r>
        <w:t xml:space="preserve">ontract between Chesapeake and Sebring </w:t>
      </w:r>
      <w:r w:rsidR="00E6227B">
        <w:t>was e</w:t>
      </w:r>
      <w:r w:rsidR="00403CB8">
        <w:t>xecuted on June 30, 2017</w:t>
      </w:r>
      <w:r w:rsidR="00E6227B">
        <w:t>,</w:t>
      </w:r>
      <w:r w:rsidR="00403CB8">
        <w:t xml:space="preserve"> </w:t>
      </w:r>
      <w:r w:rsidR="00A97FE0">
        <w:t>has</w:t>
      </w:r>
      <w:r>
        <w:t xml:space="preserve"> a</w:t>
      </w:r>
      <w:r w:rsidR="00900BBA">
        <w:t>n initial</w:t>
      </w:r>
      <w:r>
        <w:t xml:space="preserve"> </w:t>
      </w:r>
      <w:r w:rsidR="00194E62">
        <w:t>20</w:t>
      </w:r>
      <w:r w:rsidR="00A97FE0">
        <w:t>-</w:t>
      </w:r>
      <w:r w:rsidR="00194E62">
        <w:t>year</w:t>
      </w:r>
      <w:r>
        <w:t xml:space="preserve"> </w:t>
      </w:r>
      <w:r w:rsidR="00A97FE0">
        <w:t>term</w:t>
      </w:r>
      <w:r w:rsidR="008064ED">
        <w:t>,</w:t>
      </w:r>
      <w:r w:rsidR="00A97FE0">
        <w:t xml:space="preserve"> </w:t>
      </w:r>
      <w:r w:rsidR="00194E62">
        <w:t xml:space="preserve">and can be extended for additional one year periods unless given notification </w:t>
      </w:r>
      <w:r w:rsidR="00403CB8">
        <w:t xml:space="preserve">by either party </w:t>
      </w:r>
      <w:r w:rsidR="00194E62">
        <w:t>to terminate</w:t>
      </w:r>
      <w:r w:rsidR="00A97FE0">
        <w:t xml:space="preserve"> the Contract</w:t>
      </w:r>
      <w:r>
        <w:t>.</w:t>
      </w:r>
      <w:r w:rsidR="00194E62">
        <w:t xml:space="preserve"> </w:t>
      </w:r>
      <w:r w:rsidR="00E6227B">
        <w:t xml:space="preserve">The proposed Contract is shown in Attachment B </w:t>
      </w:r>
      <w:r w:rsidR="002170F8">
        <w:t>to</w:t>
      </w:r>
      <w:r w:rsidR="00E6227B">
        <w:t xml:space="preserve"> the </w:t>
      </w:r>
      <w:r w:rsidR="00E6227B">
        <w:lastRenderedPageBreak/>
        <w:t xml:space="preserve">recommendation. </w:t>
      </w:r>
      <w:r w:rsidR="000974CA">
        <w:t xml:space="preserve">During the evaluation of the petition, staff issued </w:t>
      </w:r>
      <w:r w:rsidR="00A97FE0">
        <w:t>two</w:t>
      </w:r>
      <w:r w:rsidR="000974CA">
        <w:t xml:space="preserve"> data request</w:t>
      </w:r>
      <w:r w:rsidR="00A97FE0">
        <w:t>s</w:t>
      </w:r>
      <w:r w:rsidR="000974CA">
        <w:t xml:space="preserve"> to Chesapeake for which responses were received on </w:t>
      </w:r>
      <w:r w:rsidR="00573FD8">
        <w:t xml:space="preserve">August 28, 2017 and on September </w:t>
      </w:r>
      <w:r w:rsidR="00A2259B" w:rsidRPr="00A2259B">
        <w:t>5</w:t>
      </w:r>
      <w:r w:rsidR="00573FD8" w:rsidRPr="00A2259B">
        <w:t>,</w:t>
      </w:r>
      <w:r w:rsidR="00573FD8">
        <w:t xml:space="preserve"> 2017.</w:t>
      </w:r>
      <w:r w:rsidR="009D3C5B" w:rsidRPr="009D3C5B">
        <w:t xml:space="preserve"> </w:t>
      </w:r>
      <w:r w:rsidR="004632EA">
        <w:t xml:space="preserve">The first data request was also forwarded to Sebring, for which responses were received on September 19, 2017. </w:t>
      </w:r>
      <w:r w:rsidR="002170F8">
        <w:t>In its response to staff’s first data request, Chesapeake filed certain revisions to the Cost of Service Study</w:t>
      </w:r>
      <w:r w:rsidR="003279B2">
        <w:t xml:space="preserve"> that was included in the petition. </w:t>
      </w:r>
      <w:r w:rsidR="003F4029" w:rsidRPr="00FF5C1C">
        <w:t>There have been no public comments regarding this petition.</w:t>
      </w:r>
      <w:r w:rsidR="003F4029">
        <w:t xml:space="preserve"> </w:t>
      </w:r>
      <w:r w:rsidR="000974CA">
        <w:t xml:space="preserve">The Commission has jurisdiction over </w:t>
      </w:r>
      <w:r w:rsidR="00A97FE0">
        <w:t xml:space="preserve">this matter pursuant to Sections 366.04, 366.05, and </w:t>
      </w:r>
      <w:r w:rsidR="000974CA">
        <w:t xml:space="preserve">366.06, F.S.  </w:t>
      </w:r>
      <w:r>
        <w:t xml:space="preserve"> </w:t>
      </w:r>
    </w:p>
    <w:p w:rsidR="007C0528" w:rsidRDefault="007C0528" w:rsidP="0068481F"/>
    <w:bookmarkEnd w:id="12"/>
    <w:p w:rsidR="00EA2273" w:rsidRDefault="00EA2273">
      <w:pPr>
        <w:pStyle w:val="RecommendationMajorSectionHeading"/>
        <w:sectPr w:rsidR="00EA2273">
          <w:headerReference w:type="default" r:id="rId10"/>
          <w:footerReference w:type="default" r:id="rId11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:rsidR="007C0528" w:rsidRDefault="007C0528">
      <w:pPr>
        <w:pStyle w:val="RecommendationMajorSectionHeading"/>
      </w:pPr>
      <w:bookmarkStart w:id="16" w:name="DiscussionOfIssues"/>
      <w:r>
        <w:lastRenderedPageBreak/>
        <w:t>Discussion of Issues</w:t>
      </w:r>
    </w:p>
    <w:bookmarkEnd w:id="16"/>
    <w:p w:rsidR="00231B90" w:rsidRDefault="00231B90">
      <w:pPr>
        <w:pStyle w:val="IssueHeading"/>
        <w:rPr>
          <w:vanish/>
          <w:specVanish/>
        </w:rPr>
      </w:pPr>
      <w:r w:rsidRPr="004C3641">
        <w:t xml:space="preserve">Issue </w:t>
      </w:r>
      <w:r w:rsidR="00723E72">
        <w:fldChar w:fldCharType="begin"/>
      </w:r>
      <w:r w:rsidR="00723E72">
        <w:instrText xml:space="preserve"> SEQ Issue \* MERGEFORMAT </w:instrText>
      </w:r>
      <w:r w:rsidR="00723E72">
        <w:fldChar w:fldCharType="separate"/>
      </w:r>
      <w:r w:rsidR="00D546D7">
        <w:rPr>
          <w:noProof/>
        </w:rPr>
        <w:t>1</w:t>
      </w:r>
      <w:r w:rsidR="00723E72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D546D7">
        <w:rPr>
          <w:noProof/>
        </w:rPr>
        <w:instrText>1</w:instrText>
      </w:r>
      <w:r>
        <w:fldChar w:fldCharType="end"/>
      </w:r>
      <w:r>
        <w:tab/>
        <w:instrText xml:space="preserve">(Guffey, Doherty, Draper)" \l 1 </w:instrText>
      </w:r>
      <w:r>
        <w:fldChar w:fldCharType="end"/>
      </w:r>
      <w:r>
        <w:t> </w:t>
      </w:r>
    </w:p>
    <w:p w:rsidR="00231B90" w:rsidRDefault="00231B90">
      <w:pPr>
        <w:pStyle w:val="BodyText"/>
      </w:pPr>
      <w:r>
        <w:t> Should the Commission approve the Contract between Chesapeake and Sebring?</w:t>
      </w:r>
    </w:p>
    <w:p w:rsidR="00231B90" w:rsidRPr="004C3641" w:rsidRDefault="00231B90">
      <w:pPr>
        <w:pStyle w:val="IssueSubsectionHeading"/>
        <w:rPr>
          <w:vanish/>
          <w:specVanish/>
        </w:rPr>
      </w:pPr>
      <w:r w:rsidRPr="004C3641">
        <w:t>Recommendation: </w:t>
      </w:r>
    </w:p>
    <w:p w:rsidR="00231B90" w:rsidRDefault="00231B90">
      <w:pPr>
        <w:pStyle w:val="BodyText"/>
      </w:pPr>
      <w:r>
        <w:t> </w:t>
      </w:r>
      <w:r w:rsidR="000E2454">
        <w:t xml:space="preserve">Yes. The Commission should approve the Contract </w:t>
      </w:r>
      <w:r w:rsidR="0095064D">
        <w:t xml:space="preserve">shown in Attachment B </w:t>
      </w:r>
      <w:r w:rsidR="000E2454">
        <w:t>between Chesapeake and Sebring.</w:t>
      </w:r>
      <w:r w:rsidR="008064ED">
        <w:t xml:space="preserve"> The Contract should be effective as of the date of the Commission’s</w:t>
      </w:r>
      <w:r w:rsidR="00416AC7">
        <w:t xml:space="preserve"> </w:t>
      </w:r>
      <w:r w:rsidR="008064ED">
        <w:t>vote.</w:t>
      </w:r>
      <w:r>
        <w:t xml:space="preserve"> (Guffey, Doherty, Draper)</w:t>
      </w:r>
    </w:p>
    <w:p w:rsidR="00231B90" w:rsidRPr="004C3641" w:rsidRDefault="00231B90">
      <w:pPr>
        <w:pStyle w:val="IssueSubsectionHeading"/>
        <w:rPr>
          <w:vanish/>
          <w:specVanish/>
        </w:rPr>
      </w:pPr>
      <w:r w:rsidRPr="004C3641">
        <w:t>Staff Analysis: </w:t>
      </w:r>
    </w:p>
    <w:p w:rsidR="00231B90" w:rsidRDefault="00231B90">
      <w:pPr>
        <w:pStyle w:val="BodyText"/>
      </w:pPr>
      <w:r>
        <w:t> </w:t>
      </w:r>
      <w:r w:rsidR="00DC2481">
        <w:t xml:space="preserve">At present, Chesapeake </w:t>
      </w:r>
      <w:r w:rsidR="003279B2">
        <w:t>and</w:t>
      </w:r>
      <w:r w:rsidR="00DC2481">
        <w:t xml:space="preserve"> Sebring </w:t>
      </w:r>
      <w:r w:rsidR="003279B2">
        <w:t>both have customers in DeSoto County; however, neither utility has facilities capable of providing gas service to the City of Arcadia</w:t>
      </w:r>
      <w:r w:rsidR="00DC2481">
        <w:t>. In May 2017, by Order No. PSC-2017-0205-PAA-GU, the Commission approved a territorial agreement between Chesapeake and Sebring</w:t>
      </w:r>
      <w:r w:rsidR="0083511E">
        <w:t>.</w:t>
      </w:r>
      <w:r w:rsidR="0083511E">
        <w:rPr>
          <w:rStyle w:val="FootnoteReference"/>
        </w:rPr>
        <w:footnoteReference w:id="1"/>
      </w:r>
      <w:r w:rsidR="0083511E" w:rsidRPr="0083511E">
        <w:rPr>
          <w:rStyle w:val="FootnoteReference"/>
        </w:rPr>
        <w:t xml:space="preserve"> </w:t>
      </w:r>
      <w:r w:rsidR="001C34D0">
        <w:t xml:space="preserve">Pursuant to the territorial agreement, </w:t>
      </w:r>
      <w:r w:rsidR="001F2BA8">
        <w:t xml:space="preserve">Sebring’s service area includes customers within Arcadia’s municipal boundaries and two specifically identified customers </w:t>
      </w:r>
      <w:r w:rsidR="006057EC">
        <w:t xml:space="preserve">just </w:t>
      </w:r>
      <w:r w:rsidR="001F2BA8">
        <w:t xml:space="preserve">outside Arcadia’s municipal limits. </w:t>
      </w:r>
      <w:r w:rsidR="001C34D0">
        <w:t>Chesapeake’s service territory is defined as DeSoto County, except for customers within Arcadia’s municipal boundary and</w:t>
      </w:r>
      <w:r w:rsidR="0095064D">
        <w:t xml:space="preserve"> the</w:t>
      </w:r>
      <w:r w:rsidR="001C34D0">
        <w:t xml:space="preserve"> two specifically identified customers who are located outside of </w:t>
      </w:r>
      <w:r w:rsidR="0095064D">
        <w:t xml:space="preserve">the </w:t>
      </w:r>
      <w:r w:rsidR="001C34D0">
        <w:t xml:space="preserve">Arcadia </w:t>
      </w:r>
      <w:r w:rsidR="00A2259B">
        <w:t>municipal</w:t>
      </w:r>
      <w:r w:rsidR="001C34D0">
        <w:t xml:space="preserve"> limits. </w:t>
      </w:r>
    </w:p>
    <w:p w:rsidR="004D7FB3" w:rsidRDefault="003279B2" w:rsidP="004D7FB3">
      <w:pPr>
        <w:pStyle w:val="BodyText"/>
      </w:pPr>
      <w:r>
        <w:t xml:space="preserve">The proposed Contract is designed to </w:t>
      </w:r>
      <w:r w:rsidR="006F27C2">
        <w:t>allow Sebring to provide</w:t>
      </w:r>
      <w:r>
        <w:t xml:space="preserve"> gas service to the City of Arcadia.</w:t>
      </w:r>
      <w:r w:rsidR="006F27C2">
        <w:t xml:space="preserve"> Sebring will construct and own the distribution system to serve customers within the City of Arcadia and Chesapeake will construct, own, and maintain a pipeline connecting the Florida Gas Transmission (FGT) interstate transmission pipeline with Sebring’s distribution system. Chesapeake will provide transportation service only; the gas delivered to the City of Arcadia</w:t>
      </w:r>
      <w:r w:rsidR="00900BBA">
        <w:t xml:space="preserve"> via FGT and the </w:t>
      </w:r>
      <w:r w:rsidR="00CD312A">
        <w:t>Sebring</w:t>
      </w:r>
      <w:r w:rsidR="00900BBA">
        <w:t xml:space="preserve"> Pipeline</w:t>
      </w:r>
      <w:r w:rsidR="006F27C2">
        <w:t xml:space="preserve"> is </w:t>
      </w:r>
      <w:r w:rsidR="00255D82">
        <w:t>purchased</w:t>
      </w:r>
      <w:r w:rsidR="006F27C2">
        <w:t xml:space="preserve"> by Sebring.</w:t>
      </w:r>
      <w:r w:rsidR="006057EC">
        <w:t xml:space="preserve"> The Contract contain</w:t>
      </w:r>
      <w:r w:rsidR="00CD312A">
        <w:t>s</w:t>
      </w:r>
      <w:r w:rsidR="006057EC">
        <w:t xml:space="preserve"> the term</w:t>
      </w:r>
      <w:r w:rsidR="00E83048">
        <w:t>s</w:t>
      </w:r>
      <w:r w:rsidR="006057EC">
        <w:t xml:space="preserve"> and conditions under which Chesapeake will provide transportation service and the negotiated rate allowing Chesapeake to recover its investment in the </w:t>
      </w:r>
      <w:r w:rsidR="0095064D">
        <w:t>Sebring</w:t>
      </w:r>
      <w:r w:rsidR="006057EC">
        <w:t xml:space="preserve"> Pipeline.</w:t>
      </w:r>
      <w:r w:rsidR="004D7FB3">
        <w:t xml:space="preserve"> Rule 25-9.034, Florida Administrative Code, and Chesapeake’s tariff require that special contracts be approved by the Commission.</w:t>
      </w:r>
    </w:p>
    <w:p w:rsidR="00DC2481" w:rsidRDefault="00CB7F3F">
      <w:pPr>
        <w:pStyle w:val="BodyText"/>
      </w:pPr>
      <w:r>
        <w:t xml:space="preserve">In accordance with the </w:t>
      </w:r>
      <w:r w:rsidR="00D952CD">
        <w:t>C</w:t>
      </w:r>
      <w:r w:rsidR="00DC2481">
        <w:t>ontract</w:t>
      </w:r>
      <w:r w:rsidR="00696E76">
        <w:t xml:space="preserve">, Chesapeake is constructing </w:t>
      </w:r>
      <w:r w:rsidR="00641871">
        <w:t>approximately one mile</w:t>
      </w:r>
      <w:r w:rsidR="00696E76">
        <w:t xml:space="preserve"> of four-inch coated steel pipeline extending from the FGT facilities in Hardee County to the interconnection point with Sebring’s distribution system. </w:t>
      </w:r>
      <w:r w:rsidR="00641871">
        <w:t xml:space="preserve">Chesapeake will connect the pipeline with FGT at the Arcadia gate station, an existing delivery point. </w:t>
      </w:r>
      <w:r w:rsidR="00696E76">
        <w:t xml:space="preserve">Chesapeake will install a new custody transfer station at its interconnection point with Sebring’s distribution system that will serve the City of Arcadia. </w:t>
      </w:r>
      <w:r w:rsidR="00E66226">
        <w:t>Chesapeake anticipates construction of the pipeline to be complete in October 2017.</w:t>
      </w:r>
      <w:r w:rsidR="004D7FB3" w:rsidRPr="004D7FB3">
        <w:t xml:space="preserve"> </w:t>
      </w:r>
      <w:r w:rsidR="004D7FB3">
        <w:t xml:space="preserve">The Contract contains language stating that Sebring is relying upon Chesapeake’s expertise in operating and providing transportation service over the Sebring Pipeline.  </w:t>
      </w:r>
    </w:p>
    <w:p w:rsidR="00E66226" w:rsidRDefault="009A56B3">
      <w:pPr>
        <w:pStyle w:val="BodyText"/>
      </w:pPr>
      <w:r>
        <w:t>Chesapeake stated that it has obtained approvals from the Department of Transportation and the Department of Environmental Protection for the pipeline. Additional</w:t>
      </w:r>
      <w:r w:rsidR="00E66226">
        <w:t>ly</w:t>
      </w:r>
      <w:r>
        <w:t xml:space="preserve">, Chesapeake stated it is currently working to receive approval from the Seminole Gulf Railroad for the railroad crossing. </w:t>
      </w:r>
      <w:r w:rsidR="00E66226">
        <w:t xml:space="preserve"> </w:t>
      </w:r>
    </w:p>
    <w:p w:rsidR="0095064D" w:rsidRDefault="0095064D" w:rsidP="00D24FD2">
      <w:pPr>
        <w:pStyle w:val="First-LevelSubheading"/>
      </w:pPr>
    </w:p>
    <w:p w:rsidR="0095064D" w:rsidRDefault="0095064D" w:rsidP="00D24FD2">
      <w:pPr>
        <w:pStyle w:val="First-LevelSubheading"/>
      </w:pPr>
    </w:p>
    <w:p w:rsidR="00D24FD2" w:rsidRDefault="00D24FD2" w:rsidP="00D24FD2">
      <w:pPr>
        <w:pStyle w:val="First-LevelSubheading"/>
      </w:pPr>
      <w:r>
        <w:lastRenderedPageBreak/>
        <w:t>Cost of Service Considerations</w:t>
      </w:r>
    </w:p>
    <w:p w:rsidR="00E66226" w:rsidRDefault="00825774" w:rsidP="00BA04EC">
      <w:pPr>
        <w:pStyle w:val="BodyText"/>
      </w:pPr>
      <w:r>
        <w:t xml:space="preserve">The cost of service study provided by Chesapeake in its response to staff’s first data request shows total annual operating cost of $128,183 for the </w:t>
      </w:r>
      <w:r w:rsidR="00CD312A">
        <w:t>Sebring Pipeline</w:t>
      </w:r>
      <w:r>
        <w:t xml:space="preserve">. The cost of service includes a return on the investment, </w:t>
      </w:r>
      <w:r w:rsidR="00873C64">
        <w:t xml:space="preserve">operation </w:t>
      </w:r>
      <w:r w:rsidR="0095064D">
        <w:t>and</w:t>
      </w:r>
      <w:r w:rsidR="00873C64">
        <w:t xml:space="preserve"> maintenance cost, depreciation, and </w:t>
      </w:r>
      <w:r>
        <w:t xml:space="preserve">taxes. </w:t>
      </w:r>
      <w:r w:rsidR="00873C64">
        <w:t>Chesapeake’s investment for the Sebring Pipeline totals $821,384 and includes the main installation</w:t>
      </w:r>
      <w:r w:rsidR="00BA04EC">
        <w:t xml:space="preserve">, custody transfer meter, and </w:t>
      </w:r>
      <w:r w:rsidR="004D7FB3">
        <w:t xml:space="preserve">skid mount (a </w:t>
      </w:r>
      <w:r w:rsidR="004D7FB3" w:rsidRPr="004D7FB3">
        <w:t xml:space="preserve">prefabricated frame that holds </w:t>
      </w:r>
      <w:r w:rsidR="004D7FB3">
        <w:t xml:space="preserve">the </w:t>
      </w:r>
      <w:r w:rsidR="004D7FB3" w:rsidRPr="004D7FB3">
        <w:t>meter and pressure regulation equipment)</w:t>
      </w:r>
      <w:r w:rsidR="00873C64">
        <w:t>.</w:t>
      </w:r>
      <w:r w:rsidR="00E66226">
        <w:t xml:space="preserve"> The return </w:t>
      </w:r>
      <w:r w:rsidR="0095064D">
        <w:t xml:space="preserve">included in the cost of service </w:t>
      </w:r>
      <w:r w:rsidR="00E66226">
        <w:t>is 5.67 percent, based on the midpoint rate of return shown in Chesapeake’s December 2016 year-end surveillance report.</w:t>
      </w:r>
      <w:r w:rsidR="00873C64">
        <w:t xml:space="preserve"> </w:t>
      </w:r>
    </w:p>
    <w:p w:rsidR="00BA04EC" w:rsidRDefault="00825774" w:rsidP="00BA04EC">
      <w:pPr>
        <w:pStyle w:val="BodyText"/>
      </w:pPr>
      <w:r>
        <w:t xml:space="preserve">The </w:t>
      </w:r>
      <w:r w:rsidR="00E66226">
        <w:t xml:space="preserve">negotiated </w:t>
      </w:r>
      <w:r>
        <w:t>annual fixed rate contained in the Contract of $135,812 is designed to enable Chesapeake to cover its cost of service.</w:t>
      </w:r>
      <w:r w:rsidR="0009767B">
        <w:t xml:space="preserve"> </w:t>
      </w:r>
      <w:r w:rsidR="00CD312A">
        <w:t xml:space="preserve">The </w:t>
      </w:r>
      <w:r w:rsidR="00B00E91">
        <w:t xml:space="preserve">contract amount is paid by Sebring to Chesapeake in monthly reservation charges </w:t>
      </w:r>
      <w:r w:rsidR="009D3C5B">
        <w:rPr>
          <w:rStyle w:val="FootnoteReference"/>
        </w:rPr>
        <w:footnoteReference w:id="2"/>
      </w:r>
      <w:r w:rsidR="00CD312A">
        <w:t xml:space="preserve"> </w:t>
      </w:r>
      <w:r w:rsidR="00B00E91">
        <w:t xml:space="preserve">that are fixed and do not vary based on actual usage. </w:t>
      </w:r>
      <w:r w:rsidR="00BA04EC">
        <w:t xml:space="preserve">The largest </w:t>
      </w:r>
      <w:r w:rsidR="00ED065B">
        <w:t>daily</w:t>
      </w:r>
      <w:r w:rsidR="00B062AF">
        <w:t xml:space="preserve"> </w:t>
      </w:r>
      <w:r w:rsidR="00BA04EC">
        <w:t>quantity of gas Chesapeake is obligated to transport to Sebring is 720 Dekatherms.</w:t>
      </w:r>
    </w:p>
    <w:p w:rsidR="00BA04EC" w:rsidRPr="00BA04EC" w:rsidRDefault="00BA04EC" w:rsidP="00BA04EC">
      <w:pPr>
        <w:pStyle w:val="BodyText"/>
      </w:pPr>
      <w:r>
        <w:t xml:space="preserve">Based on the cost of service study provided, staff </w:t>
      </w:r>
      <w:r w:rsidR="0022156F">
        <w:t>agrees with</w:t>
      </w:r>
      <w:r>
        <w:t xml:space="preserve"> Chesapeake’s </w:t>
      </w:r>
      <w:r w:rsidR="009A56B3">
        <w:t>assertion</w:t>
      </w:r>
      <w:r>
        <w:t xml:space="preserve"> that the monthly reservation charge recovers its cost of service and</w:t>
      </w:r>
      <w:r w:rsidR="00B00E91">
        <w:t>,</w:t>
      </w:r>
      <w:r>
        <w:t xml:space="preserve"> </w:t>
      </w:r>
      <w:r w:rsidR="00ED065B">
        <w:t>therefore</w:t>
      </w:r>
      <w:r w:rsidR="00B00E91">
        <w:t>,</w:t>
      </w:r>
      <w:r>
        <w:t xml:space="preserve"> will provide benefits to Chesapeake’s general body of ratepayers, as well as Sebring’s customers in the City of Arcadia. </w:t>
      </w:r>
    </w:p>
    <w:p w:rsidR="000369AA" w:rsidRDefault="000369AA" w:rsidP="000369AA">
      <w:pPr>
        <w:pStyle w:val="First-LevelSubheading"/>
      </w:pPr>
      <w:r>
        <w:t>Conclusion</w:t>
      </w:r>
    </w:p>
    <w:p w:rsidR="000369AA" w:rsidRDefault="00DE5809" w:rsidP="00E275D8">
      <w:pPr>
        <w:pStyle w:val="BodyText"/>
      </w:pPr>
      <w:r>
        <w:t xml:space="preserve">Based on the review of the petition and responses to </w:t>
      </w:r>
      <w:r w:rsidR="0093469F">
        <w:t xml:space="preserve">staff’s </w:t>
      </w:r>
      <w:r>
        <w:t>data request</w:t>
      </w:r>
      <w:r w:rsidR="00573FD8">
        <w:t>s</w:t>
      </w:r>
      <w:r>
        <w:t>, staff believes Chesapeake’s representation</w:t>
      </w:r>
      <w:r w:rsidR="00EB267D">
        <w:t>s</w:t>
      </w:r>
      <w:r>
        <w:t xml:space="preserve"> to be reasonable and recommends that the Commission approve the Special Contract between Chesapeake and Sebring</w:t>
      </w:r>
      <w:r w:rsidR="008064ED">
        <w:t xml:space="preserve"> as shown in Attachment B. The Contract should be effective as of the date of the Commission’s vote.</w:t>
      </w:r>
    </w:p>
    <w:p w:rsidR="00A843E0" w:rsidRDefault="00A843E0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r w:rsidR="00723E72">
        <w:fldChar w:fldCharType="begin"/>
      </w:r>
      <w:r w:rsidR="00723E72">
        <w:instrText xml:space="preserve"> SEQ Issue \* MERGEFORMAT </w:instrText>
      </w:r>
      <w:r w:rsidR="00723E72">
        <w:fldChar w:fldCharType="separate"/>
      </w:r>
      <w:r w:rsidR="00D546D7">
        <w:rPr>
          <w:noProof/>
        </w:rPr>
        <w:t>2</w:t>
      </w:r>
      <w:r w:rsidR="00723E72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D546D7">
        <w:rPr>
          <w:noProof/>
        </w:rPr>
        <w:instrText>2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A843E0" w:rsidRDefault="00A843E0">
      <w:pPr>
        <w:pStyle w:val="BodyText"/>
      </w:pPr>
      <w:r>
        <w:t> Should this docket be closed?</w:t>
      </w:r>
    </w:p>
    <w:p w:rsidR="00A843E0" w:rsidRPr="004C3641" w:rsidRDefault="00A843E0">
      <w:pPr>
        <w:pStyle w:val="IssueSubsectionHeading"/>
        <w:rPr>
          <w:vanish/>
          <w:specVanish/>
        </w:rPr>
      </w:pPr>
      <w:r w:rsidRPr="004C3641">
        <w:t>Recommendation: </w:t>
      </w:r>
    </w:p>
    <w:p w:rsidR="00A843E0" w:rsidRDefault="00A843E0">
      <w:pPr>
        <w:pStyle w:val="BodyText"/>
      </w:pPr>
      <w:r>
        <w:t> If no protest is filed by a person whose substantial interests are affected within 21 days of the issuance of the Order, this docket should be closed upon the issuance of a Consummating Order. (Taylor)</w:t>
      </w:r>
    </w:p>
    <w:p w:rsidR="00A843E0" w:rsidRPr="004C3641" w:rsidRDefault="00A843E0">
      <w:pPr>
        <w:pStyle w:val="IssueSubsectionHeading"/>
        <w:rPr>
          <w:vanish/>
          <w:specVanish/>
        </w:rPr>
      </w:pPr>
      <w:r w:rsidRPr="004C3641">
        <w:t>Staff Analysis: </w:t>
      </w:r>
    </w:p>
    <w:p w:rsidR="00A843E0" w:rsidRDefault="00A843E0">
      <w:pPr>
        <w:pStyle w:val="BodyText"/>
      </w:pPr>
      <w:r>
        <w:t> If no protest is filed by a person whose substantial interests are affected within 21 days of the issuance of the Order, this docket should be closed upon the issuance of a Consummating Order.</w:t>
      </w:r>
    </w:p>
    <w:p w:rsidR="00F81133" w:rsidRDefault="00F81133" w:rsidP="00E275D8">
      <w:pPr>
        <w:pStyle w:val="BodyText"/>
        <w:sectPr w:rsidR="00F81133" w:rsidSect="0068481F">
          <w:headerReference w:type="default" r:id="rId12"/>
          <w:headerReference w:type="first" r:id="rId13"/>
          <w:footerReference w:type="first" r:id="rId14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421EE5" w:rsidRDefault="002C7C34" w:rsidP="00421EE5">
      <w:pPr>
        <w:pStyle w:val="BodyText"/>
        <w:sectPr w:rsidR="00421EE5" w:rsidSect="0068481F">
          <w:headerReference w:type="default" r:id="rId15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ED05136" wp14:editId="68C8437B">
            <wp:extent cx="5200650" cy="78691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2210" cy="787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B4" w:rsidRDefault="000022B4" w:rsidP="00421EE5">
      <w:pPr>
        <w:pStyle w:val="BodyText"/>
      </w:pPr>
      <w:r>
        <w:rPr>
          <w:noProof/>
        </w:rPr>
        <w:lastRenderedPageBreak/>
        <w:drawing>
          <wp:inline distT="0" distB="0" distL="0" distR="0" wp14:anchorId="4BA9E663" wp14:editId="7E4F7B14">
            <wp:extent cx="5943600" cy="6987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B4" w:rsidRDefault="000022B4">
      <w:r>
        <w:br w:type="page"/>
      </w:r>
    </w:p>
    <w:p w:rsidR="000022B4" w:rsidRDefault="000022B4" w:rsidP="00421EE5">
      <w:pPr>
        <w:pStyle w:val="BodyText"/>
      </w:pPr>
      <w:r>
        <w:rPr>
          <w:noProof/>
        </w:rPr>
        <w:lastRenderedPageBreak/>
        <w:drawing>
          <wp:inline distT="0" distB="0" distL="0" distR="0" wp14:anchorId="3C384A60" wp14:editId="0BF72216">
            <wp:extent cx="5943600" cy="6960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B4" w:rsidRDefault="000022B4">
      <w:r>
        <w:br w:type="page"/>
      </w:r>
    </w:p>
    <w:p w:rsidR="00421EE5" w:rsidRDefault="000022B4" w:rsidP="00421EE5">
      <w:pPr>
        <w:pStyle w:val="BodyText"/>
      </w:pPr>
      <w:r>
        <w:rPr>
          <w:noProof/>
        </w:rPr>
        <w:lastRenderedPageBreak/>
        <w:drawing>
          <wp:inline distT="0" distB="0" distL="0" distR="0" wp14:anchorId="478EF6ED" wp14:editId="6E39FA2F">
            <wp:extent cx="5943600" cy="6939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E0" w:rsidRDefault="00BB50E0">
      <w:r>
        <w:br w:type="page"/>
      </w:r>
    </w:p>
    <w:p w:rsidR="00BB50E0" w:rsidRDefault="00BB50E0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0D103658" wp14:editId="115E1E00">
            <wp:extent cx="5943600" cy="69443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E0" w:rsidRDefault="00BB50E0" w:rsidP="00BB50E0">
      <w:r>
        <w:br w:type="page"/>
      </w:r>
    </w:p>
    <w:p w:rsidR="00171D9A" w:rsidRDefault="00BB50E0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6142A4EF" wp14:editId="268A16FA">
            <wp:extent cx="5943600" cy="7011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9A" w:rsidRDefault="00171D9A" w:rsidP="00171D9A">
      <w:r>
        <w:br w:type="page"/>
      </w:r>
    </w:p>
    <w:p w:rsidR="00171D9A" w:rsidRDefault="00171D9A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5F1AE491" wp14:editId="3F1E7354">
            <wp:extent cx="5943600" cy="693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9A" w:rsidRDefault="00171D9A" w:rsidP="00171D9A">
      <w:r>
        <w:br w:type="page"/>
      </w:r>
    </w:p>
    <w:p w:rsidR="00171D9A" w:rsidRDefault="00171D9A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2D0A37B7" wp14:editId="61D04EB4">
            <wp:extent cx="5943600" cy="6978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9A" w:rsidRDefault="00171D9A" w:rsidP="00171D9A">
      <w:r>
        <w:br w:type="page"/>
      </w:r>
    </w:p>
    <w:p w:rsidR="008853FF" w:rsidRDefault="008853FF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1B478806" wp14:editId="25DD0186">
            <wp:extent cx="5943600" cy="667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FF" w:rsidRDefault="008853FF" w:rsidP="008853FF">
      <w:r>
        <w:br w:type="page"/>
      </w:r>
    </w:p>
    <w:p w:rsidR="008853FF" w:rsidRDefault="008853FF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347D1ABF" wp14:editId="08FF2A2F">
            <wp:extent cx="5943600" cy="69469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FF" w:rsidRDefault="008853FF" w:rsidP="008853FF">
      <w:r>
        <w:br w:type="page"/>
      </w:r>
    </w:p>
    <w:p w:rsidR="008853FF" w:rsidRDefault="008853FF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4438DFD4" wp14:editId="585208AB">
            <wp:extent cx="5943600" cy="69703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FF" w:rsidRDefault="008853FF" w:rsidP="008853FF">
      <w:r>
        <w:br w:type="page"/>
      </w:r>
    </w:p>
    <w:p w:rsidR="002C02AE" w:rsidRDefault="002C02AE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713D7378" wp14:editId="2236C4E5">
            <wp:extent cx="5943600" cy="6972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AE" w:rsidRDefault="002C02AE" w:rsidP="002C02AE">
      <w:r>
        <w:br w:type="page"/>
      </w:r>
    </w:p>
    <w:p w:rsidR="002C02AE" w:rsidRDefault="002C02AE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23F06DAB" wp14:editId="4D8FFB74">
            <wp:extent cx="5943600" cy="69329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AE" w:rsidRDefault="002C02AE" w:rsidP="002C02AE">
      <w:r>
        <w:br w:type="page"/>
      </w:r>
    </w:p>
    <w:p w:rsidR="002C02AE" w:rsidRDefault="002C02AE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62F3A3FE" wp14:editId="3DA850C3">
            <wp:extent cx="5943600" cy="69583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AE" w:rsidRDefault="002C02AE" w:rsidP="002C02AE">
      <w:r>
        <w:br w:type="page"/>
      </w:r>
    </w:p>
    <w:p w:rsidR="002C02AE" w:rsidRDefault="002C02AE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498BD056" wp14:editId="37D2CFEB">
            <wp:extent cx="5943600" cy="6986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AE" w:rsidRDefault="002C02AE" w:rsidP="002C02AE">
      <w:r>
        <w:br w:type="page"/>
      </w:r>
    </w:p>
    <w:p w:rsidR="00885277" w:rsidRDefault="002C02AE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7D4B8241" wp14:editId="59F9468D">
            <wp:extent cx="5943600" cy="70650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277" w:rsidSect="0068481F">
      <w:headerReference w:type="default" r:id="rId32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65C" w:rsidRDefault="00E1365C">
      <w:r>
        <w:separator/>
      </w:r>
    </w:p>
  </w:endnote>
  <w:endnote w:type="continuationSeparator" w:id="0">
    <w:p w:rsidR="00E1365C" w:rsidRDefault="00E13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72CC7">
      <w:rPr>
        <w:rStyle w:val="PageNumber"/>
        <w:noProof/>
      </w:rPr>
      <w:t>21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65C" w:rsidRDefault="00E1365C">
      <w:r>
        <w:separator/>
      </w:r>
    </w:p>
  </w:footnote>
  <w:footnote w:type="continuationSeparator" w:id="0">
    <w:p w:rsidR="00E1365C" w:rsidRDefault="00E1365C">
      <w:r>
        <w:continuationSeparator/>
      </w:r>
    </w:p>
  </w:footnote>
  <w:footnote w:id="1">
    <w:p w:rsidR="0083511E" w:rsidRPr="0060532F" w:rsidRDefault="0083511E" w:rsidP="0083511E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Order No. PSC-2017-0205-PAA-GU, issued May 23, 2017, in Docket No. 20170036-GU, </w:t>
      </w:r>
      <w:r w:rsidRPr="0060532F">
        <w:rPr>
          <w:i/>
        </w:rPr>
        <w:t>In re: Joint petition for approval of territorial agreement in DeSoto County by Florida Division of Chesapeake Utilities Corporation and Sebring Gas System, Inc.</w:t>
      </w:r>
    </w:p>
  </w:footnote>
  <w:footnote w:id="2">
    <w:p w:rsidR="009D3C5B" w:rsidRDefault="009D3C5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67734">
        <w:t>Monthly Reservation Charge</w:t>
      </w:r>
      <w:r>
        <w:t>: The annual fixed rate of $136,812 is billed in the following increments</w:t>
      </w:r>
      <w:r w:rsidR="00EB267D">
        <w:t>:</w:t>
      </w:r>
    </w:p>
    <w:p w:rsidR="009D3C5B" w:rsidRDefault="009D3C5B">
      <w:pPr>
        <w:pStyle w:val="FootnoteText"/>
      </w:pPr>
      <w:r>
        <w:t>December through March</w:t>
      </w:r>
      <w:r>
        <w:tab/>
      </w:r>
      <w:r>
        <w:tab/>
        <w:t>$12,401</w:t>
      </w:r>
    </w:p>
    <w:p w:rsidR="009D3C5B" w:rsidRDefault="009D3C5B">
      <w:pPr>
        <w:pStyle w:val="FootnoteText"/>
      </w:pPr>
      <w:r>
        <w:t>April through July</w:t>
      </w:r>
      <w:r>
        <w:tab/>
      </w:r>
      <w:r>
        <w:tab/>
        <w:t>$11,401</w:t>
      </w:r>
    </w:p>
    <w:p w:rsidR="009D3C5B" w:rsidRDefault="009D3C5B">
      <w:pPr>
        <w:pStyle w:val="FootnoteText"/>
      </w:pPr>
      <w:r>
        <w:t>August through November</w:t>
      </w:r>
      <w:r>
        <w:tab/>
      </w:r>
      <w:r>
        <w:tab/>
        <w:t xml:space="preserve">$10,401 </w:t>
      </w:r>
      <w: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E1365C" w:rsidP="00220732">
    <w:pPr>
      <w:pStyle w:val="Header"/>
      <w:tabs>
        <w:tab w:val="clear" w:pos="4320"/>
        <w:tab w:val="clear" w:pos="8640"/>
        <w:tab w:val="right" w:pos="9360"/>
      </w:tabs>
    </w:pPr>
    <w:bookmarkStart w:id="14" w:name="DocketLabel"/>
    <w:r>
      <w:t>Docket No.</w:t>
    </w:r>
    <w:bookmarkEnd w:id="14"/>
    <w:r w:rsidR="00BC402E">
      <w:t xml:space="preserve"> </w:t>
    </w:r>
    <w:bookmarkStart w:id="15" w:name="DocketList"/>
    <w:r>
      <w:t>20170176-GU</w:t>
    </w:r>
    <w:bookmarkEnd w:id="15"/>
  </w:p>
  <w:p w:rsidR="00BC402E" w:rsidRDefault="00BC402E">
    <w:pPr>
      <w:pStyle w:val="Header"/>
    </w:pPr>
    <w:r>
      <w:t xml:space="preserve">Date: </w:t>
    </w:r>
    <w:r w:rsidR="00723E72">
      <w:fldChar w:fldCharType="begin"/>
    </w:r>
    <w:r w:rsidR="00723E72">
      <w:instrText xml:space="preserve"> REF FilingDate </w:instrText>
    </w:r>
    <w:r w:rsidR="00723E72">
      <w:fldChar w:fldCharType="separate"/>
    </w:r>
    <w:r w:rsidR="00D546D7">
      <w:t>September 21, 2017</w:t>
    </w:r>
    <w:r w:rsidR="00723E72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D546D7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D546D7">
      <w:t>20170176-GU</w:t>
    </w:r>
    <w:r>
      <w:fldChar w:fldCharType="end"/>
    </w:r>
    <w:r>
      <w:tab/>
      <w:t xml:space="preserve">Issue </w:t>
    </w:r>
    <w:r w:rsidR="00723E72">
      <w:fldChar w:fldCharType="begin"/>
    </w:r>
    <w:r w:rsidR="00723E72">
      <w:instrText xml:space="preserve"> Seq Issue \c \* Arabic </w:instrText>
    </w:r>
    <w:r w:rsidR="00723E72">
      <w:fldChar w:fldCharType="separate"/>
    </w:r>
    <w:r w:rsidR="00D72CC7">
      <w:rPr>
        <w:noProof/>
      </w:rPr>
      <w:t>2</w:t>
    </w:r>
    <w:r w:rsidR="00723E72">
      <w:rPr>
        <w:noProof/>
      </w:rPr>
      <w:fldChar w:fldCharType="end"/>
    </w:r>
  </w:p>
  <w:p w:rsidR="00BC402E" w:rsidRDefault="00BC402E">
    <w:pPr>
      <w:pStyle w:val="Header"/>
    </w:pPr>
    <w:r>
      <w:t xml:space="preserve">Date: </w:t>
    </w:r>
    <w:r w:rsidR="00723E72">
      <w:fldChar w:fldCharType="begin"/>
    </w:r>
    <w:r w:rsidR="00723E72">
      <w:instrText xml:space="preserve"> REF FilingDate </w:instrText>
    </w:r>
    <w:r w:rsidR="00723E72">
      <w:fldChar w:fldCharType="separate"/>
    </w:r>
    <w:r w:rsidR="00D546D7">
      <w:t>September 21, 2017</w:t>
    </w:r>
    <w:r w:rsidR="00723E72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33" w:rsidRDefault="00F81133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D546D7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D546D7">
      <w:t>20170176-GU</w:t>
    </w:r>
    <w:r>
      <w:fldChar w:fldCharType="end"/>
    </w:r>
    <w:r>
      <w:tab/>
      <w:t>Attachment A</w:t>
    </w:r>
  </w:p>
  <w:p w:rsidR="00F81133" w:rsidRDefault="00F81133">
    <w:pPr>
      <w:pStyle w:val="Header"/>
    </w:pPr>
    <w:r>
      <w:t xml:space="preserve">Date: </w:t>
    </w:r>
    <w:r w:rsidR="00723E72">
      <w:fldChar w:fldCharType="begin"/>
    </w:r>
    <w:r w:rsidR="00723E72">
      <w:instrText xml:space="preserve"> REF FilingDate </w:instrText>
    </w:r>
    <w:r w:rsidR="00723E72">
      <w:fldChar w:fldCharType="separate"/>
    </w:r>
    <w:r w:rsidR="00D546D7">
      <w:t>September 21, 2017</w:t>
    </w:r>
    <w:r w:rsidR="00723E72">
      <w:fldChar w:fldCharType="end"/>
    </w:r>
    <w:r w:rsidR="00B00E91">
      <w:tab/>
    </w:r>
    <w:r>
      <w:t xml:space="preserve">        </w:t>
    </w:r>
    <w:r w:rsidR="00B00E91"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E5" w:rsidRDefault="00421EE5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D546D7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D546D7">
      <w:t>20170176-GU</w:t>
    </w:r>
    <w:r>
      <w:fldChar w:fldCharType="end"/>
    </w:r>
    <w:r>
      <w:tab/>
      <w:t>Attachment B</w:t>
    </w:r>
  </w:p>
  <w:p w:rsidR="00421EE5" w:rsidRDefault="00421EE5">
    <w:pPr>
      <w:pStyle w:val="Header"/>
    </w:pPr>
    <w:r>
      <w:t xml:space="preserve">Date: </w:t>
    </w:r>
    <w:r w:rsidR="00723E72">
      <w:fldChar w:fldCharType="begin"/>
    </w:r>
    <w:r w:rsidR="00723E72">
      <w:instrText xml:space="preserve"> REF FilingDate </w:instrText>
    </w:r>
    <w:r w:rsidR="00723E72">
      <w:fldChar w:fldCharType="separate"/>
    </w:r>
    <w:r w:rsidR="00D546D7">
      <w:t>September 21, 2017</w:t>
    </w:r>
    <w:r w:rsidR="00723E72">
      <w:fldChar w:fldCharType="end"/>
    </w:r>
    <w:r>
      <w:tab/>
      <w:t xml:space="preserve">                     </w:t>
    </w:r>
    <w:r w:rsidR="00084814">
      <w:t xml:space="preserve">                             </w:t>
    </w:r>
    <w:r w:rsidR="00765483">
      <w:t xml:space="preserve">                                         </w:t>
    </w:r>
    <w:r w:rsidR="00084814">
      <w:t xml:space="preserve">Page </w:t>
    </w:r>
    <w:r w:rsidR="00084814">
      <w:fldChar w:fldCharType="begin"/>
    </w:r>
    <w:r w:rsidR="00084814">
      <w:instrText xml:space="preserve">= </w:instrText>
    </w:r>
    <w:r w:rsidR="00084814">
      <w:fldChar w:fldCharType="begin"/>
    </w:r>
    <w:r w:rsidR="00084814">
      <w:instrText xml:space="preserve"> Page </w:instrText>
    </w:r>
    <w:r w:rsidR="00084814">
      <w:fldChar w:fldCharType="separate"/>
    </w:r>
    <w:r w:rsidR="00D72CC7">
      <w:rPr>
        <w:noProof/>
      </w:rPr>
      <w:instrText>21</w:instrText>
    </w:r>
    <w:r w:rsidR="00084814">
      <w:fldChar w:fldCharType="end"/>
    </w:r>
    <w:r w:rsidR="00084814">
      <w:instrText xml:space="preserve">-6 </w:instrText>
    </w:r>
    <w:r w:rsidR="00084814">
      <w:fldChar w:fldCharType="separate"/>
    </w:r>
    <w:r w:rsidR="00D72CC7">
      <w:rPr>
        <w:noProof/>
      </w:rPr>
      <w:t>15</w:t>
    </w:r>
    <w:r w:rsidR="00084814">
      <w:fldChar w:fldCharType="end"/>
    </w:r>
    <w:r w:rsidR="00084814">
      <w:t xml:space="preserve"> of 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E1365C"/>
    <w:rsid w:val="000022B4"/>
    <w:rsid w:val="000043D5"/>
    <w:rsid w:val="00006170"/>
    <w:rsid w:val="00010E37"/>
    <w:rsid w:val="000172DA"/>
    <w:rsid w:val="000247C5"/>
    <w:rsid w:val="000277C2"/>
    <w:rsid w:val="00035B48"/>
    <w:rsid w:val="000369AA"/>
    <w:rsid w:val="00036CE2"/>
    <w:rsid w:val="000437FE"/>
    <w:rsid w:val="00050BE4"/>
    <w:rsid w:val="000513BE"/>
    <w:rsid w:val="00064CD5"/>
    <w:rsid w:val="00065A06"/>
    <w:rsid w:val="000666F3"/>
    <w:rsid w:val="00070DCB"/>
    <w:rsid w:val="00073120"/>
    <w:rsid w:val="000764D0"/>
    <w:rsid w:val="000828D3"/>
    <w:rsid w:val="00084814"/>
    <w:rsid w:val="000974CA"/>
    <w:rsid w:val="0009767B"/>
    <w:rsid w:val="000A0DCB"/>
    <w:rsid w:val="000A2B57"/>
    <w:rsid w:val="000A418B"/>
    <w:rsid w:val="000C4431"/>
    <w:rsid w:val="000D1C06"/>
    <w:rsid w:val="000D4319"/>
    <w:rsid w:val="000E2454"/>
    <w:rsid w:val="000F374A"/>
    <w:rsid w:val="001076AF"/>
    <w:rsid w:val="00117C8C"/>
    <w:rsid w:val="00124E2E"/>
    <w:rsid w:val="00125ED4"/>
    <w:rsid w:val="001305E9"/>
    <w:rsid w:val="001307AF"/>
    <w:rsid w:val="00135687"/>
    <w:rsid w:val="0015506E"/>
    <w:rsid w:val="00163031"/>
    <w:rsid w:val="00171A90"/>
    <w:rsid w:val="00171D9A"/>
    <w:rsid w:val="00180254"/>
    <w:rsid w:val="00191E1F"/>
    <w:rsid w:val="00192943"/>
    <w:rsid w:val="00194E62"/>
    <w:rsid w:val="001A7406"/>
    <w:rsid w:val="001B4FEE"/>
    <w:rsid w:val="001B51C5"/>
    <w:rsid w:val="001B6F3F"/>
    <w:rsid w:val="001C34D0"/>
    <w:rsid w:val="001C52B5"/>
    <w:rsid w:val="001D0D3E"/>
    <w:rsid w:val="001E3E23"/>
    <w:rsid w:val="001F2245"/>
    <w:rsid w:val="001F2BA8"/>
    <w:rsid w:val="001F2C63"/>
    <w:rsid w:val="001F48C7"/>
    <w:rsid w:val="001F6DA1"/>
    <w:rsid w:val="002044E6"/>
    <w:rsid w:val="00205C82"/>
    <w:rsid w:val="00205DC2"/>
    <w:rsid w:val="00212B17"/>
    <w:rsid w:val="002163B6"/>
    <w:rsid w:val="002170F8"/>
    <w:rsid w:val="00220732"/>
    <w:rsid w:val="0022156F"/>
    <w:rsid w:val="00221D32"/>
    <w:rsid w:val="00225C3F"/>
    <w:rsid w:val="00231B90"/>
    <w:rsid w:val="00252966"/>
    <w:rsid w:val="00255D82"/>
    <w:rsid w:val="00263D44"/>
    <w:rsid w:val="002702AD"/>
    <w:rsid w:val="00292D82"/>
    <w:rsid w:val="002963CB"/>
    <w:rsid w:val="002C02AE"/>
    <w:rsid w:val="002C7C34"/>
    <w:rsid w:val="002D226D"/>
    <w:rsid w:val="002F6030"/>
    <w:rsid w:val="003031EF"/>
    <w:rsid w:val="003037E1"/>
    <w:rsid w:val="00307E51"/>
    <w:rsid w:val="003103EC"/>
    <w:rsid w:val="003144EF"/>
    <w:rsid w:val="00322F74"/>
    <w:rsid w:val="003279B2"/>
    <w:rsid w:val="00340073"/>
    <w:rsid w:val="00345FF1"/>
    <w:rsid w:val="003632FD"/>
    <w:rsid w:val="00372805"/>
    <w:rsid w:val="00372B99"/>
    <w:rsid w:val="00373180"/>
    <w:rsid w:val="00375AB9"/>
    <w:rsid w:val="003821A0"/>
    <w:rsid w:val="00385B04"/>
    <w:rsid w:val="003864CF"/>
    <w:rsid w:val="003A22A6"/>
    <w:rsid w:val="003A5494"/>
    <w:rsid w:val="003B2510"/>
    <w:rsid w:val="003C2CC4"/>
    <w:rsid w:val="003C3710"/>
    <w:rsid w:val="003D2339"/>
    <w:rsid w:val="003E0EFC"/>
    <w:rsid w:val="003E280D"/>
    <w:rsid w:val="003E4A2B"/>
    <w:rsid w:val="003E76C2"/>
    <w:rsid w:val="003F1679"/>
    <w:rsid w:val="003F21EB"/>
    <w:rsid w:val="003F4029"/>
    <w:rsid w:val="003F4A35"/>
    <w:rsid w:val="003F7FDD"/>
    <w:rsid w:val="00402481"/>
    <w:rsid w:val="00403CB8"/>
    <w:rsid w:val="004042B4"/>
    <w:rsid w:val="00410DC4"/>
    <w:rsid w:val="00412DAE"/>
    <w:rsid w:val="00416AC7"/>
    <w:rsid w:val="00421EE5"/>
    <w:rsid w:val="00427CB4"/>
    <w:rsid w:val="00431598"/>
    <w:rsid w:val="004319AD"/>
    <w:rsid w:val="004426B8"/>
    <w:rsid w:val="00444432"/>
    <w:rsid w:val="004632EA"/>
    <w:rsid w:val="00467734"/>
    <w:rsid w:val="00471860"/>
    <w:rsid w:val="004A744D"/>
    <w:rsid w:val="004B016F"/>
    <w:rsid w:val="004B60BD"/>
    <w:rsid w:val="004C3150"/>
    <w:rsid w:val="004C3641"/>
    <w:rsid w:val="004C4390"/>
    <w:rsid w:val="004C4AF7"/>
    <w:rsid w:val="004D2881"/>
    <w:rsid w:val="004D385F"/>
    <w:rsid w:val="004D5B39"/>
    <w:rsid w:val="004D7FB3"/>
    <w:rsid w:val="004E330D"/>
    <w:rsid w:val="004E5147"/>
    <w:rsid w:val="004F5C43"/>
    <w:rsid w:val="0050652D"/>
    <w:rsid w:val="00506C03"/>
    <w:rsid w:val="00511A11"/>
    <w:rsid w:val="00516496"/>
    <w:rsid w:val="0052572A"/>
    <w:rsid w:val="00543CB3"/>
    <w:rsid w:val="005442E4"/>
    <w:rsid w:val="00560FF0"/>
    <w:rsid w:val="005614BD"/>
    <w:rsid w:val="0057154F"/>
    <w:rsid w:val="00573FD8"/>
    <w:rsid w:val="005805B9"/>
    <w:rsid w:val="00580F69"/>
    <w:rsid w:val="0058162B"/>
    <w:rsid w:val="00581CA3"/>
    <w:rsid w:val="00587A44"/>
    <w:rsid w:val="00593A3D"/>
    <w:rsid w:val="00597730"/>
    <w:rsid w:val="005977EC"/>
    <w:rsid w:val="00597DE7"/>
    <w:rsid w:val="005A4AA2"/>
    <w:rsid w:val="005B34B6"/>
    <w:rsid w:val="005B6C8F"/>
    <w:rsid w:val="005B6EC3"/>
    <w:rsid w:val="005D0F74"/>
    <w:rsid w:val="005D2E7D"/>
    <w:rsid w:val="005D4A8F"/>
    <w:rsid w:val="005D561B"/>
    <w:rsid w:val="005D5ECF"/>
    <w:rsid w:val="005E1FE8"/>
    <w:rsid w:val="005F468D"/>
    <w:rsid w:val="005F69A3"/>
    <w:rsid w:val="00604CC7"/>
    <w:rsid w:val="0060532F"/>
    <w:rsid w:val="006057EC"/>
    <w:rsid w:val="00615423"/>
    <w:rsid w:val="006165B2"/>
    <w:rsid w:val="00617276"/>
    <w:rsid w:val="0062527B"/>
    <w:rsid w:val="00625D97"/>
    <w:rsid w:val="00625F1C"/>
    <w:rsid w:val="006279E1"/>
    <w:rsid w:val="00630CEB"/>
    <w:rsid w:val="00632264"/>
    <w:rsid w:val="00641871"/>
    <w:rsid w:val="006470BC"/>
    <w:rsid w:val="006554D3"/>
    <w:rsid w:val="00667036"/>
    <w:rsid w:val="00673BDB"/>
    <w:rsid w:val="00674341"/>
    <w:rsid w:val="006771B8"/>
    <w:rsid w:val="006843B6"/>
    <w:rsid w:val="0068481F"/>
    <w:rsid w:val="00696E76"/>
    <w:rsid w:val="00696F5D"/>
    <w:rsid w:val="00697249"/>
    <w:rsid w:val="006B00DA"/>
    <w:rsid w:val="006B1D9A"/>
    <w:rsid w:val="006B3947"/>
    <w:rsid w:val="006B4293"/>
    <w:rsid w:val="006B624F"/>
    <w:rsid w:val="006C0C95"/>
    <w:rsid w:val="006C31E3"/>
    <w:rsid w:val="006D18D3"/>
    <w:rsid w:val="006D3AB4"/>
    <w:rsid w:val="006E08CB"/>
    <w:rsid w:val="006E598D"/>
    <w:rsid w:val="006E6903"/>
    <w:rsid w:val="006F27C2"/>
    <w:rsid w:val="0070437D"/>
    <w:rsid w:val="00704CF1"/>
    <w:rsid w:val="00705B04"/>
    <w:rsid w:val="00724992"/>
    <w:rsid w:val="00734820"/>
    <w:rsid w:val="007349DC"/>
    <w:rsid w:val="007365E1"/>
    <w:rsid w:val="0074365E"/>
    <w:rsid w:val="00744B55"/>
    <w:rsid w:val="007515FD"/>
    <w:rsid w:val="00760D80"/>
    <w:rsid w:val="00765483"/>
    <w:rsid w:val="00775125"/>
    <w:rsid w:val="00780C09"/>
    <w:rsid w:val="00780DDF"/>
    <w:rsid w:val="007834E9"/>
    <w:rsid w:val="00783B68"/>
    <w:rsid w:val="00787B1A"/>
    <w:rsid w:val="00787DBC"/>
    <w:rsid w:val="0079019A"/>
    <w:rsid w:val="00791693"/>
    <w:rsid w:val="00792935"/>
    <w:rsid w:val="007A04A1"/>
    <w:rsid w:val="007A1840"/>
    <w:rsid w:val="007C0528"/>
    <w:rsid w:val="007C3D38"/>
    <w:rsid w:val="007C5179"/>
    <w:rsid w:val="007D0F35"/>
    <w:rsid w:val="007D4FEB"/>
    <w:rsid w:val="007D6146"/>
    <w:rsid w:val="007E0CE7"/>
    <w:rsid w:val="007F1193"/>
    <w:rsid w:val="007F417F"/>
    <w:rsid w:val="008042BD"/>
    <w:rsid w:val="008064ED"/>
    <w:rsid w:val="00816624"/>
    <w:rsid w:val="00822427"/>
    <w:rsid w:val="00822562"/>
    <w:rsid w:val="00823663"/>
    <w:rsid w:val="00825774"/>
    <w:rsid w:val="00832DDC"/>
    <w:rsid w:val="0083511E"/>
    <w:rsid w:val="00850BAC"/>
    <w:rsid w:val="00854A3E"/>
    <w:rsid w:val="00855D08"/>
    <w:rsid w:val="00873C64"/>
    <w:rsid w:val="00874344"/>
    <w:rsid w:val="0087761C"/>
    <w:rsid w:val="00882155"/>
    <w:rsid w:val="0088233B"/>
    <w:rsid w:val="00885277"/>
    <w:rsid w:val="008853FF"/>
    <w:rsid w:val="0088599E"/>
    <w:rsid w:val="00886C37"/>
    <w:rsid w:val="00892D99"/>
    <w:rsid w:val="00893315"/>
    <w:rsid w:val="008B62AE"/>
    <w:rsid w:val="008C04B5"/>
    <w:rsid w:val="008C14FA"/>
    <w:rsid w:val="008C7B0B"/>
    <w:rsid w:val="008D4057"/>
    <w:rsid w:val="008E1F19"/>
    <w:rsid w:val="008E49EE"/>
    <w:rsid w:val="008F2262"/>
    <w:rsid w:val="008F4D2B"/>
    <w:rsid w:val="008F7736"/>
    <w:rsid w:val="0090019E"/>
    <w:rsid w:val="00900BBA"/>
    <w:rsid w:val="00901086"/>
    <w:rsid w:val="00901C8A"/>
    <w:rsid w:val="00905886"/>
    <w:rsid w:val="009070D6"/>
    <w:rsid w:val="009076C6"/>
    <w:rsid w:val="0091019E"/>
    <w:rsid w:val="009106F1"/>
    <w:rsid w:val="00912404"/>
    <w:rsid w:val="009145D6"/>
    <w:rsid w:val="00920E64"/>
    <w:rsid w:val="00922002"/>
    <w:rsid w:val="00924020"/>
    <w:rsid w:val="009271A7"/>
    <w:rsid w:val="0093469F"/>
    <w:rsid w:val="0093658B"/>
    <w:rsid w:val="009429FF"/>
    <w:rsid w:val="00945BD6"/>
    <w:rsid w:val="009479FB"/>
    <w:rsid w:val="0095064D"/>
    <w:rsid w:val="00951C45"/>
    <w:rsid w:val="009656F2"/>
    <w:rsid w:val="00966A08"/>
    <w:rsid w:val="00971207"/>
    <w:rsid w:val="00975CB4"/>
    <w:rsid w:val="009863B0"/>
    <w:rsid w:val="00987DE1"/>
    <w:rsid w:val="00990571"/>
    <w:rsid w:val="0099673A"/>
    <w:rsid w:val="009A3330"/>
    <w:rsid w:val="009A56B3"/>
    <w:rsid w:val="009A7C96"/>
    <w:rsid w:val="009C3DB9"/>
    <w:rsid w:val="009D3C5B"/>
    <w:rsid w:val="009D46E5"/>
    <w:rsid w:val="009D568A"/>
    <w:rsid w:val="009F04EC"/>
    <w:rsid w:val="009F2A7C"/>
    <w:rsid w:val="009F3B36"/>
    <w:rsid w:val="00A019B9"/>
    <w:rsid w:val="00A02197"/>
    <w:rsid w:val="00A12508"/>
    <w:rsid w:val="00A1282B"/>
    <w:rsid w:val="00A13A27"/>
    <w:rsid w:val="00A14AE0"/>
    <w:rsid w:val="00A175B6"/>
    <w:rsid w:val="00A21835"/>
    <w:rsid w:val="00A2259B"/>
    <w:rsid w:val="00A2374B"/>
    <w:rsid w:val="00A27D6E"/>
    <w:rsid w:val="00A328EC"/>
    <w:rsid w:val="00A33A51"/>
    <w:rsid w:val="00A37385"/>
    <w:rsid w:val="00A41CA6"/>
    <w:rsid w:val="00A47927"/>
    <w:rsid w:val="00A47FFC"/>
    <w:rsid w:val="00A5442F"/>
    <w:rsid w:val="00A54FF9"/>
    <w:rsid w:val="00A56765"/>
    <w:rsid w:val="00A675AC"/>
    <w:rsid w:val="00A7581F"/>
    <w:rsid w:val="00A843E0"/>
    <w:rsid w:val="00A92FB1"/>
    <w:rsid w:val="00A95A0C"/>
    <w:rsid w:val="00A97FE0"/>
    <w:rsid w:val="00AA2765"/>
    <w:rsid w:val="00AA77B5"/>
    <w:rsid w:val="00AB6C5D"/>
    <w:rsid w:val="00AC3401"/>
    <w:rsid w:val="00AC4943"/>
    <w:rsid w:val="00AC51A7"/>
    <w:rsid w:val="00AD444B"/>
    <w:rsid w:val="00AD6C78"/>
    <w:rsid w:val="00AE2EAB"/>
    <w:rsid w:val="00AF5F89"/>
    <w:rsid w:val="00AF73CB"/>
    <w:rsid w:val="00B002D6"/>
    <w:rsid w:val="00B00E91"/>
    <w:rsid w:val="00B05B51"/>
    <w:rsid w:val="00B062AF"/>
    <w:rsid w:val="00B067BC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516ED"/>
    <w:rsid w:val="00B57A6A"/>
    <w:rsid w:val="00B760F1"/>
    <w:rsid w:val="00B7669E"/>
    <w:rsid w:val="00B77DA1"/>
    <w:rsid w:val="00B822A0"/>
    <w:rsid w:val="00B858AE"/>
    <w:rsid w:val="00B85964"/>
    <w:rsid w:val="00B95676"/>
    <w:rsid w:val="00B96250"/>
    <w:rsid w:val="00BA04EC"/>
    <w:rsid w:val="00BA0D55"/>
    <w:rsid w:val="00BA3697"/>
    <w:rsid w:val="00BA37B3"/>
    <w:rsid w:val="00BA4CC6"/>
    <w:rsid w:val="00BB3493"/>
    <w:rsid w:val="00BB50E0"/>
    <w:rsid w:val="00BB7468"/>
    <w:rsid w:val="00BB75EF"/>
    <w:rsid w:val="00BC188A"/>
    <w:rsid w:val="00BC402E"/>
    <w:rsid w:val="00BD0F48"/>
    <w:rsid w:val="00BD492C"/>
    <w:rsid w:val="00BF5010"/>
    <w:rsid w:val="00C03D5F"/>
    <w:rsid w:val="00C13791"/>
    <w:rsid w:val="00C31BB3"/>
    <w:rsid w:val="00C36977"/>
    <w:rsid w:val="00C467DA"/>
    <w:rsid w:val="00C477D9"/>
    <w:rsid w:val="00C60BA3"/>
    <w:rsid w:val="00C623F7"/>
    <w:rsid w:val="00C75BC5"/>
    <w:rsid w:val="00C81670"/>
    <w:rsid w:val="00C81773"/>
    <w:rsid w:val="00C82861"/>
    <w:rsid w:val="00C86896"/>
    <w:rsid w:val="00C907A8"/>
    <w:rsid w:val="00C93211"/>
    <w:rsid w:val="00C942EC"/>
    <w:rsid w:val="00C96047"/>
    <w:rsid w:val="00C979D0"/>
    <w:rsid w:val="00CA0818"/>
    <w:rsid w:val="00CA15C8"/>
    <w:rsid w:val="00CA2C8F"/>
    <w:rsid w:val="00CA30DA"/>
    <w:rsid w:val="00CA3A24"/>
    <w:rsid w:val="00CB1777"/>
    <w:rsid w:val="00CB33E9"/>
    <w:rsid w:val="00CB7F3F"/>
    <w:rsid w:val="00CC10A9"/>
    <w:rsid w:val="00CD312A"/>
    <w:rsid w:val="00CE2BF8"/>
    <w:rsid w:val="00CE484E"/>
    <w:rsid w:val="00CE656F"/>
    <w:rsid w:val="00CF0DA8"/>
    <w:rsid w:val="00CF2E25"/>
    <w:rsid w:val="00CF4453"/>
    <w:rsid w:val="00CF5D94"/>
    <w:rsid w:val="00CF7E0F"/>
    <w:rsid w:val="00D034D7"/>
    <w:rsid w:val="00D04BE4"/>
    <w:rsid w:val="00D12565"/>
    <w:rsid w:val="00D14127"/>
    <w:rsid w:val="00D24FD2"/>
    <w:rsid w:val="00D546D7"/>
    <w:rsid w:val="00D56AE9"/>
    <w:rsid w:val="00D601F7"/>
    <w:rsid w:val="00D60B16"/>
    <w:rsid w:val="00D60F02"/>
    <w:rsid w:val="00D66E49"/>
    <w:rsid w:val="00D67009"/>
    <w:rsid w:val="00D70D71"/>
    <w:rsid w:val="00D72CC7"/>
    <w:rsid w:val="00D72F74"/>
    <w:rsid w:val="00D81563"/>
    <w:rsid w:val="00D85907"/>
    <w:rsid w:val="00D9073E"/>
    <w:rsid w:val="00D9221D"/>
    <w:rsid w:val="00D952CD"/>
    <w:rsid w:val="00D958DF"/>
    <w:rsid w:val="00D96DA1"/>
    <w:rsid w:val="00D971B1"/>
    <w:rsid w:val="00DA51E7"/>
    <w:rsid w:val="00DB0260"/>
    <w:rsid w:val="00DB1C78"/>
    <w:rsid w:val="00DB7D96"/>
    <w:rsid w:val="00DC23FE"/>
    <w:rsid w:val="00DC2481"/>
    <w:rsid w:val="00DC59E6"/>
    <w:rsid w:val="00DD150B"/>
    <w:rsid w:val="00DD5025"/>
    <w:rsid w:val="00DE5809"/>
    <w:rsid w:val="00DF1510"/>
    <w:rsid w:val="00DF2CEF"/>
    <w:rsid w:val="00E02F1F"/>
    <w:rsid w:val="00E06484"/>
    <w:rsid w:val="00E10CE4"/>
    <w:rsid w:val="00E1365C"/>
    <w:rsid w:val="00E20A7D"/>
    <w:rsid w:val="00E275D8"/>
    <w:rsid w:val="00E30F6A"/>
    <w:rsid w:val="00E3117C"/>
    <w:rsid w:val="00E375CA"/>
    <w:rsid w:val="00E567E8"/>
    <w:rsid w:val="00E6227B"/>
    <w:rsid w:val="00E64679"/>
    <w:rsid w:val="00E65EBC"/>
    <w:rsid w:val="00E66226"/>
    <w:rsid w:val="00E677FE"/>
    <w:rsid w:val="00E73432"/>
    <w:rsid w:val="00E77B0C"/>
    <w:rsid w:val="00E77FB8"/>
    <w:rsid w:val="00E83048"/>
    <w:rsid w:val="00E838B0"/>
    <w:rsid w:val="00E86A7C"/>
    <w:rsid w:val="00E878E1"/>
    <w:rsid w:val="00E87F2C"/>
    <w:rsid w:val="00E95278"/>
    <w:rsid w:val="00EA2273"/>
    <w:rsid w:val="00EB267D"/>
    <w:rsid w:val="00EB2DB3"/>
    <w:rsid w:val="00EC3FBB"/>
    <w:rsid w:val="00EC6B7A"/>
    <w:rsid w:val="00ED065B"/>
    <w:rsid w:val="00ED3A87"/>
    <w:rsid w:val="00ED5B67"/>
    <w:rsid w:val="00EF264C"/>
    <w:rsid w:val="00EF3FEE"/>
    <w:rsid w:val="00F04B59"/>
    <w:rsid w:val="00F11741"/>
    <w:rsid w:val="00F12B1C"/>
    <w:rsid w:val="00F13CF8"/>
    <w:rsid w:val="00F15855"/>
    <w:rsid w:val="00F16DBD"/>
    <w:rsid w:val="00F24FCF"/>
    <w:rsid w:val="00F32978"/>
    <w:rsid w:val="00F4163B"/>
    <w:rsid w:val="00F45CB2"/>
    <w:rsid w:val="00F544C0"/>
    <w:rsid w:val="00F55332"/>
    <w:rsid w:val="00F6504A"/>
    <w:rsid w:val="00F65519"/>
    <w:rsid w:val="00F713C0"/>
    <w:rsid w:val="00F75DDC"/>
    <w:rsid w:val="00F7792F"/>
    <w:rsid w:val="00F81133"/>
    <w:rsid w:val="00F842AA"/>
    <w:rsid w:val="00F8476F"/>
    <w:rsid w:val="00F853E1"/>
    <w:rsid w:val="00F85604"/>
    <w:rsid w:val="00F94B7A"/>
    <w:rsid w:val="00FA17AC"/>
    <w:rsid w:val="00FA32DE"/>
    <w:rsid w:val="00FA3382"/>
    <w:rsid w:val="00FA59CD"/>
    <w:rsid w:val="00FB1740"/>
    <w:rsid w:val="00FC5469"/>
    <w:rsid w:val="00FC59C9"/>
    <w:rsid w:val="00FC6D7D"/>
    <w:rsid w:val="00FD16B0"/>
    <w:rsid w:val="00FD4FED"/>
    <w:rsid w:val="00FE0577"/>
    <w:rsid w:val="00FE59EC"/>
    <w:rsid w:val="00FE5B67"/>
    <w:rsid w:val="00FE60D6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rsid w:val="006053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rsid w:val="006053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2002\templates\PSC\Recommendation%20(Regula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C386B-E8EF-4ADF-ACC9-9481185E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</Template>
  <TotalTime>0</TotalTime>
  <Pages>21</Pages>
  <Words>1090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FPSC</Company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Sevini Guffey</dc:creator>
  <cp:lastModifiedBy>Jackie Colson</cp:lastModifiedBy>
  <cp:revision>2</cp:revision>
  <cp:lastPrinted>2017-09-20T13:02:00Z</cp:lastPrinted>
  <dcterms:created xsi:type="dcterms:W3CDTF">2017-09-21T13:50:00Z</dcterms:created>
  <dcterms:modified xsi:type="dcterms:W3CDTF">2017-09-21T13:50:00Z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20170176-GU</vt:lpwstr>
  </property>
  <property fmtid="{D5CDD505-2E9C-101B-9397-08002B2CF9AE}" pid="3" name="MasterDocument">
    <vt:bool>false</vt:bool>
  </property>
</Properties>
</file>