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3DA2" w:rsidP="009F3DA2">
      <w:pPr>
        <w:pStyle w:val="OrderHeading"/>
      </w:pPr>
      <w:r>
        <w:t>BEFORE THE FLORIDA PUBLIC SERVICE COMMISSION</w:t>
      </w:r>
    </w:p>
    <w:p w:rsidR="009F3DA2" w:rsidRDefault="009F3DA2" w:rsidP="009F3DA2">
      <w:pPr>
        <w:pStyle w:val="OrderHeading"/>
      </w:pPr>
    </w:p>
    <w:p w:rsidR="009F3DA2" w:rsidRDefault="009F3DA2" w:rsidP="009F3D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3DA2" w:rsidRPr="00C63FCF" w:rsidTr="00C63FCF">
        <w:trPr>
          <w:trHeight w:val="828"/>
        </w:trPr>
        <w:tc>
          <w:tcPr>
            <w:tcW w:w="4788" w:type="dxa"/>
            <w:tcBorders>
              <w:bottom w:val="single" w:sz="8" w:space="0" w:color="auto"/>
              <w:right w:val="double" w:sz="6" w:space="0" w:color="auto"/>
            </w:tcBorders>
            <w:shd w:val="clear" w:color="auto" w:fill="auto"/>
          </w:tcPr>
          <w:p w:rsidR="009F3DA2" w:rsidRDefault="009F3DA2"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9F3DA2" w:rsidRDefault="009F3DA2" w:rsidP="009F3DA2">
            <w:pPr>
              <w:pStyle w:val="OrderBody"/>
            </w:pPr>
            <w:r>
              <w:t xml:space="preserve">DOCKET NO. </w:t>
            </w:r>
            <w:bookmarkStart w:id="1" w:name="SSDocketNo"/>
            <w:bookmarkEnd w:id="1"/>
            <w:r>
              <w:t>20170002-EG</w:t>
            </w:r>
          </w:p>
          <w:p w:rsidR="009F3DA2" w:rsidRDefault="009F3DA2" w:rsidP="00C63FCF">
            <w:pPr>
              <w:pStyle w:val="OrderBody"/>
              <w:tabs>
                <w:tab w:val="center" w:pos="4320"/>
                <w:tab w:val="right" w:pos="8640"/>
              </w:tabs>
              <w:jc w:val="left"/>
            </w:pPr>
            <w:r>
              <w:t xml:space="preserve">ORDER NO. </w:t>
            </w:r>
            <w:bookmarkStart w:id="2" w:name="OrderNo0434"/>
            <w:r w:rsidR="00D436E6">
              <w:t>PSC-2017-0434-FOF-EG</w:t>
            </w:r>
            <w:bookmarkEnd w:id="2"/>
          </w:p>
          <w:p w:rsidR="009F3DA2" w:rsidRDefault="009F3DA2" w:rsidP="00C63FCF">
            <w:pPr>
              <w:pStyle w:val="OrderBody"/>
              <w:tabs>
                <w:tab w:val="center" w:pos="4320"/>
                <w:tab w:val="right" w:pos="8640"/>
              </w:tabs>
              <w:jc w:val="left"/>
            </w:pPr>
            <w:r>
              <w:t xml:space="preserve">ISSUED: </w:t>
            </w:r>
            <w:r w:rsidR="00D436E6">
              <w:t>November 14, 2017</w:t>
            </w:r>
          </w:p>
        </w:tc>
      </w:tr>
    </w:tbl>
    <w:p w:rsidR="009F3DA2" w:rsidRDefault="009F3DA2" w:rsidP="009F3DA2"/>
    <w:p w:rsidR="009F3DA2" w:rsidRDefault="009F3DA2" w:rsidP="009F3DA2"/>
    <w:p w:rsidR="009F3DA2" w:rsidRDefault="009F3DA2">
      <w:pPr>
        <w:ind w:firstLine="720"/>
        <w:jc w:val="both"/>
      </w:pPr>
      <w:bookmarkStart w:id="3" w:name="Commissioners"/>
      <w:bookmarkEnd w:id="3"/>
      <w:r>
        <w:t>The following Commissioners participated in the disposition of this matter:</w:t>
      </w:r>
    </w:p>
    <w:p w:rsidR="009F3DA2" w:rsidRDefault="009F3DA2"/>
    <w:p w:rsidR="009F3DA2" w:rsidRDefault="009F3DA2">
      <w:pPr>
        <w:jc w:val="center"/>
      </w:pPr>
      <w:r>
        <w:t>JULIE I. BROWN, Chairman</w:t>
      </w:r>
    </w:p>
    <w:p w:rsidR="009F3DA2" w:rsidRDefault="009F3DA2">
      <w:pPr>
        <w:jc w:val="center"/>
      </w:pPr>
      <w:r>
        <w:t>ART GRAHAM</w:t>
      </w:r>
    </w:p>
    <w:p w:rsidR="009F3DA2" w:rsidRDefault="009F3DA2">
      <w:pPr>
        <w:jc w:val="center"/>
      </w:pPr>
      <w:r>
        <w:t>RONALD A. BRISÉ</w:t>
      </w:r>
    </w:p>
    <w:p w:rsidR="009F3DA2" w:rsidRDefault="009F3DA2">
      <w:pPr>
        <w:jc w:val="center"/>
      </w:pPr>
      <w:r>
        <w:t>DONALD J. POLMANN</w:t>
      </w:r>
    </w:p>
    <w:p w:rsidR="009F3DA2" w:rsidRDefault="009F3DA2">
      <w:pPr>
        <w:jc w:val="center"/>
      </w:pPr>
      <w:r>
        <w:t>GARY F. CLARK</w:t>
      </w:r>
    </w:p>
    <w:p w:rsidR="009F3DA2" w:rsidRDefault="009F3DA2"/>
    <w:p w:rsidR="009F3DA2" w:rsidRPr="00701945" w:rsidRDefault="009F3DA2" w:rsidP="009F3DA2">
      <w:pPr>
        <w:jc w:val="both"/>
      </w:pPr>
      <w:r w:rsidRPr="00701945">
        <w:t>APPEARANCES:</w:t>
      </w:r>
    </w:p>
    <w:p w:rsidR="009F3DA2" w:rsidRPr="00701945" w:rsidRDefault="009F3DA2" w:rsidP="009F3DA2">
      <w:pPr>
        <w:jc w:val="both"/>
      </w:pPr>
    </w:p>
    <w:p w:rsidR="009F3DA2" w:rsidRDefault="009F3DA2" w:rsidP="009F3DA2">
      <w:pPr>
        <w:tabs>
          <w:tab w:val="left" w:pos="1428"/>
        </w:tabs>
        <w:ind w:left="1440"/>
        <w:jc w:val="both"/>
      </w:pPr>
      <w:r>
        <w:t>MATTHEW R. BERNIER, ESQUIRE, 106 East College, Avenue, Suite 800, Tallahassee, Florida 32301, and DIANNE M. TRIPLETT, ESQUIRE, 299 First Avenue North, St. Petersburg, FL 33701</w:t>
      </w:r>
    </w:p>
    <w:p w:rsidR="009F3DA2" w:rsidRPr="00B34D93" w:rsidRDefault="009F3DA2" w:rsidP="009F3DA2">
      <w:pPr>
        <w:tabs>
          <w:tab w:val="left" w:pos="1428"/>
        </w:tabs>
        <w:ind w:left="1440"/>
        <w:jc w:val="both"/>
      </w:pPr>
      <w:r>
        <w:rPr>
          <w:u w:val="single"/>
        </w:rPr>
        <w:t>On behalf of Duke Energy Florida, LLC (DEF)</w:t>
      </w:r>
      <w:r>
        <w:t>.</w:t>
      </w:r>
    </w:p>
    <w:p w:rsidR="009F3DA2" w:rsidRDefault="009F3DA2" w:rsidP="009F3DA2">
      <w:pPr>
        <w:jc w:val="both"/>
      </w:pPr>
    </w:p>
    <w:p w:rsidR="009F3DA2" w:rsidRDefault="009F3DA2" w:rsidP="009F3DA2">
      <w:pPr>
        <w:ind w:left="1440"/>
        <w:jc w:val="both"/>
      </w:pPr>
      <w:r>
        <w:t>R. WADE LITCHFIELD, JOHN T. BUTLER, KENNETH M. RUBIN</w:t>
      </w:r>
      <w:r w:rsidRPr="00701945">
        <w:t>, ESQUIRE</w:t>
      </w:r>
      <w:r>
        <w:t>S</w:t>
      </w:r>
      <w:r w:rsidRPr="00701945">
        <w:t xml:space="preserve">, </w:t>
      </w:r>
      <w:r>
        <w:t>700 Universe Boulevard, Juno Beach, FL, 33408</w:t>
      </w:r>
    </w:p>
    <w:p w:rsidR="009F3DA2" w:rsidRDefault="009F3DA2" w:rsidP="009F3DA2">
      <w:pPr>
        <w:ind w:left="720" w:firstLine="720"/>
        <w:jc w:val="both"/>
      </w:pPr>
      <w:r w:rsidRPr="00701945">
        <w:rPr>
          <w:u w:val="single"/>
        </w:rPr>
        <w:t xml:space="preserve">On behalf of </w:t>
      </w:r>
      <w:r>
        <w:rPr>
          <w:u w:val="single"/>
        </w:rPr>
        <w:t>Florida Power &amp; Light Company (FPL)</w:t>
      </w:r>
      <w:r w:rsidRPr="00701945">
        <w:t>.</w:t>
      </w:r>
    </w:p>
    <w:p w:rsidR="009F3DA2" w:rsidRDefault="009F3DA2" w:rsidP="009F3DA2">
      <w:pPr>
        <w:ind w:left="720" w:firstLine="720"/>
        <w:jc w:val="both"/>
      </w:pPr>
    </w:p>
    <w:p w:rsidR="009F3DA2" w:rsidRDefault="009F3DA2" w:rsidP="009F3DA2">
      <w:pPr>
        <w:ind w:left="1440"/>
        <w:jc w:val="both"/>
      </w:pPr>
      <w:r>
        <w:t>BETH KEATING</w:t>
      </w:r>
      <w:r w:rsidRPr="00701945">
        <w:t xml:space="preserve">, ESQUIRE, </w:t>
      </w:r>
      <w:r>
        <w:t>Gunster, Yoakley &amp; Stewart, P.A., 215 South Monroe Street, Suite 601, Tallahassee, Florida 32301</w:t>
      </w:r>
    </w:p>
    <w:p w:rsidR="009F3DA2" w:rsidRDefault="009F3DA2" w:rsidP="009F3DA2">
      <w:pPr>
        <w:ind w:left="720" w:firstLine="720"/>
        <w:jc w:val="both"/>
      </w:pPr>
      <w:r w:rsidRPr="00701945">
        <w:rPr>
          <w:u w:val="single"/>
        </w:rPr>
        <w:t xml:space="preserve">On behalf of </w:t>
      </w:r>
      <w:r>
        <w:rPr>
          <w:u w:val="single"/>
        </w:rPr>
        <w:t>Florida Public Utilities Company (FPUC)</w:t>
      </w:r>
      <w:r w:rsidRPr="00701945">
        <w:t>.</w:t>
      </w:r>
    </w:p>
    <w:p w:rsidR="009F3DA2" w:rsidRDefault="009F3DA2" w:rsidP="009F3DA2">
      <w:pPr>
        <w:ind w:left="720" w:firstLine="720"/>
        <w:jc w:val="both"/>
      </w:pPr>
    </w:p>
    <w:p w:rsidR="009F3DA2" w:rsidRDefault="009F3DA2" w:rsidP="009F3DA2">
      <w:pPr>
        <w:ind w:left="1440"/>
        <w:jc w:val="both"/>
      </w:pPr>
      <w:r>
        <w:t>JEFFREY A. STONE, ESQUIRE, One Energy Place, Pensacola, Florida 32520-0100, and RUSSELL A. BADDERS and STEVEN R. GRIFFIN, ESQUIRES, Beggs &amp; Lane, Post Office Box 12950, Pensacola, Florida 32591-2950</w:t>
      </w:r>
    </w:p>
    <w:p w:rsidR="009F3DA2" w:rsidRPr="00B34D93" w:rsidRDefault="009F3DA2" w:rsidP="009F3DA2">
      <w:pPr>
        <w:tabs>
          <w:tab w:val="left" w:pos="1428"/>
        </w:tabs>
        <w:jc w:val="both"/>
      </w:pPr>
      <w:r>
        <w:tab/>
      </w:r>
      <w:r>
        <w:rPr>
          <w:u w:val="single"/>
        </w:rPr>
        <w:t>On behalf of Gulf Power Company (Gulf)</w:t>
      </w:r>
      <w:r>
        <w:t>.</w:t>
      </w:r>
    </w:p>
    <w:p w:rsidR="009F3DA2" w:rsidRPr="00FC1944" w:rsidRDefault="009F3DA2" w:rsidP="009F3DA2">
      <w:pPr>
        <w:jc w:val="both"/>
      </w:pPr>
    </w:p>
    <w:p w:rsidR="009F3DA2" w:rsidRDefault="009F3DA2" w:rsidP="009F3DA2">
      <w:pPr>
        <w:ind w:left="1440"/>
        <w:jc w:val="both"/>
      </w:pPr>
      <w:r>
        <w:t>JAMES D. BEASLEY and J. JEFFRY WAHLEN, ESQUIRES, Ausley &amp; McMullen, Post Office Box 391, Tallahassee, Florida 32302</w:t>
      </w:r>
    </w:p>
    <w:p w:rsidR="009F3DA2" w:rsidRPr="00B34D93" w:rsidRDefault="009F3DA2" w:rsidP="009F3DA2">
      <w:pPr>
        <w:tabs>
          <w:tab w:val="left" w:pos="1428"/>
        </w:tabs>
        <w:ind w:left="1440"/>
        <w:jc w:val="both"/>
      </w:pPr>
      <w:r>
        <w:rPr>
          <w:u w:val="single"/>
        </w:rPr>
        <w:t>On behalf of Tampa Electric Company (TECO)</w:t>
      </w:r>
      <w:r>
        <w:t>.</w:t>
      </w:r>
    </w:p>
    <w:p w:rsidR="009F3DA2" w:rsidRPr="00701945" w:rsidRDefault="009F3DA2" w:rsidP="009F3DA2">
      <w:pPr>
        <w:ind w:left="1440"/>
        <w:jc w:val="both"/>
      </w:pPr>
    </w:p>
    <w:p w:rsidR="009F3DA2" w:rsidRDefault="000E4203" w:rsidP="009F3DA2">
      <w:pPr>
        <w:ind w:left="1440"/>
        <w:jc w:val="both"/>
      </w:pPr>
      <w:r>
        <w:t xml:space="preserve">J.R. KELLY, ESQUIRE, Public Counsel, </w:t>
      </w:r>
      <w:r w:rsidR="009F3DA2">
        <w:t>PATRICIA A. CHRISTENSEN,</w:t>
      </w:r>
      <w:r w:rsidR="009F3DA2" w:rsidRPr="004E45C9">
        <w:t xml:space="preserve"> </w:t>
      </w:r>
      <w:r w:rsidR="009F3DA2">
        <w:t xml:space="preserve">ESQUIRE, Associate Public Counsel, and </w:t>
      </w:r>
      <w:r w:rsidRPr="000E4203">
        <w:t>ERIK SAYLER</w:t>
      </w:r>
      <w:r w:rsidR="009F3DA2" w:rsidRPr="000E4203">
        <w:t>, ESQUIRE,</w:t>
      </w:r>
      <w:r w:rsidR="009F3DA2">
        <w:t xml:space="preserve"> </w:t>
      </w:r>
      <w:r>
        <w:t>Associate Public Counsel</w:t>
      </w:r>
      <w:r w:rsidR="009F3DA2">
        <w:t>, Office of Public Counsel, c/o The Florida Legislature, 111 West Madison Street, Room 812, Tallahassee, Florida 32399-1400</w:t>
      </w:r>
    </w:p>
    <w:p w:rsidR="009F3DA2" w:rsidRPr="00B34D93" w:rsidRDefault="009F3DA2" w:rsidP="009F3DA2">
      <w:pPr>
        <w:ind w:left="720" w:firstLine="720"/>
        <w:jc w:val="both"/>
      </w:pPr>
      <w:r>
        <w:rPr>
          <w:u w:val="single"/>
        </w:rPr>
        <w:t>On behalf of the Citizens of the State of Florida (OPC)</w:t>
      </w:r>
      <w:r>
        <w:t>.</w:t>
      </w:r>
    </w:p>
    <w:p w:rsidR="009F3DA2" w:rsidRPr="00701945" w:rsidRDefault="009F3DA2" w:rsidP="009F3DA2">
      <w:pPr>
        <w:ind w:left="1440"/>
        <w:jc w:val="both"/>
      </w:pPr>
    </w:p>
    <w:p w:rsidR="009F3DA2" w:rsidRDefault="009F3DA2" w:rsidP="009F3DA2">
      <w:pPr>
        <w:ind w:left="1440"/>
        <w:jc w:val="both"/>
      </w:pPr>
      <w:r>
        <w:lastRenderedPageBreak/>
        <w:t>JON C. MOYLE, JR. and KAREN PUTNAL, ESQUIRES, The Moyle Law Firm, P.A., 118 North Gadsden Street, Tallahassee, Florida 32312</w:t>
      </w:r>
    </w:p>
    <w:p w:rsidR="009F3DA2" w:rsidRPr="00B34D93" w:rsidRDefault="009F3DA2" w:rsidP="009F3DA2">
      <w:pPr>
        <w:ind w:left="1440"/>
        <w:jc w:val="both"/>
      </w:pPr>
      <w:r>
        <w:rPr>
          <w:u w:val="single"/>
        </w:rPr>
        <w:t>On behalf of the Florida Industrial Power Users Group (FIPUG)</w:t>
      </w:r>
      <w:r>
        <w:t>.</w:t>
      </w:r>
    </w:p>
    <w:p w:rsidR="009F3DA2" w:rsidRPr="00701945" w:rsidRDefault="009F3DA2" w:rsidP="009F3DA2">
      <w:pPr>
        <w:ind w:left="1440"/>
        <w:jc w:val="both"/>
      </w:pPr>
    </w:p>
    <w:p w:rsidR="009F3DA2" w:rsidRPr="00701945" w:rsidRDefault="009F3DA2" w:rsidP="009F3DA2">
      <w:pPr>
        <w:ind w:left="1440"/>
        <w:jc w:val="both"/>
      </w:pPr>
      <w:r>
        <w:t>MARGO A. DUVAL</w:t>
      </w:r>
      <w:r w:rsidRPr="00701945">
        <w:t xml:space="preserve">, </w:t>
      </w:r>
      <w:r>
        <w:t>ESQUIRE</w:t>
      </w:r>
      <w:r w:rsidRPr="00701945">
        <w:t>, Florida Public Service Commission, 2540 Shumard Oak Boulevard, Tallahassee, Florida 32399-0850</w:t>
      </w:r>
    </w:p>
    <w:p w:rsidR="009F3DA2" w:rsidRPr="00701945" w:rsidRDefault="009F3DA2" w:rsidP="009F3DA2">
      <w:pPr>
        <w:ind w:left="720" w:firstLine="720"/>
        <w:jc w:val="both"/>
      </w:pPr>
      <w:r w:rsidRPr="00701945">
        <w:rPr>
          <w:u w:val="single"/>
        </w:rPr>
        <w:t>On behalf of the Florida Public Service Commission</w:t>
      </w:r>
      <w:r>
        <w:rPr>
          <w:u w:val="single"/>
        </w:rPr>
        <w:t xml:space="preserve"> (Staff)</w:t>
      </w:r>
      <w:r w:rsidRPr="00701945">
        <w:t>.</w:t>
      </w:r>
    </w:p>
    <w:p w:rsidR="009F3DA2" w:rsidRPr="00701945" w:rsidRDefault="009F3DA2" w:rsidP="009F3DA2">
      <w:pPr>
        <w:jc w:val="both"/>
      </w:pPr>
    </w:p>
    <w:p w:rsidR="009F3DA2" w:rsidRPr="00701945" w:rsidRDefault="009F3DA2" w:rsidP="009F3DA2">
      <w:pPr>
        <w:ind w:left="1440"/>
        <w:jc w:val="both"/>
      </w:pPr>
      <w:r w:rsidRPr="004E45C9">
        <w:rPr>
          <w:caps/>
        </w:rPr>
        <w:t>Mary Anne Helton</w:t>
      </w:r>
      <w:r>
        <w:t>,</w:t>
      </w:r>
      <w:r w:rsidRPr="004E45C9">
        <w:t xml:space="preserve"> </w:t>
      </w:r>
      <w:r>
        <w:t xml:space="preserve">ESQUIRE, </w:t>
      </w:r>
      <w:smartTag w:uri="urn:schemas-microsoft-com:office:smarttags" w:element="City">
        <w:r>
          <w:t>Deputy General</w:t>
        </w:r>
      </w:smartTag>
      <w:r>
        <w:t xml:space="preserve"> </w:t>
      </w:r>
      <w:smartTag w:uri="urn:schemas-microsoft-com:office:smarttags" w:element="State">
        <w:r>
          <w:t>Counsel</w:t>
        </w:r>
      </w:smartTag>
      <w:r>
        <w:t xml:space="preserve">, </w:t>
      </w:r>
      <w:r w:rsidRPr="00701945">
        <w:t xml:space="preserve">Florida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9F3DA2" w:rsidRDefault="009F3DA2" w:rsidP="009F3DA2">
      <w:pPr>
        <w:ind w:left="720" w:firstLine="720"/>
        <w:jc w:val="both"/>
      </w:pPr>
      <w:r>
        <w:rPr>
          <w:u w:val="single"/>
        </w:rPr>
        <w:t>Advisor to the</w:t>
      </w:r>
      <w:r w:rsidRPr="00701945">
        <w:rPr>
          <w:u w:val="single"/>
        </w:rPr>
        <w:t xml:space="preserve"> Florida Public Service Commission</w:t>
      </w:r>
      <w:r w:rsidRPr="00701945">
        <w:t>.</w:t>
      </w:r>
    </w:p>
    <w:p w:rsidR="009F3DA2" w:rsidRDefault="009F3DA2" w:rsidP="009F3DA2">
      <w:pPr>
        <w:ind w:left="1440"/>
        <w:jc w:val="both"/>
      </w:pPr>
    </w:p>
    <w:p w:rsidR="009F3DA2" w:rsidRDefault="009F3DA2" w:rsidP="009F3DA2">
      <w:pPr>
        <w:ind w:left="1440"/>
        <w:jc w:val="both"/>
      </w:pPr>
      <w:r>
        <w:t>KEITH HETRICK, ESQUIRE, General Counsel, Florida Public Service Commission, 2540 Shumard Oak Boulevard, Tallahassee, Florida 32399-0850</w:t>
      </w:r>
    </w:p>
    <w:p w:rsidR="009F3DA2" w:rsidRPr="00701945" w:rsidRDefault="009F3DA2" w:rsidP="009F3DA2">
      <w:pPr>
        <w:ind w:left="720" w:firstLine="720"/>
        <w:jc w:val="both"/>
      </w:pPr>
      <w:r w:rsidRPr="00DC1DD1">
        <w:rPr>
          <w:u w:val="single"/>
        </w:rPr>
        <w:t>Florida Public Service Commission General Counsel</w:t>
      </w:r>
      <w:r>
        <w:t>.</w:t>
      </w:r>
    </w:p>
    <w:p w:rsidR="009F3DA2" w:rsidRPr="004E45C9" w:rsidRDefault="009F3DA2" w:rsidP="009F3DA2">
      <w:pPr>
        <w:ind w:left="720" w:firstLine="720"/>
        <w:jc w:val="both"/>
      </w:pPr>
    </w:p>
    <w:p w:rsidR="009F3DA2" w:rsidRDefault="009F3DA2"/>
    <w:p w:rsidR="00CB5276" w:rsidRDefault="00CB5276">
      <w:pPr>
        <w:pStyle w:val="OrderBody"/>
      </w:pPr>
    </w:p>
    <w:p w:rsidR="00DB6AB5" w:rsidRDefault="009F3DA2" w:rsidP="009F3DA2">
      <w:pPr>
        <w:pStyle w:val="CenterUnderline"/>
      </w:pPr>
      <w:bookmarkStart w:id="4" w:name="OrderTitle"/>
      <w:r>
        <w:t xml:space="preserve"> </w:t>
      </w:r>
      <w:r w:rsidR="00DB6AB5" w:rsidRPr="004702C8">
        <w:t xml:space="preserve">FINAL ORDER APPROVING ENERGY CONSERVATION COST RECOVERY </w:t>
      </w:r>
    </w:p>
    <w:p w:rsidR="00F275FA" w:rsidRDefault="00DB6AB5" w:rsidP="009F3DA2">
      <w:pPr>
        <w:pStyle w:val="CenterUnderline"/>
      </w:pPr>
      <w:r w:rsidRPr="004702C8">
        <w:t>AMOUNTS AND ITS RELATED TARIFFS AND ESTABLISHING ENERGY CONSERVATION COST RECOVERY FACTORS FOR THE PERIOD</w:t>
      </w:r>
    </w:p>
    <w:p w:rsidR="009F3DA2" w:rsidRDefault="00DB6AB5" w:rsidP="009F3DA2">
      <w:pPr>
        <w:pStyle w:val="CenterUnderline"/>
      </w:pPr>
      <w:r w:rsidRPr="004702C8">
        <w:t>JANUARY 201</w:t>
      </w:r>
      <w:r>
        <w:t>8</w:t>
      </w:r>
      <w:r w:rsidRPr="004702C8">
        <w:t xml:space="preserve"> THROUGH DECEMBER 201</w:t>
      </w:r>
      <w:r>
        <w:t>8</w:t>
      </w:r>
      <w:r w:rsidR="009F3DA2">
        <w:t xml:space="preserve"> </w:t>
      </w:r>
      <w:bookmarkEnd w:id="4"/>
    </w:p>
    <w:p w:rsidR="009F3DA2" w:rsidRDefault="009F3DA2" w:rsidP="009F3DA2">
      <w:pPr>
        <w:pStyle w:val="CenterUnderline"/>
      </w:pPr>
    </w:p>
    <w:p w:rsidR="00A72E3F" w:rsidRPr="00A72E3F" w:rsidRDefault="00A72E3F" w:rsidP="00A72E3F">
      <w:pPr>
        <w:pStyle w:val="CenterUnderline"/>
        <w:jc w:val="left"/>
        <w:rPr>
          <w:u w:val="none"/>
        </w:rPr>
      </w:pPr>
      <w:r>
        <w:rPr>
          <w:u w:val="none"/>
        </w:rPr>
        <w:t>BY THE COMMISSION:</w:t>
      </w:r>
    </w:p>
    <w:p w:rsidR="00A72E3F" w:rsidRDefault="00A72E3F" w:rsidP="009F3DA2">
      <w:pPr>
        <w:pStyle w:val="CenterUnderline"/>
      </w:pPr>
    </w:p>
    <w:p w:rsidR="00DB6AB5" w:rsidRPr="004702C8" w:rsidRDefault="00DB6AB5" w:rsidP="00DB6AB5">
      <w:pPr>
        <w:jc w:val="center"/>
        <w:rPr>
          <w:u w:val="single"/>
        </w:rPr>
      </w:pPr>
      <w:bookmarkStart w:id="5" w:name="OrderText"/>
      <w:bookmarkEnd w:id="5"/>
      <w:r w:rsidRPr="004702C8">
        <w:rPr>
          <w:u w:val="single"/>
        </w:rPr>
        <w:t>BACKGROUND</w:t>
      </w:r>
    </w:p>
    <w:p w:rsidR="00DB6AB5" w:rsidRPr="00701945" w:rsidRDefault="00DB6AB5" w:rsidP="00DB6AB5">
      <w:pPr>
        <w:jc w:val="both"/>
      </w:pPr>
    </w:p>
    <w:p w:rsidR="00DB6AB5" w:rsidRDefault="00DB6AB5" w:rsidP="00DB6AB5">
      <w:pPr>
        <w:jc w:val="both"/>
      </w:pPr>
      <w:r>
        <w:tab/>
      </w:r>
      <w:r w:rsidRPr="00A72E3F">
        <w:t xml:space="preserve">As part of the Florida Public Service Commission’s continuing energy conservation cost recovery proceedings, an administrative hearing was </w:t>
      </w:r>
      <w:r w:rsidR="00A72E3F" w:rsidRPr="00A72E3F">
        <w:t xml:space="preserve">held on </w:t>
      </w:r>
      <w:r w:rsidRPr="00A72E3F">
        <w:t xml:space="preserve">October 25, 2017. Prior to the hearing, the </w:t>
      </w:r>
      <w:r w:rsidR="00473A71">
        <w:t>investor-owned utilities (IOUs), Duke Energy Florida, LLC (Duke), Florida Power &amp; Light Company (FPL), Florida Public Utilities Company (FPUC), Gulf Power Company (Gulf), and Tampa Electric Company (TECO),</w:t>
      </w:r>
      <w:r w:rsidRPr="00A72E3F">
        <w:t xml:space="preserve"> reached an agreement concerning all issues identified for resolution at this hearing, with</w:t>
      </w:r>
      <w:r w:rsidR="00473A71">
        <w:t xml:space="preserve"> the intervenors,</w:t>
      </w:r>
      <w:r w:rsidRPr="00A72E3F">
        <w:t xml:space="preserve"> </w:t>
      </w:r>
      <w:r w:rsidR="00473A71">
        <w:t>the Office of Public Counsel (</w:t>
      </w:r>
      <w:r w:rsidRPr="00A72E3F">
        <w:t>OPC</w:t>
      </w:r>
      <w:r w:rsidR="00473A71">
        <w:t>)</w:t>
      </w:r>
      <w:r w:rsidRPr="00A72E3F">
        <w:t xml:space="preserve">, </w:t>
      </w:r>
      <w:r w:rsidR="00473A71">
        <w:t>Florida Industrial Power Users Group (</w:t>
      </w:r>
      <w:r w:rsidRPr="00A72E3F">
        <w:t>FIPUG</w:t>
      </w:r>
      <w:r w:rsidR="00473A71">
        <w:t>)</w:t>
      </w:r>
      <w:r w:rsidRPr="00A72E3F">
        <w:t xml:space="preserve">, and </w:t>
      </w:r>
      <w:r w:rsidR="00A24CB7" w:rsidRPr="00A24CB7">
        <w:t xml:space="preserve">White Springs Agricultural Chemicals, Inc. d/b/a PCS Phosphate – White Springs </w:t>
      </w:r>
      <w:r w:rsidR="00A24CB7">
        <w:t>(</w:t>
      </w:r>
      <w:r w:rsidRPr="00A72E3F">
        <w:t>PCS Phosphate</w:t>
      </w:r>
      <w:r w:rsidR="00A24CB7">
        <w:t>)</w:t>
      </w:r>
      <w:r w:rsidR="00473A71">
        <w:t>,</w:t>
      </w:r>
      <w:r w:rsidRPr="00A72E3F">
        <w:t xml:space="preserve"> taking no position.</w:t>
      </w:r>
      <w:r w:rsidR="00A24CB7">
        <w:t xml:space="preserve"> PCS Phosphate was excused from the hearing.</w:t>
      </w:r>
      <w:r w:rsidRPr="00A72E3F">
        <w:t xml:space="preserve"> We have jurisdiction over the subject matter by the provisions of Chapter 366, Florida Statutes (F.S.), including Sections 366.04, 366.05 and 366.06, F.S.</w:t>
      </w:r>
    </w:p>
    <w:p w:rsidR="00DB6AB5" w:rsidRDefault="00DB6AB5" w:rsidP="00DB6AB5">
      <w:pPr>
        <w:jc w:val="both"/>
      </w:pPr>
    </w:p>
    <w:p w:rsidR="00A72E3F" w:rsidRDefault="000E4203" w:rsidP="000E4203">
      <w:pPr>
        <w:ind w:firstLine="720"/>
        <w:jc w:val="both"/>
      </w:pPr>
      <w:r>
        <w:t>The parties stipulated to the final and estimated true-up amounts, total conservation cost recovery amounts, and conservation cost recovery factors appropriate for each utility.  The parties also stipulated to the company specific conservation cost recovery issues.  We accept and approve the stipulations as reasonable and find they are supported by competent, substantial evidence of record, as set forth below.</w:t>
      </w:r>
    </w:p>
    <w:p w:rsidR="000E4203" w:rsidRDefault="000E4203" w:rsidP="000E4203">
      <w:pPr>
        <w:jc w:val="both"/>
      </w:pPr>
    </w:p>
    <w:p w:rsidR="00DB6AB5" w:rsidRPr="004702C8" w:rsidRDefault="00DB6AB5" w:rsidP="00DB6AB5">
      <w:pPr>
        <w:jc w:val="center"/>
        <w:rPr>
          <w:u w:val="single"/>
        </w:rPr>
      </w:pPr>
      <w:r w:rsidRPr="004702C8">
        <w:rPr>
          <w:u w:val="single"/>
        </w:rPr>
        <w:lastRenderedPageBreak/>
        <w:t>DECISION</w:t>
      </w:r>
    </w:p>
    <w:p w:rsidR="00DB6AB5" w:rsidRDefault="00DB6AB5" w:rsidP="00DB6AB5">
      <w:pPr>
        <w:jc w:val="both"/>
      </w:pPr>
    </w:p>
    <w:p w:rsidR="00DB6AB5" w:rsidRDefault="00A72E3F">
      <w:r>
        <w:rPr>
          <w:u w:val="single"/>
        </w:rPr>
        <w:t>Conservation Cost Recovery True-Up</w:t>
      </w:r>
    </w:p>
    <w:p w:rsidR="00A72E3F" w:rsidRDefault="00A72E3F"/>
    <w:p w:rsidR="00A72E3F" w:rsidRPr="008B1D03" w:rsidRDefault="00A72E3F" w:rsidP="00A72E3F">
      <w:pPr>
        <w:ind w:firstLine="720"/>
        <w:jc w:val="both"/>
      </w:pPr>
      <w:r>
        <w:t>We find that the appropriate</w:t>
      </w:r>
      <w:r w:rsidRPr="008B1D03">
        <w:t xml:space="preserve"> final conservation cost recovery adjustment true-up amounts for the period January 2016 through December 2016 are as follows:</w:t>
      </w:r>
    </w:p>
    <w:p w:rsidR="00A72E3F" w:rsidRPr="008B1D03" w:rsidRDefault="00A72E3F" w:rsidP="00A72E3F">
      <w:pPr>
        <w:ind w:left="1440" w:hanging="1440"/>
        <w:jc w:val="both"/>
      </w:pPr>
    </w:p>
    <w:p w:rsidR="00A72E3F" w:rsidRPr="008B1D03" w:rsidRDefault="00A72E3F" w:rsidP="00A72E3F">
      <w:pPr>
        <w:ind w:left="1440" w:hanging="1440"/>
        <w:jc w:val="both"/>
      </w:pPr>
      <w:r w:rsidRPr="008B1D03">
        <w:tab/>
        <w:t>Duke Energy Florida</w:t>
      </w:r>
      <w:r w:rsidRPr="008B1D03">
        <w:tab/>
      </w:r>
      <w:r w:rsidRPr="008B1D03">
        <w:tab/>
      </w:r>
      <w:r w:rsidRPr="008B1D03">
        <w:tab/>
        <w:t>$3,391,426</w:t>
      </w:r>
      <w:r w:rsidRPr="008B1D03">
        <w:tab/>
        <w:t>Over-recovery</w:t>
      </w:r>
      <w:r w:rsidRPr="008B1D03">
        <w:rPr>
          <w:rStyle w:val="FootnoteReference"/>
        </w:rPr>
        <w:footnoteReference w:id="1"/>
      </w:r>
    </w:p>
    <w:p w:rsidR="00A72E3F" w:rsidRPr="008B1D03" w:rsidRDefault="00A72E3F" w:rsidP="00A72E3F">
      <w:pPr>
        <w:ind w:left="1440" w:hanging="1440"/>
        <w:jc w:val="both"/>
      </w:pPr>
      <w:r w:rsidRPr="008B1D03">
        <w:tab/>
        <w:t>Florida Power &amp; Light Company</w:t>
      </w:r>
      <w:r w:rsidRPr="008B1D03">
        <w:tab/>
      </w:r>
      <w:r w:rsidRPr="008B1D03">
        <w:rPr>
          <w:color w:val="000000"/>
        </w:rPr>
        <w:t>$7,866,571</w:t>
      </w:r>
      <w:r w:rsidRPr="008B1D03">
        <w:rPr>
          <w:color w:val="000000"/>
        </w:rPr>
        <w:tab/>
      </w:r>
      <w:r w:rsidRPr="008B1D03">
        <w:t>Over-recovery</w:t>
      </w:r>
    </w:p>
    <w:p w:rsidR="00A72E3F" w:rsidRPr="008B1D03" w:rsidRDefault="00A72E3F" w:rsidP="00A72E3F">
      <w:pPr>
        <w:ind w:left="1440" w:hanging="1440"/>
        <w:jc w:val="both"/>
      </w:pPr>
      <w:r w:rsidRPr="008B1D03">
        <w:tab/>
        <w:t>Florida Public Utilities Company</w:t>
      </w:r>
      <w:r w:rsidRPr="008B1D03">
        <w:tab/>
        <w:t xml:space="preserve">       $2,555</w:t>
      </w:r>
      <w:r w:rsidRPr="008B1D03">
        <w:tab/>
        <w:t>Under-recovery</w:t>
      </w:r>
    </w:p>
    <w:p w:rsidR="00A72E3F" w:rsidRPr="008B1D03" w:rsidRDefault="00A72E3F" w:rsidP="00A72E3F">
      <w:pPr>
        <w:ind w:left="1440" w:hanging="1440"/>
        <w:jc w:val="both"/>
      </w:pPr>
      <w:r w:rsidRPr="008B1D03">
        <w:tab/>
        <w:t>Gulf Power Company</w:t>
      </w:r>
      <w:r w:rsidRPr="008B1D03">
        <w:tab/>
      </w:r>
      <w:r w:rsidRPr="008B1D03">
        <w:tab/>
      </w:r>
      <w:r w:rsidRPr="008B1D03">
        <w:tab/>
        <w:t xml:space="preserve">   $270,410</w:t>
      </w:r>
      <w:r w:rsidRPr="008B1D03">
        <w:tab/>
        <w:t>Under-recovery</w:t>
      </w:r>
    </w:p>
    <w:p w:rsidR="00A72E3F" w:rsidRPr="008B1D03" w:rsidRDefault="00A72E3F" w:rsidP="00A72E3F">
      <w:pPr>
        <w:ind w:left="1440" w:hanging="1440"/>
        <w:jc w:val="both"/>
      </w:pPr>
      <w:r w:rsidRPr="008B1D03">
        <w:tab/>
        <w:t>Tampa Electric Company</w:t>
      </w:r>
      <w:r w:rsidRPr="008B1D03">
        <w:tab/>
      </w:r>
      <w:r w:rsidRPr="008B1D03">
        <w:tab/>
        <w:t xml:space="preserve">   $814,064</w:t>
      </w:r>
      <w:r w:rsidRPr="008B1D03">
        <w:tab/>
        <w:t>Over-recovery</w:t>
      </w:r>
      <w:r w:rsidRPr="008B1D03">
        <w:rPr>
          <w:rStyle w:val="FootnoteReference"/>
        </w:rPr>
        <w:footnoteReference w:id="2"/>
      </w:r>
    </w:p>
    <w:p w:rsidR="00A72E3F" w:rsidRDefault="00A72E3F"/>
    <w:p w:rsidR="00FB3051" w:rsidRPr="008B1D03" w:rsidRDefault="00FB3051" w:rsidP="00FB3051">
      <w:pPr>
        <w:pStyle w:val="IssueBody"/>
        <w:ind w:left="0" w:firstLine="720"/>
      </w:pPr>
      <w:r>
        <w:t>We find that t</w:t>
      </w:r>
      <w:r w:rsidRPr="008B1D03">
        <w:t>he appropriate conservation adjustment actual/estimated true-up amounts for the period January 2017 through December 2017 are as follows:</w:t>
      </w:r>
    </w:p>
    <w:p w:rsidR="00FB3051" w:rsidRPr="008B1D03" w:rsidRDefault="00FB3051" w:rsidP="00FB3051">
      <w:pPr>
        <w:ind w:left="1440"/>
        <w:jc w:val="both"/>
      </w:pPr>
      <w:r w:rsidRPr="008B1D03">
        <w:t>Duke Energy Florida</w:t>
      </w:r>
      <w:r w:rsidRPr="008B1D03">
        <w:tab/>
      </w:r>
      <w:r w:rsidRPr="008B1D03">
        <w:tab/>
      </w:r>
      <w:r w:rsidRPr="008B1D03">
        <w:tab/>
        <w:t xml:space="preserve">   </w:t>
      </w:r>
      <w:r w:rsidRPr="008B1D03">
        <w:rPr>
          <w:bCs/>
        </w:rPr>
        <w:t>$312,543</w:t>
      </w:r>
      <w:r w:rsidRPr="008B1D03">
        <w:tab/>
        <w:t>Under-recovery</w:t>
      </w:r>
      <w:r w:rsidRPr="008B1D03">
        <w:rPr>
          <w:rStyle w:val="FootnoteReference"/>
        </w:rPr>
        <w:footnoteReference w:id="3"/>
      </w:r>
    </w:p>
    <w:p w:rsidR="00FB3051" w:rsidRPr="008B1D03" w:rsidRDefault="00FB3051" w:rsidP="00FB3051">
      <w:pPr>
        <w:ind w:left="1440" w:hanging="1440"/>
        <w:jc w:val="both"/>
      </w:pPr>
      <w:r w:rsidRPr="008B1D03">
        <w:tab/>
        <w:t>Florida Power &amp; Light Company</w:t>
      </w:r>
      <w:r w:rsidRPr="008B1D03">
        <w:tab/>
      </w:r>
      <w:r w:rsidRPr="008B1D03">
        <w:rPr>
          <w:bCs/>
          <w:iCs/>
          <w:color w:val="000000"/>
        </w:rPr>
        <w:t>$5,799,425</w:t>
      </w:r>
      <w:r w:rsidRPr="008B1D03">
        <w:rPr>
          <w:color w:val="000000"/>
        </w:rPr>
        <w:tab/>
      </w:r>
      <w:r w:rsidRPr="008B1D03">
        <w:t>Over-recovery</w:t>
      </w:r>
    </w:p>
    <w:p w:rsidR="00FB3051" w:rsidRPr="008B1D03" w:rsidRDefault="00FB3051" w:rsidP="00FB3051">
      <w:pPr>
        <w:ind w:left="1440" w:hanging="1440"/>
        <w:jc w:val="both"/>
      </w:pPr>
      <w:r w:rsidRPr="008B1D03">
        <w:tab/>
        <w:t>Florida Public Utilities Company</w:t>
      </w:r>
      <w:r w:rsidRPr="008B1D03">
        <w:tab/>
        <w:t xml:space="preserve">     $67,738</w:t>
      </w:r>
      <w:r w:rsidRPr="008B1D03">
        <w:tab/>
        <w:t>Over-recovery</w:t>
      </w:r>
    </w:p>
    <w:p w:rsidR="00FB3051" w:rsidRPr="008B1D03" w:rsidRDefault="00FB3051" w:rsidP="00FB3051">
      <w:pPr>
        <w:ind w:left="1440" w:hanging="1440"/>
        <w:jc w:val="both"/>
      </w:pPr>
      <w:r w:rsidRPr="008B1D03">
        <w:tab/>
        <w:t>Gulf Power Company</w:t>
      </w:r>
      <w:r w:rsidRPr="008B1D03">
        <w:tab/>
      </w:r>
      <w:r w:rsidRPr="008B1D03">
        <w:tab/>
      </w:r>
      <w:r w:rsidRPr="008B1D03">
        <w:tab/>
        <w:t xml:space="preserve">   $127,008</w:t>
      </w:r>
      <w:r w:rsidRPr="008B1D03">
        <w:tab/>
        <w:t>Over-recovery</w:t>
      </w:r>
    </w:p>
    <w:p w:rsidR="00FB3051" w:rsidRDefault="00FB3051" w:rsidP="00FB3051">
      <w:pPr>
        <w:ind w:left="1440" w:hanging="1440"/>
        <w:jc w:val="both"/>
      </w:pPr>
      <w:r w:rsidRPr="008B1D03">
        <w:tab/>
        <w:t>Tampa Electric Company</w:t>
      </w:r>
      <w:r w:rsidRPr="008B1D03">
        <w:tab/>
      </w:r>
      <w:r w:rsidRPr="008B1D03">
        <w:tab/>
        <w:t>$3,811,175</w:t>
      </w:r>
      <w:r w:rsidRPr="008B1D03">
        <w:tab/>
        <w:t>Under-recovery</w:t>
      </w:r>
      <w:r w:rsidRPr="008B1D03">
        <w:rPr>
          <w:rStyle w:val="FootnoteReference"/>
        </w:rPr>
        <w:footnoteReference w:id="4"/>
      </w:r>
    </w:p>
    <w:p w:rsidR="00FB3051" w:rsidRDefault="00FB3051" w:rsidP="00FB3051">
      <w:pPr>
        <w:ind w:left="1440" w:hanging="1440"/>
        <w:jc w:val="both"/>
      </w:pPr>
    </w:p>
    <w:p w:rsidR="00FB3051" w:rsidRPr="008B1D03" w:rsidRDefault="00FB3051" w:rsidP="00FB3051">
      <w:pPr>
        <w:pStyle w:val="IssueBody"/>
        <w:ind w:left="0" w:firstLine="720"/>
      </w:pPr>
      <w:r>
        <w:t>We find that t</w:t>
      </w:r>
      <w:r w:rsidRPr="008B1D03">
        <w:t>he appropriate total conservation adjustment true-up amounts to be collected/refunded from January 2018 through December 2018 are as follows:</w:t>
      </w:r>
    </w:p>
    <w:p w:rsidR="00FB3051" w:rsidRPr="008B1D03" w:rsidRDefault="00FB3051" w:rsidP="00FB3051">
      <w:pPr>
        <w:ind w:left="1440"/>
        <w:jc w:val="both"/>
      </w:pPr>
      <w:r w:rsidRPr="008B1D03">
        <w:t>Duke Energy Florida</w:t>
      </w:r>
      <w:r w:rsidRPr="008B1D03">
        <w:tab/>
      </w:r>
      <w:r w:rsidRPr="008B1D03">
        <w:tab/>
      </w:r>
      <w:r w:rsidRPr="008B1D03">
        <w:tab/>
      </w:r>
      <w:r w:rsidRPr="008B1D03">
        <w:rPr>
          <w:bCs/>
        </w:rPr>
        <w:t>$3,078,883</w:t>
      </w:r>
      <w:r w:rsidRPr="008B1D03">
        <w:tab/>
        <w:t>Over-recovery</w:t>
      </w:r>
      <w:r w:rsidRPr="008B1D03">
        <w:rPr>
          <w:rStyle w:val="FootnoteReference"/>
        </w:rPr>
        <w:footnoteReference w:id="5"/>
      </w:r>
    </w:p>
    <w:p w:rsidR="00FB3051" w:rsidRPr="008B1D03" w:rsidRDefault="00FB3051" w:rsidP="00FB3051">
      <w:pPr>
        <w:ind w:left="1440" w:hanging="1440"/>
        <w:jc w:val="both"/>
      </w:pPr>
      <w:r w:rsidRPr="008B1D03">
        <w:tab/>
        <w:t xml:space="preserve">Florida Power &amp; Light Company     </w:t>
      </w:r>
      <w:r w:rsidRPr="008B1D03">
        <w:rPr>
          <w:bCs/>
          <w:iCs/>
          <w:color w:val="000000"/>
        </w:rPr>
        <w:t>$13,665,997</w:t>
      </w:r>
      <w:r w:rsidRPr="008B1D03">
        <w:rPr>
          <w:color w:val="000000"/>
        </w:rPr>
        <w:tab/>
      </w:r>
      <w:r w:rsidRPr="008B1D03">
        <w:t>Over-recovery</w:t>
      </w:r>
    </w:p>
    <w:p w:rsidR="00FB3051" w:rsidRPr="008B1D03" w:rsidRDefault="00FB3051" w:rsidP="00FB3051">
      <w:pPr>
        <w:ind w:left="1440" w:hanging="1440"/>
        <w:jc w:val="both"/>
      </w:pPr>
      <w:r w:rsidRPr="008B1D03">
        <w:tab/>
        <w:t>Florida Public Utilities Company</w:t>
      </w:r>
      <w:r w:rsidRPr="008B1D03">
        <w:tab/>
        <w:t xml:space="preserve">     $65,183</w:t>
      </w:r>
      <w:r w:rsidRPr="008B1D03">
        <w:tab/>
        <w:t>Over-recovery</w:t>
      </w:r>
    </w:p>
    <w:p w:rsidR="00FB3051" w:rsidRPr="008B1D03" w:rsidRDefault="00FB3051" w:rsidP="00FB3051">
      <w:pPr>
        <w:ind w:left="1440" w:hanging="1440"/>
        <w:jc w:val="both"/>
      </w:pPr>
      <w:r w:rsidRPr="008B1D03">
        <w:tab/>
        <w:t>Gulf Power Company</w:t>
      </w:r>
      <w:r w:rsidRPr="008B1D03">
        <w:tab/>
      </w:r>
      <w:r w:rsidRPr="008B1D03">
        <w:tab/>
      </w:r>
      <w:r w:rsidRPr="008B1D03">
        <w:tab/>
        <w:t xml:space="preserve">   $143,402</w:t>
      </w:r>
      <w:r w:rsidRPr="008B1D03">
        <w:tab/>
        <w:t>Under-recovery</w:t>
      </w:r>
    </w:p>
    <w:p w:rsidR="00FB3051" w:rsidRPr="008B1D03" w:rsidRDefault="00FB3051" w:rsidP="00FB3051">
      <w:pPr>
        <w:pStyle w:val="IssueBody"/>
      </w:pPr>
      <w:r w:rsidRPr="008B1D03">
        <w:t>Tampa Electric Company</w:t>
      </w:r>
      <w:r w:rsidRPr="008B1D03">
        <w:tab/>
      </w:r>
      <w:r w:rsidRPr="008B1D03">
        <w:tab/>
        <w:t>$2,997,111</w:t>
      </w:r>
      <w:r w:rsidRPr="008B1D03">
        <w:tab/>
        <w:t>Under-recovery</w:t>
      </w:r>
      <w:r w:rsidRPr="008B1D03">
        <w:rPr>
          <w:rStyle w:val="FootnoteReference"/>
        </w:rPr>
        <w:footnoteReference w:id="6"/>
      </w:r>
    </w:p>
    <w:p w:rsidR="00473A71" w:rsidRDefault="00473A71">
      <w:pPr>
        <w:rPr>
          <w:u w:val="single"/>
        </w:rPr>
      </w:pPr>
    </w:p>
    <w:p w:rsidR="00473A71" w:rsidRDefault="00473A71">
      <w:pPr>
        <w:rPr>
          <w:u w:val="single"/>
        </w:rPr>
      </w:pPr>
    </w:p>
    <w:p w:rsidR="00473A71" w:rsidRDefault="00473A71">
      <w:pPr>
        <w:rPr>
          <w:u w:val="single"/>
        </w:rPr>
      </w:pPr>
    </w:p>
    <w:p w:rsidR="00473A71" w:rsidRDefault="00473A71">
      <w:pPr>
        <w:rPr>
          <w:u w:val="single"/>
        </w:rPr>
      </w:pPr>
    </w:p>
    <w:p w:rsidR="00473A71" w:rsidRDefault="00473A71">
      <w:pPr>
        <w:rPr>
          <w:u w:val="single"/>
        </w:rPr>
      </w:pPr>
    </w:p>
    <w:p w:rsidR="00473A71" w:rsidRDefault="00473A71">
      <w:pPr>
        <w:rPr>
          <w:u w:val="single"/>
        </w:rPr>
      </w:pPr>
    </w:p>
    <w:p w:rsidR="00473A71" w:rsidRDefault="00473A71">
      <w:pPr>
        <w:rPr>
          <w:u w:val="single"/>
        </w:rPr>
      </w:pPr>
    </w:p>
    <w:p w:rsidR="00473A71" w:rsidRDefault="00473A71">
      <w:pPr>
        <w:rPr>
          <w:u w:val="single"/>
        </w:rPr>
      </w:pPr>
    </w:p>
    <w:p w:rsidR="00FB3051" w:rsidRDefault="00FB3051">
      <w:r>
        <w:rPr>
          <w:u w:val="single"/>
        </w:rPr>
        <w:lastRenderedPageBreak/>
        <w:t>Total Conservation Cost Recovery</w:t>
      </w:r>
    </w:p>
    <w:p w:rsidR="00FB3051" w:rsidRDefault="00FB3051"/>
    <w:p w:rsidR="00FB3051" w:rsidRPr="008B1D03" w:rsidRDefault="00FB3051" w:rsidP="00FB3051">
      <w:pPr>
        <w:pStyle w:val="IssueBody"/>
        <w:spacing w:after="0"/>
        <w:ind w:left="0" w:firstLine="720"/>
      </w:pPr>
      <w:r>
        <w:t>We find that t</w:t>
      </w:r>
      <w:r w:rsidRPr="008B1D03">
        <w:t>he total conservation cost recovery amounts to be collected during the period January 2018 through December 2018 are as follows:</w:t>
      </w:r>
    </w:p>
    <w:p w:rsidR="00FB3051" w:rsidRPr="008B1D03" w:rsidRDefault="00FB3051" w:rsidP="00FB3051">
      <w:pPr>
        <w:pStyle w:val="IssueBody"/>
        <w:spacing w:after="0"/>
        <w:ind w:hanging="1440"/>
      </w:pPr>
    </w:p>
    <w:p w:rsidR="00FB3051" w:rsidRPr="008B1D03" w:rsidRDefault="00FB3051" w:rsidP="00FB3051">
      <w:pPr>
        <w:ind w:left="1440"/>
        <w:jc w:val="both"/>
      </w:pPr>
      <w:r w:rsidRPr="008B1D03">
        <w:t>Duke Energy Florida</w:t>
      </w:r>
      <w:r w:rsidRPr="008B1D03">
        <w:tab/>
      </w:r>
      <w:r w:rsidRPr="008B1D03">
        <w:tab/>
        <w:t xml:space="preserve">        </w:t>
      </w:r>
      <w:r w:rsidRPr="008B1D03">
        <w:tab/>
      </w:r>
      <w:r w:rsidRPr="008B1D03">
        <w:rPr>
          <w:b/>
          <w:bCs/>
        </w:rPr>
        <w:t>$</w:t>
      </w:r>
      <w:r w:rsidRPr="008B1D03">
        <w:rPr>
          <w:bCs/>
        </w:rPr>
        <w:t>111,408,966</w:t>
      </w:r>
    </w:p>
    <w:p w:rsidR="00FB3051" w:rsidRPr="008B1D03" w:rsidRDefault="00FB3051" w:rsidP="00FB3051">
      <w:pPr>
        <w:ind w:left="1440" w:hanging="1440"/>
        <w:jc w:val="both"/>
      </w:pPr>
      <w:r w:rsidRPr="008B1D03">
        <w:tab/>
        <w:t xml:space="preserve">Florida Power &amp; Light Company   </w:t>
      </w:r>
      <w:r w:rsidRPr="008B1D03">
        <w:tab/>
      </w:r>
      <w:r w:rsidRPr="008B1D03">
        <w:rPr>
          <w:bCs/>
          <w:iCs/>
          <w:color w:val="000000"/>
        </w:rPr>
        <w:t>$155,599,309</w:t>
      </w:r>
      <w:r w:rsidRPr="008B1D03">
        <w:rPr>
          <w:rStyle w:val="FootnoteReference"/>
          <w:bCs/>
          <w:iCs/>
          <w:color w:val="000000"/>
        </w:rPr>
        <w:footnoteReference w:id="7"/>
      </w:r>
    </w:p>
    <w:p w:rsidR="00FB3051" w:rsidRPr="008B1D03" w:rsidRDefault="00FB3051" w:rsidP="00FB3051">
      <w:pPr>
        <w:ind w:left="1440" w:hanging="1440"/>
        <w:jc w:val="both"/>
      </w:pPr>
      <w:r w:rsidRPr="008B1D03">
        <w:tab/>
        <w:t>Florida Public Utilities Company</w:t>
      </w:r>
      <w:r w:rsidRPr="008B1D03">
        <w:tab/>
        <w:t xml:space="preserve">       $657,667</w:t>
      </w:r>
    </w:p>
    <w:p w:rsidR="00FB3051" w:rsidRPr="008B1D03" w:rsidRDefault="00FB3051" w:rsidP="00FB3051">
      <w:pPr>
        <w:ind w:left="1440" w:hanging="1440"/>
        <w:jc w:val="both"/>
      </w:pPr>
      <w:r w:rsidRPr="008B1D03">
        <w:tab/>
        <w:t>Gulf Power Company</w:t>
      </w:r>
      <w:r w:rsidRPr="008B1D03">
        <w:tab/>
      </w:r>
      <w:r w:rsidRPr="008B1D03">
        <w:tab/>
        <w:t xml:space="preserve">          </w:t>
      </w:r>
      <w:r w:rsidRPr="008B1D03">
        <w:tab/>
        <w:t xml:space="preserve">  </w:t>
      </w:r>
      <w:r w:rsidRPr="008B1D03">
        <w:rPr>
          <w:bCs/>
        </w:rPr>
        <w:t>$14,666,016</w:t>
      </w:r>
      <w:r w:rsidRPr="008B1D03">
        <w:rPr>
          <w:rStyle w:val="FootnoteReference"/>
          <w:bCs/>
        </w:rPr>
        <w:footnoteReference w:id="8"/>
      </w:r>
    </w:p>
    <w:p w:rsidR="00FB3051" w:rsidRPr="008B1D03" w:rsidRDefault="00FB3051" w:rsidP="00FB3051">
      <w:pPr>
        <w:pStyle w:val="IssueBody"/>
        <w:spacing w:after="0"/>
      </w:pPr>
      <w:r w:rsidRPr="008B1D03">
        <w:t>Tampa Electric Company</w:t>
      </w:r>
      <w:r w:rsidRPr="008B1D03">
        <w:tab/>
      </w:r>
      <w:r w:rsidRPr="008B1D03">
        <w:tab/>
        <w:t xml:space="preserve">  $43,309,886</w:t>
      </w:r>
      <w:r w:rsidRPr="008B1D03">
        <w:rPr>
          <w:rStyle w:val="FootnoteReference"/>
        </w:rPr>
        <w:footnoteReference w:id="9"/>
      </w:r>
    </w:p>
    <w:p w:rsidR="00FB3051" w:rsidRPr="00FB3051" w:rsidRDefault="00FB3051"/>
    <w:p w:rsidR="00A72E3F" w:rsidRDefault="00FB3051">
      <w:r w:rsidRPr="00FB3051">
        <w:rPr>
          <w:u w:val="single"/>
        </w:rPr>
        <w:t>Conservation Cost Recovery Factors</w:t>
      </w:r>
    </w:p>
    <w:p w:rsidR="00FB3051" w:rsidRDefault="00FB3051"/>
    <w:p w:rsidR="00FB3051" w:rsidRPr="008B1D03" w:rsidRDefault="00FB3051" w:rsidP="00FB3051">
      <w:pPr>
        <w:pStyle w:val="IssueBody"/>
        <w:spacing w:after="0"/>
        <w:ind w:left="0" w:firstLine="720"/>
      </w:pPr>
      <w:r>
        <w:t>We find that t</w:t>
      </w:r>
      <w:r w:rsidRPr="008B1D03">
        <w:t>he</w:t>
      </w:r>
      <w:r w:rsidR="00E0110B">
        <w:t xml:space="preserve"> appropriate</w:t>
      </w:r>
      <w:r w:rsidRPr="008B1D03">
        <w:t xml:space="preserve"> conservation cost recovery factors for the period January 2018 through December 2018 are as follows:</w:t>
      </w:r>
    </w:p>
    <w:p w:rsidR="00FB3051" w:rsidRPr="008B1D03" w:rsidRDefault="00FB3051" w:rsidP="00FB3051">
      <w:pPr>
        <w:pStyle w:val="IssueHeading"/>
        <w:spacing w:before="0" w:after="0"/>
        <w:ind w:left="1440" w:hanging="1440"/>
        <w:rPr>
          <w:b w:val="0"/>
        </w:rPr>
      </w:pPr>
    </w:p>
    <w:p w:rsidR="00FB3051" w:rsidRPr="008B1D03" w:rsidRDefault="00FB3051" w:rsidP="00FB3051">
      <w:pPr>
        <w:autoSpaceDE w:val="0"/>
        <w:autoSpaceDN w:val="0"/>
        <w:adjustRightInd w:val="0"/>
      </w:pPr>
      <w:r w:rsidRPr="008B1D03">
        <w:rPr>
          <w:b/>
        </w:rPr>
        <w:t>DEF</w:t>
      </w:r>
      <w:r w:rsidRPr="008B1D03">
        <w:t>:</w:t>
      </w:r>
      <w:r w:rsidRPr="008B1D03">
        <w:tab/>
      </w:r>
      <w:r w:rsidRPr="008B1D03">
        <w:tab/>
      </w:r>
      <w:r w:rsidRPr="008B1D03">
        <w:rPr>
          <w:bCs/>
          <w:u w:val="single"/>
        </w:rPr>
        <w:t>Customer Class</w:t>
      </w:r>
      <w:r w:rsidRPr="008B1D03">
        <w:t xml:space="preserve"> </w:t>
      </w:r>
      <w:r w:rsidRPr="008B1D03">
        <w:tab/>
      </w:r>
      <w:r w:rsidRPr="008B1D03">
        <w:tab/>
      </w:r>
      <w:r w:rsidRPr="008B1D03">
        <w:tab/>
      </w:r>
      <w:r w:rsidRPr="008B1D03">
        <w:tab/>
      </w:r>
      <w:r w:rsidRPr="008B1D03">
        <w:rPr>
          <w:u w:val="single"/>
        </w:rPr>
        <w:t>ECCR Factor</w:t>
      </w:r>
    </w:p>
    <w:p w:rsidR="00FB3051" w:rsidRPr="008B1D03" w:rsidRDefault="00FB3051" w:rsidP="00FB3051">
      <w:pPr>
        <w:autoSpaceDE w:val="0"/>
        <w:autoSpaceDN w:val="0"/>
        <w:adjustRightInd w:val="0"/>
      </w:pPr>
      <w:r w:rsidRPr="008B1D03">
        <w:tab/>
      </w:r>
      <w:r w:rsidRPr="008B1D03">
        <w:tab/>
        <w:t xml:space="preserve">Residential </w:t>
      </w:r>
      <w:r w:rsidRPr="008B1D03">
        <w:tab/>
      </w:r>
      <w:r w:rsidRPr="008B1D03">
        <w:tab/>
      </w:r>
      <w:r w:rsidRPr="008B1D03">
        <w:tab/>
      </w:r>
      <w:r w:rsidRPr="008B1D03">
        <w:tab/>
      </w:r>
      <w:r w:rsidRPr="008B1D03">
        <w:tab/>
        <w:t>0.328 cents/kWh</w:t>
      </w:r>
    </w:p>
    <w:p w:rsidR="00FB3051" w:rsidRPr="008B1D03" w:rsidRDefault="00FB3051" w:rsidP="00FB3051">
      <w:pPr>
        <w:autoSpaceDE w:val="0"/>
        <w:autoSpaceDN w:val="0"/>
        <w:adjustRightInd w:val="0"/>
      </w:pPr>
      <w:r w:rsidRPr="008B1D03">
        <w:tab/>
      </w:r>
      <w:r w:rsidRPr="008B1D03">
        <w:tab/>
        <w:t xml:space="preserve">General Service Non-Demand </w:t>
      </w:r>
      <w:r w:rsidRPr="008B1D03">
        <w:tab/>
      </w:r>
      <w:r w:rsidRPr="008B1D03">
        <w:tab/>
        <w:t>0.270 cents/kWh</w:t>
      </w:r>
    </w:p>
    <w:p w:rsidR="00FB3051" w:rsidRPr="008B1D03" w:rsidRDefault="00FB3051" w:rsidP="00FB3051">
      <w:pPr>
        <w:autoSpaceDE w:val="0"/>
        <w:autoSpaceDN w:val="0"/>
        <w:adjustRightInd w:val="0"/>
      </w:pPr>
      <w:r w:rsidRPr="008B1D03">
        <w:rPr>
          <w:rFonts w:ascii="Arial" w:hAnsi="Arial" w:cs="Arial"/>
          <w:sz w:val="23"/>
          <w:szCs w:val="23"/>
        </w:rPr>
        <w:tab/>
      </w:r>
      <w:r w:rsidRPr="008B1D03">
        <w:rPr>
          <w:rFonts w:ascii="Arial" w:hAnsi="Arial" w:cs="Arial"/>
          <w:sz w:val="23"/>
          <w:szCs w:val="23"/>
        </w:rPr>
        <w:tab/>
        <w:t xml:space="preserve">   @ </w:t>
      </w:r>
      <w:r w:rsidRPr="008B1D03">
        <w:t xml:space="preserve">Primary Voltage </w:t>
      </w:r>
      <w:r w:rsidRPr="008B1D03">
        <w:tab/>
      </w:r>
      <w:r w:rsidRPr="008B1D03">
        <w:tab/>
      </w:r>
      <w:r w:rsidRPr="008B1D03">
        <w:tab/>
      </w:r>
      <w:r w:rsidRPr="008B1D03">
        <w:tab/>
        <w:t>0.267 cents/kWh</w:t>
      </w:r>
    </w:p>
    <w:p w:rsidR="00FB3051" w:rsidRPr="008B1D03" w:rsidRDefault="00FB3051" w:rsidP="00FB3051">
      <w:pPr>
        <w:ind w:left="1440" w:hanging="1440"/>
        <w:jc w:val="both"/>
      </w:pPr>
      <w:r w:rsidRPr="008B1D03">
        <w:rPr>
          <w:rFonts w:ascii="Arial" w:hAnsi="Arial" w:cs="Arial"/>
          <w:sz w:val="21"/>
          <w:szCs w:val="21"/>
        </w:rPr>
        <w:tab/>
        <w:t xml:space="preserve">   @ </w:t>
      </w:r>
      <w:r w:rsidRPr="008B1D03">
        <w:t xml:space="preserve">Transmission Voltage </w:t>
      </w:r>
      <w:r w:rsidRPr="008B1D03">
        <w:tab/>
      </w:r>
      <w:r w:rsidRPr="008B1D03">
        <w:tab/>
      </w:r>
      <w:r w:rsidRPr="008B1D03">
        <w:tab/>
        <w:t>0.265 cents/kWh</w:t>
      </w:r>
    </w:p>
    <w:p w:rsidR="00FB3051" w:rsidRPr="008B1D03" w:rsidRDefault="00FB3051" w:rsidP="00FB3051">
      <w:pPr>
        <w:autoSpaceDE w:val="0"/>
        <w:autoSpaceDN w:val="0"/>
        <w:adjustRightInd w:val="0"/>
      </w:pPr>
      <w:r w:rsidRPr="008B1D03">
        <w:tab/>
      </w:r>
      <w:r w:rsidRPr="008B1D03">
        <w:tab/>
        <w:t>General Service 100% Load Factor</w:t>
      </w:r>
      <w:r w:rsidRPr="008B1D03">
        <w:tab/>
      </w:r>
      <w:r w:rsidRPr="008B1D03">
        <w:tab/>
        <w:t>0.211 cents/kWh</w:t>
      </w:r>
    </w:p>
    <w:p w:rsidR="00FB3051" w:rsidRPr="008B1D03" w:rsidRDefault="00FB3051" w:rsidP="00FB3051">
      <w:pPr>
        <w:autoSpaceDE w:val="0"/>
        <w:autoSpaceDN w:val="0"/>
        <w:adjustRightInd w:val="0"/>
      </w:pPr>
      <w:r w:rsidRPr="008B1D03">
        <w:tab/>
      </w:r>
      <w:r w:rsidRPr="008B1D03">
        <w:tab/>
        <w:t>General Service Demand</w:t>
      </w:r>
      <w:r w:rsidRPr="008B1D03">
        <w:tab/>
      </w:r>
      <w:r w:rsidRPr="008B1D03">
        <w:tab/>
      </w:r>
      <w:r w:rsidRPr="008B1D03">
        <w:tab/>
        <w:t>1.01 $/kW</w:t>
      </w:r>
      <w:r w:rsidRPr="008B1D03">
        <w:tab/>
      </w:r>
    </w:p>
    <w:p w:rsidR="00FB3051" w:rsidRPr="008B1D03" w:rsidRDefault="00FB3051" w:rsidP="00FB3051">
      <w:pPr>
        <w:autoSpaceDE w:val="0"/>
        <w:autoSpaceDN w:val="0"/>
        <w:adjustRightInd w:val="0"/>
      </w:pPr>
      <w:r w:rsidRPr="008B1D03">
        <w:rPr>
          <w:rFonts w:ascii="Arial" w:hAnsi="Arial" w:cs="Arial"/>
          <w:sz w:val="23"/>
          <w:szCs w:val="23"/>
        </w:rPr>
        <w:tab/>
      </w:r>
      <w:r w:rsidRPr="008B1D03">
        <w:rPr>
          <w:rFonts w:ascii="Arial" w:hAnsi="Arial" w:cs="Arial"/>
          <w:sz w:val="23"/>
          <w:szCs w:val="23"/>
        </w:rPr>
        <w:tab/>
        <w:t xml:space="preserve">   @ </w:t>
      </w:r>
      <w:r w:rsidRPr="008B1D03">
        <w:t>Primary Voltage</w:t>
      </w:r>
      <w:r w:rsidRPr="008B1D03">
        <w:tab/>
      </w:r>
      <w:r w:rsidRPr="008B1D03">
        <w:tab/>
      </w:r>
      <w:r w:rsidRPr="008B1D03">
        <w:tab/>
      </w:r>
      <w:r w:rsidRPr="008B1D03">
        <w:tab/>
        <w:t>1.00 $/kW</w:t>
      </w:r>
    </w:p>
    <w:p w:rsidR="00FB3051" w:rsidRPr="008B1D03" w:rsidRDefault="00FB3051" w:rsidP="00FB3051">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0.99 $/kW</w:t>
      </w:r>
    </w:p>
    <w:p w:rsidR="00FB3051" w:rsidRPr="008B1D03" w:rsidRDefault="00FB3051" w:rsidP="00FB3051">
      <w:pPr>
        <w:autoSpaceDE w:val="0"/>
        <w:autoSpaceDN w:val="0"/>
        <w:adjustRightInd w:val="0"/>
      </w:pPr>
      <w:r w:rsidRPr="008B1D03">
        <w:tab/>
      </w:r>
      <w:r w:rsidRPr="008B1D03">
        <w:tab/>
        <w:t>Curtailable</w:t>
      </w:r>
      <w:r w:rsidRPr="008B1D03">
        <w:tab/>
      </w:r>
      <w:r w:rsidRPr="008B1D03">
        <w:tab/>
      </w:r>
      <w:r w:rsidRPr="008B1D03">
        <w:tab/>
      </w:r>
      <w:r w:rsidRPr="008B1D03">
        <w:tab/>
      </w:r>
      <w:r w:rsidRPr="008B1D03">
        <w:tab/>
        <w:t>0.68 $/kW</w:t>
      </w:r>
    </w:p>
    <w:p w:rsidR="00FB3051" w:rsidRPr="008B1D03" w:rsidRDefault="00FB3051" w:rsidP="00FB3051">
      <w:pPr>
        <w:autoSpaceDE w:val="0"/>
        <w:autoSpaceDN w:val="0"/>
        <w:adjustRightInd w:val="0"/>
      </w:pPr>
      <w:r w:rsidRPr="008B1D03">
        <w:rPr>
          <w:rFonts w:ascii="Arial" w:hAnsi="Arial" w:cs="Arial"/>
        </w:rPr>
        <w:tab/>
      </w:r>
      <w:r w:rsidRPr="008B1D03">
        <w:rPr>
          <w:rFonts w:ascii="Arial" w:hAnsi="Arial" w:cs="Arial"/>
        </w:rPr>
        <w:tab/>
        <w:t xml:space="preserve">   @ </w:t>
      </w:r>
      <w:r w:rsidRPr="008B1D03">
        <w:t>Primary Voltage</w:t>
      </w:r>
      <w:r w:rsidRPr="008B1D03">
        <w:tab/>
      </w:r>
      <w:r w:rsidRPr="008B1D03">
        <w:tab/>
      </w:r>
      <w:r w:rsidRPr="008B1D03">
        <w:tab/>
      </w:r>
      <w:r w:rsidRPr="008B1D03">
        <w:tab/>
        <w:t>0.67 $/kW</w:t>
      </w:r>
    </w:p>
    <w:p w:rsidR="00FB3051" w:rsidRPr="008B1D03" w:rsidRDefault="00FB3051" w:rsidP="00FB3051">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 xml:space="preserve">0.67 $/kW </w:t>
      </w:r>
    </w:p>
    <w:p w:rsidR="00FB3051" w:rsidRPr="008B1D03" w:rsidRDefault="00FB3051" w:rsidP="00FB3051">
      <w:pPr>
        <w:autoSpaceDE w:val="0"/>
        <w:autoSpaceDN w:val="0"/>
        <w:adjustRightInd w:val="0"/>
      </w:pPr>
      <w:r w:rsidRPr="008B1D03">
        <w:tab/>
      </w:r>
      <w:r w:rsidRPr="008B1D03">
        <w:tab/>
        <w:t>Interruptible</w:t>
      </w:r>
      <w:r w:rsidRPr="008B1D03">
        <w:tab/>
      </w:r>
      <w:r w:rsidRPr="008B1D03">
        <w:tab/>
      </w:r>
      <w:r w:rsidRPr="008B1D03">
        <w:tab/>
      </w:r>
      <w:r w:rsidRPr="008B1D03">
        <w:tab/>
      </w:r>
      <w:r w:rsidRPr="008B1D03">
        <w:tab/>
        <w:t xml:space="preserve">0.83 $/kW </w:t>
      </w:r>
    </w:p>
    <w:p w:rsidR="00FB3051" w:rsidRPr="008B1D03" w:rsidRDefault="00FB3051" w:rsidP="00FB3051">
      <w:pPr>
        <w:autoSpaceDE w:val="0"/>
        <w:autoSpaceDN w:val="0"/>
        <w:adjustRightInd w:val="0"/>
      </w:pPr>
      <w:r w:rsidRPr="008B1D03">
        <w:rPr>
          <w:rFonts w:ascii="Arial" w:hAnsi="Arial" w:cs="Arial"/>
        </w:rPr>
        <w:tab/>
      </w:r>
      <w:r w:rsidRPr="008B1D03">
        <w:rPr>
          <w:rFonts w:ascii="Arial" w:hAnsi="Arial" w:cs="Arial"/>
        </w:rPr>
        <w:tab/>
        <w:t xml:space="preserve">   @ </w:t>
      </w:r>
      <w:r w:rsidRPr="008B1D03">
        <w:t>Primary Voltage</w:t>
      </w:r>
      <w:r w:rsidRPr="008B1D03">
        <w:tab/>
      </w:r>
      <w:r w:rsidRPr="008B1D03">
        <w:tab/>
      </w:r>
      <w:r w:rsidRPr="008B1D03">
        <w:tab/>
      </w:r>
      <w:r w:rsidRPr="008B1D03">
        <w:tab/>
        <w:t>0.82 $/kW</w:t>
      </w:r>
    </w:p>
    <w:p w:rsidR="00FB3051" w:rsidRPr="008B1D03" w:rsidRDefault="00FB3051" w:rsidP="00FB3051">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 xml:space="preserve">0.81 $/kW </w:t>
      </w:r>
    </w:p>
    <w:p w:rsidR="00FB3051" w:rsidRPr="008B1D03" w:rsidRDefault="00FB3051" w:rsidP="00FB3051">
      <w:pPr>
        <w:autoSpaceDE w:val="0"/>
        <w:autoSpaceDN w:val="0"/>
        <w:adjustRightInd w:val="0"/>
      </w:pPr>
      <w:r w:rsidRPr="008B1D03">
        <w:tab/>
      </w:r>
      <w:r w:rsidRPr="008B1D03">
        <w:tab/>
        <w:t>Standby Monthly</w:t>
      </w:r>
      <w:r w:rsidRPr="008B1D03">
        <w:tab/>
      </w:r>
      <w:r w:rsidRPr="008B1D03">
        <w:tab/>
      </w:r>
      <w:r w:rsidRPr="008B1D03">
        <w:tab/>
      </w:r>
      <w:r w:rsidRPr="008B1D03">
        <w:tab/>
        <w:t>0.099 $/kW</w:t>
      </w:r>
    </w:p>
    <w:p w:rsidR="00FB3051" w:rsidRPr="008B1D03" w:rsidRDefault="00FB3051" w:rsidP="00FB3051">
      <w:pPr>
        <w:autoSpaceDE w:val="0"/>
        <w:autoSpaceDN w:val="0"/>
        <w:adjustRightInd w:val="0"/>
      </w:pPr>
      <w:r w:rsidRPr="008B1D03">
        <w:rPr>
          <w:rFonts w:ascii="Arial" w:hAnsi="Arial" w:cs="Arial"/>
        </w:rPr>
        <w:tab/>
      </w:r>
      <w:r w:rsidRPr="008B1D03">
        <w:rPr>
          <w:rFonts w:ascii="Arial" w:hAnsi="Arial" w:cs="Arial"/>
        </w:rPr>
        <w:tab/>
        <w:t xml:space="preserve">   @ </w:t>
      </w:r>
      <w:r w:rsidRPr="008B1D03">
        <w:t>Primary Voltage</w:t>
      </w:r>
      <w:r w:rsidRPr="008B1D03">
        <w:tab/>
      </w:r>
      <w:r w:rsidRPr="008B1D03">
        <w:tab/>
      </w:r>
      <w:r w:rsidRPr="008B1D03">
        <w:tab/>
      </w:r>
      <w:r w:rsidRPr="008B1D03">
        <w:tab/>
        <w:t>0.098 $/kW</w:t>
      </w:r>
    </w:p>
    <w:p w:rsidR="00FB3051" w:rsidRPr="008B1D03" w:rsidRDefault="00FB3051" w:rsidP="00FB3051">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0.097 $/kW</w:t>
      </w:r>
    </w:p>
    <w:p w:rsidR="00FB3051" w:rsidRPr="008B1D03" w:rsidRDefault="00FB3051" w:rsidP="00FB3051">
      <w:pPr>
        <w:autoSpaceDE w:val="0"/>
        <w:autoSpaceDN w:val="0"/>
        <w:adjustRightInd w:val="0"/>
      </w:pPr>
      <w:r w:rsidRPr="008B1D03">
        <w:tab/>
      </w:r>
      <w:r w:rsidRPr="008B1D03">
        <w:tab/>
        <w:t>Standby Daily</w:t>
      </w:r>
      <w:r w:rsidRPr="008B1D03">
        <w:tab/>
      </w:r>
      <w:r w:rsidRPr="008B1D03">
        <w:tab/>
      </w:r>
      <w:r w:rsidRPr="008B1D03">
        <w:tab/>
      </w:r>
      <w:r w:rsidRPr="008B1D03">
        <w:tab/>
      </w:r>
      <w:r w:rsidRPr="008B1D03">
        <w:tab/>
        <w:t xml:space="preserve">0.047 $/kW </w:t>
      </w:r>
    </w:p>
    <w:p w:rsidR="00FB3051" w:rsidRPr="008B1D03" w:rsidRDefault="00FB3051" w:rsidP="00FB3051">
      <w:pPr>
        <w:autoSpaceDE w:val="0"/>
        <w:autoSpaceDN w:val="0"/>
        <w:adjustRightInd w:val="0"/>
      </w:pPr>
      <w:r w:rsidRPr="008B1D03">
        <w:rPr>
          <w:rFonts w:ascii="Arial" w:hAnsi="Arial" w:cs="Arial"/>
        </w:rPr>
        <w:tab/>
      </w:r>
      <w:r w:rsidRPr="008B1D03">
        <w:rPr>
          <w:rFonts w:ascii="Arial" w:hAnsi="Arial" w:cs="Arial"/>
        </w:rPr>
        <w:tab/>
        <w:t xml:space="preserve">   @ </w:t>
      </w:r>
      <w:r w:rsidRPr="008B1D03">
        <w:t>Primary Voltage</w:t>
      </w:r>
      <w:r w:rsidRPr="008B1D03">
        <w:tab/>
      </w:r>
      <w:r w:rsidRPr="008B1D03">
        <w:tab/>
      </w:r>
      <w:r w:rsidRPr="008B1D03">
        <w:tab/>
      </w:r>
      <w:r w:rsidRPr="008B1D03">
        <w:tab/>
        <w:t xml:space="preserve">0.047 $/kW </w:t>
      </w:r>
    </w:p>
    <w:p w:rsidR="00FB3051" w:rsidRPr="008B1D03" w:rsidRDefault="00FB3051" w:rsidP="00FB3051">
      <w:pPr>
        <w:autoSpaceDE w:val="0"/>
        <w:autoSpaceDN w:val="0"/>
        <w:adjustRightInd w:val="0"/>
      </w:pPr>
      <w:r w:rsidRPr="008B1D03">
        <w:rPr>
          <w:rFonts w:ascii="Arial" w:hAnsi="Arial" w:cs="Arial"/>
        </w:rPr>
        <w:tab/>
      </w:r>
      <w:r w:rsidRPr="008B1D03">
        <w:rPr>
          <w:rFonts w:ascii="Arial" w:hAnsi="Arial" w:cs="Arial"/>
        </w:rPr>
        <w:tab/>
        <w:t xml:space="preserve">   @ </w:t>
      </w:r>
      <w:r w:rsidRPr="008B1D03">
        <w:t>Transmission Voltage</w:t>
      </w:r>
      <w:r w:rsidRPr="008B1D03">
        <w:tab/>
      </w:r>
      <w:r w:rsidRPr="008B1D03">
        <w:tab/>
      </w:r>
      <w:r w:rsidRPr="008B1D03">
        <w:tab/>
        <w:t xml:space="preserve">0.046 $/kW </w:t>
      </w:r>
    </w:p>
    <w:p w:rsidR="00FB3051" w:rsidRPr="008B1D03" w:rsidRDefault="00FB3051" w:rsidP="00FB3051">
      <w:pPr>
        <w:autoSpaceDE w:val="0"/>
        <w:autoSpaceDN w:val="0"/>
        <w:adjustRightInd w:val="0"/>
      </w:pPr>
      <w:r w:rsidRPr="008B1D03">
        <w:tab/>
      </w:r>
      <w:r w:rsidRPr="008B1D03">
        <w:tab/>
        <w:t>Lighting</w:t>
      </w:r>
      <w:r w:rsidRPr="008B1D03">
        <w:tab/>
      </w:r>
      <w:r w:rsidRPr="008B1D03">
        <w:tab/>
      </w:r>
      <w:r w:rsidRPr="008B1D03">
        <w:tab/>
      </w:r>
      <w:r w:rsidRPr="008B1D03">
        <w:tab/>
      </w:r>
      <w:r w:rsidRPr="008B1D03">
        <w:tab/>
        <w:t>0.108 cents/kWh</w:t>
      </w:r>
    </w:p>
    <w:p w:rsidR="00FB3051" w:rsidRPr="008B1D03" w:rsidRDefault="00FB3051" w:rsidP="00FB3051">
      <w:pPr>
        <w:ind w:left="1440" w:hanging="1440"/>
        <w:jc w:val="both"/>
      </w:pPr>
      <w:r w:rsidRPr="008B1D03">
        <w:rPr>
          <w:bCs/>
        </w:rPr>
        <w:tab/>
      </w:r>
      <w:r w:rsidRPr="008B1D03">
        <w:rPr>
          <w:bCs/>
        </w:rPr>
        <w:tab/>
      </w:r>
      <w:r w:rsidRPr="008B1D03">
        <w:rPr>
          <w:bCs/>
        </w:rPr>
        <w:tab/>
      </w:r>
      <w:r w:rsidRPr="008B1D03">
        <w:rPr>
          <w:bCs/>
        </w:rPr>
        <w:tab/>
      </w:r>
      <w:r w:rsidRPr="008B1D03">
        <w:rPr>
          <w:bCs/>
        </w:rPr>
        <w:tab/>
      </w:r>
      <w:r w:rsidRPr="008B1D03">
        <w:rPr>
          <w:bCs/>
        </w:rPr>
        <w:tab/>
      </w:r>
      <w:r w:rsidRPr="008B1D03">
        <w:rPr>
          <w:bCs/>
        </w:rPr>
        <w:tab/>
      </w:r>
      <w:r w:rsidRPr="008B1D03">
        <w:rPr>
          <w:bCs/>
        </w:rPr>
        <w:tab/>
      </w:r>
      <w:r w:rsidRPr="008B1D03">
        <w:rPr>
          <w:bCs/>
        </w:rPr>
        <w:tab/>
      </w:r>
    </w:p>
    <w:p w:rsidR="00FB3051" w:rsidRPr="008B1D03" w:rsidRDefault="00FB3051" w:rsidP="00FB3051">
      <w:pPr>
        <w:tabs>
          <w:tab w:val="left" w:pos="1440"/>
        </w:tabs>
        <w:ind w:left="1440" w:hanging="1440"/>
        <w:jc w:val="both"/>
        <w:rPr>
          <w:b/>
          <w:bCs/>
        </w:rPr>
      </w:pPr>
      <w:r w:rsidRPr="008B1D03">
        <w:rPr>
          <w:b/>
          <w:bCs/>
        </w:rPr>
        <w:lastRenderedPageBreak/>
        <w:t>FPL</w:t>
      </w:r>
      <w:r w:rsidRPr="008B1D03">
        <w:rPr>
          <w:bCs/>
        </w:rPr>
        <w:t>:</w:t>
      </w:r>
      <w:r w:rsidRPr="008B1D03">
        <w:rPr>
          <w:bCs/>
        </w:rPr>
        <w:tab/>
      </w:r>
      <w:r w:rsidRPr="008B1D03">
        <w:rPr>
          <w:bCs/>
          <w:noProof/>
        </w:rPr>
        <w:drawing>
          <wp:inline distT="0" distB="0" distL="0" distR="0" wp14:anchorId="580E1DA1" wp14:editId="30937CCF">
            <wp:extent cx="5204460" cy="316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4460" cy="3169920"/>
                    </a:xfrm>
                    <a:prstGeom prst="rect">
                      <a:avLst/>
                    </a:prstGeom>
                    <a:noFill/>
                    <a:ln>
                      <a:noFill/>
                    </a:ln>
                  </pic:spPr>
                </pic:pic>
              </a:graphicData>
            </a:graphic>
          </wp:inline>
        </w:drawing>
      </w:r>
    </w:p>
    <w:p w:rsidR="00FB3051" w:rsidRPr="008B1D03" w:rsidRDefault="00FB3051" w:rsidP="00FB3051">
      <w:pPr>
        <w:ind w:left="1440" w:hanging="1440"/>
        <w:jc w:val="both"/>
      </w:pPr>
    </w:p>
    <w:p w:rsidR="00FB3051" w:rsidRPr="008B1D03" w:rsidRDefault="00FB3051" w:rsidP="00FB3051">
      <w:pPr>
        <w:ind w:left="1440" w:hanging="1440"/>
        <w:jc w:val="both"/>
      </w:pPr>
      <w:r w:rsidRPr="008B1D03">
        <w:rPr>
          <w:b/>
        </w:rPr>
        <w:t>FPUC</w:t>
      </w:r>
      <w:r w:rsidRPr="008B1D03">
        <w:t>:</w:t>
      </w:r>
      <w:r w:rsidRPr="008B1D03">
        <w:tab/>
        <w:t>$.00102 per KWH (consolidated levelized).</w:t>
      </w:r>
    </w:p>
    <w:p w:rsidR="00FB3051" w:rsidRPr="008B1D03" w:rsidRDefault="00FB3051" w:rsidP="00FB3051">
      <w:pPr>
        <w:ind w:left="1440" w:hanging="1440"/>
        <w:jc w:val="both"/>
      </w:pPr>
    </w:p>
    <w:p w:rsidR="00FB3051" w:rsidRPr="008B1D03" w:rsidRDefault="00FB3051" w:rsidP="00FB3051">
      <w:pPr>
        <w:rPr>
          <w:u w:val="single"/>
        </w:rPr>
      </w:pPr>
      <w:r w:rsidRPr="008B1D03">
        <w:rPr>
          <w:u w:val="single"/>
        </w:rPr>
        <w:br w:type="page"/>
      </w:r>
    </w:p>
    <w:p w:rsidR="00FB3051" w:rsidRPr="008B1D03" w:rsidRDefault="00FB3051" w:rsidP="00FB3051">
      <w:pPr>
        <w:tabs>
          <w:tab w:val="left" w:pos="-1440"/>
        </w:tabs>
        <w:ind w:left="1440" w:hanging="1440"/>
        <w:jc w:val="both"/>
      </w:pPr>
      <w:r w:rsidRPr="008B1D03">
        <w:rPr>
          <w:b/>
        </w:rPr>
        <w:lastRenderedPageBreak/>
        <w:t>GULF</w:t>
      </w:r>
      <w:r w:rsidRPr="008B1D03">
        <w:t>:</w:t>
      </w:r>
      <w:r w:rsidRPr="008B1D03">
        <w:tab/>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82" w:type="dxa"/>
          <w:right w:w="182" w:type="dxa"/>
        </w:tblCellMar>
        <w:tblLook w:val="0000" w:firstRow="0" w:lastRow="0" w:firstColumn="0" w:lastColumn="0" w:noHBand="0" w:noVBand="0"/>
      </w:tblPr>
      <w:tblGrid>
        <w:gridCol w:w="3239"/>
        <w:gridCol w:w="2338"/>
      </w:tblGrid>
      <w:tr w:rsidR="00FB3051" w:rsidRPr="008B1D03" w:rsidTr="00F02BAF">
        <w:trPr>
          <w:trHeight w:val="1545"/>
          <w:jc w:val="center"/>
        </w:trPr>
        <w:tc>
          <w:tcPr>
            <w:tcW w:w="3239" w:type="dxa"/>
          </w:tcPr>
          <w:p w:rsidR="00FB3051" w:rsidRPr="008B1D03" w:rsidRDefault="00FB3051" w:rsidP="00F02BAF">
            <w:pPr>
              <w:spacing w:line="220" w:lineRule="exact"/>
            </w:pPr>
          </w:p>
          <w:p w:rsidR="00FB3051" w:rsidRPr="008B1D03" w:rsidRDefault="00FB3051" w:rsidP="00F02BAF">
            <w:pPr>
              <w:jc w:val="center"/>
              <w:rPr>
                <w:b/>
                <w:bCs/>
              </w:rPr>
            </w:pPr>
          </w:p>
          <w:p w:rsidR="00FB3051" w:rsidRPr="008B1D03" w:rsidRDefault="00FB3051" w:rsidP="00F02BAF">
            <w:pPr>
              <w:jc w:val="center"/>
              <w:rPr>
                <w:b/>
                <w:bCs/>
              </w:rPr>
            </w:pPr>
            <w:r w:rsidRPr="008B1D03">
              <w:rPr>
                <w:b/>
                <w:bCs/>
              </w:rPr>
              <w:t>RATE</w:t>
            </w:r>
          </w:p>
          <w:p w:rsidR="00FB3051" w:rsidRPr="008B1D03" w:rsidRDefault="00FB3051" w:rsidP="00F02BAF">
            <w:pPr>
              <w:spacing w:after="90"/>
              <w:jc w:val="center"/>
            </w:pPr>
            <w:r w:rsidRPr="008B1D03">
              <w:rPr>
                <w:b/>
                <w:bCs/>
              </w:rPr>
              <w:t>CLASS</w:t>
            </w:r>
          </w:p>
        </w:tc>
        <w:tc>
          <w:tcPr>
            <w:tcW w:w="2338" w:type="dxa"/>
          </w:tcPr>
          <w:p w:rsidR="00FB3051" w:rsidRPr="008B1D03" w:rsidRDefault="00FB3051" w:rsidP="00F02BAF">
            <w:pPr>
              <w:spacing w:line="220" w:lineRule="exact"/>
            </w:pPr>
          </w:p>
          <w:p w:rsidR="00FB3051" w:rsidRPr="008B1D03" w:rsidRDefault="00FB3051" w:rsidP="00F02BAF">
            <w:pPr>
              <w:jc w:val="center"/>
              <w:rPr>
                <w:b/>
                <w:bCs/>
              </w:rPr>
            </w:pPr>
            <w:r w:rsidRPr="008B1D03">
              <w:rPr>
                <w:b/>
                <w:bCs/>
              </w:rPr>
              <w:t>CONSERVATION COST RECOVERY FACTORS</w:t>
            </w:r>
          </w:p>
          <w:p w:rsidR="00FB3051" w:rsidRPr="008B1D03" w:rsidRDefault="00FB3051" w:rsidP="00F02BAF">
            <w:pPr>
              <w:spacing w:after="90"/>
              <w:jc w:val="center"/>
            </w:pPr>
          </w:p>
        </w:tc>
      </w:tr>
      <w:tr w:rsidR="00FB3051" w:rsidRPr="008B1D03" w:rsidTr="00F02BAF">
        <w:trPr>
          <w:trHeight w:val="439"/>
          <w:jc w:val="center"/>
        </w:trPr>
        <w:tc>
          <w:tcPr>
            <w:tcW w:w="3239" w:type="dxa"/>
          </w:tcPr>
          <w:p w:rsidR="00FB3051" w:rsidRPr="008B1D03" w:rsidRDefault="00FB3051" w:rsidP="00F02BAF">
            <w:pPr>
              <w:spacing w:line="163" w:lineRule="exact"/>
            </w:pPr>
          </w:p>
          <w:p w:rsidR="00FB3051" w:rsidRPr="008B1D03" w:rsidRDefault="00FB3051" w:rsidP="00F02BAF">
            <w:pPr>
              <w:jc w:val="center"/>
            </w:pPr>
            <w:r w:rsidRPr="008B1D03">
              <w:t>RS</w:t>
            </w:r>
          </w:p>
        </w:tc>
        <w:tc>
          <w:tcPr>
            <w:tcW w:w="2338" w:type="dxa"/>
          </w:tcPr>
          <w:p w:rsidR="00FB3051" w:rsidRPr="008B1D03" w:rsidRDefault="00FB3051" w:rsidP="00F02BAF">
            <w:pPr>
              <w:spacing w:line="163" w:lineRule="exact"/>
            </w:pPr>
          </w:p>
          <w:p w:rsidR="00FB3051" w:rsidRPr="008B1D03" w:rsidRDefault="00FB3051" w:rsidP="00F02BAF">
            <w:pPr>
              <w:jc w:val="center"/>
            </w:pPr>
            <w:r w:rsidRPr="008B1D03">
              <w:t>0.140 cents/kWh</w:t>
            </w:r>
          </w:p>
        </w:tc>
      </w:tr>
      <w:tr w:rsidR="00FB3051" w:rsidRPr="008B1D03" w:rsidTr="00F02BAF">
        <w:trPr>
          <w:trHeight w:val="439"/>
          <w:jc w:val="center"/>
        </w:trPr>
        <w:tc>
          <w:tcPr>
            <w:tcW w:w="3239" w:type="dxa"/>
            <w:vAlign w:val="bottom"/>
          </w:tcPr>
          <w:p w:rsidR="00FB3051" w:rsidRPr="008B1D03" w:rsidRDefault="00FB3051" w:rsidP="00F02BAF">
            <w:pPr>
              <w:jc w:val="center"/>
            </w:pPr>
            <w:r w:rsidRPr="008B1D03">
              <w:t>RSVP, Tier 1</w:t>
            </w:r>
          </w:p>
        </w:tc>
        <w:tc>
          <w:tcPr>
            <w:tcW w:w="2338" w:type="dxa"/>
            <w:vAlign w:val="bottom"/>
          </w:tcPr>
          <w:p w:rsidR="00FB3051" w:rsidRPr="008B1D03" w:rsidRDefault="00FB3051" w:rsidP="00F02BAF">
            <w:pPr>
              <w:jc w:val="center"/>
            </w:pPr>
            <w:r w:rsidRPr="008B1D03">
              <w:t>(3.000) cents/kWh</w:t>
            </w:r>
          </w:p>
        </w:tc>
      </w:tr>
      <w:tr w:rsidR="00FB3051" w:rsidRPr="008B1D03" w:rsidTr="00F02BAF">
        <w:trPr>
          <w:trHeight w:val="439"/>
          <w:jc w:val="center"/>
        </w:trPr>
        <w:tc>
          <w:tcPr>
            <w:tcW w:w="3239" w:type="dxa"/>
            <w:vAlign w:val="bottom"/>
          </w:tcPr>
          <w:p w:rsidR="00FB3051" w:rsidRPr="008B1D03" w:rsidRDefault="00FB3051" w:rsidP="00F02BAF">
            <w:pPr>
              <w:jc w:val="center"/>
            </w:pPr>
            <w:r w:rsidRPr="008B1D03">
              <w:t>RSVP, Tier 2</w:t>
            </w:r>
          </w:p>
        </w:tc>
        <w:tc>
          <w:tcPr>
            <w:tcW w:w="2338" w:type="dxa"/>
            <w:vAlign w:val="bottom"/>
          </w:tcPr>
          <w:p w:rsidR="00FB3051" w:rsidRPr="008B1D03" w:rsidRDefault="00FB3051" w:rsidP="00F02BAF">
            <w:pPr>
              <w:jc w:val="center"/>
            </w:pPr>
            <w:r w:rsidRPr="008B1D03">
              <w:t>(0.952) cents/kWh</w:t>
            </w:r>
          </w:p>
        </w:tc>
      </w:tr>
      <w:tr w:rsidR="00FB3051" w:rsidRPr="008B1D03" w:rsidTr="00F02BAF">
        <w:trPr>
          <w:trHeight w:val="439"/>
          <w:jc w:val="center"/>
        </w:trPr>
        <w:tc>
          <w:tcPr>
            <w:tcW w:w="3239" w:type="dxa"/>
            <w:vAlign w:val="bottom"/>
          </w:tcPr>
          <w:p w:rsidR="00FB3051" w:rsidRPr="008B1D03" w:rsidRDefault="00FB3051" w:rsidP="00F02BAF">
            <w:pPr>
              <w:jc w:val="center"/>
            </w:pPr>
            <w:r w:rsidRPr="008B1D03">
              <w:t>RSVP, Tier 3</w:t>
            </w:r>
          </w:p>
        </w:tc>
        <w:tc>
          <w:tcPr>
            <w:tcW w:w="2338" w:type="dxa"/>
            <w:vAlign w:val="bottom"/>
          </w:tcPr>
          <w:p w:rsidR="00FB3051" w:rsidRPr="008B1D03" w:rsidRDefault="00FB3051" w:rsidP="00F02BAF">
            <w:pPr>
              <w:jc w:val="center"/>
            </w:pPr>
            <w:r w:rsidRPr="008B1D03">
              <w:t>7.772 cents/kWh</w:t>
            </w:r>
          </w:p>
        </w:tc>
      </w:tr>
      <w:tr w:rsidR="00FB3051" w:rsidRPr="008B1D03" w:rsidTr="00F02BAF">
        <w:trPr>
          <w:trHeight w:val="439"/>
          <w:jc w:val="center"/>
        </w:trPr>
        <w:tc>
          <w:tcPr>
            <w:tcW w:w="3239" w:type="dxa"/>
            <w:vAlign w:val="bottom"/>
          </w:tcPr>
          <w:p w:rsidR="00FB3051" w:rsidRPr="008B1D03" w:rsidRDefault="00FB3051" w:rsidP="00F02BAF">
            <w:pPr>
              <w:jc w:val="center"/>
            </w:pPr>
            <w:r w:rsidRPr="008B1D03">
              <w:t>RSVP, Tier 4</w:t>
            </w:r>
          </w:p>
        </w:tc>
        <w:tc>
          <w:tcPr>
            <w:tcW w:w="2338" w:type="dxa"/>
            <w:vAlign w:val="bottom"/>
          </w:tcPr>
          <w:p w:rsidR="00FB3051" w:rsidRPr="008B1D03" w:rsidRDefault="00FB3051" w:rsidP="00F02BAF">
            <w:pPr>
              <w:jc w:val="center"/>
            </w:pPr>
            <w:r w:rsidRPr="008B1D03">
              <w:t>68.008 cents/kWh</w:t>
            </w:r>
          </w:p>
        </w:tc>
      </w:tr>
      <w:tr w:rsidR="00FB3051" w:rsidRPr="008B1D03" w:rsidTr="00F02BAF">
        <w:trPr>
          <w:trHeight w:val="375"/>
          <w:jc w:val="center"/>
        </w:trPr>
        <w:tc>
          <w:tcPr>
            <w:tcW w:w="3239" w:type="dxa"/>
          </w:tcPr>
          <w:p w:rsidR="00FB3051" w:rsidRPr="008B1D03" w:rsidRDefault="00FB3051" w:rsidP="00F02BAF">
            <w:pPr>
              <w:spacing w:before="240"/>
              <w:jc w:val="center"/>
            </w:pPr>
            <w:r w:rsidRPr="008B1D03">
              <w:t>RSTOU On-peak</w:t>
            </w:r>
          </w:p>
        </w:tc>
        <w:tc>
          <w:tcPr>
            <w:tcW w:w="2338" w:type="dxa"/>
          </w:tcPr>
          <w:p w:rsidR="00FB3051" w:rsidRPr="008B1D03" w:rsidRDefault="00FB3051" w:rsidP="00F02BAF">
            <w:pPr>
              <w:spacing w:before="240"/>
              <w:jc w:val="center"/>
            </w:pPr>
            <w:r w:rsidRPr="008B1D03">
              <w:t>17.250 cents/kWh</w:t>
            </w:r>
          </w:p>
        </w:tc>
      </w:tr>
      <w:tr w:rsidR="00FB3051" w:rsidRPr="008B1D03" w:rsidTr="00F02BAF">
        <w:trPr>
          <w:trHeight w:val="375"/>
          <w:jc w:val="center"/>
        </w:trPr>
        <w:tc>
          <w:tcPr>
            <w:tcW w:w="3239" w:type="dxa"/>
          </w:tcPr>
          <w:p w:rsidR="00FB3051" w:rsidRPr="008B1D03" w:rsidRDefault="00FB3051" w:rsidP="00F02BAF">
            <w:pPr>
              <w:spacing w:before="240"/>
              <w:jc w:val="center"/>
            </w:pPr>
            <w:r w:rsidRPr="008B1D03">
              <w:t>RSTOU Off-peak</w:t>
            </w:r>
          </w:p>
        </w:tc>
        <w:tc>
          <w:tcPr>
            <w:tcW w:w="2338" w:type="dxa"/>
          </w:tcPr>
          <w:p w:rsidR="00FB3051" w:rsidRPr="008B1D03" w:rsidRDefault="00FB3051" w:rsidP="00F02BAF">
            <w:pPr>
              <w:spacing w:before="240"/>
              <w:jc w:val="center"/>
            </w:pPr>
            <w:r w:rsidRPr="008B1D03">
              <w:t>(3.205) cents/kWh</w:t>
            </w:r>
          </w:p>
        </w:tc>
      </w:tr>
      <w:tr w:rsidR="00FB3051" w:rsidRPr="008B1D03" w:rsidTr="00F02BAF">
        <w:trPr>
          <w:trHeight w:val="375"/>
          <w:jc w:val="center"/>
        </w:trPr>
        <w:tc>
          <w:tcPr>
            <w:tcW w:w="3239" w:type="dxa"/>
          </w:tcPr>
          <w:p w:rsidR="00FB3051" w:rsidRPr="008B1D03" w:rsidRDefault="00FB3051" w:rsidP="00F02BAF">
            <w:pPr>
              <w:spacing w:before="240"/>
              <w:jc w:val="center"/>
            </w:pPr>
            <w:r w:rsidRPr="008B1D03">
              <w:t>RSTOU Critical Peak Credit</w:t>
            </w:r>
          </w:p>
        </w:tc>
        <w:tc>
          <w:tcPr>
            <w:tcW w:w="2338" w:type="dxa"/>
          </w:tcPr>
          <w:p w:rsidR="00FB3051" w:rsidRPr="008B1D03" w:rsidRDefault="00FB3051" w:rsidP="00F02BAF">
            <w:pPr>
              <w:spacing w:before="240"/>
              <w:jc w:val="center"/>
            </w:pPr>
            <w:r w:rsidRPr="008B1D03">
              <w:t>$5.00 per event</w:t>
            </w:r>
          </w:p>
        </w:tc>
      </w:tr>
      <w:tr w:rsidR="00FB3051" w:rsidRPr="008B1D03" w:rsidTr="00F02BAF">
        <w:trPr>
          <w:trHeight w:val="439"/>
          <w:jc w:val="center"/>
        </w:trPr>
        <w:tc>
          <w:tcPr>
            <w:tcW w:w="3239" w:type="dxa"/>
          </w:tcPr>
          <w:p w:rsidR="00FB3051" w:rsidRPr="008B1D03" w:rsidRDefault="00FB3051" w:rsidP="00F02BAF">
            <w:pPr>
              <w:spacing w:line="163" w:lineRule="exact"/>
            </w:pPr>
          </w:p>
          <w:p w:rsidR="00FB3051" w:rsidRPr="008B1D03" w:rsidRDefault="00FB3051" w:rsidP="00F02BAF">
            <w:pPr>
              <w:jc w:val="center"/>
            </w:pPr>
            <w:r w:rsidRPr="008B1D03">
              <w:t>GS</w:t>
            </w:r>
          </w:p>
        </w:tc>
        <w:tc>
          <w:tcPr>
            <w:tcW w:w="2338" w:type="dxa"/>
          </w:tcPr>
          <w:p w:rsidR="00FB3051" w:rsidRPr="008B1D03" w:rsidRDefault="00FB3051" w:rsidP="00F02BAF">
            <w:pPr>
              <w:spacing w:line="163" w:lineRule="exact"/>
            </w:pPr>
          </w:p>
          <w:p w:rsidR="00FB3051" w:rsidRPr="008B1D03" w:rsidRDefault="00FB3051" w:rsidP="00F02BAF">
            <w:pPr>
              <w:jc w:val="center"/>
            </w:pPr>
            <w:r w:rsidRPr="008B1D03">
              <w:t>0.137 cents/kWh</w:t>
            </w:r>
          </w:p>
        </w:tc>
      </w:tr>
      <w:tr w:rsidR="00FB3051" w:rsidRPr="008B1D03" w:rsidTr="00F02BAF">
        <w:trPr>
          <w:trHeight w:val="439"/>
          <w:jc w:val="center"/>
        </w:trPr>
        <w:tc>
          <w:tcPr>
            <w:tcW w:w="3239" w:type="dxa"/>
          </w:tcPr>
          <w:p w:rsidR="00FB3051" w:rsidRPr="008B1D03" w:rsidRDefault="00FB3051" w:rsidP="00F02BAF">
            <w:pPr>
              <w:spacing w:line="163" w:lineRule="exact"/>
            </w:pPr>
          </w:p>
          <w:p w:rsidR="00FB3051" w:rsidRPr="008B1D03" w:rsidRDefault="00FB3051" w:rsidP="00F02BAF">
            <w:pPr>
              <w:jc w:val="center"/>
            </w:pPr>
            <w:r w:rsidRPr="008B1D03">
              <w:t>GSD, GSDT, GSTOU</w:t>
            </w:r>
          </w:p>
        </w:tc>
        <w:tc>
          <w:tcPr>
            <w:tcW w:w="2338" w:type="dxa"/>
          </w:tcPr>
          <w:p w:rsidR="00FB3051" w:rsidRPr="008B1D03" w:rsidRDefault="00FB3051" w:rsidP="00F02BAF">
            <w:pPr>
              <w:spacing w:line="163" w:lineRule="exact"/>
            </w:pPr>
          </w:p>
          <w:p w:rsidR="00FB3051" w:rsidRPr="008B1D03" w:rsidRDefault="00FB3051" w:rsidP="00F02BAF">
            <w:pPr>
              <w:jc w:val="center"/>
            </w:pPr>
            <w:r w:rsidRPr="008B1D03">
              <w:t>0.132 cents/kWh</w:t>
            </w:r>
          </w:p>
        </w:tc>
      </w:tr>
      <w:tr w:rsidR="00FB3051" w:rsidRPr="008B1D03" w:rsidTr="00F02BAF">
        <w:trPr>
          <w:trHeight w:val="439"/>
          <w:jc w:val="center"/>
        </w:trPr>
        <w:tc>
          <w:tcPr>
            <w:tcW w:w="3239" w:type="dxa"/>
          </w:tcPr>
          <w:p w:rsidR="00FB3051" w:rsidRPr="008B1D03" w:rsidRDefault="00FB3051" w:rsidP="00F02BAF">
            <w:pPr>
              <w:spacing w:line="163" w:lineRule="exact"/>
            </w:pPr>
          </w:p>
          <w:p w:rsidR="00FB3051" w:rsidRPr="008B1D03" w:rsidRDefault="00FB3051" w:rsidP="00F02BAF">
            <w:pPr>
              <w:jc w:val="center"/>
            </w:pPr>
            <w:r w:rsidRPr="008B1D03">
              <w:t>LP, LPT</w:t>
            </w:r>
          </w:p>
        </w:tc>
        <w:tc>
          <w:tcPr>
            <w:tcW w:w="2338" w:type="dxa"/>
          </w:tcPr>
          <w:p w:rsidR="00FB3051" w:rsidRPr="008B1D03" w:rsidRDefault="00FB3051" w:rsidP="00F02BAF">
            <w:pPr>
              <w:spacing w:line="163" w:lineRule="exact"/>
            </w:pPr>
          </w:p>
          <w:p w:rsidR="00FB3051" w:rsidRPr="008B1D03" w:rsidRDefault="00FB3051" w:rsidP="00F02BAF">
            <w:pPr>
              <w:jc w:val="center"/>
            </w:pPr>
            <w:r w:rsidRPr="008B1D03">
              <w:t>0.127 cents/kWh</w:t>
            </w:r>
          </w:p>
        </w:tc>
      </w:tr>
      <w:tr w:rsidR="00FB3051" w:rsidRPr="008B1D03" w:rsidTr="00F02BAF">
        <w:trPr>
          <w:trHeight w:val="582"/>
          <w:jc w:val="center"/>
        </w:trPr>
        <w:tc>
          <w:tcPr>
            <w:tcW w:w="3239" w:type="dxa"/>
          </w:tcPr>
          <w:p w:rsidR="00FB3051" w:rsidRPr="008B1D03" w:rsidRDefault="00FB3051" w:rsidP="00F02BAF">
            <w:pPr>
              <w:jc w:val="center"/>
            </w:pPr>
          </w:p>
          <w:p w:rsidR="00FB3051" w:rsidRPr="008B1D03" w:rsidRDefault="00FB3051" w:rsidP="00F02BAF">
            <w:pPr>
              <w:jc w:val="center"/>
            </w:pPr>
            <w:r w:rsidRPr="008B1D03">
              <w:t>LPT-CPO On-Peak</w:t>
            </w:r>
          </w:p>
        </w:tc>
        <w:tc>
          <w:tcPr>
            <w:tcW w:w="2338" w:type="dxa"/>
          </w:tcPr>
          <w:p w:rsidR="00FB3051" w:rsidRPr="008B1D03" w:rsidRDefault="00FB3051" w:rsidP="00F02BAF">
            <w:pPr>
              <w:jc w:val="center"/>
            </w:pPr>
          </w:p>
          <w:p w:rsidR="00FB3051" w:rsidRPr="008B1D03" w:rsidRDefault="00FB3051" w:rsidP="00F02BAF">
            <w:pPr>
              <w:jc w:val="center"/>
            </w:pPr>
            <w:r w:rsidRPr="008B1D03">
              <w:t>($2.14) per kW</w:t>
            </w:r>
          </w:p>
        </w:tc>
      </w:tr>
      <w:tr w:rsidR="00FB3051" w:rsidRPr="008B1D03" w:rsidTr="00F02BAF">
        <w:trPr>
          <w:trHeight w:val="439"/>
          <w:jc w:val="center"/>
        </w:trPr>
        <w:tc>
          <w:tcPr>
            <w:tcW w:w="3239" w:type="dxa"/>
          </w:tcPr>
          <w:p w:rsidR="00FB3051" w:rsidRPr="008B1D03" w:rsidRDefault="00FB3051" w:rsidP="00F02BAF">
            <w:pPr>
              <w:jc w:val="center"/>
            </w:pPr>
          </w:p>
          <w:p w:rsidR="00FB3051" w:rsidRPr="008B1D03" w:rsidRDefault="00FB3051" w:rsidP="00F02BAF">
            <w:pPr>
              <w:jc w:val="center"/>
            </w:pPr>
            <w:r w:rsidRPr="008B1D03">
              <w:t>LPT-CPO Critical</w:t>
            </w:r>
          </w:p>
        </w:tc>
        <w:tc>
          <w:tcPr>
            <w:tcW w:w="2338" w:type="dxa"/>
          </w:tcPr>
          <w:p w:rsidR="00FB3051" w:rsidRPr="008B1D03" w:rsidRDefault="00FB3051" w:rsidP="00F02BAF">
            <w:pPr>
              <w:jc w:val="center"/>
            </w:pPr>
          </w:p>
          <w:p w:rsidR="00FB3051" w:rsidRPr="008B1D03" w:rsidRDefault="00FB3051" w:rsidP="00F02BAF">
            <w:pPr>
              <w:jc w:val="center"/>
            </w:pPr>
            <w:r w:rsidRPr="008B1D03">
              <w:t>$25.68 per kW</w:t>
            </w:r>
          </w:p>
        </w:tc>
      </w:tr>
      <w:tr w:rsidR="00FB3051" w:rsidRPr="008B1D03" w:rsidTr="00F02BAF">
        <w:trPr>
          <w:trHeight w:val="439"/>
          <w:jc w:val="center"/>
        </w:trPr>
        <w:tc>
          <w:tcPr>
            <w:tcW w:w="3239" w:type="dxa"/>
          </w:tcPr>
          <w:p w:rsidR="00FB3051" w:rsidRPr="008B1D03" w:rsidRDefault="00FB3051" w:rsidP="00F02BAF">
            <w:pPr>
              <w:spacing w:line="163" w:lineRule="exact"/>
            </w:pPr>
          </w:p>
          <w:p w:rsidR="00FB3051" w:rsidRPr="008B1D03" w:rsidRDefault="00FB3051" w:rsidP="00F02BAF">
            <w:pPr>
              <w:jc w:val="center"/>
            </w:pPr>
            <w:r w:rsidRPr="008B1D03">
              <w:t>PX, PXT, RTP, SBS</w:t>
            </w:r>
          </w:p>
        </w:tc>
        <w:tc>
          <w:tcPr>
            <w:tcW w:w="2338" w:type="dxa"/>
          </w:tcPr>
          <w:p w:rsidR="00FB3051" w:rsidRPr="008B1D03" w:rsidRDefault="00FB3051" w:rsidP="00F02BAF">
            <w:pPr>
              <w:spacing w:line="163" w:lineRule="exact"/>
            </w:pPr>
          </w:p>
          <w:p w:rsidR="00FB3051" w:rsidRPr="008B1D03" w:rsidRDefault="00FB3051" w:rsidP="00F02BAF">
            <w:pPr>
              <w:jc w:val="center"/>
            </w:pPr>
            <w:r w:rsidRPr="008B1D03">
              <w:t>0.124 cents/kWh</w:t>
            </w:r>
          </w:p>
        </w:tc>
      </w:tr>
      <w:tr w:rsidR="00FB3051" w:rsidRPr="008B1D03" w:rsidTr="00F02BAF">
        <w:trPr>
          <w:trHeight w:val="439"/>
          <w:jc w:val="center"/>
        </w:trPr>
        <w:tc>
          <w:tcPr>
            <w:tcW w:w="3239" w:type="dxa"/>
          </w:tcPr>
          <w:p w:rsidR="00FB3051" w:rsidRPr="008B1D03" w:rsidRDefault="00FB3051" w:rsidP="00F02BAF">
            <w:pPr>
              <w:spacing w:line="163" w:lineRule="exact"/>
            </w:pPr>
          </w:p>
          <w:p w:rsidR="00FB3051" w:rsidRPr="008B1D03" w:rsidRDefault="00FB3051" w:rsidP="00F02BAF">
            <w:pPr>
              <w:jc w:val="center"/>
            </w:pPr>
            <w:r w:rsidRPr="008B1D03">
              <w:t>OSI, OSII</w:t>
            </w:r>
          </w:p>
        </w:tc>
        <w:tc>
          <w:tcPr>
            <w:tcW w:w="2338" w:type="dxa"/>
          </w:tcPr>
          <w:p w:rsidR="00FB3051" w:rsidRPr="008B1D03" w:rsidRDefault="00FB3051" w:rsidP="00F02BAF">
            <w:pPr>
              <w:spacing w:line="163" w:lineRule="exact"/>
            </w:pPr>
          </w:p>
          <w:p w:rsidR="00FB3051" w:rsidRPr="008B1D03" w:rsidRDefault="00FB3051" w:rsidP="00F02BAF">
            <w:pPr>
              <w:jc w:val="center"/>
            </w:pPr>
            <w:r w:rsidRPr="008B1D03">
              <w:t>0.108 cents/kWh</w:t>
            </w:r>
          </w:p>
        </w:tc>
      </w:tr>
      <w:tr w:rsidR="00FB3051" w:rsidRPr="008B1D03" w:rsidTr="00F02BAF">
        <w:trPr>
          <w:trHeight w:val="439"/>
          <w:jc w:val="center"/>
        </w:trPr>
        <w:tc>
          <w:tcPr>
            <w:tcW w:w="3239" w:type="dxa"/>
          </w:tcPr>
          <w:p w:rsidR="00FB3051" w:rsidRPr="008B1D03" w:rsidRDefault="00FB3051" w:rsidP="00F02BAF">
            <w:pPr>
              <w:spacing w:line="163" w:lineRule="exact"/>
            </w:pPr>
          </w:p>
          <w:p w:rsidR="00FB3051" w:rsidRPr="008B1D03" w:rsidRDefault="00FB3051" w:rsidP="00F02BAF">
            <w:pPr>
              <w:jc w:val="center"/>
            </w:pPr>
            <w:r w:rsidRPr="008B1D03">
              <w:t>OSIII</w:t>
            </w:r>
          </w:p>
        </w:tc>
        <w:tc>
          <w:tcPr>
            <w:tcW w:w="2338" w:type="dxa"/>
          </w:tcPr>
          <w:p w:rsidR="00FB3051" w:rsidRPr="008B1D03" w:rsidRDefault="00FB3051" w:rsidP="00F02BAF">
            <w:pPr>
              <w:spacing w:line="163" w:lineRule="exact"/>
            </w:pPr>
          </w:p>
          <w:p w:rsidR="00FB3051" w:rsidRPr="008B1D03" w:rsidRDefault="00FB3051" w:rsidP="00F02BAF">
            <w:pPr>
              <w:jc w:val="center"/>
            </w:pPr>
            <w:r w:rsidRPr="008B1D03">
              <w:t>0.124 cents/kWh</w:t>
            </w:r>
          </w:p>
        </w:tc>
      </w:tr>
    </w:tbl>
    <w:p w:rsidR="00FB3051" w:rsidRPr="008B1D03" w:rsidRDefault="00FB3051" w:rsidP="00FB3051">
      <w:pPr>
        <w:jc w:val="both"/>
      </w:pPr>
    </w:p>
    <w:p w:rsidR="00FB3051" w:rsidRPr="008B1D03" w:rsidRDefault="00FB3051" w:rsidP="00FB3051">
      <w:pPr>
        <w:rPr>
          <w:u w:val="single"/>
        </w:rPr>
      </w:pPr>
      <w:r w:rsidRPr="008B1D03">
        <w:rPr>
          <w:u w:val="single"/>
        </w:rPr>
        <w:br w:type="page"/>
      </w:r>
    </w:p>
    <w:p w:rsidR="00FB3051" w:rsidRPr="008B1D03" w:rsidRDefault="00FB3051" w:rsidP="00FB3051">
      <w:pPr>
        <w:ind w:left="1440" w:hanging="1440"/>
      </w:pPr>
      <w:r w:rsidRPr="008B1D03">
        <w:rPr>
          <w:b/>
        </w:rPr>
        <w:lastRenderedPageBreak/>
        <w:t>TECO</w:t>
      </w:r>
      <w:r w:rsidRPr="008B1D03">
        <w:t>:</w:t>
      </w:r>
      <w:r w:rsidRPr="008B1D03">
        <w:tab/>
      </w:r>
    </w:p>
    <w:p w:rsidR="00FB3051" w:rsidRPr="008B1D03" w:rsidRDefault="00FB3051" w:rsidP="00FB3051">
      <w:pPr>
        <w:pStyle w:val="QuickA"/>
        <w:tabs>
          <w:tab w:val="center" w:pos="6660"/>
          <w:tab w:val="left" w:pos="9360"/>
        </w:tabs>
        <w:spacing w:line="360" w:lineRule="auto"/>
        <w:ind w:left="720"/>
        <w:jc w:val="both"/>
        <w:rPr>
          <w:b/>
        </w:rPr>
      </w:pPr>
      <w:r w:rsidRPr="008B1D03">
        <w:tab/>
      </w:r>
      <w:r w:rsidRPr="008B1D03">
        <w:rPr>
          <w:b/>
        </w:rPr>
        <w:t>Cost Recovery Factors</w:t>
      </w:r>
    </w:p>
    <w:p w:rsidR="00FB3051" w:rsidRPr="008B1D03" w:rsidRDefault="00FB3051" w:rsidP="00FB3051">
      <w:pPr>
        <w:pStyle w:val="QuickA"/>
        <w:tabs>
          <w:tab w:val="center" w:pos="6660"/>
          <w:tab w:val="center" w:pos="7560"/>
          <w:tab w:val="left" w:pos="9360"/>
        </w:tabs>
        <w:spacing w:line="360" w:lineRule="auto"/>
        <w:ind w:left="1440"/>
        <w:jc w:val="both"/>
        <w:rPr>
          <w:b/>
        </w:rPr>
      </w:pPr>
      <w:r w:rsidRPr="008B1D03">
        <w:rPr>
          <w:b/>
          <w:u w:val="single"/>
        </w:rPr>
        <w:t>Rate Schedule</w:t>
      </w:r>
      <w:r w:rsidRPr="008B1D03">
        <w:rPr>
          <w:b/>
        </w:rPr>
        <w:tab/>
      </w:r>
      <w:r w:rsidRPr="008B1D03">
        <w:rPr>
          <w:b/>
          <w:u w:val="single"/>
        </w:rPr>
        <w:t>(cents per kWh)</w:t>
      </w:r>
    </w:p>
    <w:p w:rsidR="00FB3051" w:rsidRPr="008B1D03" w:rsidRDefault="00FB3051" w:rsidP="00FB3051">
      <w:pPr>
        <w:pStyle w:val="QuickA"/>
        <w:tabs>
          <w:tab w:val="center" w:pos="6660"/>
          <w:tab w:val="decimal" w:pos="7380"/>
        </w:tabs>
        <w:spacing w:line="360" w:lineRule="auto"/>
        <w:ind w:left="1440"/>
        <w:jc w:val="both"/>
      </w:pPr>
      <w:r w:rsidRPr="008B1D03">
        <w:t>RS</w:t>
      </w:r>
      <w:r w:rsidRPr="008B1D03">
        <w:tab/>
        <w:t>0.246</w:t>
      </w:r>
    </w:p>
    <w:p w:rsidR="00FB3051" w:rsidRPr="008B1D03" w:rsidRDefault="00FB3051" w:rsidP="00FB3051">
      <w:pPr>
        <w:pStyle w:val="QuickA"/>
        <w:tabs>
          <w:tab w:val="center" w:pos="6660"/>
          <w:tab w:val="decimal" w:pos="7380"/>
        </w:tabs>
        <w:spacing w:line="360" w:lineRule="auto"/>
        <w:ind w:left="1440"/>
        <w:jc w:val="both"/>
      </w:pPr>
      <w:r w:rsidRPr="008B1D03">
        <w:t>GS and CS</w:t>
      </w:r>
      <w:r w:rsidRPr="008B1D03">
        <w:tab/>
        <w:t>0.232</w:t>
      </w:r>
    </w:p>
    <w:p w:rsidR="00FB3051" w:rsidRPr="008B1D03" w:rsidRDefault="00FB3051" w:rsidP="00FB3051">
      <w:pPr>
        <w:pStyle w:val="QuickA"/>
        <w:tabs>
          <w:tab w:val="center" w:pos="6660"/>
          <w:tab w:val="decimal" w:pos="7380"/>
        </w:tabs>
        <w:spacing w:line="360" w:lineRule="auto"/>
        <w:ind w:left="1440"/>
        <w:jc w:val="both"/>
      </w:pPr>
      <w:r w:rsidRPr="008B1D03">
        <w:t>GSD Optional – Secondary</w:t>
      </w:r>
      <w:r w:rsidRPr="008B1D03">
        <w:tab/>
        <w:t>0.201</w:t>
      </w:r>
    </w:p>
    <w:p w:rsidR="00FB3051" w:rsidRPr="008B1D03" w:rsidRDefault="00FB3051" w:rsidP="00FB3051">
      <w:pPr>
        <w:pStyle w:val="QuickA"/>
        <w:tabs>
          <w:tab w:val="center" w:pos="6660"/>
          <w:tab w:val="decimal" w:pos="7380"/>
        </w:tabs>
        <w:spacing w:line="360" w:lineRule="auto"/>
        <w:ind w:left="1440"/>
        <w:jc w:val="both"/>
      </w:pPr>
      <w:r w:rsidRPr="008B1D03">
        <w:t>GSD Optional – Primary</w:t>
      </w:r>
      <w:r w:rsidRPr="008B1D03">
        <w:tab/>
        <w:t>0.199</w:t>
      </w:r>
    </w:p>
    <w:p w:rsidR="00FB3051" w:rsidRPr="008B1D03" w:rsidRDefault="00FB3051" w:rsidP="00FB3051">
      <w:pPr>
        <w:pStyle w:val="QuickA"/>
        <w:tabs>
          <w:tab w:val="center" w:pos="6660"/>
          <w:tab w:val="decimal" w:pos="7380"/>
        </w:tabs>
        <w:spacing w:line="360" w:lineRule="auto"/>
        <w:ind w:left="1440"/>
        <w:jc w:val="both"/>
      </w:pPr>
      <w:r w:rsidRPr="008B1D03">
        <w:t>GSD Optional – Subtransmission</w:t>
      </w:r>
      <w:r w:rsidRPr="008B1D03">
        <w:tab/>
        <w:t>0.197</w:t>
      </w:r>
    </w:p>
    <w:p w:rsidR="00FB3051" w:rsidRPr="008B1D03" w:rsidRDefault="00FB3051" w:rsidP="00FB3051">
      <w:pPr>
        <w:pStyle w:val="QuickA"/>
        <w:tabs>
          <w:tab w:val="center" w:pos="6660"/>
          <w:tab w:val="decimal" w:pos="7380"/>
        </w:tabs>
        <w:spacing w:line="360" w:lineRule="auto"/>
        <w:ind w:left="1440"/>
        <w:jc w:val="both"/>
      </w:pPr>
      <w:r w:rsidRPr="008B1D03">
        <w:t>LS-1</w:t>
      </w:r>
      <w:r w:rsidRPr="008B1D03">
        <w:tab/>
        <w:t>0.125</w:t>
      </w:r>
    </w:p>
    <w:p w:rsidR="00FB3051" w:rsidRPr="008B1D03" w:rsidRDefault="00FB3051" w:rsidP="00FB3051">
      <w:pPr>
        <w:pStyle w:val="QuickA"/>
        <w:tabs>
          <w:tab w:val="center" w:pos="6660"/>
          <w:tab w:val="center" w:pos="7920"/>
          <w:tab w:val="left" w:pos="9360"/>
        </w:tabs>
        <w:spacing w:line="360" w:lineRule="auto"/>
        <w:ind w:left="1440"/>
        <w:jc w:val="both"/>
        <w:rPr>
          <w:b/>
        </w:rPr>
      </w:pPr>
      <w:r w:rsidRPr="008B1D03">
        <w:rPr>
          <w:spacing w:val="-3"/>
        </w:rPr>
        <w:tab/>
      </w:r>
      <w:r w:rsidRPr="008B1D03">
        <w:rPr>
          <w:b/>
        </w:rPr>
        <w:t>Cost Recovery Factors</w:t>
      </w:r>
    </w:p>
    <w:p w:rsidR="00FB3051" w:rsidRPr="008B1D03" w:rsidRDefault="00FB3051" w:rsidP="00FB3051">
      <w:pPr>
        <w:pStyle w:val="QuickA"/>
        <w:tabs>
          <w:tab w:val="center" w:pos="6660"/>
          <w:tab w:val="center" w:pos="7560"/>
          <w:tab w:val="left" w:pos="9360"/>
        </w:tabs>
        <w:spacing w:line="360" w:lineRule="auto"/>
        <w:ind w:left="1440"/>
        <w:jc w:val="both"/>
        <w:rPr>
          <w:b/>
        </w:rPr>
      </w:pPr>
      <w:r w:rsidRPr="008B1D03">
        <w:rPr>
          <w:b/>
          <w:u w:val="single"/>
        </w:rPr>
        <w:t>Rate Schedule</w:t>
      </w:r>
      <w:r w:rsidRPr="008B1D03">
        <w:rPr>
          <w:b/>
        </w:rPr>
        <w:tab/>
      </w:r>
      <w:r w:rsidRPr="008B1D03">
        <w:rPr>
          <w:b/>
          <w:u w:val="single"/>
        </w:rPr>
        <w:t>(dollars per kW)</w:t>
      </w:r>
    </w:p>
    <w:p w:rsidR="00FB3051" w:rsidRPr="008B1D03" w:rsidRDefault="00FB3051" w:rsidP="00FB3051">
      <w:pPr>
        <w:pStyle w:val="QuickA"/>
        <w:tabs>
          <w:tab w:val="center" w:pos="6660"/>
          <w:tab w:val="decimal" w:pos="7380"/>
        </w:tabs>
        <w:spacing w:line="360" w:lineRule="auto"/>
        <w:ind w:left="1440"/>
        <w:jc w:val="both"/>
      </w:pPr>
      <w:r w:rsidRPr="008B1D03">
        <w:t>GSD – Secondary</w:t>
      </w:r>
      <w:r w:rsidRPr="008B1D03">
        <w:tab/>
        <w:t>0.87</w:t>
      </w:r>
    </w:p>
    <w:p w:rsidR="00FB3051" w:rsidRPr="008B1D03" w:rsidRDefault="00FB3051" w:rsidP="00FB3051">
      <w:pPr>
        <w:pStyle w:val="QuickA"/>
        <w:tabs>
          <w:tab w:val="center" w:pos="6660"/>
          <w:tab w:val="decimal" w:pos="7380"/>
        </w:tabs>
        <w:spacing w:line="360" w:lineRule="auto"/>
        <w:ind w:left="1440"/>
        <w:jc w:val="both"/>
      </w:pPr>
      <w:r w:rsidRPr="008B1D03">
        <w:t>GSD – Primary</w:t>
      </w:r>
      <w:r w:rsidRPr="008B1D03">
        <w:tab/>
        <w:t>0.86</w:t>
      </w:r>
    </w:p>
    <w:p w:rsidR="00FB3051" w:rsidRPr="008B1D03" w:rsidRDefault="00FB3051" w:rsidP="00FB3051">
      <w:pPr>
        <w:pStyle w:val="QuickA"/>
        <w:tabs>
          <w:tab w:val="center" w:pos="6660"/>
          <w:tab w:val="decimal" w:pos="7380"/>
        </w:tabs>
        <w:spacing w:line="360" w:lineRule="auto"/>
        <w:ind w:left="1440"/>
        <w:jc w:val="both"/>
      </w:pPr>
      <w:r w:rsidRPr="008B1D03">
        <w:t>GSD – Subtransmission</w:t>
      </w:r>
      <w:r w:rsidRPr="008B1D03">
        <w:tab/>
        <w:t>0.85</w:t>
      </w:r>
    </w:p>
    <w:p w:rsidR="00FB3051" w:rsidRPr="008B1D03" w:rsidRDefault="00FB3051" w:rsidP="00FB3051">
      <w:pPr>
        <w:pStyle w:val="QuickA"/>
        <w:tabs>
          <w:tab w:val="center" w:pos="6660"/>
          <w:tab w:val="decimal" w:pos="7380"/>
        </w:tabs>
        <w:spacing w:line="360" w:lineRule="auto"/>
        <w:ind w:left="1440"/>
        <w:jc w:val="both"/>
      </w:pPr>
      <w:r w:rsidRPr="008B1D03">
        <w:t>SBF – Secondary</w:t>
      </w:r>
      <w:r w:rsidRPr="008B1D03">
        <w:tab/>
        <w:t>0.87</w:t>
      </w:r>
    </w:p>
    <w:p w:rsidR="00FB3051" w:rsidRPr="008B1D03" w:rsidRDefault="00FB3051" w:rsidP="00FB3051">
      <w:pPr>
        <w:pStyle w:val="QuickA"/>
        <w:tabs>
          <w:tab w:val="center" w:pos="6660"/>
          <w:tab w:val="decimal" w:pos="7380"/>
        </w:tabs>
        <w:spacing w:line="360" w:lineRule="auto"/>
        <w:ind w:left="1440"/>
        <w:jc w:val="both"/>
      </w:pPr>
      <w:r w:rsidRPr="008B1D03">
        <w:t>SBF – Primary</w:t>
      </w:r>
      <w:r w:rsidRPr="008B1D03">
        <w:tab/>
        <w:t>0.86</w:t>
      </w:r>
    </w:p>
    <w:p w:rsidR="00FB3051" w:rsidRPr="008B1D03" w:rsidRDefault="00FB3051" w:rsidP="00FB3051">
      <w:pPr>
        <w:pStyle w:val="QuickA"/>
        <w:tabs>
          <w:tab w:val="center" w:pos="6660"/>
          <w:tab w:val="decimal" w:pos="7380"/>
        </w:tabs>
        <w:spacing w:line="360" w:lineRule="auto"/>
        <w:ind w:left="1440"/>
        <w:jc w:val="both"/>
      </w:pPr>
      <w:r w:rsidRPr="008B1D03">
        <w:t>SBF – Subtransmission</w:t>
      </w:r>
      <w:r w:rsidRPr="008B1D03">
        <w:tab/>
        <w:t>0.85</w:t>
      </w:r>
    </w:p>
    <w:p w:rsidR="00FB3051" w:rsidRPr="008B1D03" w:rsidRDefault="00FB3051" w:rsidP="00FB3051">
      <w:pPr>
        <w:pStyle w:val="QuickA"/>
        <w:tabs>
          <w:tab w:val="center" w:pos="6660"/>
          <w:tab w:val="decimal" w:pos="7380"/>
        </w:tabs>
        <w:spacing w:line="360" w:lineRule="auto"/>
        <w:ind w:left="1440"/>
        <w:jc w:val="both"/>
      </w:pPr>
      <w:r w:rsidRPr="008B1D03">
        <w:t xml:space="preserve">IS - Secondary </w:t>
      </w:r>
      <w:r w:rsidRPr="008B1D03">
        <w:tab/>
        <w:t>0.67</w:t>
      </w:r>
    </w:p>
    <w:p w:rsidR="00FB3051" w:rsidRPr="008B1D03" w:rsidRDefault="00FB3051" w:rsidP="00FB3051">
      <w:pPr>
        <w:pStyle w:val="QuickA"/>
        <w:tabs>
          <w:tab w:val="center" w:pos="6660"/>
          <w:tab w:val="decimal" w:pos="7380"/>
        </w:tabs>
        <w:spacing w:line="360" w:lineRule="auto"/>
        <w:ind w:left="1440"/>
        <w:jc w:val="both"/>
      </w:pPr>
      <w:r w:rsidRPr="008B1D03">
        <w:t xml:space="preserve">IS - Primary </w:t>
      </w:r>
      <w:r w:rsidRPr="008B1D03">
        <w:tab/>
        <w:t>0.67</w:t>
      </w:r>
    </w:p>
    <w:p w:rsidR="00FB3051" w:rsidRPr="008B1D03" w:rsidRDefault="00FB3051" w:rsidP="00FB3051">
      <w:pPr>
        <w:pStyle w:val="QuickA"/>
        <w:tabs>
          <w:tab w:val="center" w:pos="6660"/>
          <w:tab w:val="decimal" w:pos="7380"/>
        </w:tabs>
        <w:spacing w:line="360" w:lineRule="auto"/>
        <w:ind w:left="1440"/>
        <w:jc w:val="both"/>
      </w:pPr>
      <w:r w:rsidRPr="008B1D03">
        <w:t xml:space="preserve">IS - Subtransmission </w:t>
      </w:r>
      <w:r w:rsidRPr="008B1D03">
        <w:tab/>
        <w:t>0.66</w:t>
      </w:r>
    </w:p>
    <w:p w:rsidR="00FB3051" w:rsidRDefault="00FB3051"/>
    <w:p w:rsidR="00FB3051" w:rsidRDefault="00FB3051">
      <w:r>
        <w:rPr>
          <w:u w:val="single"/>
        </w:rPr>
        <w:t>Conservation Cost Recovery Effective Date for 2018 Billing Cycle</w:t>
      </w:r>
    </w:p>
    <w:p w:rsidR="00FB3051" w:rsidRDefault="00FB3051"/>
    <w:p w:rsidR="00FB3051" w:rsidRPr="00FB3051" w:rsidRDefault="00FB3051" w:rsidP="00FB3051">
      <w:pPr>
        <w:ind w:firstLine="720"/>
        <w:jc w:val="both"/>
      </w:pPr>
      <w:r>
        <w:t>We find that t</w:t>
      </w:r>
      <w:r w:rsidRPr="008B1D03">
        <w:t>he factors</w:t>
      </w:r>
      <w:r w:rsidR="00473A71">
        <w:t xml:space="preserve"> established above for each IOU</w:t>
      </w:r>
      <w:r w:rsidRPr="008B1D03">
        <w:t xml:space="preserve"> shall be effective beginning with the specified conservation cost recovery cycle and thereafter for the period January 2018 through December 2018.  Billing cycles may start before January 1, 2018 and the last cycle may be read after December 31, 2018, so that each customer is billed for twelve months regardless of when the adjustment factor became effective.  These charges shall continue in effect until modified by subsequent order of this Commission.</w:t>
      </w:r>
    </w:p>
    <w:p w:rsidR="00FB3051" w:rsidRPr="00FB3051" w:rsidRDefault="00FB3051"/>
    <w:p w:rsidR="00DB6AB5" w:rsidRDefault="00DB6AB5" w:rsidP="00DB6AB5">
      <w:pPr>
        <w:jc w:val="both"/>
        <w:rPr>
          <w:u w:val="single"/>
        </w:rPr>
      </w:pPr>
      <w:r>
        <w:rPr>
          <w:u w:val="single"/>
        </w:rPr>
        <w:t>Revised Tariffs Reflecting The Energy Conservation Cost Recovery Amounts and Establishing Energy Conservation Cost Recovery Factors</w:t>
      </w:r>
    </w:p>
    <w:p w:rsidR="00DB6AB5" w:rsidRDefault="00DB6AB5" w:rsidP="00DB6AB5">
      <w:pPr>
        <w:jc w:val="both"/>
      </w:pPr>
    </w:p>
    <w:p w:rsidR="00DB6AB5" w:rsidRPr="00701945" w:rsidRDefault="00DB6AB5" w:rsidP="00DB6AB5">
      <w:pPr>
        <w:ind w:firstLine="720"/>
        <w:jc w:val="both"/>
      </w:pPr>
      <w:r>
        <w:t>We find that the</w:t>
      </w:r>
      <w:r w:rsidRPr="00B70228">
        <w:t xml:space="preserve"> revised tariffs reflecting the energy conservation cost recovery amounts and establishing energy conservation cost recovery factors determined to be a</w:t>
      </w:r>
      <w:r>
        <w:t xml:space="preserve">ppropriate in this </w:t>
      </w:r>
      <w:r>
        <w:lastRenderedPageBreak/>
        <w:t xml:space="preserve">proceeding shall be approved. We direct staff to verify that the revised tariffs are </w:t>
      </w:r>
      <w:r w:rsidRPr="00B70228">
        <w:t xml:space="preserve">consistent with </w:t>
      </w:r>
      <w:r>
        <w:t>our</w:t>
      </w:r>
      <w:r w:rsidRPr="00B70228">
        <w:t xml:space="preserve"> decision.</w:t>
      </w:r>
    </w:p>
    <w:p w:rsidR="00DB6AB5" w:rsidRDefault="00DB6AB5" w:rsidP="00DB6AB5"/>
    <w:p w:rsidR="00FB3051" w:rsidRDefault="00FB3051" w:rsidP="00DB6AB5">
      <w:r>
        <w:rPr>
          <w:u w:val="single"/>
        </w:rPr>
        <w:t>Company Specific Conservation Cost Recovery Issues</w:t>
      </w:r>
    </w:p>
    <w:p w:rsidR="00FB3051" w:rsidRDefault="00FB3051" w:rsidP="00DB6AB5"/>
    <w:p w:rsidR="00FB3051" w:rsidRDefault="00FB3051" w:rsidP="00DB6AB5">
      <w:r>
        <w:rPr>
          <w:b/>
          <w:u w:val="single"/>
        </w:rPr>
        <w:t>TECO</w:t>
      </w:r>
    </w:p>
    <w:p w:rsidR="00FB3051" w:rsidRDefault="00FB3051" w:rsidP="00DB6AB5"/>
    <w:p w:rsidR="00FB3051" w:rsidRPr="008B1D03" w:rsidRDefault="00FB3051" w:rsidP="00FB3051">
      <w:pPr>
        <w:ind w:firstLine="720"/>
        <w:jc w:val="both"/>
        <w:rPr>
          <w:spacing w:val="-3"/>
        </w:rPr>
      </w:pPr>
      <w:r>
        <w:rPr>
          <w:spacing w:val="-3"/>
        </w:rPr>
        <w:t>We find that</w:t>
      </w:r>
      <w:r w:rsidR="00E0110B">
        <w:rPr>
          <w:spacing w:val="-3"/>
        </w:rPr>
        <w:t>,</w:t>
      </w:r>
      <w:r>
        <w:rPr>
          <w:spacing w:val="-3"/>
        </w:rPr>
        <w:t xml:space="preserve"> i</w:t>
      </w:r>
      <w:r w:rsidRPr="008B1D03">
        <w:rPr>
          <w:spacing w:val="-3"/>
        </w:rPr>
        <w:t>n accordance with Order No. PSC-99-1778-FOF-EI, issued September 10, 1999 in Docket No. 990037-EI, Tampa Electric has calculated that, for the forthcoming cost recovery period, January 2018 through December 2018, the Contracted Credit Value by Voltage Level for the GSLM-2 and GSLM-3 rate riders will be:</w:t>
      </w:r>
    </w:p>
    <w:p w:rsidR="00FB3051" w:rsidRPr="008B1D03" w:rsidRDefault="00FB3051" w:rsidP="00FB3051">
      <w:pPr>
        <w:ind w:left="1440" w:hanging="1440"/>
        <w:jc w:val="both"/>
        <w:rPr>
          <w:spacing w:val="-3"/>
        </w:rPr>
      </w:pPr>
    </w:p>
    <w:p w:rsidR="00FB3051" w:rsidRPr="008B1D03" w:rsidRDefault="00FB3051" w:rsidP="00FB3051">
      <w:pPr>
        <w:tabs>
          <w:tab w:val="left" w:pos="-720"/>
        </w:tabs>
        <w:suppressAutoHyphens/>
        <w:spacing w:line="360" w:lineRule="auto"/>
        <w:ind w:left="1440"/>
        <w:rPr>
          <w:spacing w:val="-3"/>
        </w:rPr>
      </w:pPr>
      <w:r w:rsidRPr="008B1D03">
        <w:rPr>
          <w:b/>
          <w:spacing w:val="-3"/>
          <w:u w:val="single"/>
        </w:rPr>
        <w:t xml:space="preserve">Voltage Level </w:t>
      </w:r>
      <w:r w:rsidRPr="008B1D03">
        <w:rPr>
          <w:b/>
          <w:spacing w:val="-3"/>
        </w:rPr>
        <w:tab/>
      </w:r>
      <w:r w:rsidRPr="008B1D03">
        <w:rPr>
          <w:spacing w:val="-3"/>
        </w:rPr>
        <w:tab/>
      </w:r>
      <w:r w:rsidRPr="008B1D03">
        <w:rPr>
          <w:spacing w:val="-3"/>
        </w:rPr>
        <w:tab/>
      </w:r>
      <w:r w:rsidRPr="008B1D03">
        <w:rPr>
          <w:b/>
          <w:spacing w:val="-3"/>
          <w:u w:val="single"/>
        </w:rPr>
        <w:t>Contracted Credit Value (dollars per kW)</w:t>
      </w:r>
    </w:p>
    <w:p w:rsidR="00FB3051" w:rsidRPr="008B1D03" w:rsidRDefault="00FB3051" w:rsidP="00FB3051">
      <w:pPr>
        <w:tabs>
          <w:tab w:val="left" w:pos="-720"/>
        </w:tabs>
        <w:suppressAutoHyphens/>
        <w:spacing w:line="360" w:lineRule="auto"/>
        <w:ind w:left="1440"/>
        <w:rPr>
          <w:spacing w:val="-3"/>
        </w:rPr>
      </w:pPr>
      <w:r w:rsidRPr="008B1D03">
        <w:rPr>
          <w:spacing w:val="-3"/>
        </w:rPr>
        <w:t>Secondary</w:t>
      </w:r>
      <w:r w:rsidRPr="008B1D03">
        <w:rPr>
          <w:spacing w:val="-3"/>
        </w:rPr>
        <w:tab/>
      </w:r>
      <w:r w:rsidRPr="008B1D03">
        <w:rPr>
          <w:spacing w:val="-3"/>
        </w:rPr>
        <w:tab/>
      </w:r>
      <w:r w:rsidRPr="008B1D03">
        <w:rPr>
          <w:spacing w:val="-3"/>
        </w:rPr>
        <w:tab/>
      </w:r>
      <w:r w:rsidRPr="008B1D03">
        <w:rPr>
          <w:spacing w:val="-3"/>
        </w:rPr>
        <w:tab/>
      </w:r>
      <w:r w:rsidRPr="008B1D03">
        <w:rPr>
          <w:spacing w:val="-3"/>
        </w:rPr>
        <w:tab/>
        <w:t>9.56</w:t>
      </w:r>
    </w:p>
    <w:p w:rsidR="00FB3051" w:rsidRPr="008B1D03" w:rsidRDefault="00FB3051" w:rsidP="00FB3051">
      <w:pPr>
        <w:tabs>
          <w:tab w:val="left" w:pos="-720"/>
        </w:tabs>
        <w:suppressAutoHyphens/>
        <w:spacing w:line="360" w:lineRule="auto"/>
        <w:ind w:left="1440"/>
        <w:rPr>
          <w:spacing w:val="-3"/>
        </w:rPr>
      </w:pPr>
      <w:r w:rsidRPr="008B1D03">
        <w:rPr>
          <w:spacing w:val="-3"/>
        </w:rPr>
        <w:t>Primary</w:t>
      </w:r>
      <w:r w:rsidRPr="008B1D03">
        <w:rPr>
          <w:spacing w:val="-3"/>
        </w:rPr>
        <w:tab/>
      </w:r>
      <w:r w:rsidRPr="008B1D03">
        <w:rPr>
          <w:spacing w:val="-3"/>
        </w:rPr>
        <w:tab/>
      </w:r>
      <w:r w:rsidRPr="008B1D03">
        <w:rPr>
          <w:spacing w:val="-3"/>
        </w:rPr>
        <w:tab/>
      </w:r>
      <w:r w:rsidRPr="008B1D03">
        <w:rPr>
          <w:spacing w:val="-3"/>
        </w:rPr>
        <w:tab/>
      </w:r>
      <w:r w:rsidRPr="008B1D03">
        <w:rPr>
          <w:spacing w:val="-3"/>
        </w:rPr>
        <w:tab/>
        <w:t>9.46</w:t>
      </w:r>
    </w:p>
    <w:p w:rsidR="00FB3051" w:rsidRPr="008B1D03" w:rsidRDefault="00FB3051" w:rsidP="00FB3051">
      <w:pPr>
        <w:tabs>
          <w:tab w:val="left" w:pos="-720"/>
        </w:tabs>
        <w:suppressAutoHyphens/>
        <w:spacing w:line="360" w:lineRule="auto"/>
        <w:ind w:left="1440"/>
        <w:rPr>
          <w:spacing w:val="-3"/>
        </w:rPr>
      </w:pPr>
      <w:r w:rsidRPr="008B1D03">
        <w:rPr>
          <w:spacing w:val="-3"/>
        </w:rPr>
        <w:t>Subtransmission</w:t>
      </w:r>
      <w:r w:rsidRPr="008B1D03">
        <w:rPr>
          <w:spacing w:val="-3"/>
        </w:rPr>
        <w:tab/>
      </w:r>
      <w:r w:rsidRPr="008B1D03">
        <w:rPr>
          <w:spacing w:val="-3"/>
        </w:rPr>
        <w:tab/>
      </w:r>
      <w:r w:rsidRPr="008B1D03">
        <w:rPr>
          <w:spacing w:val="-3"/>
        </w:rPr>
        <w:tab/>
      </w:r>
      <w:r w:rsidRPr="008B1D03">
        <w:rPr>
          <w:spacing w:val="-3"/>
        </w:rPr>
        <w:tab/>
        <w:t>9.37</w:t>
      </w:r>
    </w:p>
    <w:p w:rsidR="00FB3051" w:rsidRDefault="00FB3051" w:rsidP="00DB6AB5"/>
    <w:p w:rsidR="00FB3051" w:rsidRPr="008B1D03" w:rsidRDefault="00FB3051" w:rsidP="00FB3051">
      <w:pPr>
        <w:ind w:firstLine="720"/>
        <w:jc w:val="both"/>
      </w:pPr>
      <w:r>
        <w:t xml:space="preserve">We </w:t>
      </w:r>
      <w:r w:rsidR="00E0110B">
        <w:t xml:space="preserve">further </w:t>
      </w:r>
      <w:r>
        <w:t>find that f</w:t>
      </w:r>
      <w:r w:rsidRPr="008B1D03">
        <w:t>or the period January 2018 through December 2018 the Residential Price Responsive Load Management (RSVP-1) rates are as follows:</w:t>
      </w:r>
    </w:p>
    <w:p w:rsidR="00FB3051" w:rsidRPr="008B1D03" w:rsidRDefault="00FB3051" w:rsidP="00FB3051">
      <w:pPr>
        <w:ind w:left="1440" w:hanging="1440"/>
        <w:jc w:val="both"/>
      </w:pPr>
    </w:p>
    <w:p w:rsidR="00FB3051" w:rsidRPr="008B1D03" w:rsidRDefault="00FB3051" w:rsidP="00FB3051">
      <w:pPr>
        <w:spacing w:line="360" w:lineRule="auto"/>
        <w:ind w:left="1440" w:hanging="1440"/>
        <w:rPr>
          <w:b/>
        </w:rPr>
      </w:pPr>
      <w:r w:rsidRPr="008B1D03">
        <w:rPr>
          <w:b/>
        </w:rPr>
        <w:tab/>
      </w:r>
      <w:r w:rsidRPr="008B1D03">
        <w:rPr>
          <w:b/>
          <w:u w:val="single"/>
        </w:rPr>
        <w:t>Rate Tier</w:t>
      </w:r>
      <w:r w:rsidRPr="008B1D03">
        <w:rPr>
          <w:b/>
        </w:rPr>
        <w:tab/>
      </w:r>
      <w:r w:rsidRPr="008B1D03">
        <w:rPr>
          <w:b/>
        </w:rPr>
        <w:tab/>
      </w:r>
      <w:r w:rsidRPr="008B1D03">
        <w:rPr>
          <w:b/>
        </w:rPr>
        <w:tab/>
      </w:r>
      <w:r w:rsidRPr="008B1D03">
        <w:rPr>
          <w:b/>
        </w:rPr>
        <w:tab/>
      </w:r>
      <w:r w:rsidRPr="008B1D03">
        <w:rPr>
          <w:b/>
        </w:rPr>
        <w:tab/>
      </w:r>
      <w:r w:rsidRPr="008B1D03">
        <w:rPr>
          <w:b/>
          <w:u w:val="single"/>
        </w:rPr>
        <w:t>Cents per kWh</w:t>
      </w:r>
    </w:p>
    <w:p w:rsidR="00FB3051" w:rsidRPr="008B1D03" w:rsidRDefault="00FB3051" w:rsidP="00FB3051">
      <w:pPr>
        <w:tabs>
          <w:tab w:val="left" w:pos="-720"/>
        </w:tabs>
        <w:suppressAutoHyphens/>
        <w:spacing w:line="360" w:lineRule="auto"/>
        <w:rPr>
          <w:spacing w:val="-3"/>
        </w:rPr>
      </w:pPr>
      <w:r w:rsidRPr="008B1D03">
        <w:tab/>
      </w:r>
      <w:r w:rsidRPr="008B1D03">
        <w:tab/>
      </w:r>
      <w:r w:rsidRPr="008B1D03">
        <w:rPr>
          <w:spacing w:val="-3"/>
        </w:rPr>
        <w:t>P4</w:t>
      </w:r>
      <w:r w:rsidRPr="008B1D03">
        <w:rPr>
          <w:spacing w:val="-3"/>
        </w:rPr>
        <w:tab/>
      </w:r>
      <w:r w:rsidRPr="008B1D03">
        <w:rPr>
          <w:spacing w:val="-3"/>
        </w:rPr>
        <w:tab/>
      </w:r>
      <w:r w:rsidRPr="008B1D03">
        <w:rPr>
          <w:spacing w:val="-3"/>
        </w:rPr>
        <w:tab/>
      </w:r>
      <w:r w:rsidRPr="008B1D03">
        <w:rPr>
          <w:spacing w:val="-3"/>
        </w:rPr>
        <w:tab/>
      </w:r>
      <w:r w:rsidRPr="008B1D03">
        <w:rPr>
          <w:spacing w:val="-3"/>
        </w:rPr>
        <w:tab/>
      </w:r>
      <w:r w:rsidRPr="008B1D03">
        <w:rPr>
          <w:spacing w:val="-3"/>
        </w:rPr>
        <w:tab/>
        <w:t xml:space="preserve">         40.852</w:t>
      </w:r>
    </w:p>
    <w:p w:rsidR="00FB3051" w:rsidRPr="008B1D03" w:rsidRDefault="00FB3051" w:rsidP="00FB3051">
      <w:pPr>
        <w:tabs>
          <w:tab w:val="left" w:pos="-720"/>
        </w:tabs>
        <w:suppressAutoHyphens/>
        <w:spacing w:line="360" w:lineRule="auto"/>
        <w:rPr>
          <w:spacing w:val="-3"/>
        </w:rPr>
      </w:pPr>
      <w:r w:rsidRPr="008B1D03">
        <w:rPr>
          <w:spacing w:val="-3"/>
        </w:rPr>
        <w:t xml:space="preserve">     </w:t>
      </w:r>
      <w:r w:rsidRPr="008B1D03">
        <w:rPr>
          <w:spacing w:val="-3"/>
        </w:rPr>
        <w:tab/>
      </w:r>
      <w:r w:rsidRPr="008B1D03">
        <w:rPr>
          <w:spacing w:val="-3"/>
        </w:rPr>
        <w:tab/>
        <w:t>P3</w:t>
      </w:r>
      <w:r w:rsidRPr="008B1D03">
        <w:rPr>
          <w:spacing w:val="-3"/>
        </w:rPr>
        <w:tab/>
      </w:r>
      <w:r w:rsidRPr="008B1D03">
        <w:rPr>
          <w:spacing w:val="-3"/>
        </w:rPr>
        <w:tab/>
      </w:r>
      <w:r w:rsidRPr="008B1D03">
        <w:rPr>
          <w:spacing w:val="-3"/>
        </w:rPr>
        <w:tab/>
      </w:r>
      <w:r w:rsidRPr="008B1D03">
        <w:rPr>
          <w:spacing w:val="-3"/>
        </w:rPr>
        <w:tab/>
      </w:r>
      <w:r w:rsidRPr="008B1D03">
        <w:rPr>
          <w:spacing w:val="-3"/>
        </w:rPr>
        <w:tab/>
      </w:r>
      <w:r w:rsidRPr="008B1D03">
        <w:rPr>
          <w:spacing w:val="-3"/>
        </w:rPr>
        <w:tab/>
        <w:t xml:space="preserve">           6.906</w:t>
      </w:r>
    </w:p>
    <w:p w:rsidR="00FB3051" w:rsidRPr="008B1D03" w:rsidRDefault="00FB3051" w:rsidP="00FB3051">
      <w:pPr>
        <w:tabs>
          <w:tab w:val="left" w:pos="-720"/>
        </w:tabs>
        <w:suppressAutoHyphens/>
        <w:spacing w:line="360" w:lineRule="auto"/>
        <w:rPr>
          <w:spacing w:val="-3"/>
        </w:rPr>
      </w:pPr>
      <w:r w:rsidRPr="008B1D03">
        <w:rPr>
          <w:spacing w:val="-3"/>
        </w:rPr>
        <w:t xml:space="preserve">     </w:t>
      </w:r>
      <w:r w:rsidRPr="008B1D03">
        <w:rPr>
          <w:spacing w:val="-3"/>
        </w:rPr>
        <w:tab/>
      </w:r>
      <w:r w:rsidRPr="008B1D03">
        <w:rPr>
          <w:spacing w:val="-3"/>
        </w:rPr>
        <w:tab/>
        <w:t>P2</w:t>
      </w:r>
      <w:r w:rsidRPr="008B1D03">
        <w:rPr>
          <w:spacing w:val="-3"/>
        </w:rPr>
        <w:tab/>
      </w:r>
      <w:r w:rsidRPr="008B1D03">
        <w:rPr>
          <w:spacing w:val="-3"/>
        </w:rPr>
        <w:tab/>
      </w:r>
      <w:r w:rsidRPr="008B1D03">
        <w:rPr>
          <w:spacing w:val="-3"/>
        </w:rPr>
        <w:tab/>
      </w:r>
      <w:r w:rsidRPr="008B1D03">
        <w:rPr>
          <w:spacing w:val="-3"/>
        </w:rPr>
        <w:tab/>
      </w:r>
      <w:r w:rsidRPr="008B1D03">
        <w:rPr>
          <w:spacing w:val="-3"/>
        </w:rPr>
        <w:tab/>
      </w:r>
      <w:r w:rsidRPr="008B1D03">
        <w:rPr>
          <w:spacing w:val="-3"/>
        </w:rPr>
        <w:tab/>
        <w:t xml:space="preserve">          (1.058)</w:t>
      </w:r>
    </w:p>
    <w:p w:rsidR="00FB3051" w:rsidRPr="008B1D03" w:rsidRDefault="00FB3051" w:rsidP="00FB3051">
      <w:pPr>
        <w:tabs>
          <w:tab w:val="left" w:pos="-720"/>
        </w:tabs>
        <w:suppressAutoHyphens/>
        <w:rPr>
          <w:spacing w:val="-3"/>
        </w:rPr>
      </w:pPr>
      <w:r w:rsidRPr="008B1D03">
        <w:rPr>
          <w:spacing w:val="-3"/>
        </w:rPr>
        <w:t xml:space="preserve">     </w:t>
      </w:r>
      <w:r w:rsidRPr="008B1D03">
        <w:rPr>
          <w:spacing w:val="-3"/>
        </w:rPr>
        <w:tab/>
      </w:r>
      <w:r w:rsidRPr="008B1D03">
        <w:rPr>
          <w:spacing w:val="-3"/>
        </w:rPr>
        <w:tab/>
        <w:t>P1</w:t>
      </w:r>
      <w:r w:rsidRPr="008B1D03">
        <w:rPr>
          <w:spacing w:val="-3"/>
        </w:rPr>
        <w:tab/>
      </w:r>
      <w:r w:rsidRPr="008B1D03">
        <w:rPr>
          <w:spacing w:val="-3"/>
        </w:rPr>
        <w:tab/>
      </w:r>
      <w:r w:rsidRPr="008B1D03">
        <w:rPr>
          <w:spacing w:val="-3"/>
        </w:rPr>
        <w:tab/>
      </w:r>
      <w:r w:rsidRPr="008B1D03">
        <w:rPr>
          <w:spacing w:val="-3"/>
        </w:rPr>
        <w:tab/>
      </w:r>
      <w:r w:rsidRPr="008B1D03">
        <w:rPr>
          <w:spacing w:val="-3"/>
        </w:rPr>
        <w:tab/>
      </w:r>
      <w:r w:rsidRPr="008B1D03">
        <w:rPr>
          <w:spacing w:val="-3"/>
        </w:rPr>
        <w:tab/>
        <w:t xml:space="preserve">          (3.002)</w:t>
      </w:r>
    </w:p>
    <w:p w:rsidR="00FB3051" w:rsidRDefault="00FB3051" w:rsidP="00DB6AB5"/>
    <w:p w:rsidR="00FB3051" w:rsidRPr="00FB3051" w:rsidRDefault="00FB3051" w:rsidP="00DB6AB5">
      <w:pPr>
        <w:rPr>
          <w:b/>
          <w:u w:val="single"/>
        </w:rPr>
      </w:pPr>
      <w:r>
        <w:rPr>
          <w:b/>
          <w:u w:val="single"/>
        </w:rPr>
        <w:t>GULF</w:t>
      </w:r>
    </w:p>
    <w:p w:rsidR="00FB3051" w:rsidRDefault="00FB3051" w:rsidP="00DB6AB5"/>
    <w:p w:rsidR="00FB3051" w:rsidRDefault="00063D9E" w:rsidP="00FB3051">
      <w:pPr>
        <w:ind w:firstLine="720"/>
        <w:jc w:val="both"/>
        <w:rPr>
          <w:bCs/>
        </w:rPr>
      </w:pPr>
      <w:r>
        <w:rPr>
          <w:bCs/>
        </w:rPr>
        <w:t xml:space="preserve">We find that </w:t>
      </w:r>
      <w:r w:rsidRPr="00063D9E">
        <w:rPr>
          <w:bCs/>
        </w:rPr>
        <w:t xml:space="preserve">Gulf’s proposed On Peak Demand credits and Critical Peak Demand charges for its Critical Peak Option under Gulf’s Large Power </w:t>
      </w:r>
      <w:r>
        <w:rPr>
          <w:bCs/>
        </w:rPr>
        <w:t xml:space="preserve">Time of Use program shall be approved. </w:t>
      </w:r>
      <w:r w:rsidR="00FB3051">
        <w:rPr>
          <w:bCs/>
        </w:rPr>
        <w:t>We find that, i</w:t>
      </w:r>
      <w:r w:rsidR="00FB3051" w:rsidRPr="008B1D03">
        <w:rPr>
          <w:bCs/>
        </w:rPr>
        <w:t>n</w:t>
      </w:r>
      <w:r w:rsidR="00FB3051">
        <w:rPr>
          <w:bCs/>
        </w:rPr>
        <w:t xml:space="preserve"> Order No. PSC-17-0178-S-EI, </w:t>
      </w:r>
      <w:r w:rsidR="00473A71">
        <w:rPr>
          <w:bCs/>
        </w:rPr>
        <w:t>we</w:t>
      </w:r>
      <w:r w:rsidR="00FB3051" w:rsidRPr="008B1D03">
        <w:rPr>
          <w:bCs/>
        </w:rPr>
        <w:t xml:space="preserve"> approved a stipulation and settlement agreement resolving Gulf Power’s 2016 base rate proceeding in Docket No. 20160186-EI.  Among other things, the stipulation provided for recovery of the On Peak Demand Credits and Critical Peak Demand Charges associated with Gulf’s Large Power Time of Use rate through the Energy Conservation Cost Recovery Clause rather than through base rates, as was previously the case.  This change </w:t>
      </w:r>
      <w:r w:rsidR="00FB3051">
        <w:rPr>
          <w:bCs/>
        </w:rPr>
        <w:t>in approach enables Gulf and this</w:t>
      </w:r>
      <w:r w:rsidR="00FB3051" w:rsidRPr="008B1D03">
        <w:rPr>
          <w:bCs/>
        </w:rPr>
        <w:t xml:space="preserve"> Commission to periodically assess the level of On Peak Demand Credits to ensure that they remain cost effective under the Commission-approved Ratepayer Impact Measure (“RIM”) test.  Gulf’s proposed On Peak Demand Credit of $2.14 per kW is the maximum value that can be provided to keep the program RIM passing.  Gulf’s proposed Critical Peak Demand Charge of $25.68 per kW is </w:t>
      </w:r>
      <w:r w:rsidR="00FB3051" w:rsidRPr="008B1D03">
        <w:rPr>
          <w:bCs/>
        </w:rPr>
        <w:lastRenderedPageBreak/>
        <w:t>calculated to ensure that participating customers are receiving the full value of the capacity credits only for the demand that is actually reduced during a critical event period.</w:t>
      </w:r>
    </w:p>
    <w:p w:rsidR="00FB3051" w:rsidRDefault="00FB3051" w:rsidP="00FB3051">
      <w:pPr>
        <w:ind w:firstLine="720"/>
        <w:jc w:val="both"/>
        <w:rPr>
          <w:bCs/>
        </w:rPr>
      </w:pPr>
    </w:p>
    <w:p w:rsidR="00FB3051" w:rsidRDefault="00063D9E" w:rsidP="00FB3051">
      <w:pPr>
        <w:ind w:firstLine="720"/>
        <w:jc w:val="both"/>
      </w:pPr>
      <w:r>
        <w:rPr>
          <w:bCs/>
        </w:rPr>
        <w:t xml:space="preserve">We find that </w:t>
      </w:r>
      <w:r w:rsidRPr="00063D9E">
        <w:rPr>
          <w:bCs/>
        </w:rPr>
        <w:t>Gulf’s proposed modifications to its Reside</w:t>
      </w:r>
      <w:r>
        <w:rPr>
          <w:bCs/>
        </w:rPr>
        <w:t>ntial Time of Use</w:t>
      </w:r>
      <w:r w:rsidR="00E0110B">
        <w:rPr>
          <w:bCs/>
        </w:rPr>
        <w:t xml:space="preserve"> </w:t>
      </w:r>
      <w:r w:rsidR="00E0110B" w:rsidRPr="008B1D03">
        <w:rPr>
          <w:bCs/>
        </w:rPr>
        <w:t>(“RSTOU”)</w:t>
      </w:r>
      <w:r w:rsidR="00E0110B">
        <w:rPr>
          <w:bCs/>
        </w:rPr>
        <w:t xml:space="preserve"> </w:t>
      </w:r>
      <w:r>
        <w:rPr>
          <w:bCs/>
        </w:rPr>
        <w:t xml:space="preserve">Pilot Program shall be approved.  </w:t>
      </w:r>
      <w:r w:rsidR="00FB3051" w:rsidRPr="008B1D03">
        <w:rPr>
          <w:bCs/>
        </w:rPr>
        <w:t xml:space="preserve">Gulf </w:t>
      </w:r>
      <w:r w:rsidR="00FB3051">
        <w:rPr>
          <w:bCs/>
        </w:rPr>
        <w:t>proposed</w:t>
      </w:r>
      <w:r w:rsidR="00FB3051" w:rsidRPr="008B1D03">
        <w:rPr>
          <w:bCs/>
        </w:rPr>
        <w:t xml:space="preserve"> an extension of its </w:t>
      </w:r>
      <w:r w:rsidR="00E0110B" w:rsidRPr="008B1D03">
        <w:rPr>
          <w:bCs/>
        </w:rPr>
        <w:t>RSTOU</w:t>
      </w:r>
      <w:r w:rsidR="00FB3051" w:rsidRPr="008B1D03">
        <w:rPr>
          <w:bCs/>
        </w:rPr>
        <w:t xml:space="preserve"> Pilot</w:t>
      </w:r>
      <w:r w:rsidR="00FB3051">
        <w:rPr>
          <w:bCs/>
        </w:rPr>
        <w:t xml:space="preserve"> through December 31, 2020.  This</w:t>
      </w:r>
      <w:r w:rsidR="00FB3051" w:rsidRPr="008B1D03">
        <w:rPr>
          <w:bCs/>
        </w:rPr>
        <w:t xml:space="preserve"> Commission approved this pilot as part of Gulf Power’s 2015 DSM Plan as a means to evaluate a new rate schedule that could be utilized with a demand response program where customer</w:t>
      </w:r>
      <w:r w:rsidR="00473A71">
        <w:rPr>
          <w:bCs/>
        </w:rPr>
        <w:t>s provide</w:t>
      </w:r>
      <w:r w:rsidR="00FB3051" w:rsidRPr="008B1D03">
        <w:rPr>
          <w:bCs/>
        </w:rPr>
        <w:t xml:space="preserve"> their own equipment.  Gulf’s current tariff provides that the rate schedule will expire on December 3</w:t>
      </w:r>
      <w:r>
        <w:rPr>
          <w:bCs/>
        </w:rPr>
        <w:t>1, 2017, absent extension by this</w:t>
      </w:r>
      <w:r w:rsidR="00FB3051" w:rsidRPr="008B1D03">
        <w:rPr>
          <w:bCs/>
        </w:rPr>
        <w:t xml:space="preserve"> Commission.  Gulf intends to take the pilot results, combined with other data and experience with demand response, and propose a permanent program for customers in the next cycle of DSM plan reviews in 2019.  The proposed extension will provide continuity for Gulf’s current pilot customers who desire to remain on this pilot rate pending 2020 DSM Plan approvals.</w:t>
      </w:r>
    </w:p>
    <w:p w:rsidR="00FB3051" w:rsidRDefault="00FB3051" w:rsidP="00DB6AB5"/>
    <w:p w:rsidR="00DB6AB5" w:rsidRPr="00692EBC" w:rsidRDefault="00DB6AB5" w:rsidP="00DB6AB5">
      <w:r w:rsidRPr="00692EBC">
        <w:tab/>
        <w:t>Based on the foregoing, it is</w:t>
      </w:r>
    </w:p>
    <w:p w:rsidR="00DB6AB5" w:rsidRDefault="00DB6AB5" w:rsidP="00DB6AB5">
      <w:pPr>
        <w:jc w:val="both"/>
      </w:pPr>
    </w:p>
    <w:p w:rsidR="00DB6AB5" w:rsidRDefault="00DB6AB5" w:rsidP="00DB6AB5">
      <w:pPr>
        <w:pStyle w:val="OrderBody"/>
        <w:ind w:firstLine="720"/>
      </w:pPr>
      <w:r>
        <w:t>ORDERED by the Florida Public Service Commission that the stipulations, findings and rulings are hereby approved.  It is further</w:t>
      </w:r>
    </w:p>
    <w:p w:rsidR="00DB6AB5" w:rsidRDefault="00DB6AB5" w:rsidP="00DB6AB5">
      <w:pPr>
        <w:pStyle w:val="OrderBody"/>
      </w:pPr>
    </w:p>
    <w:p w:rsidR="00DB6AB5" w:rsidRDefault="00DB6AB5" w:rsidP="00DB6AB5">
      <w:pPr>
        <w:pStyle w:val="OrderBody"/>
      </w:pPr>
      <w:r>
        <w:tab/>
        <w:t xml:space="preserve">ORDERED that each </w:t>
      </w:r>
      <w:r w:rsidR="00473A71">
        <w:t xml:space="preserve">investor-owned electric </w:t>
      </w:r>
      <w:r>
        <w:t>utility that was a party to this docket shall abide by the stipulations, findings, and rulings herein which are applicable to it.  It is further</w:t>
      </w:r>
    </w:p>
    <w:p w:rsidR="00DB6AB5" w:rsidRDefault="00DB6AB5" w:rsidP="00DB6AB5">
      <w:pPr>
        <w:pStyle w:val="OrderBody"/>
      </w:pPr>
    </w:p>
    <w:p w:rsidR="00DB6AB5" w:rsidRDefault="00DB6AB5" w:rsidP="00DB6AB5">
      <w:pPr>
        <w:pStyle w:val="OrderBody"/>
        <w:ind w:firstLine="720"/>
      </w:pPr>
      <w:r>
        <w:t>ORDERED that the utilities named herein are authorized to collect the energy conservation cost recovery amounts and utilize the factors approved herein for the period beginning with the specified conservation cost recovery cycle.  The first billing cycle may start before January 1, 2018, and thereafter the conservation cost recovery factors shall remain in effect until modified by the Commission.  It is further</w:t>
      </w:r>
    </w:p>
    <w:p w:rsidR="00E02F15" w:rsidRDefault="00E02F15" w:rsidP="00DB6AB5">
      <w:pPr>
        <w:pStyle w:val="OrderBody"/>
        <w:ind w:firstLine="720"/>
      </w:pPr>
    </w:p>
    <w:p w:rsidR="00E02F15" w:rsidRPr="00701945" w:rsidRDefault="00E02F15" w:rsidP="00E02F15">
      <w:pPr>
        <w:ind w:firstLine="720"/>
        <w:jc w:val="both"/>
      </w:pPr>
      <w:r>
        <w:t xml:space="preserve">ORDERED that Commission staff shall verify that the revised tariffs are </w:t>
      </w:r>
      <w:r w:rsidRPr="00B70228">
        <w:t xml:space="preserve">consistent with </w:t>
      </w:r>
      <w:r>
        <w:t>our</w:t>
      </w:r>
      <w:r w:rsidRPr="00B70228">
        <w:t xml:space="preserve"> decision</w:t>
      </w:r>
      <w:r>
        <w:t xml:space="preserve"> herein</w:t>
      </w:r>
      <w:r w:rsidRPr="00B70228">
        <w:t>.</w:t>
      </w:r>
      <w:r>
        <w:t xml:space="preserve">  It is further</w:t>
      </w:r>
    </w:p>
    <w:p w:rsidR="00DB6AB5" w:rsidRDefault="00DB6AB5" w:rsidP="00DB6AB5">
      <w:pPr>
        <w:pStyle w:val="OrderBody"/>
      </w:pPr>
    </w:p>
    <w:p w:rsidR="00DB6AB5" w:rsidRDefault="00DB6AB5" w:rsidP="00DB6AB5">
      <w:pPr>
        <w:pStyle w:val="OrderBody"/>
        <w:ind w:firstLine="720"/>
      </w:pPr>
      <w:r>
        <w:t>ORDERED that the Energy Conservation Cost Recovery Clause docket is ongoing and the docket shall remain open.</w:t>
      </w:r>
    </w:p>
    <w:p w:rsidR="00DB6AB5" w:rsidRPr="00103E55" w:rsidRDefault="00DB6AB5" w:rsidP="00DB6AB5">
      <w:pPr>
        <w:jc w:val="both"/>
      </w:pPr>
    </w:p>
    <w:p w:rsidR="00DB6AB5" w:rsidRDefault="00DB6AB5" w:rsidP="00D436E6">
      <w:pPr>
        <w:keepNext/>
        <w:keepLines/>
        <w:jc w:val="both"/>
      </w:pPr>
      <w:r>
        <w:lastRenderedPageBreak/>
        <w:tab/>
        <w:t xml:space="preserve">By ORDER of the Florida Public Service Commission this </w:t>
      </w:r>
      <w:bookmarkStart w:id="6" w:name="replaceDate"/>
      <w:bookmarkEnd w:id="6"/>
      <w:r w:rsidR="00D436E6">
        <w:rPr>
          <w:u w:val="single"/>
        </w:rPr>
        <w:t>14th</w:t>
      </w:r>
      <w:r w:rsidR="00D436E6">
        <w:t xml:space="preserve"> day of </w:t>
      </w:r>
      <w:r w:rsidR="00D436E6">
        <w:rPr>
          <w:u w:val="single"/>
        </w:rPr>
        <w:t>November</w:t>
      </w:r>
      <w:r w:rsidR="00D436E6">
        <w:t xml:space="preserve">, </w:t>
      </w:r>
      <w:r w:rsidR="00D436E6">
        <w:rPr>
          <w:u w:val="single"/>
        </w:rPr>
        <w:t>2017</w:t>
      </w:r>
      <w:r w:rsidR="00D436E6">
        <w:t>.</w:t>
      </w:r>
    </w:p>
    <w:p w:rsidR="00D436E6" w:rsidRPr="00D436E6" w:rsidRDefault="00D436E6" w:rsidP="00D436E6">
      <w:pPr>
        <w:keepNext/>
        <w:keepLines/>
        <w:jc w:val="both"/>
      </w:pPr>
    </w:p>
    <w:p w:rsidR="00DB6AB5" w:rsidRDefault="00DB6AB5" w:rsidP="00DB6AB5">
      <w:pPr>
        <w:keepNext/>
        <w:keepLines/>
      </w:pPr>
    </w:p>
    <w:p w:rsidR="00DB6AB5" w:rsidRDefault="00DB6AB5" w:rsidP="00DB6AB5">
      <w:pPr>
        <w:keepNext/>
        <w:keepLines/>
      </w:pPr>
    </w:p>
    <w:p w:rsidR="00DB6AB5" w:rsidRDefault="00DB6AB5" w:rsidP="00DB6AB5">
      <w:pPr>
        <w:keepNext/>
        <w:keepLines/>
      </w:pPr>
    </w:p>
    <w:tbl>
      <w:tblPr>
        <w:tblW w:w="4720" w:type="dxa"/>
        <w:tblInd w:w="3800" w:type="dxa"/>
        <w:tblLayout w:type="fixed"/>
        <w:tblLook w:val="0000" w:firstRow="0" w:lastRow="0" w:firstColumn="0" w:lastColumn="0" w:noHBand="0" w:noVBand="0"/>
      </w:tblPr>
      <w:tblGrid>
        <w:gridCol w:w="686"/>
        <w:gridCol w:w="4034"/>
      </w:tblGrid>
      <w:tr w:rsidR="00DB6AB5" w:rsidTr="00DB6AB5">
        <w:tc>
          <w:tcPr>
            <w:tcW w:w="720" w:type="dxa"/>
            <w:shd w:val="clear" w:color="auto" w:fill="auto"/>
          </w:tcPr>
          <w:p w:rsidR="00DB6AB5" w:rsidRDefault="00DB6AB5" w:rsidP="00DB6AB5">
            <w:pPr>
              <w:keepNext/>
              <w:keepLines/>
            </w:pPr>
            <w:bookmarkStart w:id="7" w:name="bkmrkSignature" w:colFirst="0" w:colLast="0"/>
          </w:p>
        </w:tc>
        <w:tc>
          <w:tcPr>
            <w:tcW w:w="4320" w:type="dxa"/>
            <w:tcBorders>
              <w:bottom w:val="single" w:sz="4" w:space="0" w:color="auto"/>
            </w:tcBorders>
            <w:shd w:val="clear" w:color="auto" w:fill="auto"/>
          </w:tcPr>
          <w:p w:rsidR="00DB6AB5" w:rsidRDefault="00D436E6" w:rsidP="00DB6AB5">
            <w:pPr>
              <w:keepNext/>
              <w:keepLines/>
            </w:pPr>
            <w:r>
              <w:t>/s/ Hong Wang</w:t>
            </w:r>
          </w:p>
        </w:tc>
      </w:tr>
      <w:bookmarkEnd w:id="7"/>
      <w:tr w:rsidR="00DB6AB5" w:rsidTr="00DB6AB5">
        <w:tc>
          <w:tcPr>
            <w:tcW w:w="720" w:type="dxa"/>
            <w:shd w:val="clear" w:color="auto" w:fill="auto"/>
          </w:tcPr>
          <w:p w:rsidR="00DB6AB5" w:rsidRDefault="00DB6AB5" w:rsidP="00DB6AB5">
            <w:pPr>
              <w:keepNext/>
              <w:keepLines/>
            </w:pPr>
          </w:p>
        </w:tc>
        <w:tc>
          <w:tcPr>
            <w:tcW w:w="4320" w:type="dxa"/>
            <w:tcBorders>
              <w:top w:val="single" w:sz="4" w:space="0" w:color="auto"/>
            </w:tcBorders>
            <w:shd w:val="clear" w:color="auto" w:fill="auto"/>
          </w:tcPr>
          <w:p w:rsidR="00D436E6" w:rsidRDefault="00D436E6" w:rsidP="00DB6AB5">
            <w:pPr>
              <w:keepNext/>
              <w:keepLines/>
            </w:pPr>
            <w:r>
              <w:t>HONG WANG</w:t>
            </w:r>
          </w:p>
          <w:p w:rsidR="00DB6AB5" w:rsidRDefault="00D436E6" w:rsidP="00DB6AB5">
            <w:pPr>
              <w:keepNext/>
              <w:keepLines/>
            </w:pPr>
            <w:r>
              <w:t>Chief Deputy Commission Clerk</w:t>
            </w:r>
            <w:bookmarkStart w:id="8" w:name="_GoBack"/>
            <w:bookmarkEnd w:id="8"/>
          </w:p>
        </w:tc>
      </w:tr>
    </w:tbl>
    <w:p w:rsidR="00DB6AB5" w:rsidRDefault="00DB6AB5" w:rsidP="00DB6AB5">
      <w:pPr>
        <w:pStyle w:val="OrderSigInfo"/>
        <w:keepNext/>
        <w:keepLines/>
      </w:pPr>
      <w:r>
        <w:t>Florida Public Service Commission</w:t>
      </w:r>
    </w:p>
    <w:p w:rsidR="00DB6AB5" w:rsidRDefault="00DB6AB5" w:rsidP="00DB6AB5">
      <w:pPr>
        <w:pStyle w:val="OrderSigInfo"/>
        <w:keepNext/>
        <w:keepLines/>
      </w:pPr>
      <w:r>
        <w:t>2540 Shumard Oak Boulevard</w:t>
      </w:r>
    </w:p>
    <w:p w:rsidR="00DB6AB5" w:rsidRDefault="00DB6AB5" w:rsidP="00DB6AB5">
      <w:pPr>
        <w:pStyle w:val="OrderSigInfo"/>
        <w:keepNext/>
        <w:keepLines/>
      </w:pPr>
      <w:r>
        <w:t>Tallahassee, Florida  32399</w:t>
      </w:r>
    </w:p>
    <w:p w:rsidR="00DB6AB5" w:rsidRDefault="00DB6AB5" w:rsidP="00DB6AB5">
      <w:pPr>
        <w:pStyle w:val="OrderSigInfo"/>
        <w:keepNext/>
        <w:keepLines/>
      </w:pPr>
      <w:r>
        <w:t>(850) 413</w:t>
      </w:r>
      <w:r>
        <w:noBreakHyphen/>
        <w:t>6770</w:t>
      </w:r>
    </w:p>
    <w:p w:rsidR="00DB6AB5" w:rsidRDefault="00DB6AB5" w:rsidP="00DB6AB5">
      <w:pPr>
        <w:pStyle w:val="OrderSigInfo"/>
        <w:keepNext/>
        <w:keepLines/>
      </w:pPr>
      <w:r>
        <w:t>www.floridapsc.com</w:t>
      </w:r>
    </w:p>
    <w:p w:rsidR="00DB6AB5" w:rsidRDefault="00DB6AB5" w:rsidP="00DB6AB5">
      <w:pPr>
        <w:pStyle w:val="OrderSigInfo"/>
        <w:keepNext/>
        <w:keepLines/>
      </w:pPr>
    </w:p>
    <w:p w:rsidR="00DB6AB5" w:rsidRDefault="00DB6AB5" w:rsidP="00DB6AB5">
      <w:pPr>
        <w:pStyle w:val="OrderSigInfo"/>
        <w:keepNext/>
        <w:keepLines/>
      </w:pPr>
      <w:r>
        <w:t>Copies furnished:  A copy of this document is provided to the parties of record at the time of issuance and, if applicable, interested persons.</w:t>
      </w:r>
    </w:p>
    <w:p w:rsidR="00DB6AB5" w:rsidRDefault="00DB6AB5" w:rsidP="00DB6AB5">
      <w:pPr>
        <w:pStyle w:val="OrderBody"/>
        <w:keepNext/>
        <w:keepLines/>
      </w:pPr>
    </w:p>
    <w:p w:rsidR="00DB6AB5" w:rsidRDefault="00DB6AB5" w:rsidP="00DB6AB5">
      <w:pPr>
        <w:keepNext/>
        <w:keepLines/>
      </w:pPr>
    </w:p>
    <w:p w:rsidR="00DB6AB5" w:rsidRDefault="00DB6AB5" w:rsidP="00DB6AB5">
      <w:pPr>
        <w:keepNext/>
        <w:keepLines/>
      </w:pPr>
      <w:r>
        <w:t>MAD</w:t>
      </w:r>
    </w:p>
    <w:p w:rsidR="00DB6AB5" w:rsidRDefault="00DB6AB5" w:rsidP="00D57E57"/>
    <w:p w:rsidR="00DB6AB5" w:rsidRDefault="00DB6AB5" w:rsidP="00DB6AB5">
      <w:pPr>
        <w:pStyle w:val="CenterUnderline"/>
      </w:pPr>
      <w:r>
        <w:t>NOTICE OF FURTHER PROCEEDINGS OR JUDICIAL REVIEW</w:t>
      </w:r>
    </w:p>
    <w:p w:rsidR="00DB6AB5" w:rsidRDefault="00DB6AB5" w:rsidP="00DB6AB5">
      <w:pPr>
        <w:pStyle w:val="CenterUnderline"/>
      </w:pPr>
    </w:p>
    <w:p w:rsidR="00DB6AB5" w:rsidRDefault="00DB6AB5" w:rsidP="00DB6AB5">
      <w:pPr>
        <w:pStyle w:val="OrderBody"/>
      </w:pPr>
    </w:p>
    <w:p w:rsidR="00DB6AB5" w:rsidRDefault="00DB6AB5" w:rsidP="00DB6AB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6AB5" w:rsidRDefault="00DB6AB5" w:rsidP="00DB6AB5">
      <w:pPr>
        <w:pStyle w:val="OrderBody"/>
      </w:pPr>
    </w:p>
    <w:p w:rsidR="00DB6AB5" w:rsidRDefault="00DB6AB5" w:rsidP="00DB6AB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B6AB5" w:rsidRDefault="00DB6AB5" w:rsidP="00DB6AB5">
      <w:pPr>
        <w:pStyle w:val="OrderBody"/>
      </w:pPr>
    </w:p>
    <w:p w:rsidR="00DB6AB5" w:rsidRDefault="00DB6AB5" w:rsidP="00DB6AB5">
      <w:pPr>
        <w:pStyle w:val="OrderBody"/>
      </w:pPr>
    </w:p>
    <w:sectPr w:rsidR="00DB6AB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A2" w:rsidRDefault="009F3DA2">
      <w:r>
        <w:separator/>
      </w:r>
    </w:p>
  </w:endnote>
  <w:endnote w:type="continuationSeparator" w:id="0">
    <w:p w:rsidR="009F3DA2" w:rsidRDefault="009F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A2" w:rsidRDefault="009F3DA2">
      <w:r>
        <w:separator/>
      </w:r>
    </w:p>
  </w:footnote>
  <w:footnote w:type="continuationSeparator" w:id="0">
    <w:p w:rsidR="009F3DA2" w:rsidRDefault="009F3DA2">
      <w:r>
        <w:continuationSeparator/>
      </w:r>
    </w:p>
  </w:footnote>
  <w:footnote w:id="1">
    <w:p w:rsidR="00A72E3F" w:rsidRDefault="00A72E3F" w:rsidP="00A72E3F">
      <w:pPr>
        <w:pStyle w:val="FootnoteText"/>
      </w:pPr>
      <w:r>
        <w:rPr>
          <w:rStyle w:val="FootnoteReference"/>
        </w:rPr>
        <w:footnoteRef/>
      </w:r>
      <w:r>
        <w:t xml:space="preserve"> Adjusted net true-up amount of over-recovery.</w:t>
      </w:r>
    </w:p>
  </w:footnote>
  <w:footnote w:id="2">
    <w:p w:rsidR="00A72E3F" w:rsidRDefault="00A72E3F" w:rsidP="00A72E3F">
      <w:pPr>
        <w:pStyle w:val="FootnoteText"/>
      </w:pPr>
      <w:r>
        <w:rPr>
          <w:rStyle w:val="FootnoteReference"/>
        </w:rPr>
        <w:footnoteRef/>
      </w:r>
      <w:r>
        <w:t xml:space="preserve"> Adjusted net true-up amount of over-recovery, including interest.</w:t>
      </w:r>
    </w:p>
  </w:footnote>
  <w:footnote w:id="3">
    <w:p w:rsidR="00FB3051" w:rsidRDefault="00FB3051" w:rsidP="00FB3051">
      <w:pPr>
        <w:pStyle w:val="FootnoteText"/>
      </w:pPr>
      <w:r>
        <w:rPr>
          <w:rStyle w:val="FootnoteReference"/>
        </w:rPr>
        <w:footnoteRef/>
      </w:r>
      <w:r>
        <w:t xml:space="preserve"> Net true-up amount of under-recovery.</w:t>
      </w:r>
    </w:p>
  </w:footnote>
  <w:footnote w:id="4">
    <w:p w:rsidR="00FB3051" w:rsidRDefault="00FB3051" w:rsidP="00FB3051">
      <w:pPr>
        <w:pStyle w:val="FootnoteText"/>
      </w:pPr>
      <w:r>
        <w:rPr>
          <w:rStyle w:val="FootnoteReference"/>
        </w:rPr>
        <w:footnoteRef/>
      </w:r>
      <w:r>
        <w:t xml:space="preserve"> Including interest.</w:t>
      </w:r>
    </w:p>
  </w:footnote>
  <w:footnote w:id="5">
    <w:p w:rsidR="00FB3051" w:rsidRDefault="00FB3051" w:rsidP="00FB3051">
      <w:pPr>
        <w:pStyle w:val="FootnoteText"/>
      </w:pPr>
      <w:r>
        <w:rPr>
          <w:rStyle w:val="FootnoteReference"/>
        </w:rPr>
        <w:footnoteRef/>
      </w:r>
      <w:r>
        <w:t xml:space="preserve"> Adjusted net true-up amount of over-recovery.</w:t>
      </w:r>
    </w:p>
  </w:footnote>
  <w:footnote w:id="6">
    <w:p w:rsidR="00FB3051" w:rsidRDefault="00FB3051" w:rsidP="00FB3051">
      <w:pPr>
        <w:pStyle w:val="FootnoteText"/>
      </w:pPr>
      <w:r>
        <w:rPr>
          <w:rStyle w:val="FootnoteReference"/>
        </w:rPr>
        <w:footnoteRef/>
      </w:r>
      <w:r>
        <w:t xml:space="preserve"> Including interest.</w:t>
      </w:r>
    </w:p>
  </w:footnote>
  <w:footnote w:id="7">
    <w:p w:rsidR="00FB3051" w:rsidRDefault="00FB3051" w:rsidP="00FB3051">
      <w:pPr>
        <w:pStyle w:val="FootnoteText"/>
      </w:pPr>
      <w:r>
        <w:rPr>
          <w:rStyle w:val="FootnoteReference"/>
        </w:rPr>
        <w:footnoteRef/>
      </w:r>
      <w:r>
        <w:t xml:space="preserve"> I</w:t>
      </w:r>
      <w:r w:rsidRPr="00220277">
        <w:t>ncluding prior true-up amounts and revenues taxes</w:t>
      </w:r>
      <w:r>
        <w:t>.</w:t>
      </w:r>
    </w:p>
  </w:footnote>
  <w:footnote w:id="8">
    <w:p w:rsidR="00FB3051" w:rsidRDefault="00FB3051" w:rsidP="00FB3051">
      <w:pPr>
        <w:pStyle w:val="FootnoteText"/>
      </w:pPr>
      <w:r>
        <w:rPr>
          <w:rStyle w:val="FootnoteReference"/>
        </w:rPr>
        <w:footnoteRef/>
      </w:r>
      <w:r>
        <w:t xml:space="preserve"> </w:t>
      </w:r>
      <w:r>
        <w:rPr>
          <w:bCs/>
        </w:rPr>
        <w:t>I</w:t>
      </w:r>
      <w:r w:rsidRPr="00C80E5D">
        <w:rPr>
          <w:bCs/>
        </w:rPr>
        <w:t>ncluding prior true-up amounts and revenue taxes</w:t>
      </w:r>
      <w:r>
        <w:rPr>
          <w:bCs/>
        </w:rPr>
        <w:t>.</w:t>
      </w:r>
    </w:p>
  </w:footnote>
  <w:footnote w:id="9">
    <w:p w:rsidR="00FB3051" w:rsidRDefault="00FB3051" w:rsidP="00FB3051">
      <w:pPr>
        <w:pStyle w:val="FootnoteText"/>
      </w:pPr>
      <w:r>
        <w:rPr>
          <w:rStyle w:val="FootnoteReference"/>
        </w:rPr>
        <w:footnoteRef/>
      </w:r>
      <w:r>
        <w:t xml:space="preserve"> I</w:t>
      </w:r>
      <w:r w:rsidRPr="001941F7">
        <w:t>ncluding current period estimated true-up</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4 ">
      <w:r w:rsidR="00D436E6">
        <w:t>PSC-2017-0434-FOF-EG</w:t>
      </w:r>
    </w:fldSimple>
  </w:p>
  <w:p w:rsidR="00FA6EFD" w:rsidRDefault="009F3DA2">
    <w:pPr>
      <w:pStyle w:val="OrderHeader"/>
    </w:pPr>
    <w:bookmarkStart w:id="9" w:name="HeaderDocketNo"/>
    <w:bookmarkEnd w:id="9"/>
    <w:r>
      <w:t>DOCKET NO. 20170002-EG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36E6">
      <w:rPr>
        <w:rStyle w:val="PageNumber"/>
        <w:noProof/>
      </w:rPr>
      <w:t>10</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2-EG"/>
  </w:docVars>
  <w:rsids>
    <w:rsidRoot w:val="009F3DA2"/>
    <w:rsid w:val="000022B8"/>
    <w:rsid w:val="00053AB9"/>
    <w:rsid w:val="00056229"/>
    <w:rsid w:val="0005769E"/>
    <w:rsid w:val="00063D9E"/>
    <w:rsid w:val="00065FC2"/>
    <w:rsid w:val="00067685"/>
    <w:rsid w:val="00076E6B"/>
    <w:rsid w:val="0008247D"/>
    <w:rsid w:val="00090AFC"/>
    <w:rsid w:val="000D02B8"/>
    <w:rsid w:val="000D06E8"/>
    <w:rsid w:val="000E20F0"/>
    <w:rsid w:val="000E344D"/>
    <w:rsid w:val="000E4203"/>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73A71"/>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47210"/>
    <w:rsid w:val="00660774"/>
    <w:rsid w:val="0066389A"/>
    <w:rsid w:val="0066495C"/>
    <w:rsid w:val="00665CC7"/>
    <w:rsid w:val="00672612"/>
    <w:rsid w:val="00677F18"/>
    <w:rsid w:val="006847FE"/>
    <w:rsid w:val="006A0BF3"/>
    <w:rsid w:val="006B0DA6"/>
    <w:rsid w:val="006C547E"/>
    <w:rsid w:val="006D572F"/>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9F3DA2"/>
    <w:rsid w:val="00A00D8D"/>
    <w:rsid w:val="00A24CB7"/>
    <w:rsid w:val="00A4303C"/>
    <w:rsid w:val="00A62DAB"/>
    <w:rsid w:val="00A726A6"/>
    <w:rsid w:val="00A72E3F"/>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36E6"/>
    <w:rsid w:val="00D46FAA"/>
    <w:rsid w:val="00D47A40"/>
    <w:rsid w:val="00D51D33"/>
    <w:rsid w:val="00D57BB2"/>
    <w:rsid w:val="00D57E57"/>
    <w:rsid w:val="00D70752"/>
    <w:rsid w:val="00D8560E"/>
    <w:rsid w:val="00D8758F"/>
    <w:rsid w:val="00DA6B78"/>
    <w:rsid w:val="00DB6AB5"/>
    <w:rsid w:val="00DC1D94"/>
    <w:rsid w:val="00DC42CF"/>
    <w:rsid w:val="00DE057F"/>
    <w:rsid w:val="00DE2082"/>
    <w:rsid w:val="00DE2289"/>
    <w:rsid w:val="00E0110B"/>
    <w:rsid w:val="00E02F15"/>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5FA"/>
    <w:rsid w:val="00F277B6"/>
    <w:rsid w:val="00F54380"/>
    <w:rsid w:val="00F54B47"/>
    <w:rsid w:val="00F6702E"/>
    <w:rsid w:val="00F70E84"/>
    <w:rsid w:val="00FA092B"/>
    <w:rsid w:val="00FA6EFD"/>
    <w:rsid w:val="00FB3051"/>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FB3051"/>
    <w:pPr>
      <w:spacing w:after="240"/>
      <w:ind w:left="1440"/>
      <w:jc w:val="both"/>
    </w:pPr>
    <w:rPr>
      <w:szCs w:val="20"/>
    </w:rPr>
  </w:style>
  <w:style w:type="paragraph" w:customStyle="1" w:styleId="IssueHeading">
    <w:name w:val="Issue Heading"/>
    <w:basedOn w:val="Heading3"/>
    <w:next w:val="IssueBody"/>
    <w:rsid w:val="00FB3051"/>
    <w:pPr>
      <w:spacing w:before="240" w:after="60"/>
      <w:ind w:firstLine="0"/>
    </w:pPr>
    <w:rPr>
      <w:rFonts w:cs="Arial"/>
      <w:b/>
      <w:bCs/>
      <w:szCs w:val="26"/>
    </w:rPr>
  </w:style>
  <w:style w:type="paragraph" w:customStyle="1" w:styleId="QuickA">
    <w:name w:val="Quick A."/>
    <w:rsid w:val="00FB3051"/>
    <w:pPr>
      <w:widowControl w:val="0"/>
      <w:ind w:left="-2160"/>
    </w:pPr>
    <w:rPr>
      <w:snapToGrid w:val="0"/>
      <w:sz w:val="24"/>
    </w:rPr>
  </w:style>
  <w:style w:type="paragraph" w:styleId="BalloonText">
    <w:name w:val="Balloon Text"/>
    <w:basedOn w:val="Normal"/>
    <w:link w:val="BalloonTextChar"/>
    <w:rsid w:val="00FB3051"/>
    <w:rPr>
      <w:rFonts w:ascii="Tahoma" w:hAnsi="Tahoma" w:cs="Tahoma"/>
      <w:sz w:val="16"/>
      <w:szCs w:val="16"/>
    </w:rPr>
  </w:style>
  <w:style w:type="character" w:customStyle="1" w:styleId="BalloonTextChar">
    <w:name w:val="Balloon Text Char"/>
    <w:basedOn w:val="DefaultParagraphFont"/>
    <w:link w:val="BalloonText"/>
    <w:rsid w:val="00FB3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FB3051"/>
    <w:pPr>
      <w:spacing w:after="240"/>
      <w:ind w:left="1440"/>
      <w:jc w:val="both"/>
    </w:pPr>
    <w:rPr>
      <w:szCs w:val="20"/>
    </w:rPr>
  </w:style>
  <w:style w:type="paragraph" w:customStyle="1" w:styleId="IssueHeading">
    <w:name w:val="Issue Heading"/>
    <w:basedOn w:val="Heading3"/>
    <w:next w:val="IssueBody"/>
    <w:rsid w:val="00FB3051"/>
    <w:pPr>
      <w:spacing w:before="240" w:after="60"/>
      <w:ind w:firstLine="0"/>
    </w:pPr>
    <w:rPr>
      <w:rFonts w:cs="Arial"/>
      <w:b/>
      <w:bCs/>
      <w:szCs w:val="26"/>
    </w:rPr>
  </w:style>
  <w:style w:type="paragraph" w:customStyle="1" w:styleId="QuickA">
    <w:name w:val="Quick A."/>
    <w:rsid w:val="00FB3051"/>
    <w:pPr>
      <w:widowControl w:val="0"/>
      <w:ind w:left="-2160"/>
    </w:pPr>
    <w:rPr>
      <w:snapToGrid w:val="0"/>
      <w:sz w:val="24"/>
    </w:rPr>
  </w:style>
  <w:style w:type="paragraph" w:styleId="BalloonText">
    <w:name w:val="Balloon Text"/>
    <w:basedOn w:val="Normal"/>
    <w:link w:val="BalloonTextChar"/>
    <w:rsid w:val="00FB3051"/>
    <w:rPr>
      <w:rFonts w:ascii="Tahoma" w:hAnsi="Tahoma" w:cs="Tahoma"/>
      <w:sz w:val="16"/>
      <w:szCs w:val="16"/>
    </w:rPr>
  </w:style>
  <w:style w:type="character" w:customStyle="1" w:styleId="BalloonTextChar">
    <w:name w:val="Balloon Text Char"/>
    <w:basedOn w:val="DefaultParagraphFont"/>
    <w:link w:val="BalloonText"/>
    <w:rsid w:val="00FB3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10</Pages>
  <Words>2101</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2017-11-14T18:50:00Z</dcterms:created>
  <dcterms:modified xsi:type="dcterms:W3CDTF">2017-11-14T19:07:00Z</dcterms:modified>
</cp:coreProperties>
</file>