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4F4F5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F4F56">
            <w:pPr>
              <w:pStyle w:val="MemoHeading"/>
            </w:pPr>
            <w:bookmarkStart w:id="1" w:name="FilingDate"/>
            <w:r>
              <w:t>November 30,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F4F56" w:rsidRDefault="004F4F56">
            <w:pPr>
              <w:pStyle w:val="MemoHeading"/>
            </w:pPr>
            <w:bookmarkStart w:id="2" w:name="From"/>
            <w:r>
              <w:t>Divis</w:t>
            </w:r>
            <w:r w:rsidR="00200C10">
              <w:t>ion of Economics (Bruce,</w:t>
            </w:r>
            <w:r>
              <w:t xml:space="preserve"> Hudson)</w:t>
            </w:r>
          </w:p>
          <w:p w:rsidR="004F4F56" w:rsidRDefault="004F4F56">
            <w:pPr>
              <w:pStyle w:val="MemoHeading"/>
            </w:pPr>
            <w:r>
              <w:t xml:space="preserve">Division of Accounting and </w:t>
            </w:r>
            <w:r w:rsidR="00200C10">
              <w:t>Finance (</w:t>
            </w:r>
            <w:r w:rsidR="008A1B33">
              <w:t xml:space="preserve">Golden, </w:t>
            </w:r>
            <w:r w:rsidR="00131E95">
              <w:t>Galloway</w:t>
            </w:r>
            <w:r>
              <w:t>)</w:t>
            </w:r>
          </w:p>
          <w:p w:rsidR="004F4F56" w:rsidRDefault="004F4F56">
            <w:pPr>
              <w:pStyle w:val="MemoHeading"/>
            </w:pPr>
            <w:r>
              <w:t>Division of En</w:t>
            </w:r>
            <w:r w:rsidR="00200C10">
              <w:t>gineering (Buys</w:t>
            </w:r>
            <w:r>
              <w:t>)</w:t>
            </w:r>
          </w:p>
          <w:p w:rsidR="007C0528" w:rsidRDefault="004F4F56">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F4F56">
            <w:pPr>
              <w:pStyle w:val="MemoHeadingRe"/>
            </w:pPr>
            <w:bookmarkStart w:id="3" w:name="Re"/>
            <w:r>
              <w:t xml:space="preserve">Docket No. 20130265-WU – Application for staff-assisted rate case in Charlotte County by Little Gasparilla Water </w:t>
            </w:r>
            <w:r w:rsidR="008D63B4">
              <w:t>Utility</w:t>
            </w:r>
            <w:r>
              <w:t>,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F4F56">
            <w:pPr>
              <w:pStyle w:val="MemoHeading"/>
            </w:pPr>
            <w:bookmarkStart w:id="4" w:name="AgendaDate"/>
            <w:r>
              <w:t>12/12/17</w:t>
            </w:r>
            <w:bookmarkEnd w:id="4"/>
            <w:r w:rsidR="007C0528">
              <w:t xml:space="preserve"> – </w:t>
            </w:r>
            <w:bookmarkStart w:id="5" w:name="PermittedStatus"/>
            <w:r>
              <w:t xml:space="preserve">Regular Agenda – </w:t>
            </w:r>
            <w:r w:rsidR="00224D42">
              <w:t>Proposed Agency Action Except Issues 3 and 4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F4F5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F4F56">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F4F56">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F4F56">
            <w:pPr>
              <w:pStyle w:val="MemoHeading"/>
            </w:pPr>
            <w:bookmarkStart w:id="10" w:name="SpecialInstructions"/>
            <w:r>
              <w:t>None</w:t>
            </w:r>
            <w:bookmarkEnd w:id="10"/>
          </w:p>
        </w:tc>
      </w:tr>
    </w:tbl>
    <w:p w:rsidR="007C0528" w:rsidRDefault="007C0528">
      <w:pPr>
        <w:pStyle w:val="BodyText"/>
      </w:pPr>
    </w:p>
    <w:p w:rsidR="0004406C" w:rsidRDefault="0004406C" w:rsidP="0004406C">
      <w:pPr>
        <w:pStyle w:val="RecommendationMajorSectionHeading"/>
      </w:pPr>
      <w:bookmarkStart w:id="11" w:name="RecToC"/>
      <w:bookmarkEnd w:id="11"/>
      <w:r>
        <w:br w:type="page"/>
      </w:r>
      <w:r>
        <w:lastRenderedPageBreak/>
        <w:t>Table of Contents</w:t>
      </w:r>
    </w:p>
    <w:p w:rsidR="0004406C" w:rsidRDefault="0004406C">
      <w:pPr>
        <w:pStyle w:val="TOCColumnHeadings"/>
      </w:pPr>
      <w:r>
        <w:t>Issue</w:t>
      </w:r>
      <w:r>
        <w:tab/>
        <w:t>Description</w:t>
      </w:r>
      <w:r>
        <w:tab/>
        <w:t>Page</w:t>
      </w:r>
    </w:p>
    <w:p w:rsidR="00551A1C" w:rsidRDefault="0004406C">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499901211" w:history="1">
        <w:r w:rsidR="00551A1C" w:rsidRPr="00067541">
          <w:rPr>
            <w:rStyle w:val="Hyperlink"/>
            <w:noProof/>
          </w:rPr>
          <w:tab/>
          <w:t>Case Background</w:t>
        </w:r>
        <w:r w:rsidR="00551A1C">
          <w:rPr>
            <w:noProof/>
            <w:webHidden/>
          </w:rPr>
          <w:tab/>
        </w:r>
        <w:r w:rsidR="00551A1C">
          <w:rPr>
            <w:noProof/>
            <w:webHidden/>
          </w:rPr>
          <w:fldChar w:fldCharType="begin"/>
        </w:r>
        <w:r w:rsidR="00551A1C">
          <w:rPr>
            <w:noProof/>
            <w:webHidden/>
          </w:rPr>
          <w:instrText xml:space="preserve"> PAGEREF _Toc499901211 \h </w:instrText>
        </w:r>
        <w:r w:rsidR="00551A1C">
          <w:rPr>
            <w:noProof/>
            <w:webHidden/>
          </w:rPr>
        </w:r>
        <w:r w:rsidR="00551A1C">
          <w:rPr>
            <w:noProof/>
            <w:webHidden/>
          </w:rPr>
          <w:fldChar w:fldCharType="separate"/>
        </w:r>
        <w:r w:rsidR="002713FC">
          <w:rPr>
            <w:noProof/>
            <w:webHidden/>
          </w:rPr>
          <w:t>3</w:t>
        </w:r>
        <w:r w:rsidR="00551A1C">
          <w:rPr>
            <w:noProof/>
            <w:webHidden/>
          </w:rPr>
          <w:fldChar w:fldCharType="end"/>
        </w:r>
      </w:hyperlink>
    </w:p>
    <w:p w:rsidR="00551A1C" w:rsidRDefault="00F9581E">
      <w:pPr>
        <w:pStyle w:val="TOC1"/>
        <w:rPr>
          <w:rFonts w:asciiTheme="minorHAnsi" w:eastAsiaTheme="minorEastAsia" w:hAnsiTheme="minorHAnsi" w:cstheme="minorBidi"/>
          <w:noProof/>
          <w:sz w:val="22"/>
          <w:szCs w:val="22"/>
        </w:rPr>
      </w:pPr>
      <w:hyperlink w:anchor="_Toc499901212" w:history="1">
        <w:r w:rsidR="00551A1C" w:rsidRPr="00067541">
          <w:rPr>
            <w:rStyle w:val="Hyperlink"/>
            <w:noProof/>
          </w:rPr>
          <w:t>1</w:t>
        </w:r>
        <w:r w:rsidR="00551A1C" w:rsidRPr="00067541">
          <w:rPr>
            <w:rStyle w:val="Hyperlink"/>
            <w:noProof/>
          </w:rPr>
          <w:tab/>
          <w:t>Phase II Revenue Requirement (Golden, P. Buys, Galloway)</w:t>
        </w:r>
        <w:r w:rsidR="00551A1C">
          <w:rPr>
            <w:noProof/>
            <w:webHidden/>
          </w:rPr>
          <w:tab/>
        </w:r>
        <w:r w:rsidR="00551A1C">
          <w:rPr>
            <w:noProof/>
            <w:webHidden/>
          </w:rPr>
          <w:fldChar w:fldCharType="begin"/>
        </w:r>
        <w:r w:rsidR="00551A1C">
          <w:rPr>
            <w:noProof/>
            <w:webHidden/>
          </w:rPr>
          <w:instrText xml:space="preserve"> PAGEREF _Toc499901212 \h </w:instrText>
        </w:r>
        <w:r w:rsidR="00551A1C">
          <w:rPr>
            <w:noProof/>
            <w:webHidden/>
          </w:rPr>
        </w:r>
        <w:r w:rsidR="00551A1C">
          <w:rPr>
            <w:noProof/>
            <w:webHidden/>
          </w:rPr>
          <w:fldChar w:fldCharType="separate"/>
        </w:r>
        <w:r w:rsidR="002713FC">
          <w:rPr>
            <w:noProof/>
            <w:webHidden/>
          </w:rPr>
          <w:t>4</w:t>
        </w:r>
        <w:r w:rsidR="00551A1C">
          <w:rPr>
            <w:noProof/>
            <w:webHidden/>
          </w:rPr>
          <w:fldChar w:fldCharType="end"/>
        </w:r>
      </w:hyperlink>
    </w:p>
    <w:p w:rsidR="00551A1C" w:rsidRDefault="00F9581E">
      <w:pPr>
        <w:pStyle w:val="TOC1"/>
        <w:rPr>
          <w:rFonts w:asciiTheme="minorHAnsi" w:eastAsiaTheme="minorEastAsia" w:hAnsiTheme="minorHAnsi" w:cstheme="minorBidi"/>
          <w:noProof/>
          <w:sz w:val="22"/>
          <w:szCs w:val="22"/>
        </w:rPr>
      </w:pPr>
      <w:hyperlink w:anchor="_Toc499901213" w:history="1">
        <w:r w:rsidR="00551A1C" w:rsidRPr="00067541">
          <w:rPr>
            <w:rStyle w:val="Hyperlink"/>
            <w:noProof/>
          </w:rPr>
          <w:t>2</w:t>
        </w:r>
        <w:r w:rsidR="00551A1C" w:rsidRPr="00067541">
          <w:rPr>
            <w:rStyle w:val="Hyperlink"/>
            <w:noProof/>
          </w:rPr>
          <w:tab/>
          <w:t>Rates (Bruce)</w:t>
        </w:r>
        <w:r w:rsidR="00551A1C">
          <w:rPr>
            <w:noProof/>
            <w:webHidden/>
          </w:rPr>
          <w:tab/>
        </w:r>
        <w:r w:rsidR="00551A1C">
          <w:rPr>
            <w:noProof/>
            <w:webHidden/>
          </w:rPr>
          <w:fldChar w:fldCharType="begin"/>
        </w:r>
        <w:r w:rsidR="00551A1C">
          <w:rPr>
            <w:noProof/>
            <w:webHidden/>
          </w:rPr>
          <w:instrText xml:space="preserve"> PAGEREF _Toc499901213 \h </w:instrText>
        </w:r>
        <w:r w:rsidR="00551A1C">
          <w:rPr>
            <w:noProof/>
            <w:webHidden/>
          </w:rPr>
        </w:r>
        <w:r w:rsidR="00551A1C">
          <w:rPr>
            <w:noProof/>
            <w:webHidden/>
          </w:rPr>
          <w:fldChar w:fldCharType="separate"/>
        </w:r>
        <w:r w:rsidR="002713FC">
          <w:rPr>
            <w:noProof/>
            <w:webHidden/>
          </w:rPr>
          <w:t>21</w:t>
        </w:r>
        <w:r w:rsidR="00551A1C">
          <w:rPr>
            <w:noProof/>
            <w:webHidden/>
          </w:rPr>
          <w:fldChar w:fldCharType="end"/>
        </w:r>
      </w:hyperlink>
    </w:p>
    <w:p w:rsidR="00551A1C" w:rsidRDefault="00F9581E">
      <w:pPr>
        <w:pStyle w:val="TOC1"/>
        <w:rPr>
          <w:rFonts w:asciiTheme="minorHAnsi" w:eastAsiaTheme="minorEastAsia" w:hAnsiTheme="minorHAnsi" w:cstheme="minorBidi"/>
          <w:noProof/>
          <w:sz w:val="22"/>
          <w:szCs w:val="22"/>
        </w:rPr>
      </w:pPr>
      <w:hyperlink w:anchor="_Toc499901214" w:history="1">
        <w:r w:rsidR="00551A1C" w:rsidRPr="00067541">
          <w:rPr>
            <w:rStyle w:val="Hyperlink"/>
            <w:noProof/>
          </w:rPr>
          <w:t>3</w:t>
        </w:r>
        <w:r w:rsidR="00551A1C" w:rsidRPr="00067541">
          <w:rPr>
            <w:rStyle w:val="Hyperlink"/>
            <w:noProof/>
          </w:rPr>
          <w:tab/>
          <w:t>Rate Reduction (Bruce, Golden)</w:t>
        </w:r>
        <w:r w:rsidR="00551A1C">
          <w:rPr>
            <w:noProof/>
            <w:webHidden/>
          </w:rPr>
          <w:tab/>
        </w:r>
        <w:r w:rsidR="00551A1C">
          <w:rPr>
            <w:noProof/>
            <w:webHidden/>
          </w:rPr>
          <w:fldChar w:fldCharType="begin"/>
        </w:r>
        <w:r w:rsidR="00551A1C">
          <w:rPr>
            <w:noProof/>
            <w:webHidden/>
          </w:rPr>
          <w:instrText xml:space="preserve"> PAGEREF _Toc499901214 \h </w:instrText>
        </w:r>
        <w:r w:rsidR="00551A1C">
          <w:rPr>
            <w:noProof/>
            <w:webHidden/>
          </w:rPr>
        </w:r>
        <w:r w:rsidR="00551A1C">
          <w:rPr>
            <w:noProof/>
            <w:webHidden/>
          </w:rPr>
          <w:fldChar w:fldCharType="separate"/>
        </w:r>
        <w:r w:rsidR="002713FC">
          <w:rPr>
            <w:noProof/>
            <w:webHidden/>
          </w:rPr>
          <w:t>22</w:t>
        </w:r>
        <w:r w:rsidR="00551A1C">
          <w:rPr>
            <w:noProof/>
            <w:webHidden/>
          </w:rPr>
          <w:fldChar w:fldCharType="end"/>
        </w:r>
      </w:hyperlink>
    </w:p>
    <w:p w:rsidR="00551A1C" w:rsidRDefault="00F9581E">
      <w:pPr>
        <w:pStyle w:val="TOC1"/>
        <w:rPr>
          <w:rFonts w:asciiTheme="minorHAnsi" w:eastAsiaTheme="minorEastAsia" w:hAnsiTheme="minorHAnsi" w:cstheme="minorBidi"/>
          <w:noProof/>
          <w:sz w:val="22"/>
          <w:szCs w:val="22"/>
        </w:rPr>
      </w:pPr>
      <w:hyperlink w:anchor="_Toc499901215" w:history="1">
        <w:r w:rsidR="00551A1C" w:rsidRPr="00067541">
          <w:rPr>
            <w:rStyle w:val="Hyperlink"/>
            <w:noProof/>
          </w:rPr>
          <w:t>4</w:t>
        </w:r>
        <w:r w:rsidR="00551A1C" w:rsidRPr="00067541">
          <w:rPr>
            <w:rStyle w:val="Hyperlink"/>
            <w:noProof/>
          </w:rPr>
          <w:tab/>
          <w:t>Temporary Rates (Golden)</w:t>
        </w:r>
        <w:r w:rsidR="00551A1C">
          <w:rPr>
            <w:noProof/>
            <w:webHidden/>
          </w:rPr>
          <w:tab/>
        </w:r>
        <w:r w:rsidR="00551A1C">
          <w:rPr>
            <w:noProof/>
            <w:webHidden/>
          </w:rPr>
          <w:fldChar w:fldCharType="begin"/>
        </w:r>
        <w:r w:rsidR="00551A1C">
          <w:rPr>
            <w:noProof/>
            <w:webHidden/>
          </w:rPr>
          <w:instrText xml:space="preserve"> PAGEREF _Toc499901215 \h </w:instrText>
        </w:r>
        <w:r w:rsidR="00551A1C">
          <w:rPr>
            <w:noProof/>
            <w:webHidden/>
          </w:rPr>
        </w:r>
        <w:r w:rsidR="00551A1C">
          <w:rPr>
            <w:noProof/>
            <w:webHidden/>
          </w:rPr>
          <w:fldChar w:fldCharType="separate"/>
        </w:r>
        <w:r w:rsidR="002713FC">
          <w:rPr>
            <w:noProof/>
            <w:webHidden/>
          </w:rPr>
          <w:t>23</w:t>
        </w:r>
        <w:r w:rsidR="00551A1C">
          <w:rPr>
            <w:noProof/>
            <w:webHidden/>
          </w:rPr>
          <w:fldChar w:fldCharType="end"/>
        </w:r>
      </w:hyperlink>
    </w:p>
    <w:p w:rsidR="00551A1C" w:rsidRDefault="00F9581E">
      <w:pPr>
        <w:pStyle w:val="TOC1"/>
        <w:rPr>
          <w:rFonts w:asciiTheme="minorHAnsi" w:eastAsiaTheme="minorEastAsia" w:hAnsiTheme="minorHAnsi" w:cstheme="minorBidi"/>
          <w:noProof/>
          <w:sz w:val="22"/>
          <w:szCs w:val="22"/>
        </w:rPr>
      </w:pPr>
      <w:hyperlink w:anchor="_Toc499901216" w:history="1">
        <w:r w:rsidR="00551A1C" w:rsidRPr="00067541">
          <w:rPr>
            <w:rStyle w:val="Hyperlink"/>
            <w:noProof/>
          </w:rPr>
          <w:t>5</w:t>
        </w:r>
        <w:r w:rsidR="00551A1C" w:rsidRPr="00067541">
          <w:rPr>
            <w:rStyle w:val="Hyperlink"/>
            <w:noProof/>
          </w:rPr>
          <w:tab/>
          <w:t>Close Docket (Murphy)</w:t>
        </w:r>
        <w:r w:rsidR="00551A1C">
          <w:rPr>
            <w:noProof/>
            <w:webHidden/>
          </w:rPr>
          <w:tab/>
        </w:r>
        <w:r w:rsidR="00551A1C">
          <w:rPr>
            <w:noProof/>
            <w:webHidden/>
          </w:rPr>
          <w:fldChar w:fldCharType="begin"/>
        </w:r>
        <w:r w:rsidR="00551A1C">
          <w:rPr>
            <w:noProof/>
            <w:webHidden/>
          </w:rPr>
          <w:instrText xml:space="preserve"> PAGEREF _Toc499901216 \h </w:instrText>
        </w:r>
        <w:r w:rsidR="00551A1C">
          <w:rPr>
            <w:noProof/>
            <w:webHidden/>
          </w:rPr>
        </w:r>
        <w:r w:rsidR="00551A1C">
          <w:rPr>
            <w:noProof/>
            <w:webHidden/>
          </w:rPr>
          <w:fldChar w:fldCharType="separate"/>
        </w:r>
        <w:r w:rsidR="002713FC">
          <w:rPr>
            <w:noProof/>
            <w:webHidden/>
          </w:rPr>
          <w:t>25</w:t>
        </w:r>
        <w:r w:rsidR="00551A1C">
          <w:rPr>
            <w:noProof/>
            <w:webHidden/>
          </w:rPr>
          <w:fldChar w:fldCharType="end"/>
        </w:r>
      </w:hyperlink>
    </w:p>
    <w:p w:rsidR="00551A1C" w:rsidRDefault="00F9581E">
      <w:pPr>
        <w:pStyle w:val="TOC1"/>
        <w:rPr>
          <w:rFonts w:asciiTheme="minorHAnsi" w:eastAsiaTheme="minorEastAsia" w:hAnsiTheme="minorHAnsi" w:cstheme="minorBidi"/>
          <w:noProof/>
          <w:sz w:val="22"/>
          <w:szCs w:val="22"/>
        </w:rPr>
      </w:pPr>
      <w:hyperlink w:anchor="_Toc499901217" w:history="1">
        <w:r w:rsidR="00551A1C" w:rsidRPr="00067541">
          <w:rPr>
            <w:rStyle w:val="Hyperlink"/>
            <w:noProof/>
          </w:rPr>
          <w:t>Schedule No. 1-A Water Rate Base – Phase II</w:t>
        </w:r>
        <w:r w:rsidR="00551A1C">
          <w:rPr>
            <w:noProof/>
            <w:webHidden/>
          </w:rPr>
          <w:tab/>
        </w:r>
        <w:r w:rsidR="00551A1C">
          <w:rPr>
            <w:noProof/>
            <w:webHidden/>
          </w:rPr>
          <w:fldChar w:fldCharType="begin"/>
        </w:r>
        <w:r w:rsidR="00551A1C">
          <w:rPr>
            <w:noProof/>
            <w:webHidden/>
          </w:rPr>
          <w:instrText xml:space="preserve"> PAGEREF _Toc499901217 \h </w:instrText>
        </w:r>
        <w:r w:rsidR="00551A1C">
          <w:rPr>
            <w:noProof/>
            <w:webHidden/>
          </w:rPr>
        </w:r>
        <w:r w:rsidR="00551A1C">
          <w:rPr>
            <w:noProof/>
            <w:webHidden/>
          </w:rPr>
          <w:fldChar w:fldCharType="separate"/>
        </w:r>
        <w:r w:rsidR="002713FC">
          <w:rPr>
            <w:noProof/>
            <w:webHidden/>
          </w:rPr>
          <w:t>26</w:t>
        </w:r>
        <w:r w:rsidR="00551A1C">
          <w:rPr>
            <w:noProof/>
            <w:webHidden/>
          </w:rPr>
          <w:fldChar w:fldCharType="end"/>
        </w:r>
      </w:hyperlink>
    </w:p>
    <w:p w:rsidR="00551A1C" w:rsidRDefault="00F9581E">
      <w:pPr>
        <w:pStyle w:val="TOC1"/>
        <w:rPr>
          <w:rFonts w:asciiTheme="minorHAnsi" w:eastAsiaTheme="minorEastAsia" w:hAnsiTheme="minorHAnsi" w:cstheme="minorBidi"/>
          <w:noProof/>
          <w:sz w:val="22"/>
          <w:szCs w:val="22"/>
        </w:rPr>
      </w:pPr>
      <w:hyperlink w:anchor="_Toc499901218" w:history="1">
        <w:r w:rsidR="00551A1C" w:rsidRPr="00067541">
          <w:rPr>
            <w:rStyle w:val="Hyperlink"/>
            <w:noProof/>
          </w:rPr>
          <w:t>Schedule No. 1-B Adjustments To Rate Base – Phase II</w:t>
        </w:r>
        <w:r w:rsidR="00551A1C">
          <w:rPr>
            <w:noProof/>
            <w:webHidden/>
          </w:rPr>
          <w:tab/>
        </w:r>
        <w:r w:rsidR="00551A1C">
          <w:rPr>
            <w:noProof/>
            <w:webHidden/>
          </w:rPr>
          <w:fldChar w:fldCharType="begin"/>
        </w:r>
        <w:r w:rsidR="00551A1C">
          <w:rPr>
            <w:noProof/>
            <w:webHidden/>
          </w:rPr>
          <w:instrText xml:space="preserve"> PAGEREF _Toc499901218 \h </w:instrText>
        </w:r>
        <w:r w:rsidR="00551A1C">
          <w:rPr>
            <w:noProof/>
            <w:webHidden/>
          </w:rPr>
        </w:r>
        <w:r w:rsidR="00551A1C">
          <w:rPr>
            <w:noProof/>
            <w:webHidden/>
          </w:rPr>
          <w:fldChar w:fldCharType="separate"/>
        </w:r>
        <w:r w:rsidR="002713FC">
          <w:rPr>
            <w:noProof/>
            <w:webHidden/>
          </w:rPr>
          <w:t>27</w:t>
        </w:r>
        <w:r w:rsidR="00551A1C">
          <w:rPr>
            <w:noProof/>
            <w:webHidden/>
          </w:rPr>
          <w:fldChar w:fldCharType="end"/>
        </w:r>
      </w:hyperlink>
    </w:p>
    <w:p w:rsidR="00551A1C" w:rsidRDefault="00F9581E">
      <w:pPr>
        <w:pStyle w:val="TOC1"/>
        <w:rPr>
          <w:rFonts w:asciiTheme="minorHAnsi" w:eastAsiaTheme="minorEastAsia" w:hAnsiTheme="minorHAnsi" w:cstheme="minorBidi"/>
          <w:noProof/>
          <w:sz w:val="22"/>
          <w:szCs w:val="22"/>
        </w:rPr>
      </w:pPr>
      <w:hyperlink w:anchor="_Toc499901219" w:history="1">
        <w:r w:rsidR="00551A1C" w:rsidRPr="00067541">
          <w:rPr>
            <w:rStyle w:val="Hyperlink"/>
            <w:noProof/>
          </w:rPr>
          <w:t>Schedule No. 2 Capital Structure – Phase II</w:t>
        </w:r>
        <w:r w:rsidR="00551A1C">
          <w:rPr>
            <w:noProof/>
            <w:webHidden/>
          </w:rPr>
          <w:tab/>
        </w:r>
        <w:r w:rsidR="00551A1C">
          <w:rPr>
            <w:noProof/>
            <w:webHidden/>
          </w:rPr>
          <w:fldChar w:fldCharType="begin"/>
        </w:r>
        <w:r w:rsidR="00551A1C">
          <w:rPr>
            <w:noProof/>
            <w:webHidden/>
          </w:rPr>
          <w:instrText xml:space="preserve"> PAGEREF _Toc499901219 \h </w:instrText>
        </w:r>
        <w:r w:rsidR="00551A1C">
          <w:rPr>
            <w:noProof/>
            <w:webHidden/>
          </w:rPr>
        </w:r>
        <w:r w:rsidR="00551A1C">
          <w:rPr>
            <w:noProof/>
            <w:webHidden/>
          </w:rPr>
          <w:fldChar w:fldCharType="separate"/>
        </w:r>
        <w:r w:rsidR="002713FC">
          <w:rPr>
            <w:noProof/>
            <w:webHidden/>
          </w:rPr>
          <w:t>28</w:t>
        </w:r>
        <w:r w:rsidR="00551A1C">
          <w:rPr>
            <w:noProof/>
            <w:webHidden/>
          </w:rPr>
          <w:fldChar w:fldCharType="end"/>
        </w:r>
      </w:hyperlink>
    </w:p>
    <w:p w:rsidR="00551A1C" w:rsidRDefault="00F9581E">
      <w:pPr>
        <w:pStyle w:val="TOC1"/>
        <w:rPr>
          <w:rFonts w:asciiTheme="minorHAnsi" w:eastAsiaTheme="minorEastAsia" w:hAnsiTheme="minorHAnsi" w:cstheme="minorBidi"/>
          <w:noProof/>
          <w:sz w:val="22"/>
          <w:szCs w:val="22"/>
        </w:rPr>
      </w:pPr>
      <w:hyperlink w:anchor="_Toc499901220" w:history="1">
        <w:r w:rsidR="00551A1C" w:rsidRPr="00067541">
          <w:rPr>
            <w:rStyle w:val="Hyperlink"/>
            <w:noProof/>
          </w:rPr>
          <w:t>Schedule No. 3-A Water Operating Income – Phase II</w:t>
        </w:r>
        <w:r w:rsidR="00551A1C">
          <w:rPr>
            <w:noProof/>
            <w:webHidden/>
          </w:rPr>
          <w:tab/>
        </w:r>
        <w:r w:rsidR="00551A1C">
          <w:rPr>
            <w:noProof/>
            <w:webHidden/>
          </w:rPr>
          <w:fldChar w:fldCharType="begin"/>
        </w:r>
        <w:r w:rsidR="00551A1C">
          <w:rPr>
            <w:noProof/>
            <w:webHidden/>
          </w:rPr>
          <w:instrText xml:space="preserve"> PAGEREF _Toc499901220 \h </w:instrText>
        </w:r>
        <w:r w:rsidR="00551A1C">
          <w:rPr>
            <w:noProof/>
            <w:webHidden/>
          </w:rPr>
        </w:r>
        <w:r w:rsidR="00551A1C">
          <w:rPr>
            <w:noProof/>
            <w:webHidden/>
          </w:rPr>
          <w:fldChar w:fldCharType="separate"/>
        </w:r>
        <w:r w:rsidR="002713FC">
          <w:rPr>
            <w:noProof/>
            <w:webHidden/>
          </w:rPr>
          <w:t>29</w:t>
        </w:r>
        <w:r w:rsidR="00551A1C">
          <w:rPr>
            <w:noProof/>
            <w:webHidden/>
          </w:rPr>
          <w:fldChar w:fldCharType="end"/>
        </w:r>
      </w:hyperlink>
    </w:p>
    <w:p w:rsidR="00551A1C" w:rsidRDefault="00F9581E">
      <w:pPr>
        <w:pStyle w:val="TOC1"/>
        <w:rPr>
          <w:rFonts w:asciiTheme="minorHAnsi" w:eastAsiaTheme="minorEastAsia" w:hAnsiTheme="minorHAnsi" w:cstheme="minorBidi"/>
          <w:noProof/>
          <w:sz w:val="22"/>
          <w:szCs w:val="22"/>
        </w:rPr>
      </w:pPr>
      <w:hyperlink w:anchor="_Toc499901221" w:history="1">
        <w:r w:rsidR="00551A1C" w:rsidRPr="00067541">
          <w:rPr>
            <w:rStyle w:val="Hyperlink"/>
            <w:noProof/>
          </w:rPr>
          <w:t>Schedule No. 3-B Adjustments to Operating Income – Phase II</w:t>
        </w:r>
        <w:r w:rsidR="00551A1C">
          <w:rPr>
            <w:noProof/>
            <w:webHidden/>
          </w:rPr>
          <w:tab/>
        </w:r>
        <w:r w:rsidR="00551A1C">
          <w:rPr>
            <w:noProof/>
            <w:webHidden/>
          </w:rPr>
          <w:fldChar w:fldCharType="begin"/>
        </w:r>
        <w:r w:rsidR="00551A1C">
          <w:rPr>
            <w:noProof/>
            <w:webHidden/>
          </w:rPr>
          <w:instrText xml:space="preserve"> PAGEREF _Toc499901221 \h </w:instrText>
        </w:r>
        <w:r w:rsidR="00551A1C">
          <w:rPr>
            <w:noProof/>
            <w:webHidden/>
          </w:rPr>
        </w:r>
        <w:r w:rsidR="00551A1C">
          <w:rPr>
            <w:noProof/>
            <w:webHidden/>
          </w:rPr>
          <w:fldChar w:fldCharType="separate"/>
        </w:r>
        <w:r w:rsidR="002713FC">
          <w:rPr>
            <w:noProof/>
            <w:webHidden/>
          </w:rPr>
          <w:t>30</w:t>
        </w:r>
        <w:r w:rsidR="00551A1C">
          <w:rPr>
            <w:noProof/>
            <w:webHidden/>
          </w:rPr>
          <w:fldChar w:fldCharType="end"/>
        </w:r>
      </w:hyperlink>
    </w:p>
    <w:p w:rsidR="00551A1C" w:rsidRDefault="00F9581E">
      <w:pPr>
        <w:pStyle w:val="TOC1"/>
        <w:rPr>
          <w:rFonts w:asciiTheme="minorHAnsi" w:eastAsiaTheme="minorEastAsia" w:hAnsiTheme="minorHAnsi" w:cstheme="minorBidi"/>
          <w:noProof/>
          <w:sz w:val="22"/>
          <w:szCs w:val="22"/>
        </w:rPr>
      </w:pPr>
      <w:hyperlink w:anchor="_Toc499901222" w:history="1">
        <w:r w:rsidR="00551A1C" w:rsidRPr="00067541">
          <w:rPr>
            <w:rStyle w:val="Hyperlink"/>
            <w:noProof/>
          </w:rPr>
          <w:t>Schedule No. 3-C Water O&amp;M Expense – Phase II</w:t>
        </w:r>
        <w:r w:rsidR="00551A1C">
          <w:rPr>
            <w:noProof/>
            <w:webHidden/>
          </w:rPr>
          <w:tab/>
        </w:r>
        <w:r w:rsidR="00551A1C">
          <w:rPr>
            <w:noProof/>
            <w:webHidden/>
          </w:rPr>
          <w:fldChar w:fldCharType="begin"/>
        </w:r>
        <w:r w:rsidR="00551A1C">
          <w:rPr>
            <w:noProof/>
            <w:webHidden/>
          </w:rPr>
          <w:instrText xml:space="preserve"> PAGEREF _Toc499901222 \h </w:instrText>
        </w:r>
        <w:r w:rsidR="00551A1C">
          <w:rPr>
            <w:noProof/>
            <w:webHidden/>
          </w:rPr>
        </w:r>
        <w:r w:rsidR="00551A1C">
          <w:rPr>
            <w:noProof/>
            <w:webHidden/>
          </w:rPr>
          <w:fldChar w:fldCharType="separate"/>
        </w:r>
        <w:r w:rsidR="002713FC">
          <w:rPr>
            <w:noProof/>
            <w:webHidden/>
          </w:rPr>
          <w:t>31</w:t>
        </w:r>
        <w:r w:rsidR="00551A1C">
          <w:rPr>
            <w:noProof/>
            <w:webHidden/>
          </w:rPr>
          <w:fldChar w:fldCharType="end"/>
        </w:r>
      </w:hyperlink>
    </w:p>
    <w:p w:rsidR="00551A1C" w:rsidRDefault="00F9581E">
      <w:pPr>
        <w:pStyle w:val="TOC1"/>
        <w:rPr>
          <w:rFonts w:asciiTheme="minorHAnsi" w:eastAsiaTheme="minorEastAsia" w:hAnsiTheme="minorHAnsi" w:cstheme="minorBidi"/>
          <w:noProof/>
          <w:sz w:val="22"/>
          <w:szCs w:val="22"/>
        </w:rPr>
      </w:pPr>
      <w:hyperlink w:anchor="_Toc499901223" w:history="1">
        <w:r w:rsidR="00551A1C" w:rsidRPr="00067541">
          <w:rPr>
            <w:rStyle w:val="Hyperlink"/>
            <w:noProof/>
          </w:rPr>
          <w:t>Schedule No. 4 Water Rates – Phase II</w:t>
        </w:r>
        <w:r w:rsidR="00551A1C">
          <w:rPr>
            <w:noProof/>
            <w:webHidden/>
          </w:rPr>
          <w:tab/>
        </w:r>
        <w:r w:rsidR="00551A1C">
          <w:rPr>
            <w:noProof/>
            <w:webHidden/>
          </w:rPr>
          <w:fldChar w:fldCharType="begin"/>
        </w:r>
        <w:r w:rsidR="00551A1C">
          <w:rPr>
            <w:noProof/>
            <w:webHidden/>
          </w:rPr>
          <w:instrText xml:space="preserve"> PAGEREF _Toc499901223 \h </w:instrText>
        </w:r>
        <w:r w:rsidR="00551A1C">
          <w:rPr>
            <w:noProof/>
            <w:webHidden/>
          </w:rPr>
        </w:r>
        <w:r w:rsidR="00551A1C">
          <w:rPr>
            <w:noProof/>
            <w:webHidden/>
          </w:rPr>
          <w:fldChar w:fldCharType="separate"/>
        </w:r>
        <w:r w:rsidR="002713FC">
          <w:rPr>
            <w:noProof/>
            <w:webHidden/>
          </w:rPr>
          <w:t>32</w:t>
        </w:r>
        <w:r w:rsidR="00551A1C">
          <w:rPr>
            <w:noProof/>
            <w:webHidden/>
          </w:rPr>
          <w:fldChar w:fldCharType="end"/>
        </w:r>
      </w:hyperlink>
    </w:p>
    <w:p w:rsidR="0004406C" w:rsidRDefault="0004406C">
      <w:pPr>
        <w:pStyle w:val="TOCColumnHeadings"/>
      </w:pPr>
      <w:r>
        <w:fldChar w:fldCharType="end"/>
      </w:r>
    </w:p>
    <w:p w:rsidR="007C0528" w:rsidRDefault="0004406C">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499901211"/>
      <w:r w:rsidR="007C0528">
        <w:tab/>
        <w:instrText>Case Background</w:instrText>
      </w:r>
      <w:bookmarkEnd w:id="13"/>
      <w:r w:rsidR="007C0528">
        <w:instrText xml:space="preserve">" \l 1 </w:instrText>
      </w:r>
      <w:r w:rsidR="007C0528">
        <w:fldChar w:fldCharType="end"/>
      </w:r>
    </w:p>
    <w:p w:rsidR="0045675D" w:rsidRDefault="00433C04">
      <w:pPr>
        <w:pStyle w:val="BodyText"/>
      </w:pPr>
      <w:r>
        <w:t xml:space="preserve">Little Gasparilla Water Utilities, Inc., (Little Gasparilla or </w:t>
      </w:r>
      <w:r w:rsidR="00346F3D">
        <w:t>U</w:t>
      </w:r>
      <w:r w:rsidR="008D63B4">
        <w:t>tility</w:t>
      </w:r>
      <w:r>
        <w:t xml:space="preserve">) is a Class B water </w:t>
      </w:r>
      <w:r w:rsidR="00346F3D">
        <w:t>U</w:t>
      </w:r>
      <w:r w:rsidR="008D63B4">
        <w:t>tility</w:t>
      </w:r>
      <w:r>
        <w:t xml:space="preserve"> serving approximately 444 customers on Little Gasparilla Island in Charlotte County. The </w:t>
      </w:r>
      <w:r w:rsidR="00346F3D">
        <w:t>U</w:t>
      </w:r>
      <w:r w:rsidR="008D63B4">
        <w:t>tility</w:t>
      </w:r>
      <w:r>
        <w:t>’s service are</w:t>
      </w:r>
      <w:r w:rsidR="00801D2A">
        <w:t>a</w:t>
      </w:r>
      <w:r>
        <w:t xml:space="preserve"> is on a private island, which consists primarily of vacation homes. </w:t>
      </w:r>
    </w:p>
    <w:p w:rsidR="00796DB3" w:rsidRDefault="00566338">
      <w:pPr>
        <w:pStyle w:val="BodyText"/>
      </w:pPr>
      <w:r>
        <w:t xml:space="preserve">The </w:t>
      </w:r>
      <w:r w:rsidR="00346F3D">
        <w:t>U</w:t>
      </w:r>
      <w:r w:rsidR="008D63B4">
        <w:t>tility</w:t>
      </w:r>
      <w:r>
        <w:t xml:space="preserve"> filed an application for a staff-assisted rate case in the instant docket on November 4, 2013.</w:t>
      </w:r>
      <w:r w:rsidR="00DE028F">
        <w:t xml:space="preserve"> According to Little Gasparilla’s 2016 annual report, total gross revenues were</w:t>
      </w:r>
      <w:r w:rsidR="00A309B8">
        <w:t xml:space="preserve"> $399,196, and total o</w:t>
      </w:r>
      <w:r w:rsidR="00163543">
        <w:t>perating expenses were $409,016, resulting in a net loss of $9,820.</w:t>
      </w:r>
      <w:r w:rsidR="0045675D">
        <w:t xml:space="preserve"> </w:t>
      </w:r>
      <w:r w:rsidR="00652E6F">
        <w:t>By Order No. PSC</w:t>
      </w:r>
      <w:r>
        <w:t>-14-0626-PAA-WU, issued O</w:t>
      </w:r>
      <w:r w:rsidR="004C0C8B">
        <w:t xml:space="preserve">ctober 29, 2014, the Commission approved Phase I rates and </w:t>
      </w:r>
      <w:r>
        <w:t xml:space="preserve">the </w:t>
      </w:r>
      <w:r w:rsidR="00346F3D">
        <w:t>U</w:t>
      </w:r>
      <w:r w:rsidR="008D63B4">
        <w:t>tility</w:t>
      </w:r>
      <w:r>
        <w:t xml:space="preserve"> was given until December 3, 2015, to complete the Phase II pro forma construction of a new building and meter replacements</w:t>
      </w:r>
      <w:r w:rsidR="00164793">
        <w:t xml:space="preserve"> (Phase II pro forma projects)</w:t>
      </w:r>
      <w:r>
        <w:t xml:space="preserve">. However, the </w:t>
      </w:r>
      <w:r w:rsidR="00346F3D">
        <w:t>U</w:t>
      </w:r>
      <w:r w:rsidR="008D63B4">
        <w:t>tility</w:t>
      </w:r>
      <w:r>
        <w:t xml:space="preserve"> encountered financing issues and requested an extension of time to complete the Phase II pro forma</w:t>
      </w:r>
      <w:r w:rsidR="00164793">
        <w:t xml:space="preserve"> projects</w:t>
      </w:r>
      <w:r>
        <w:t xml:space="preserve">. By Order No. PSC-16-0023-FOF-WU, issued January 12, 2016, the Commission approved the </w:t>
      </w:r>
      <w:r w:rsidR="00346F3D">
        <w:t>U</w:t>
      </w:r>
      <w:r w:rsidR="008D63B4">
        <w:t>tility</w:t>
      </w:r>
      <w:r>
        <w:t xml:space="preserve">’s request for an extension of time to complete the required Phase II pro forma </w:t>
      </w:r>
      <w:r w:rsidR="00E958CC">
        <w:t xml:space="preserve">projects </w:t>
      </w:r>
      <w:r>
        <w:t>by June 3, 2016.</w:t>
      </w:r>
      <w:r w:rsidR="004C0C8B">
        <w:t xml:space="preserve"> </w:t>
      </w:r>
    </w:p>
    <w:p w:rsidR="00796DB3" w:rsidRDefault="00AD114B" w:rsidP="00796DB3">
      <w:pPr>
        <w:pStyle w:val="BodyText"/>
      </w:pPr>
      <w:r>
        <w:t xml:space="preserve">On May 19, 2016, the </w:t>
      </w:r>
      <w:r w:rsidR="00346F3D">
        <w:t>U</w:t>
      </w:r>
      <w:r w:rsidR="008D63B4">
        <w:t>tility</w:t>
      </w:r>
      <w:r>
        <w:t xml:space="preserve"> requested a second extension of approximately six months to complet</w:t>
      </w:r>
      <w:r w:rsidR="00483B7A">
        <w:t>e the Phase II pro forma</w:t>
      </w:r>
      <w:r w:rsidR="00E958CC">
        <w:t xml:space="preserve"> projects</w:t>
      </w:r>
      <w:r w:rsidR="00483B7A">
        <w:t xml:space="preserve">. </w:t>
      </w:r>
      <w:r w:rsidR="00A17D67">
        <w:t>Little Gasparilla’s reason for the delay in completing the</w:t>
      </w:r>
      <w:r w:rsidR="00164793">
        <w:t xml:space="preserve"> Phase II pro forma projects</w:t>
      </w:r>
      <w:r w:rsidR="00A17D67">
        <w:t xml:space="preserve"> was due to Charlotte County’s potential action to repeal its mandatory water connection ordina</w:t>
      </w:r>
      <w:r w:rsidR="00801D2A">
        <w:t>n</w:t>
      </w:r>
      <w:r w:rsidR="00A17D67">
        <w:t xml:space="preserve">ce and the effect that it would have on the </w:t>
      </w:r>
      <w:r w:rsidR="00346F3D">
        <w:t>U</w:t>
      </w:r>
      <w:r w:rsidR="008D63B4">
        <w:t>tility</w:t>
      </w:r>
      <w:r w:rsidR="00A17D67">
        <w:t>’s ability to borrow funds to f</w:t>
      </w:r>
      <w:r w:rsidR="00801D2A">
        <w:t>inance the Phase II pro forma plant projects</w:t>
      </w:r>
      <w:r w:rsidR="00A17D67">
        <w:t xml:space="preserve">. By Order No. PSC-16-0023-FOF-WU, issued July 25, 2016, the </w:t>
      </w:r>
      <w:r w:rsidR="00346F3D">
        <w:t>U</w:t>
      </w:r>
      <w:r w:rsidR="008D63B4">
        <w:t>tility</w:t>
      </w:r>
      <w:r w:rsidR="00C00560">
        <w:t xml:space="preserve"> was given until December 15</w:t>
      </w:r>
      <w:r w:rsidR="00A17D67">
        <w:t>, 2016</w:t>
      </w:r>
      <w:r w:rsidR="0045675D">
        <w:t>,</w:t>
      </w:r>
      <w:r w:rsidR="00A17D67">
        <w:t xml:space="preserve"> to complete the pro forma plant items. </w:t>
      </w:r>
      <w:r w:rsidR="00796DB3">
        <w:t>In addition, Little Gas</w:t>
      </w:r>
      <w:r w:rsidR="007A4361">
        <w:t>parilla was required to provide</w:t>
      </w:r>
      <w:r w:rsidR="00796DB3">
        <w:t xml:space="preserve"> proof that a simplified employee pension plan</w:t>
      </w:r>
      <w:r w:rsidR="000F1FBE">
        <w:t xml:space="preserve"> (SEP)</w:t>
      </w:r>
      <w:r w:rsidR="00796DB3">
        <w:t xml:space="preserve"> had been established and that contributions to the fund had begun prior to Commission approval of the Phase II rate increase.</w:t>
      </w:r>
      <w:r w:rsidR="000F1FBE">
        <w:t xml:space="preserve"> In response to S</w:t>
      </w:r>
      <w:r w:rsidR="00801D2A">
        <w:t>taff’s</w:t>
      </w:r>
      <w:r w:rsidR="000F1FBE">
        <w:t xml:space="preserve"> Fourth Data Request, the </w:t>
      </w:r>
      <w:r w:rsidR="00346F3D">
        <w:t>U</w:t>
      </w:r>
      <w:r w:rsidR="008D63B4">
        <w:t>tility</w:t>
      </w:r>
      <w:r w:rsidR="000F1FBE">
        <w:t xml:space="preserve"> provided proof the SEP had been established</w:t>
      </w:r>
      <w:r w:rsidR="00326F05">
        <w:t>.</w:t>
      </w:r>
      <w:r w:rsidR="00801D2A">
        <w:t xml:space="preserve"> </w:t>
      </w:r>
    </w:p>
    <w:p w:rsidR="0071223E" w:rsidRDefault="001B6C00" w:rsidP="00796DB3">
      <w:pPr>
        <w:pStyle w:val="BodyText"/>
      </w:pPr>
      <w:r>
        <w:t>On December 4, 2016</w:t>
      </w:r>
      <w:r w:rsidR="00C00560">
        <w:t xml:space="preserve">, the </w:t>
      </w:r>
      <w:r w:rsidR="00346F3D">
        <w:t>U</w:t>
      </w:r>
      <w:r w:rsidR="008D63B4">
        <w:t>tility</w:t>
      </w:r>
      <w:r w:rsidR="00C00560">
        <w:t xml:space="preserve"> requested a third extension through February 28, 2017</w:t>
      </w:r>
      <w:r w:rsidR="0045675D">
        <w:t>,</w:t>
      </w:r>
      <w:r w:rsidR="00C00560">
        <w:t xml:space="preserve"> to c</w:t>
      </w:r>
      <w:r w:rsidR="00E329B3">
        <w:t>omplete the pro forma projects</w:t>
      </w:r>
      <w:r w:rsidR="001A6387">
        <w:t xml:space="preserve"> due to the length of time to close the loan to complete the projects, coupled with the holidays, which added more time to assemble the building.</w:t>
      </w:r>
      <w:r w:rsidR="00151D4E">
        <w:t xml:space="preserve"> </w:t>
      </w:r>
      <w:r w:rsidR="00BD46FD">
        <w:t>The projects were substantially compl</w:t>
      </w:r>
      <w:r w:rsidR="00346F3D">
        <w:t>eted in February 2017, and the U</w:t>
      </w:r>
      <w:r w:rsidR="00BD46FD">
        <w:t>tility subsequently provided staff with the required documentation on</w:t>
      </w:r>
      <w:r w:rsidR="0085479E">
        <w:t xml:space="preserve"> April 28, 2017.</w:t>
      </w:r>
      <w:r w:rsidR="0071223E">
        <w:t xml:space="preserve"> </w:t>
      </w:r>
      <w:r w:rsidR="003531E0">
        <w:t>On August 14, 2017</w:t>
      </w:r>
      <w:r w:rsidR="0045675D">
        <w:t>,</w:t>
      </w:r>
      <w:r w:rsidR="003531E0">
        <w:t xml:space="preserve"> and November 8, 2017, the </w:t>
      </w:r>
      <w:r w:rsidR="00B037CE" w:rsidRPr="0095663D">
        <w:t>O</w:t>
      </w:r>
      <w:r w:rsidR="003531E0">
        <w:t xml:space="preserve">ffice of </w:t>
      </w:r>
      <w:r w:rsidR="00B037CE" w:rsidRPr="0095663D">
        <w:t>P</w:t>
      </w:r>
      <w:r w:rsidR="003531E0">
        <w:t xml:space="preserve">ublic </w:t>
      </w:r>
      <w:r w:rsidR="00B037CE" w:rsidRPr="0095663D">
        <w:t>C</w:t>
      </w:r>
      <w:r w:rsidR="003531E0">
        <w:t>ounsel (OPC) filed letters of concern</w:t>
      </w:r>
      <w:r w:rsidR="00750094">
        <w:t xml:space="preserve"> that are addressed in staff’s recommendation</w:t>
      </w:r>
      <w:r w:rsidR="003531E0">
        <w:t xml:space="preserve">. </w:t>
      </w:r>
      <w:r w:rsidR="00A76EB1">
        <w:t>The purpose of this recommendation is to address Phase II rates.</w:t>
      </w:r>
      <w:r w:rsidR="0050369B">
        <w:t xml:space="preserve"> </w:t>
      </w:r>
    </w:p>
    <w:p w:rsidR="002D21D2" w:rsidRDefault="00A0317D" w:rsidP="00796DB3">
      <w:pPr>
        <w:pStyle w:val="BodyText"/>
      </w:pPr>
      <w:r>
        <w:t>The Commission has jurisdiction pur</w:t>
      </w:r>
      <w:r w:rsidR="006B615A">
        <w:t>sua</w:t>
      </w:r>
      <w:r>
        <w:t>nt to Sections 367.081, 367.121, and 367.0814, Florida Statutes.</w:t>
      </w:r>
    </w:p>
    <w:p w:rsidR="00AD114B" w:rsidRDefault="00AD114B">
      <w:pPr>
        <w:pStyle w:val="BodyText"/>
      </w:pPr>
    </w:p>
    <w:p w:rsidR="004C0C8B" w:rsidRDefault="004C0C8B">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6D7303" w:rsidRDefault="006D7303">
      <w:pPr>
        <w:pStyle w:val="IssueHeading"/>
        <w:rPr>
          <w:vanish/>
          <w:specVanish/>
        </w:rPr>
      </w:pPr>
      <w:r w:rsidRPr="004C3641">
        <w:t xml:space="preserve">Issue </w:t>
      </w:r>
      <w:fldSimple w:instr=" SEQ Issue \* MERGEFORMAT ">
        <w:r w:rsidR="002713FC">
          <w:rPr>
            <w:noProof/>
          </w:rPr>
          <w:t>1</w:t>
        </w:r>
      </w:fldSimple>
      <w:r w:rsidRPr="004C3641">
        <w:t>:</w:t>
      </w:r>
      <w:r>
        <w:fldChar w:fldCharType="begin"/>
      </w:r>
      <w:r>
        <w:instrText xml:space="preserve"> TC "</w:instrText>
      </w:r>
      <w:r>
        <w:fldChar w:fldCharType="begin"/>
      </w:r>
      <w:r>
        <w:instrText xml:space="preserve"> SEQ issue \c </w:instrText>
      </w:r>
      <w:r>
        <w:fldChar w:fldCharType="separate"/>
      </w:r>
      <w:bookmarkStart w:id="17" w:name="_Toc499901212"/>
      <w:r w:rsidR="002713FC">
        <w:rPr>
          <w:noProof/>
        </w:rPr>
        <w:instrText>1</w:instrText>
      </w:r>
      <w:r>
        <w:fldChar w:fldCharType="end"/>
      </w:r>
      <w:r>
        <w:tab/>
      </w:r>
      <w:r w:rsidR="0004406C">
        <w:instrText xml:space="preserve">Phase II Revenue Requirement </w:instrText>
      </w:r>
      <w:r>
        <w:instrText>(Go</w:instrText>
      </w:r>
      <w:r w:rsidR="00A95AD4">
        <w:instrText>lden, P. Buys, Galloway</w:instrText>
      </w:r>
      <w:r>
        <w:instrText>)</w:instrText>
      </w:r>
      <w:bookmarkEnd w:id="17"/>
      <w:r>
        <w:instrText xml:space="preserve">" \l 1 </w:instrText>
      </w:r>
      <w:r>
        <w:fldChar w:fldCharType="end"/>
      </w:r>
      <w:r>
        <w:t> </w:t>
      </w:r>
    </w:p>
    <w:p w:rsidR="006D7303" w:rsidRDefault="00224D42">
      <w:pPr>
        <w:pStyle w:val="BodyText"/>
      </w:pPr>
      <w:r>
        <w:t> What is</w:t>
      </w:r>
      <w:r w:rsidR="006D7303">
        <w:t xml:space="preserve"> the appropriate </w:t>
      </w:r>
      <w:r>
        <w:t>Phase II revenue requirement</w:t>
      </w:r>
      <w:r w:rsidR="00312B02">
        <w:t>, return on equity, and overall rate for Little Gasparilla</w:t>
      </w:r>
      <w:r w:rsidR="006D7303">
        <w:t>?</w:t>
      </w:r>
    </w:p>
    <w:p w:rsidR="006D7303" w:rsidRPr="004C3641" w:rsidRDefault="006D7303">
      <w:pPr>
        <w:pStyle w:val="IssueSubsectionHeading"/>
        <w:rPr>
          <w:vanish/>
          <w:specVanish/>
        </w:rPr>
      </w:pPr>
      <w:r w:rsidRPr="004C3641">
        <w:t>Recommendation: </w:t>
      </w:r>
    </w:p>
    <w:p w:rsidR="006D7303" w:rsidRDefault="006D7303">
      <w:pPr>
        <w:pStyle w:val="BodyText"/>
      </w:pPr>
      <w:r>
        <w:t> </w:t>
      </w:r>
      <w:r w:rsidR="00312B02" w:rsidRPr="00761456">
        <w:t xml:space="preserve">The appropriate revenue requirement is </w:t>
      </w:r>
      <w:r w:rsidR="00312B02" w:rsidRPr="00733F78">
        <w:t>$</w:t>
      </w:r>
      <w:r w:rsidR="00312B02">
        <w:t>413</w:t>
      </w:r>
      <w:r w:rsidR="00312B02" w:rsidRPr="00733F78">
        <w:t>,</w:t>
      </w:r>
      <w:r w:rsidR="00312B02">
        <w:t>652</w:t>
      </w:r>
      <w:r w:rsidR="00312B02" w:rsidRPr="00733F78">
        <w:t>, resulting in an annual increase of $</w:t>
      </w:r>
      <w:r w:rsidR="00312B02">
        <w:t>69</w:t>
      </w:r>
      <w:r w:rsidR="00312B02" w:rsidRPr="00733F78">
        <w:t>,</w:t>
      </w:r>
      <w:r w:rsidR="00312B02">
        <w:t>252</w:t>
      </w:r>
      <w:r w:rsidR="00312B02" w:rsidRPr="00733F78">
        <w:t xml:space="preserve"> for water (</w:t>
      </w:r>
      <w:r w:rsidR="00312B02">
        <w:t>20</w:t>
      </w:r>
      <w:r w:rsidR="00312B02" w:rsidRPr="00733F78">
        <w:t>.</w:t>
      </w:r>
      <w:r w:rsidR="00312B02">
        <w:t>11</w:t>
      </w:r>
      <w:r w:rsidR="00312B02" w:rsidRPr="00761456">
        <w:t xml:space="preserve"> percent)</w:t>
      </w:r>
      <w:r w:rsidR="00312B02">
        <w:t>.</w:t>
      </w:r>
      <w:r w:rsidR="00312B02" w:rsidRPr="00761456">
        <w:t xml:space="preserve"> </w:t>
      </w:r>
      <w:r w:rsidR="00312B02" w:rsidRPr="00BE6D43">
        <w:t>The appropriate return on equity (ROE) is 11.16 percent with a range of 10.16 percent to 12.16 percent.  The appropriate overall rate of return is 6.</w:t>
      </w:r>
      <w:r w:rsidR="00312B02">
        <w:t>55</w:t>
      </w:r>
      <w:r w:rsidR="00312B02" w:rsidRPr="00BE6D43">
        <w:t xml:space="preserve"> percent.</w:t>
      </w:r>
      <w:r>
        <w:t xml:space="preserve"> (Golden</w:t>
      </w:r>
      <w:r w:rsidR="00312B02">
        <w:t>, P. Buys, Galloway</w:t>
      </w:r>
      <w:r>
        <w:t>)</w:t>
      </w:r>
    </w:p>
    <w:p w:rsidR="006D7303" w:rsidRPr="004C3641" w:rsidRDefault="006D7303">
      <w:pPr>
        <w:pStyle w:val="IssueSubsectionHeading"/>
        <w:rPr>
          <w:vanish/>
          <w:specVanish/>
        </w:rPr>
      </w:pPr>
      <w:r w:rsidRPr="004C3641">
        <w:t>Staff Analysis: </w:t>
      </w:r>
    </w:p>
    <w:p w:rsidR="00312B02" w:rsidRDefault="006D7303" w:rsidP="00312B02">
      <w:pPr>
        <w:spacing w:after="240"/>
        <w:jc w:val="both"/>
        <w:outlineLvl w:val="1"/>
      </w:pPr>
      <w:r>
        <w:t> </w:t>
      </w:r>
      <w:r w:rsidR="00312B02">
        <w:t>By Order No. PSC-14-0626-PAA-WU, issued October 29, 2014, the Commission approved the following four pro forma projects in the instant docket: (1) a subaqueous pipeline and county interconnection to replace the Utility’s aging reverse osmosis water treatment plant (WTP) and begin purchasing bulk water from Charlotte County Utilities (CCU</w:t>
      </w:r>
      <w:r w:rsidR="00312B02" w:rsidRPr="00782C6C">
        <w:t>); (2) an extension of the Utility’s service lines to the north end of the island to provide water service to 67 additional lots; (3) construction of a new utility building on the site of the retired reverse osmosis treatment plant, to serve as a w</w:t>
      </w:r>
      <w:r w:rsidR="000653E1">
        <w:t>orkshop, storage facility, and u</w:t>
      </w:r>
      <w:r w:rsidR="00312B02" w:rsidRPr="00782C6C">
        <w:t>tility office;</w:t>
      </w:r>
      <w:r w:rsidR="00312B02">
        <w:t xml:space="preserve"> and (4) a meter replacement program to replace the Utility’s aging water meters with remote-read meters.</w:t>
      </w:r>
      <w:r w:rsidR="00312B02">
        <w:rPr>
          <w:rStyle w:val="FootnoteReference"/>
        </w:rPr>
        <w:footnoteReference w:id="1"/>
      </w:r>
      <w:r w:rsidR="00312B02">
        <w:t xml:space="preserve"> The subaqueous pipeline and county interconnection, and the north line extension were scheduled to be completed prior </w:t>
      </w:r>
      <w:r w:rsidR="00312B02" w:rsidRPr="00782C6C">
        <w:t>to</w:t>
      </w:r>
      <w:r w:rsidR="00312B02">
        <w:t xml:space="preserve"> the effective date of the Phase I rates, and</w:t>
      </w:r>
      <w:r w:rsidR="0045675D">
        <w:t>,</w:t>
      </w:r>
      <w:r w:rsidR="00312B02">
        <w:t xml:space="preserve"> therefore, were included in the Phase I revenue requirement. The building construction and meter replacement program were scheduled to begin in 2015 after completion of the first two projects, and</w:t>
      </w:r>
      <w:r w:rsidR="0045675D">
        <w:t>,</w:t>
      </w:r>
      <w:r w:rsidR="00312B02">
        <w:t xml:space="preserve"> therefore, were approved for consideration in a Phase II revenue requirement.</w:t>
      </w:r>
    </w:p>
    <w:p w:rsidR="00312B02" w:rsidRDefault="00312B02" w:rsidP="00312B02">
      <w:pPr>
        <w:spacing w:after="240"/>
        <w:jc w:val="both"/>
        <w:outlineLvl w:val="1"/>
      </w:pPr>
      <w:r>
        <w:t>By Order No. PSC-14-0626</w:t>
      </w:r>
      <w:r w:rsidRPr="00782C6C">
        <w:t>-PAA</w:t>
      </w:r>
      <w:r>
        <w:t xml:space="preserve">-WU, the Commission found each of the requested pro forma projects to be prudent. The reverse osmosis WTP was nearing the end of its useful life and was no longer adequately removing chlorides from the source water. The Commission found the </w:t>
      </w:r>
      <w:r w:rsidRPr="00947905">
        <w:t xml:space="preserve">interconnection with CCU </w:t>
      </w:r>
      <w:r>
        <w:t xml:space="preserve">to be </w:t>
      </w:r>
      <w:r w:rsidRPr="00947905">
        <w:t>prudent</w:t>
      </w:r>
      <w:r>
        <w:t xml:space="preserve"> because: (1) t</w:t>
      </w:r>
      <w:r w:rsidRPr="00947905">
        <w:t xml:space="preserve">he costs are reasonable when compared to the costs to repair the existing WTP, </w:t>
      </w:r>
      <w:r>
        <w:t xml:space="preserve">(2) </w:t>
      </w:r>
      <w:r w:rsidRPr="00947905">
        <w:t xml:space="preserve">the quality of the water will improve, and </w:t>
      </w:r>
      <w:r>
        <w:t xml:space="preserve">(3) because reverse osmosis </w:t>
      </w:r>
      <w:r w:rsidRPr="00947905">
        <w:t>plants are more expensive to operate and maintain than other types of WTP</w:t>
      </w:r>
      <w:r>
        <w:t xml:space="preserve">, </w:t>
      </w:r>
      <w:r w:rsidRPr="00947905">
        <w:t xml:space="preserve">the Utility </w:t>
      </w:r>
      <w:r>
        <w:t xml:space="preserve">is expected to </w:t>
      </w:r>
      <w:r w:rsidRPr="00947905">
        <w:t>realize long-term cost benefits.</w:t>
      </w:r>
      <w:r>
        <w:rPr>
          <w:rStyle w:val="FootnoteReference"/>
        </w:rPr>
        <w:footnoteReference w:id="2"/>
      </w:r>
      <w:r>
        <w:t xml:space="preserve"> The project included the construction of an 8-inch subaqueous pipeline that would deliver water from CCU on the mainland to the island. Little Gasparilla’s </w:t>
      </w:r>
      <w:r w:rsidRPr="001D59A1">
        <w:t xml:space="preserve">responsibility for the </w:t>
      </w:r>
      <w:r>
        <w:t xml:space="preserve">entire </w:t>
      </w:r>
      <w:r w:rsidRPr="001D59A1">
        <w:t xml:space="preserve">pipeline </w:t>
      </w:r>
      <w:r>
        <w:t>would be</w:t>
      </w:r>
      <w:r w:rsidRPr="001D59A1">
        <w:t>gin at the master meter located on the mainland.</w:t>
      </w:r>
      <w:r>
        <w:t xml:space="preserve"> Also, the north line extension was necessary at that time to provide water service to 10 residents on the north end of the island who are located in the Utility’s certificated service territory and </w:t>
      </w:r>
      <w:r w:rsidRPr="00782C6C">
        <w:t>who had already requested service, and would also enable the Utility to provide service to the rema</w:t>
      </w:r>
      <w:r>
        <w:t>ining lots on the north end of the island that were not yet connected to the Utility’s distribution system.</w:t>
      </w:r>
      <w:r>
        <w:rPr>
          <w:rStyle w:val="FootnoteReference"/>
        </w:rPr>
        <w:footnoteReference w:id="3"/>
      </w:r>
    </w:p>
    <w:p w:rsidR="00312B02" w:rsidRDefault="00312B02" w:rsidP="00312B02">
      <w:pPr>
        <w:spacing w:after="240"/>
        <w:jc w:val="both"/>
        <w:outlineLvl w:val="1"/>
      </w:pPr>
      <w:r>
        <w:t>The Commission also found that the construction of the new building is prudent, reasonable, and allow</w:t>
      </w:r>
      <w:r w:rsidRPr="00782C6C">
        <w:t>s</w:t>
      </w:r>
      <w:r>
        <w:t xml:space="preserve"> the Utility to serve its customers better.</w:t>
      </w:r>
      <w:r>
        <w:rPr>
          <w:rStyle w:val="FootnoteReference"/>
        </w:rPr>
        <w:footnoteReference w:id="4"/>
      </w:r>
      <w:r>
        <w:t xml:space="preserve"> The Florida Department of Environmental </w:t>
      </w:r>
      <w:r>
        <w:lastRenderedPageBreak/>
        <w:t xml:space="preserve">Protection (DEP) had noted in two Sanitary Survey Reports that the WTP building was deteriorating and that it would be beneficial to address the issue as part of the overall maintenance plan for the facility. Because of the poor condition of the building, the Utility proposed to demolish it and build a new structure on the site. The new building would serve as a workshop, storage facility for repair parts and other equipment, house meter testing equipment, serve as a Utility office, and also include </w:t>
      </w:r>
      <w:r w:rsidRPr="00782C6C">
        <w:t>restroom facilities</w:t>
      </w:r>
      <w:r>
        <w:t xml:space="preserve">, which did not previously exist at the WTP. At that time, the Utility rented office space on the mainland, which meant that any customers who wanted to visit the Utility office in person would have to do so on the mainland instead of on the island. </w:t>
      </w:r>
      <w:r w:rsidRPr="00314D2A">
        <w:t>The Utility indicated that no customers ever visited the mainland office, further illustrating the inconvenience of the mainland location for the customers.</w:t>
      </w:r>
      <w:r>
        <w:t xml:space="preserve"> Also, the only restrooms available to Utility personnel and others visiting the Utility premises, such as regulatory agency employees, were the public restrooms located at the Hide A Way Beach pool area. The Commission determined that having equipment storage and testing equipment on the island could reduce repair time because the Utility </w:t>
      </w:r>
      <w:r w:rsidRPr="00314D2A">
        <w:t>would not have to transport equipment and repair parts to the island. Also,</w:t>
      </w:r>
      <w:r>
        <w:t xml:space="preserve"> the new building was proposed to be constructed on top of the concrete water tank that would be retired upon completion of the subaqueous pipeline and county interconnection, thereby utilizing the existing land that the Utility currently owns.</w:t>
      </w:r>
    </w:p>
    <w:p w:rsidR="00312B02" w:rsidRDefault="00312B02" w:rsidP="00312B02">
      <w:pPr>
        <w:spacing w:after="240"/>
        <w:jc w:val="both"/>
        <w:outlineLvl w:val="1"/>
      </w:pPr>
      <w:r>
        <w:t xml:space="preserve">In 2013, the Utility’s water meters were already approximately 27 years old and in need of replacement. Little Gasparilla proposed to switch to remote-read meters for better meter accuracy, leak detection, and abnormal usage detection. The Utility noted that it sometimes had to estimate a meter reading because the meter was under water, and that this issue would be resolved by using remote read meters. </w:t>
      </w:r>
      <w:r w:rsidRPr="00314D2A">
        <w:t>Little Gasparilla proposed to replace 100 existing meters per year for four years. The Commission found Little Gasparilla’s proposed four-year meter replacement program prudent and reasonable, and that it would reduce the amount of excessive unaccounted for water (EUW) for the Utility.</w:t>
      </w:r>
      <w:r w:rsidRPr="00314D2A">
        <w:rPr>
          <w:rStyle w:val="FootnoteReference"/>
        </w:rPr>
        <w:footnoteReference w:id="5"/>
      </w:r>
      <w:r w:rsidRPr="00314D2A">
        <w:t xml:space="preserve"> It was anticipated that the new building construction and the first year of the meter replacement program would be completed at the same time. Consequently, the Commission determined that it would be appropriate to only include the first year of the meter replacement program in order to avoid any unnecessary delays in the Utility’s implementation of the Phase II rate increase, which is primarily needed to recover the cost of the new building.</w:t>
      </w:r>
    </w:p>
    <w:p w:rsidR="00312B02" w:rsidRDefault="00312B02" w:rsidP="00312B02">
      <w:pPr>
        <w:spacing w:after="240"/>
        <w:jc w:val="both"/>
        <w:outlineLvl w:val="1"/>
      </w:pPr>
      <w:r>
        <w:t>At the September 22, 2014 Agenda Conference, the Commission approved Phase I rates that included estimated pro forma plant additions of $679,775 for the subaqueous pipe</w:t>
      </w:r>
      <w:r w:rsidR="006346C9">
        <w:t>line and county interconnection</w:t>
      </w:r>
      <w:r>
        <w:t xml:space="preserve"> and $86,200 for the north line extension, for a combined total of $765,975. Staff also recommended a Phase II revenue requirement that included $403,500 for the utility building construction and $29,915 for the first year of the meter replacement program, for a total of $433,415. </w:t>
      </w:r>
      <w:r w:rsidRPr="00677D43">
        <w:t>However, due to concerns raised about the c</w:t>
      </w:r>
      <w:r>
        <w:t xml:space="preserve">ost of the new building, the Commission approved the projects, but </w:t>
      </w:r>
      <w:r w:rsidRPr="00677D43">
        <w:t xml:space="preserve">determined that a final decision on the amount of the Phase II revenue requirement and rates </w:t>
      </w:r>
      <w:r>
        <w:t xml:space="preserve">would be made </w:t>
      </w:r>
      <w:r w:rsidRPr="00677D43">
        <w:t xml:space="preserve">after the Utility completed the Phase II pro forma projects and the costs </w:t>
      </w:r>
      <w:r w:rsidRPr="00314D2A">
        <w:t>were</w:t>
      </w:r>
      <w:r>
        <w:t xml:space="preserve"> </w:t>
      </w:r>
      <w:r w:rsidRPr="00677D43">
        <w:t>evaluated.</w:t>
      </w:r>
      <w:r>
        <w:t xml:space="preserve"> In addition, the Commission ordered that</w:t>
      </w:r>
      <w:r w:rsidRPr="00677D43">
        <w:t xml:space="preserve"> if the</w:t>
      </w:r>
      <w:r>
        <w:t xml:space="preserve"> approved</w:t>
      </w:r>
      <w:r w:rsidRPr="00677D43">
        <w:rPr>
          <w:b/>
          <w:bCs/>
        </w:rPr>
        <w:t xml:space="preserve"> </w:t>
      </w:r>
      <w:r w:rsidRPr="00677D43">
        <w:t>S</w:t>
      </w:r>
      <w:r>
        <w:t>implified Employee Pension (S</w:t>
      </w:r>
      <w:r w:rsidRPr="00677D43">
        <w:t>EP</w:t>
      </w:r>
      <w:r>
        <w:t>) Plan</w:t>
      </w:r>
      <w:r w:rsidRPr="00677D43">
        <w:t xml:space="preserve"> </w:t>
      </w:r>
      <w:r w:rsidRPr="00782C6C">
        <w:t>was</w:t>
      </w:r>
      <w:r w:rsidRPr="00677D43">
        <w:t xml:space="preserve"> not implemented, </w:t>
      </w:r>
      <w:r>
        <w:t xml:space="preserve">the </w:t>
      </w:r>
      <w:r w:rsidRPr="00677D43">
        <w:t xml:space="preserve">Phase II rates </w:t>
      </w:r>
      <w:r>
        <w:t>would</w:t>
      </w:r>
      <w:r w:rsidRPr="00677D43">
        <w:t xml:space="preserve"> be reduced by the expense established for that purpose.</w:t>
      </w:r>
      <w:r>
        <w:t xml:space="preserve"> The Commission requested and Little </w:t>
      </w:r>
      <w:r>
        <w:lastRenderedPageBreak/>
        <w:t xml:space="preserve">Gasparilla’s owner agreed to continue to work with the architects and bidders to try to </w:t>
      </w:r>
      <w:r w:rsidRPr="00782C6C">
        <w:t>reduce the</w:t>
      </w:r>
      <w:r>
        <w:t xml:space="preserve"> cost </w:t>
      </w:r>
      <w:r w:rsidRPr="00782C6C">
        <w:t>of</w:t>
      </w:r>
      <w:r w:rsidRPr="009159AC">
        <w:t xml:space="preserve"> </w:t>
      </w:r>
      <w:r>
        <w:t>the building.</w:t>
      </w:r>
      <w:r>
        <w:rPr>
          <w:rStyle w:val="FootnoteReference"/>
        </w:rPr>
        <w:footnoteReference w:id="6"/>
      </w:r>
    </w:p>
    <w:p w:rsidR="00312B02" w:rsidRDefault="00312B02" w:rsidP="00312B02">
      <w:pPr>
        <w:jc w:val="both"/>
        <w:outlineLvl w:val="1"/>
        <w:rPr>
          <w:rFonts w:ascii="Arial" w:hAnsi="Arial" w:cs="Arial"/>
          <w:b/>
          <w:bCs/>
          <w:kern w:val="32"/>
          <w:szCs w:val="32"/>
        </w:rPr>
      </w:pPr>
      <w:r w:rsidRPr="00314D2A">
        <w:rPr>
          <w:rFonts w:ascii="Arial" w:hAnsi="Arial" w:cs="Arial"/>
          <w:b/>
          <w:bCs/>
          <w:kern w:val="32"/>
          <w:szCs w:val="32"/>
        </w:rPr>
        <w:t>Phase I Documentation</w:t>
      </w:r>
    </w:p>
    <w:p w:rsidR="00312B02" w:rsidRPr="00241121" w:rsidRDefault="00D67CD9" w:rsidP="00312B02">
      <w:pPr>
        <w:spacing w:after="240"/>
        <w:jc w:val="both"/>
        <w:outlineLvl w:val="1"/>
      </w:pPr>
      <w:r>
        <w:t xml:space="preserve">On December 16, 2014, the Utility advised staff that it had encountered a minor set back with the directional bore for the subaqueous pipeline. The drill head had to be replaced, which caused a total of six days delay in December. </w:t>
      </w:r>
      <w:r w:rsidRPr="00D67CD9">
        <w:t>The entire directional bore was 3,750 feet across the bay and 90 feet deep.</w:t>
      </w:r>
      <w:r w:rsidRPr="00AC26E2">
        <w:t xml:space="preserve"> T</w:t>
      </w:r>
      <w:r>
        <w:t>he drilling was already</w:t>
      </w:r>
      <w:r w:rsidRPr="00D67CD9">
        <w:t xml:space="preserve"> at</w:t>
      </w:r>
      <w:r>
        <w:t xml:space="preserve"> 2,000 feet when the decision was made to pull the pipe </w:t>
      </w:r>
      <w:r w:rsidRPr="00D67CD9">
        <w:t>because the drill would not steer. The drilling delay then triggered another delay in December when the work was put on hold for two weeks because the barge would not deliver during the holiday season.</w:t>
      </w:r>
      <w:r>
        <w:t xml:space="preserve"> The drilling delays also caused delays in the testing and clearance from the county and the DEP. The Utility also experienced another unexpected change related to the directional drill work. The contractor for the project advised that per the plan the project fell short of the length needed to not impact the mangrove area, and that an additional 100 feet of drilled pipe had to be added at the contract price of $135 per foot per the sub-contractor for that part of the project</w:t>
      </w:r>
      <w:r w:rsidRPr="00241121">
        <w:t>, for an additional cost of $13,500. The contractor also issued a change order to include those costs, as well as additional work that became necessary during the subaqueous pipeline and north line extension projects, which increased the initial cost estimates. The change order also included items such as the cost of construction water that was necessary to test and flush the pipeline, professional services associated with onsite monitoring of the directional drill project, and land clearing</w:t>
      </w:r>
      <w:r w:rsidR="00312B02" w:rsidRPr="00241121">
        <w:t>.</w:t>
      </w:r>
    </w:p>
    <w:p w:rsidR="00312B02" w:rsidRPr="00241121" w:rsidRDefault="00312B02" w:rsidP="00312B02">
      <w:pPr>
        <w:spacing w:after="240"/>
        <w:jc w:val="both"/>
        <w:outlineLvl w:val="1"/>
      </w:pPr>
      <w:r w:rsidRPr="00241121">
        <w:t>On February 19, 2015, Little Gasparilla advised Commission staff that the subaqueous pipeline and county interconnection were completed on February 14, 2015. The Utility also advised staff that the north line extension could not reach completion because one land owner would not let the Utility cross his property. This prevented the Utility from completing the last 300 feet of the main line and one fire hydrant. The Utility was also unable to complete the additional service lines that would be needed to connect customers to the main line. At that time, the Utility still had six homes requesting service that it was unable to serve without completing the line extension. As a result, the Utility found it necessary to start the eminent domain process to obtain the necessary easement to cross that parcel of land. The attorney representing the Utility in the eminent domain proceeding provided an estimated cost of at least $27,250, which included the land appraisal cost, attorneys’ fees, court filing fees, and the newspaper publication of the law suit. The attorney advised that the estimate did not include the amount of possible compensation to the property owner</w:t>
      </w:r>
      <w:r w:rsidR="006346C9">
        <w:t xml:space="preserve"> for the taking of the easement</w:t>
      </w:r>
      <w:r w:rsidRPr="00241121">
        <w:t xml:space="preserve"> or other fees. Further, the attorney advised that under Florida eminent domain law, the taking agency must pay the land owner’s attorney fees and costs to defend the eminent domain suit, and they were unable to determine those costs at that time. The Utility later advised staff on November 13, 2015, that the Utility had proceeded successfully with the eminent domain in order to install service lines to some customers requesting service.</w:t>
      </w:r>
      <w:r w:rsidR="00204090">
        <w:t xml:space="preserve"> A detailed discussion on the eminent domain is included later in this recommendation.</w:t>
      </w:r>
    </w:p>
    <w:p w:rsidR="00312B02" w:rsidRPr="00241121" w:rsidRDefault="00312B02" w:rsidP="00312B02">
      <w:pPr>
        <w:spacing w:after="240"/>
        <w:jc w:val="both"/>
        <w:outlineLvl w:val="1"/>
      </w:pPr>
      <w:r w:rsidRPr="00241121">
        <w:t xml:space="preserve">Based on staff’s review of the Utility’s supporting documentation for the Phase I work that was completed as of February 19, 2015, staff determined that the Utility had completed $774,977 of </w:t>
      </w:r>
      <w:r w:rsidRPr="00241121">
        <w:lastRenderedPageBreak/>
        <w:t>the plant additions related to the pro forma projects. Staff excluded $677 for non-utility costs and $125 for an unrelated main repair from the Phase I totals for rate implementation purposes. The adjusted total for completed Phase I work is $774,175, which surpassed the Commission’s approved Phase I pro forma plant additions of $765,975 by $8,200 or 1.07 percent, which was deemed sufficient to implement the Phase I rates. Upon 100 percent completion of the subaqueous pipeline and county interconnection project, the Utility’s actual project cost exceeded the original estimates by approximately five percent or $33,000. Also, at that time, the Utility had incurred approximately $61,000 of the original estimated $86,200 north line extension project cost, representing approximately 71 percent completion of the project. Because the majority of the Phase I pro forma project costs are related to the subaqueous pipeline project, the remaining $25,000 that was not spent on the north line extension during Phase I only represents approximately 3.3 percent of the total Phase I pro forma costs. Although the Utility was not able to complete the north line extension project at that time, the Utility was allowed to implement the Phase I rates upon completion of the subaqueous pipeline and county interconnection because the total expenditures on that project plus the completed portion of the north line extension exceeded the total pro forma project costs approved by the Commission for Phase I.</w:t>
      </w:r>
    </w:p>
    <w:p w:rsidR="00312B02" w:rsidRPr="00241121" w:rsidRDefault="00312B02" w:rsidP="00312B02">
      <w:pPr>
        <w:spacing w:after="240"/>
        <w:jc w:val="both"/>
        <w:outlineLvl w:val="1"/>
      </w:pPr>
      <w:r w:rsidRPr="00241121">
        <w:t xml:space="preserve">It is not uncommon for the final costs and timing of pro forma projects to differ from the original bids and estimates. Based on Commission practice, such differences are typically handled in one of two ways. First, a utility may be permitted to implement the approved rates once it has expended the necessary total funds, provided that the Utility supplies the necessary supporting documentation for the costs incurred and payments made, all costs are verified to be related to an approved project, and the Utility has provided sufficient justification for any variances from the original estimates. Second, in those instances where the final project costs differ materially from the Commission approved costs, staff may file a recommendation requesting that the Commission either increase or decrease the originally approved revenue requirement. In the instant case, the 1.07 percent in additional expenditures above the Commission approved pro forma costs for Phase I was not deemed sufficient to warrant a recalculation of the Phase I revenue requirement at that time, especially in light of the fact that staff would be returning to the Commission with another recommendation after the Phase II pro forma projects were completed. Further, delaying the implementation of the Phase I rate increase until the north line extension could be completed would have had a detrimental impact on the Utility’s ability to begin making payments on the loans that it secured for the construction of the subaqueous pipeline and county interconnection. </w:t>
      </w:r>
    </w:p>
    <w:p w:rsidR="00312B02" w:rsidRPr="00241121" w:rsidRDefault="00312B02" w:rsidP="00312B02">
      <w:pPr>
        <w:spacing w:after="240"/>
        <w:jc w:val="both"/>
        <w:outlineLvl w:val="1"/>
      </w:pPr>
      <w:r w:rsidRPr="00241121">
        <w:t xml:space="preserve">As </w:t>
      </w:r>
      <w:r w:rsidR="001B294B">
        <w:t xml:space="preserve">he </w:t>
      </w:r>
      <w:r w:rsidRPr="00241121">
        <w:t xml:space="preserve">agreed at the September 22, 2014 Agenda Conference, Little Gasparilla’s owner worked to reduce the cost of the utility building. The additional time spent by the Utility on the redesign efforts contributed to some delays in the Utility’s loan application process. The Utility also experienced some delays related to zoning and construction permitting. However, the most significant delays in the Utility’s completion of the Phase II projects for the utility building construction and meter replacement program were due to the uncertainty of Charlotte County’s decision on its mandatory water connection ordinance and the impact on Little Gasparilla’s ability to obtain funding for the projects. The Charlotte County ordinance required that residents connect to a centralized water system within one year of availability, which would result in residents of Little Gasparilla Island being required to connect to the Utility’s water system. A </w:t>
      </w:r>
      <w:r w:rsidRPr="00241121">
        <w:lastRenderedPageBreak/>
        <w:t>number of island residents receive water through other means, such as cisterns, and are opposed to being required to connect to the Utility’s water system. Charlotte County decided not to repeal the mandatory water connection ordinance, but added a five-year grace period for residents who applied for the exception to the mandatory connection. The exception to the mandatory connection requirement expires on January 1, 2021.</w:t>
      </w:r>
    </w:p>
    <w:p w:rsidR="00312B02" w:rsidRPr="00241121" w:rsidRDefault="00312B02" w:rsidP="00312B02">
      <w:pPr>
        <w:spacing w:after="240"/>
        <w:jc w:val="both"/>
        <w:outlineLvl w:val="1"/>
      </w:pPr>
      <w:r w:rsidRPr="00241121">
        <w:t xml:space="preserve">According to the Charlotte County ordinance, the existing residents who did not apply or were not approved for the exception to the mandatory connection requirement are expected to connect to the Utility’s water system. The additional connections would pay Little Gasparilla’s approved service availability charges, which would potentially increase the financial ability of the Utility to pay its existing and any additional loans. However, due to the length of time it took Charlotte County to make its decision, the Utility was required to revise projections that had been previously submitted, as loans are approved based on projections and the Small Business Administration’s (SBA) guaranty. The funding for the meter replacement project was tied to the building construction loan, preventing the Utility from moving forward on the meter replacement project as well. The Utility was unable to proceed with the Phase II projects until the funding was approved. The Utility kept staff informed of the progress throughout this process. </w:t>
      </w:r>
      <w:r w:rsidR="000379A6">
        <w:t xml:space="preserve">As discussed in the case background, </w:t>
      </w:r>
      <w:r w:rsidRPr="00241121">
        <w:t>Little Gasparilla also requested, and was granted, several extensions on the time to complete the Phase II projects.</w:t>
      </w:r>
    </w:p>
    <w:p w:rsidR="00312B02" w:rsidRPr="00241121" w:rsidRDefault="00312B02" w:rsidP="00312B02">
      <w:pPr>
        <w:jc w:val="both"/>
        <w:outlineLvl w:val="1"/>
      </w:pPr>
      <w:r w:rsidRPr="00241121">
        <w:rPr>
          <w:rFonts w:ascii="Arial" w:hAnsi="Arial" w:cs="Arial"/>
          <w:b/>
          <w:bCs/>
          <w:kern w:val="32"/>
          <w:szCs w:val="32"/>
        </w:rPr>
        <w:t>Phase II Documentation</w:t>
      </w:r>
    </w:p>
    <w:p w:rsidR="00312B02" w:rsidRPr="00241121" w:rsidRDefault="00312B02" w:rsidP="00312B02">
      <w:pPr>
        <w:spacing w:after="240"/>
        <w:jc w:val="both"/>
        <w:outlineLvl w:val="1"/>
      </w:pPr>
      <w:r w:rsidRPr="00241121">
        <w:t>On April 28, 2017, Little Gasparilla provided supporting documentation showing completion of the utility building construction and a portion of the meter replacement project, as well as additional work completed on the north line extension.</w:t>
      </w:r>
      <w:r w:rsidRPr="00241121">
        <w:rPr>
          <w:rStyle w:val="FootnoteReference"/>
        </w:rPr>
        <w:footnoteReference w:id="7"/>
      </w:r>
      <w:r w:rsidRPr="00241121">
        <w:t xml:space="preserve"> On August 14, 2017, the Office of Public Counsel (OPC) filed a letter listing its concerns with the Utility’s Phase II documentation.</w:t>
      </w:r>
      <w:r w:rsidRPr="00241121">
        <w:rPr>
          <w:rStyle w:val="FootnoteReference"/>
        </w:rPr>
        <w:footnoteReference w:id="8"/>
      </w:r>
      <w:r w:rsidRPr="00241121">
        <w:t xml:space="preserve"> On September 18, 2017, the Utility provided additional documentation and clarification in response to Staff’s Sixth Data Request, which also included information to address OPC’s concerns.</w:t>
      </w:r>
      <w:r w:rsidRPr="00241121">
        <w:rPr>
          <w:rStyle w:val="FootnoteReference"/>
        </w:rPr>
        <w:footnoteReference w:id="9"/>
      </w:r>
      <w:r w:rsidRPr="00241121">
        <w:t xml:space="preserve"> In its response, the Utility provided documentation supporting $428,223 in project related costs, and confirmation of the Utility’s $18,637 investment in the SEP Plan that was approved in Phase I. Staff believes the Utility has provided sufficient documentation to support that it established and has maintained the SEP Plan, therefore, no further action is required for the SEP Plan in this docket. OPC also indicated in its August 14, 2017 letter that it believes the Utility has met its burden to prove that the accounts were opened and the Utility was paying contributions into the accounts, and that no further action needs to be taken.</w:t>
      </w:r>
    </w:p>
    <w:p w:rsidR="00312B02" w:rsidRPr="00241121" w:rsidRDefault="00312B02" w:rsidP="00312B02">
      <w:pPr>
        <w:spacing w:after="240"/>
        <w:jc w:val="both"/>
        <w:outlineLvl w:val="1"/>
      </w:pPr>
      <w:r w:rsidRPr="00241121">
        <w:t>OPC subsequently filed a letter on November 8, 2017, in which it expressed continued concern about the Utility’s request for recovery of costs related to obtaining easements for the pro forma projects, and requested that the Commission exclude these costs unless it can be determined that the costs were prudently incurred.</w:t>
      </w:r>
      <w:r w:rsidRPr="00241121">
        <w:rPr>
          <w:rStyle w:val="FootnoteReference"/>
        </w:rPr>
        <w:footnoteReference w:id="10"/>
      </w:r>
      <w:r w:rsidRPr="00241121">
        <w:t xml:space="preserve"> In addition, OPC has objected to the inclusion of any other costs related to the north line extension in the Phase II revenue requirement. Staff believes OPC’s concern is due in part to a misunderstanding between the parties about the amount of work that remained to be done on the north line extension following implementation of the Phase </w:t>
      </w:r>
      <w:r w:rsidRPr="00241121">
        <w:lastRenderedPageBreak/>
        <w:t>I rates. As discussed above, the Utility was allowed to implement the Phase I rates upon completion of the subaqueous pipeline and county interconnection because the total expenditures on that project and the completed portion of the north line extension exceeded the total pro forma project costs approved by the Commission for Phase I, and the implementation of the rate increase was necessary to enable the Utility to begin making payments on the loans secured to pay for the pipeline construction. Consequently, the construction costs incurred on the north line extension project during Phase II are not new costs, but rather a continuation of the original project that could not be completed during Phase I due to the easement issues. Therefore, staff believes it would be appropriate to include the north line extension project costs that were completed during Phase II. Further, staff believes the Commission has the discretion to consider both cost increases or decreases that occur during the completion of an approved pro forma project. Even in cases where the Phase II revenue requirement is approved at the same time as the Phase I revenue requirement, staff would have the ability to file an additional recommendation requesting the Commission’s approval of an increase or decrease in the previously approved revenue requirement if it was determined that the final project costs were materially different than the projected costs.</w:t>
      </w:r>
    </w:p>
    <w:p w:rsidR="00312B02" w:rsidRPr="00241121" w:rsidRDefault="00312B02" w:rsidP="00312B02">
      <w:pPr>
        <w:spacing w:after="240"/>
        <w:jc w:val="both"/>
        <w:outlineLvl w:val="1"/>
      </w:pPr>
      <w:r w:rsidRPr="00241121">
        <w:t>Staff agrees with OPC that the costs associated with the eminent domain were not anticipated when the Phase I revenue requirement was approved by the Commission, but believes it would also be appropriate to include the prudently incurred easement costs related to the pro forma projects. Staff asked the Utility what steps it took to obtain the easement prior to initiating the eminent domain proceedings and why other options, such as re-routing the line, were not possible. In its September 18, 2017 data response, Little Gasparilla responded that it had pleaded with the property owner for years to allow the Utility to cross his property. Also, the property owner owns the land from the beach to the bay, therefore, the Utility has no other option except going through his property. After the Utility retained an attorney and incurred the associated costs, the property owner agreed to grant the easement if the Utility would pay his attorney fees as well.</w:t>
      </w:r>
    </w:p>
    <w:p w:rsidR="00312B02" w:rsidRPr="00241121" w:rsidRDefault="00312B02" w:rsidP="00312B02">
      <w:pPr>
        <w:spacing w:after="240"/>
        <w:jc w:val="both"/>
        <w:outlineLvl w:val="1"/>
      </w:pPr>
      <w:r w:rsidRPr="00241121">
        <w:t>Staff has reviewed the property records available on the Charlotte County Property Appraiser’s Web site and verified that the property owner does own a continuous piece of land that runs the entire width of the island from the gulf beach side to the opposite side of the island on the bay. Staff agrees that it would be impossible for the Utility to extend service to the rest of the north end of the island without an easement through that piece of property. Staff notes that it is common for utilities to obtain land easements to facilitate the construction of facilities and provision of service to customers. Staff believes the Utility took steps to minimize the costs associated with obtaining the easements that were necessary for the completion of the pro forma projects, and only resorted to using the eminent domain proceeding when it became obvious that the project could not proceed without it. Several of the other easements were obtained at no cost other than the recording and deed fees.</w:t>
      </w:r>
    </w:p>
    <w:p w:rsidR="00312B02" w:rsidRPr="00241121" w:rsidRDefault="00312B02" w:rsidP="00312B02">
      <w:pPr>
        <w:spacing w:after="240"/>
        <w:jc w:val="both"/>
        <w:outlineLvl w:val="1"/>
      </w:pPr>
      <w:r w:rsidRPr="00241121">
        <w:t xml:space="preserve">Further, Section 367.111(1), Florida Statutes (F.S.), requires that each utility shall provide service to the area described in its certificate of authorization within a reasonable time. Therefore, staff believes the Utility acted prudently in taking the necessary actions to obtain the easements required for completion of its pro forma projects and remain in compliance with Section 367.111, F.S.  For these reasons, staff believes it would be appropriate to allow the </w:t>
      </w:r>
      <w:r w:rsidRPr="00241121">
        <w:lastRenderedPageBreak/>
        <w:t>Utility’s requested easement costs to be included in the Phase II revenue requirement with the exception of some minor recommended adjustments discussed below. In addition, addressing the additional pro forma costs in a single case saves additional rate case expense to the customers because the Utility will not need to file another rate case or limited proceeding to seek recovery of these items. Staff’s recommended adjustments to the Phase II rate base are discussed below.</w:t>
      </w:r>
    </w:p>
    <w:p w:rsidR="00312B02" w:rsidRPr="00241121" w:rsidRDefault="00312B02" w:rsidP="00312B02">
      <w:pPr>
        <w:jc w:val="both"/>
        <w:outlineLvl w:val="1"/>
        <w:rPr>
          <w:i/>
        </w:rPr>
      </w:pPr>
      <w:r w:rsidRPr="00241121">
        <w:rPr>
          <w:rFonts w:ascii="Arial" w:hAnsi="Arial" w:cs="Arial"/>
          <w:b/>
          <w:bCs/>
          <w:i/>
          <w:kern w:val="32"/>
          <w:szCs w:val="32"/>
        </w:rPr>
        <w:tab/>
        <w:t>Utility Plant in Service (UPIS)</w:t>
      </w:r>
    </w:p>
    <w:p w:rsidR="00312B02" w:rsidRPr="00241121" w:rsidRDefault="00312B02" w:rsidP="00312B02">
      <w:pPr>
        <w:spacing w:after="240"/>
        <w:jc w:val="both"/>
        <w:outlineLvl w:val="1"/>
      </w:pPr>
      <w:r w:rsidRPr="00241121">
        <w:t>The Utility requested recovery of $26,064 in costs related to obtaining easements for the pro forma projects, comprised of $21,175 for the eminent domain proceedings and $4,889 for several other easements. As discussed above, staff verified that the north line extension could not be completed without the easement that was obtained through the eminent domain proceedings because the land owner owns the entire parcel of land stretching the width of the island from the beach to the bay. The eminent domain costs include $7,000 in court ordered payments, $11,675 in attorneys’ fees, and $2,500 in land appraisal fees. The attorneys’ fees cover legal work related to the eminent domain proceeding from February 2015 through August 2015. The Utility’s final payment related to the proceedings was completed almost two years ago in December 2015. Also, staff notes that the $21,175 related to the eminent domain is lower than the attorney’s initial estimate of at least $27,250 provided in 2015, demonstrating the Utility’s efforts to minimize the costs related to this easement.</w:t>
      </w:r>
    </w:p>
    <w:p w:rsidR="00312B02" w:rsidRPr="00241121" w:rsidRDefault="00312B02" w:rsidP="00312B02">
      <w:pPr>
        <w:spacing w:after="240"/>
        <w:jc w:val="both"/>
        <w:outlineLvl w:val="1"/>
      </w:pPr>
      <w:r w:rsidRPr="00241121">
        <w:t xml:space="preserve">The remaining $4,889 in easement costs includes four other easements related to the north line extension, one easement related to the county interconnection, one easement to provide service to a new customer, and some easement clearing work related to the new utility building construction. Staff removed $500 for the new customer easement because this service was not related to one of the pro forma projects. Also, staff removed $2,500 for an easement related to the north line extension because the easement has not been executed yet. In addition, staff believes it would be appropriate to include the $1,200 for the easement clearing work related to the new building construction, but it would be more appropriate to identify this cost as part of the building costs rather than easement costs. Based on these adjustments, staff recommends that it would be appropriate to include a total of $21,864 ($26,064 - $500 - $2,500 - $1,200 = $21,864) in easement costs related to the approved pro forma projects in the Phase II revenue requirement. Therefore, staff increased UPIS by $54 to reflect the addition of easement costs related to the subaqueous pipeline and county interconnection project to Account 309, and by $21,810 to reflect the addition of easement costs related to the north line extension project to Account 331, representing a total of $21,864 in pro forma project related easement costs. In addition, staff increased UPIS by $1,200 to reflect the addition of easement clearing costs that are related to the new utility building construction to Account 304. </w:t>
      </w:r>
    </w:p>
    <w:p w:rsidR="00312B02" w:rsidRPr="00241121" w:rsidRDefault="00312B02" w:rsidP="00312B02">
      <w:pPr>
        <w:spacing w:after="240"/>
        <w:jc w:val="both"/>
        <w:outlineLvl w:val="1"/>
      </w:pPr>
      <w:r w:rsidRPr="00241121">
        <w:t>Staff notes that the Commission received consumer correspondence from one island resident on November 27, 2017, asserting that the Utility had illegally crossed 100 feet of their property with a 2-inch line without permission, an easement, or court ruling.</w:t>
      </w:r>
      <w:r w:rsidRPr="00241121">
        <w:rPr>
          <w:rStyle w:val="FootnoteReference"/>
        </w:rPr>
        <w:footnoteReference w:id="11"/>
      </w:r>
      <w:r w:rsidRPr="00241121">
        <w:t xml:space="preserve"> The resident stated that they had been in a legal battle with the Utility over this issue for nearly two years. The resident also requested that the Commission not allow legal fees related</w:t>
      </w:r>
      <w:r w:rsidR="0045675D">
        <w:t xml:space="preserve"> to</w:t>
      </w:r>
      <w:r w:rsidRPr="00241121">
        <w:t xml:space="preserve"> this issue. Staff has verified that the Utility did not request recovery of any costs related to any possible land issues with this resident. </w:t>
      </w:r>
      <w:r w:rsidRPr="00241121">
        <w:lastRenderedPageBreak/>
        <w:t>A representative of the Utility advised staff that this resident is not currently a customer of the Utility and that Little Gasparilla has not incurred any legal costs related to this resident. Therefore, no adjustments are necessary to the Phase II costs related to this concern.</w:t>
      </w:r>
    </w:p>
    <w:p w:rsidR="00312B02" w:rsidRPr="00241121" w:rsidRDefault="00312B02" w:rsidP="00312B02">
      <w:pPr>
        <w:spacing w:after="240"/>
        <w:jc w:val="both"/>
        <w:outlineLvl w:val="1"/>
      </w:pPr>
      <w:r w:rsidRPr="00241121">
        <w:t xml:space="preserve">As discussed above, the Utility incurred approximately $61,000 of the original estimated $86,200 north line extension project costs, representing approximately 71 percent completion of the project during Phase I. In order to accurately reflect the portion of the work that was completed during Phase I and the additional work that was completed during Phase II, several adjustments are necessary. Staff decreased Account 331 by $25,023 to remove the portion of the project costs that were included in the Phase I revenue requirement, but were not completed during Phase I. In addition, staff decreased UPIS by $125 to remove an unrelated water main repair from the Phase I costs reflected in Account 331. As of September 2017, the Utility indicated that all 6-inch lines and all fire hydrants have been installed, which includes 300 linear feet of line running north to south and an additional 200 linear feet of laterals representing a total of 500 linear feet of line added during Phase II. Therefore, staff increased Account 331 by $9,426 to reflect the work that was completed on the north line extension during Phase II after the easements were obtained. </w:t>
      </w:r>
    </w:p>
    <w:p w:rsidR="00312B02" w:rsidRPr="00241121" w:rsidRDefault="00312B02" w:rsidP="00312B02">
      <w:pPr>
        <w:spacing w:after="240"/>
        <w:jc w:val="both"/>
        <w:outlineLvl w:val="1"/>
      </w:pPr>
      <w:r w:rsidRPr="00241121">
        <w:t>The Utility advised in its data response that an additional 150 linear feet of 2-inch pipe will still need to be run to connect a new home that is under construction and four other homes on the north end of the island. However, the four homes received exemptions from Charlotte County’s mandatory water connections until 2021. Little Gasparilla has a five-year permit from DEP for the north line extension project, and anticipates that the remaining 150 linear feet of line will be completed in 2018.</w:t>
      </w:r>
      <w:r w:rsidRPr="00241121">
        <w:rPr>
          <w:rStyle w:val="FootnoteReference"/>
        </w:rPr>
        <w:footnoteReference w:id="12"/>
      </w:r>
      <w:r w:rsidRPr="00241121">
        <w:t xml:space="preserve"> The Utility will need to request recovery of any additional costs that are incurred to complete the remaining 150 linear feet of the north line extension in a future rate proceeding. Little Gasparilla has now completed $70,478 of the original proposed cost of $86,200. Addi</w:t>
      </w:r>
      <w:r w:rsidR="00D13C7A">
        <w:t>ng the associated easement cost</w:t>
      </w:r>
      <w:r w:rsidRPr="00241121">
        <w:t xml:space="preserve"> increases the north line extension project cost to $92,288, which is $6,089 over the previously approved project cost of $86,200. However, staff believes the increase is warranted because the easements were critical to the completion of this project and the Utility’s ability to provide service to all the lots on the north end of the island when it becomes mandatory. </w:t>
      </w:r>
    </w:p>
    <w:p w:rsidR="00312B02" w:rsidRPr="00241121" w:rsidRDefault="00312B02" w:rsidP="00312B02">
      <w:pPr>
        <w:spacing w:after="240"/>
        <w:jc w:val="both"/>
        <w:outlineLvl w:val="1"/>
      </w:pPr>
      <w:r w:rsidRPr="00241121">
        <w:t xml:space="preserve">Similarly, additional adjustments are necessary to accurately reflect the final cost of the subaqueous pipeline and county interconnection project that was completed in Phase I. As discussed above, the Utility encountered some unexpected issues in the construction of the subaqueous pipeline that resulted in delays and increased costs. Staff believes it would be appropriate to allow recovery of the additional costs because the additional work was necessary to the completion of the project. Accordingly, staff increased UPIS by $33,102 to reflect the additional costs that were incurred above the previously estimated and approved project costs to Account 309. In addition, the contractor established an account with the CCU for the purpose of purchasing construction water to test the subaqueous pipeline prior to placing the pipeline into service. A Utility representative advised staff that the $1,500 deposit that was paid by the contractor to CCU was refunded to the contractor after the project was completed.  Therefore, </w:t>
      </w:r>
      <w:r w:rsidRPr="00241121">
        <w:lastRenderedPageBreak/>
        <w:t>staff decreased UPIS by $1,500 to remove the refunded deposit from Account 309. In addition, staff decreased UPIS by $677 to remove non-utility costs from Account 309.</w:t>
      </w:r>
    </w:p>
    <w:p w:rsidR="00312B02" w:rsidRPr="00241121" w:rsidRDefault="00312B02" w:rsidP="00312B02">
      <w:pPr>
        <w:spacing w:after="240"/>
        <w:jc w:val="both"/>
        <w:outlineLvl w:val="1"/>
      </w:pPr>
      <w:r w:rsidRPr="00241121">
        <w:t>Staff made the following adjustments to Account 304 to reflect</w:t>
      </w:r>
      <w:r w:rsidR="00CC3B70">
        <w:t xml:space="preserve"> the</w:t>
      </w:r>
      <w:r w:rsidRPr="00241121">
        <w:t xml:space="preserve"> final cost of the new utility building. Specifically, staff increased UPIS by $355,218 to reflect the addition for the new utility building. The Utility incurred additional legal fees for work to resolve issues related to</w:t>
      </w:r>
      <w:r w:rsidR="00CC3B70">
        <w:t xml:space="preserve"> the</w:t>
      </w:r>
      <w:r w:rsidRPr="00241121">
        <w:t xml:space="preserve"> impact of Charlotte County’s mandatory water connection ordinance on Little Gasparilla’s financing for the pro forma utility building construction project. Staff believes it would be appropriate to allow recovery of these legal fees as part of the project costs because the legal assistance was necessary to finalize the Utility’s financing for the pro forma projects. Therefore, staff increased UPIS by $3,645. The Utility’s documentation also included $216 in legal fees that are related to rate case expense rather then the project costs, and will be discussed further in the operation and maintenance expense section below. In addition, staff decreased UPIS by $250 to remove a non-related cost.</w:t>
      </w:r>
    </w:p>
    <w:p w:rsidR="00312B02" w:rsidRPr="00241121" w:rsidRDefault="00312B02" w:rsidP="00312B02">
      <w:pPr>
        <w:spacing w:after="240"/>
        <w:jc w:val="both"/>
        <w:outlineLvl w:val="1"/>
      </w:pPr>
      <w:r w:rsidRPr="00241121">
        <w:t>Based upon a review of the Utility’s federal income tax information provided in Phase I, staff determined that UPIS should be decreased by $52,151 to reflect the retirement of the original cost of the utility building. The final cost of the new building includes $29,179 for the demolition and removal of the water treatment plant building and contents. At the September 22, 2014 Agenda Conference, OPC expressed concern about the accounting treatment of the demolition and removal costs. Staff agreed with OPC that it would be appropriate to record the demolition and removal costs in accumulated depreciation. Accordingly, staff has decreased UPIS by $29,179 to reclassify the building demolition and removal costs to accumulated depreciation.</w:t>
      </w:r>
    </w:p>
    <w:p w:rsidR="00312B02" w:rsidRPr="00241121" w:rsidRDefault="00312B02" w:rsidP="00312B02">
      <w:pPr>
        <w:spacing w:after="240"/>
        <w:jc w:val="both"/>
        <w:outlineLvl w:val="1"/>
      </w:pPr>
      <w:r w:rsidRPr="00241121">
        <w:t>At the September 22, 2014 Agenda Conference, OPC also expressed concern that some of the engineering costs related to the building had been included in both Phase I and II, resulting in an overstatement of the estimated cost of the new utility building. Staff agreed that some of the costs had been inadvertently included in both phases and should be adjusted. A single engineering firm provided the engineering and design services for the subaqueous pipeline and county interconnection project, the north line extension project, and the new utility building project. In order to avoid any possible duplication of engineering costs between the phases, the actual engineering costs that were incurred have been included in either Phase I or II based on the paid invoices and completion dates.</w:t>
      </w:r>
    </w:p>
    <w:p w:rsidR="00312B02" w:rsidRPr="00241121" w:rsidRDefault="00312B02" w:rsidP="00312B02">
      <w:pPr>
        <w:spacing w:after="240"/>
        <w:jc w:val="both"/>
        <w:outlineLvl w:val="1"/>
      </w:pPr>
      <w:r w:rsidRPr="00241121">
        <w:t>As discussed above, Little Gasparilla’s owner agreed at the September 22, 2014 Agenda Conference to continue to work with the architects and bidders to try to reduce the cost of the building. In order to reduce costs, Little Gasparilla redesigned the building eliminating the second floor, which was initially included to store records. The completed construction includes dormers for aesthetic purposes to blend in with the surrounding properties, but the completed building only includes one floor. The Utility also eliminated the proposed restroom facilities, which avoided the cost of installing a septic system. Also, the original cost projections were based on other new construction taking place on the island. Little Gasparilla changed the plans from conventional framed construction to a prefabricated construction that could better serve all possible needs for the next 30 years.</w:t>
      </w:r>
      <w:r w:rsidRPr="00241121">
        <w:rPr>
          <w:rStyle w:val="FootnoteReference"/>
        </w:rPr>
        <w:footnoteReference w:id="13"/>
      </w:r>
      <w:r w:rsidRPr="00241121">
        <w:t xml:space="preserve"> For comparison purposes, the new utility building was initially projected to cost $403,500 based on the lowest bid provided, prior to application of any </w:t>
      </w:r>
      <w:r w:rsidRPr="00241121">
        <w:lastRenderedPageBreak/>
        <w:t>of the adjustments proposed at the September 22, 2014 Agenda Conference. The actual cost of the building is $359,813. Reclassifying the $29,179 in demolition and removal costs to accumulated depreciation, as discussed above, results in a final cost of $330,364 for ratesetting purposes. Staff notes that the Utility incurred an additional $10,300 in engineering costs related to a change order that was necessary to address concerns about how the building structure would be attached to the existing concrete water tank foundation, which offset some of the savings realized with the design changes.</w:t>
      </w:r>
    </w:p>
    <w:p w:rsidR="00312B02" w:rsidRPr="00241121" w:rsidRDefault="00312B02" w:rsidP="00312B02">
      <w:pPr>
        <w:spacing w:after="240"/>
        <w:jc w:val="both"/>
        <w:outlineLvl w:val="1"/>
      </w:pPr>
      <w:r w:rsidRPr="00241121">
        <w:t>As discussed above, the Commission approved a meter replacement project for Phase II. In its September 18, 2017 data response, the Utility reported that it had completed 75 meter replacements as of September 1, 2017.</w:t>
      </w:r>
      <w:r w:rsidRPr="00241121">
        <w:rPr>
          <w:rStyle w:val="FootnoteReference"/>
        </w:rPr>
        <w:footnoteReference w:id="14"/>
      </w:r>
      <w:r w:rsidRPr="00241121">
        <w:t xml:space="preserve"> The Utility also indicated that it was planning to work on the meter replacements during the off season months of Septe</w:t>
      </w:r>
      <w:r w:rsidR="006C5B35">
        <w:t>mber through December, and hoped</w:t>
      </w:r>
      <w:r w:rsidRPr="00241121">
        <w:t xml:space="preserve"> to complete a total of 225 remote read meter replacements by the end of this year. Further, the Utility is working toward having all of the meter replacements completed within a year.  In November 2017, staff informally requested an update on the status of the meter replacement project. Little Gasparilla indicated that it had completed 131 meter replacements as of November 14, 2017. The Utility initially proposed to replace 100 meters per year for four years at a total project cost of $104,915, including $84,915 in equipment costs and $20,000 in labor costs. Further, the total cost was anticipated to be split over four years based on $29,915 for the first year and $25,000 each for the remaining three years. </w:t>
      </w:r>
    </w:p>
    <w:p w:rsidR="00312B02" w:rsidRPr="00241121" w:rsidRDefault="00312B02" w:rsidP="00312B02">
      <w:pPr>
        <w:spacing w:after="240"/>
        <w:jc w:val="both"/>
        <w:outlineLvl w:val="1"/>
      </w:pPr>
      <w:r w:rsidRPr="00241121">
        <w:t>The first year’s cost included the additional equipment and software needed to read the meters, as well as training. The original estimate included the purchase of all the meters and equipment from one vendor. The Utility subsequently found another vendor to provide the meter bases at a lower cost. In addition, the Utility determined that the plastic meter bases work better in the island’s corrosive environment. The remote read registers, equipment, software, and training were still purchased from the original vendor. Also, the Utility began ordering replacement and new installation meters two years ago that would adapt to the new meter replacement program allowing the Utility to save replacing 100 of the meter bases once the remote read meter replacements began. Specifically, the Utility continued to install traditional registers for new customer meter installations pending finalization of the project funding, but used the new plastic meter bases with the traditional registers so that the register will be the only part that needs to be replaced to convert those meters to the remote read system. The Utility reported that this saves approximately $24.50 per meter base, for a total projected savings of $2,450.</w:t>
      </w:r>
    </w:p>
    <w:p w:rsidR="00312B02" w:rsidRPr="00241121" w:rsidRDefault="00312B02" w:rsidP="00312B02">
      <w:pPr>
        <w:spacing w:after="240"/>
        <w:jc w:val="both"/>
        <w:outlineLvl w:val="1"/>
      </w:pPr>
      <w:r w:rsidRPr="00241121">
        <w:t xml:space="preserve">Little Gasparilla provided documentation including orders totaling $60,476 for meter replacement equipment from the two vendors, and completed payments of $56,094. Little Gasparilla has added additional customers since the original estimates were prepared, making it necessary to purchase more meter replacement equipment than was included in the original estimates. The Utility’s actual purchase includes an additional 50 remote read registers and 50 less meter bases than were used in the original bid. For cost comparison purposes, staff has revised the Utility’s actual cost to only reflect the 400 meter replacements that were included in the original estimate, resulting in a total equipment cost of $55,535. Compared to the original bid of $84,915, the Utility’s modifications to its meter replacement program have resulted in a </w:t>
      </w:r>
      <w:r w:rsidRPr="00241121">
        <w:lastRenderedPageBreak/>
        <w:t>savings of $29,380 in equipment costs over the original bid. As noted above, the Utility has completed 131 meter replacements. Therefore, staff increased Account 334 by $56,094 to reflect the meter installation project costs that have been paid for through September 2017. Also, based on a pro-rated share of the Phase I test year meter account balance and number of test year meters, staff decreased UPIS by $6,826 to reflect retirement of the 131 replaced meters. Although the Utility has reduced the overall cost of the meter replacement program by $29,380 compared to the original estimate to replace 400 meters, the Utility has completed more than one years’ worth of equipment purchases and meter installations resulting in a higher cost during Phase II than the one year of expense that was initially planned. Specifically, the Utility has already completed payments for $56,094 of equipment and labor, which is $26,179 higher than the first year cost of $29,915. However, staff believes it is appropriate to recognize the portion of the project that has been completed to date, particular</w:t>
      </w:r>
      <w:r w:rsidR="00075225">
        <w:t>ly</w:t>
      </w:r>
      <w:r w:rsidRPr="00241121">
        <w:t xml:space="preserve"> in consideration of the Utility’s accelerated schedule to complete the meter replacements and the Utility’s commitment to the program by securing a loan that would enable the Utility to complete the project more quickly.</w:t>
      </w:r>
    </w:p>
    <w:p w:rsidR="00312B02" w:rsidRPr="00241121" w:rsidRDefault="00312B02" w:rsidP="00312B02">
      <w:pPr>
        <w:spacing w:after="240"/>
        <w:jc w:val="both"/>
        <w:outlineLvl w:val="1"/>
      </w:pPr>
      <w:r w:rsidRPr="00241121">
        <w:t>By Order No. PSC-14-0626-PAA-WU, the Commission approved a Phase I UPIS balance of $1,655,176. Based on the above, the net increase to plant for these projects following the application of applicable retirements is $364,816, resulting in a UPIS balance of $2,019,992.</w:t>
      </w:r>
    </w:p>
    <w:p w:rsidR="00312B02" w:rsidRPr="00241121" w:rsidRDefault="00312B02" w:rsidP="00312B02">
      <w:pPr>
        <w:spacing w:after="240"/>
        <w:jc w:val="both"/>
        <w:outlineLvl w:val="1"/>
      </w:pPr>
      <w:r w:rsidRPr="00241121">
        <w:t>Both the OPC and some customers have expressed concern that the Utility’s Phase II documentation includes costs that are not related to the pro forma projects or that appear to be non-utility expenditures. Staff believes it will be beneficial to provide additional clarification about how the documentation provided by the Utility was used in this case.  It is not uncommon for utilities to purchase items for multiple projects at the same time for efficiency or to occasionally purchase a personal item, such as a bottle of water or snack. Typically, Commission staff will review the documentation provided by a utility in a rate proceeding and remove any non-utility items that were not already excluded by the utility. Little Gasparilla’s Phase II documentation includes a number of invoices that include a combination of pro forma project costs, other utility costs, and some non-utility expenditures. At first glance it may appear that the Utility is requesting to recover the full amount on each invoice. However, a closer look reveals that the Phase II documentation filed by the Utility includes handwritten notes on the combined invoices to identify the portion of each invoice that relates to one of the pro forma projects. For example, the documentation includes 14 invoices for the Utility’s services and items purchased from Eldred’s Marina located on the island. The total for the invoices equals $3,502. However, the Utility has identified the specific charges on each invoice that relate to pro forma projects and is only requesting that $960 of the total $3,502 be included in the pro forma project costs. Based on staff’s review, the non-utility items of concern were not included in the pro forma project costs requested by the Utility, and therefore, no further adjustment is necessary.</w:t>
      </w:r>
    </w:p>
    <w:p w:rsidR="00312B02" w:rsidRPr="00241121" w:rsidRDefault="00312B02" w:rsidP="00312B02">
      <w:pPr>
        <w:spacing w:after="240"/>
        <w:jc w:val="both"/>
        <w:outlineLvl w:val="1"/>
      </w:pPr>
      <w:r w:rsidRPr="00241121">
        <w:t>In addition, concerns were raised that some of the work on the pro forma projects was performed by affiliated companies. Utilities are not prohibited from hiring affiliated companies to perform utility work. However, it is important that the work performed by the affiliated company be provided at a comparable cost to work performed by a non-affiliated company, and that the work performed is not already included in the salaries or wages of utility employees. In its data response, the Utility provided additional bids and information that demonstrate that the affiliated companies are performing the work at a lower cost than would be performed by the non-</w:t>
      </w:r>
      <w:r w:rsidRPr="00241121">
        <w:lastRenderedPageBreak/>
        <w:t>affiliated company. In one example, the Utility hired an affiliated company to perform the meter replacement work. In response to staff’s request, the Utility obtained a recent quote from a non-affiliated company that shows an estimated cost for replacing the meters that is $25 higher per meter, resulting in an additional cost of $11,250 over the affiliated company’s bid for replacing 450 meters. Based on staff’s review, it appears that the Utility has taken steps to reduce the costs of these projects and that the work performed by the affiliated company is not included in any of the employees’ work duties that were previously identified in the first phase of this rate proceeding.</w:t>
      </w:r>
    </w:p>
    <w:p w:rsidR="00312B02" w:rsidRPr="00241121" w:rsidRDefault="00312B02" w:rsidP="00312B02">
      <w:pPr>
        <w:jc w:val="both"/>
        <w:outlineLvl w:val="1"/>
        <w:rPr>
          <w:i/>
        </w:rPr>
      </w:pPr>
      <w:r w:rsidRPr="00241121">
        <w:rPr>
          <w:rFonts w:ascii="Arial" w:hAnsi="Arial" w:cs="Arial"/>
          <w:b/>
          <w:bCs/>
          <w:i/>
          <w:kern w:val="32"/>
          <w:szCs w:val="32"/>
        </w:rPr>
        <w:tab/>
        <w:t>Accumulated Depreciation</w:t>
      </w:r>
    </w:p>
    <w:p w:rsidR="00312B02" w:rsidRPr="00241121" w:rsidRDefault="00312B02" w:rsidP="00312B02">
      <w:pPr>
        <w:spacing w:after="240"/>
        <w:jc w:val="both"/>
        <w:outlineLvl w:val="1"/>
      </w:pPr>
      <w:r w:rsidRPr="00241121">
        <w:t xml:space="preserve">By Order No. PSC-14-0626-PAA-WU, the Commission approved an accumulated depreciation balance of $697,656 for Phase I. Staff increased this account by $15,061 to reflect the accumulated depreciation for the pro forma additions and retirements. Also, staff decreased this account by $52,151 to reflect the retirement of the replaced utility building. As noted above, staff reclassified the building demolition and removal costs to accumulated depreciation per staff’s prior agreement with OPC’s requested accounting treatment. Consequently, staff decreased this account by $29,179 to reflect the building demolition and removal costs. Finally, staff decreased this account by $6,826 to reflect the retirement of the 131 replaced meters. Staff’s adjustment is a </w:t>
      </w:r>
      <w:r w:rsidR="00075225">
        <w:t xml:space="preserve">net </w:t>
      </w:r>
      <w:r w:rsidRPr="00241121">
        <w:t>decrease of $73,095, resulting in a recommended accumulated depreciation balance of $624,561 for Phase II.</w:t>
      </w:r>
    </w:p>
    <w:p w:rsidR="00312B02" w:rsidRPr="00241121" w:rsidRDefault="00312B02" w:rsidP="00312B02">
      <w:pPr>
        <w:jc w:val="both"/>
        <w:outlineLvl w:val="1"/>
        <w:rPr>
          <w:i/>
        </w:rPr>
      </w:pPr>
      <w:r w:rsidRPr="00241121">
        <w:rPr>
          <w:rFonts w:ascii="Arial" w:hAnsi="Arial" w:cs="Arial"/>
          <w:b/>
          <w:bCs/>
          <w:i/>
          <w:kern w:val="32"/>
          <w:szCs w:val="32"/>
        </w:rPr>
        <w:tab/>
        <w:t>Working Capital</w:t>
      </w:r>
    </w:p>
    <w:p w:rsidR="00312B02" w:rsidRPr="00241121" w:rsidRDefault="00312B02" w:rsidP="00312B02">
      <w:pPr>
        <w:spacing w:after="240"/>
        <w:jc w:val="both"/>
        <w:outlineLvl w:val="1"/>
      </w:pPr>
      <w:r w:rsidRPr="00241121">
        <w:t>Working capital is defined as the short-term investor-supplied funds that are necessary to meet operating expenses of the Utility. By Order No. PSC-14-0626-PAA-WU, the Commission approved a Phase I working capital allowance of $26,205. Consistent with Rule 25-30.433(2), F.A.C., staff used the one-eighth of the operation and maintenance (O&amp;M) expense formula approach for calculating the working capital allowance for Phase II. Applying this formula, staff recommends a</w:t>
      </w:r>
      <w:r w:rsidR="00075225">
        <w:t>n incremental</w:t>
      </w:r>
      <w:r w:rsidRPr="00241121">
        <w:t xml:space="preserve"> working capital allowance of $3,473 ($27,786/8), resulting in a </w:t>
      </w:r>
      <w:r w:rsidR="00075225">
        <w:t xml:space="preserve">total </w:t>
      </w:r>
      <w:r w:rsidRPr="00241121">
        <w:t>working capital allowance of $29,678 for Phase II.</w:t>
      </w:r>
    </w:p>
    <w:p w:rsidR="00312B02" w:rsidRPr="00241121" w:rsidRDefault="00312B02" w:rsidP="00312B02">
      <w:pPr>
        <w:jc w:val="both"/>
        <w:outlineLvl w:val="1"/>
        <w:rPr>
          <w:i/>
        </w:rPr>
      </w:pPr>
      <w:r w:rsidRPr="00241121">
        <w:rPr>
          <w:rFonts w:ascii="Arial" w:hAnsi="Arial" w:cs="Arial"/>
          <w:b/>
          <w:bCs/>
          <w:i/>
          <w:kern w:val="32"/>
          <w:szCs w:val="32"/>
        </w:rPr>
        <w:tab/>
        <w:t>Rate Base Summary</w:t>
      </w:r>
    </w:p>
    <w:p w:rsidR="00312B02" w:rsidRPr="00241121" w:rsidRDefault="00312B02" w:rsidP="00312B02">
      <w:pPr>
        <w:spacing w:after="240"/>
        <w:jc w:val="both"/>
        <w:outlineLvl w:val="1"/>
      </w:pPr>
      <w:r w:rsidRPr="00241121">
        <w:t>By Order No. PSC-14-0626-PAA-WU, the Commission approved a rate base of $538,123 for Phase I. Based on the above, staff’s total adjustment to rate base is an increase of $441,384. Therefore, staff recommends a rate base of $979,508 for Phase II.</w:t>
      </w:r>
    </w:p>
    <w:p w:rsidR="00312B02" w:rsidRPr="00241121" w:rsidRDefault="00312B02" w:rsidP="00312B02">
      <w:pPr>
        <w:jc w:val="both"/>
        <w:outlineLvl w:val="1"/>
        <w:rPr>
          <w:rFonts w:ascii="Arial" w:hAnsi="Arial" w:cs="Arial"/>
          <w:b/>
          <w:bCs/>
          <w:i/>
          <w:kern w:val="32"/>
          <w:szCs w:val="32"/>
        </w:rPr>
      </w:pPr>
      <w:r w:rsidRPr="00241121">
        <w:rPr>
          <w:rFonts w:ascii="Arial" w:hAnsi="Arial" w:cs="Arial"/>
          <w:b/>
          <w:bCs/>
          <w:i/>
          <w:kern w:val="32"/>
          <w:szCs w:val="32"/>
        </w:rPr>
        <w:tab/>
        <w:t>Capital Structure</w:t>
      </w:r>
    </w:p>
    <w:p w:rsidR="00312B02" w:rsidRPr="00241121" w:rsidRDefault="00312B02" w:rsidP="00312B02">
      <w:pPr>
        <w:spacing w:after="240"/>
        <w:jc w:val="both"/>
        <w:outlineLvl w:val="1"/>
      </w:pPr>
      <w:r w:rsidRPr="00241121">
        <w:t xml:space="preserve">The Utility previously arranged financing for several of the pro forma projects and those adjustments were incorporated into the Phase I capital structure. Based on that information, the Utility’s Phase I capital structure reflected equity of $82,000 and total debt of $1,422,738. Some of the pro forma projects were financed through a combination of bank loans, SBA loans, and Utility equity. Staff increased equity by $120,884 to reflect the Utility’s equity investment in all of the projects. Staff also decreased long-term debt by $54,460 to remove a test year bank loan that has been paid off by the Utility. In addition, staff increased long-term debt by $46,025 and $1,600 to reflect the actual final amount of the bank and SBA loans that were previously added to the Phase I capital structure to reflect the proposed financing for the subaqueous pipeline construction and north line extension projects. During the construction of the subaqueous </w:t>
      </w:r>
      <w:r w:rsidRPr="00241121">
        <w:lastRenderedPageBreak/>
        <w:t xml:space="preserve">pipeline, the Utility also secured an additional loan for $45,000. However, that loan has since been paid off and replaced with a smaller loan of $25,150. Therefore, staff increased long-term debt by $25,150. </w:t>
      </w:r>
    </w:p>
    <w:p w:rsidR="00312B02" w:rsidRPr="00241121" w:rsidRDefault="00312B02" w:rsidP="00312B02">
      <w:pPr>
        <w:spacing w:after="240"/>
        <w:jc w:val="both"/>
        <w:outlineLvl w:val="1"/>
      </w:pPr>
      <w:r w:rsidRPr="00241121">
        <w:t>The Utility financed the construction of the new utility building with a combination of a bank loan, SBA loan, and Utility equity investment similar to the Phase I financing. Staff increased long-term debt by $138,358 and $109,000 to reflect the addition of those loans to the Utility’s capital structure. In order to facilitate a faster schedule for the meter replacement project, the Utility secured an additional loan for $62,400 to pay for a portion of the project. Staff increased long-term debt by $62,400 to reflect the addition of this loan to the Utility’s capital structure. In addition, staff increased short-term debt by $49,000 to reflect a promissory note that the Utility secured to pay for additional project related costs. Staff’s adjustments reflect a $120,884 increase to equity and a $377,073 net increase to debt, for a total increase of $497,957. The resulting capital structure reflects equity of $202,884 and total debt of $1,799,810. The $109,000 SBA loan required a separate payment of approximately $4,756 in loan closing costs. Amortizing the loan closing costs over the 11.5 year term of the associated debt account increases the effective interest rate of this loan from 4.75 percent to 5.64 percent. Staff notes that the 11.5 year term was applied because this loan is scheduled to be combined with the $138,358 bank loan in January 2018, which has an 11.5 year term. In addition, the $62,400 bank loan resulted in separately paid closing costs of approximately $2,264. Amortizing the loan closing costs over the 7 year term of the associated debt account increases the effective interest rate from 5.5</w:t>
      </w:r>
      <w:r w:rsidR="00495D79">
        <w:t>0</w:t>
      </w:r>
      <w:r w:rsidRPr="00241121">
        <w:t xml:space="preserve"> percent to 5.94 percent.</w:t>
      </w:r>
    </w:p>
    <w:p w:rsidR="00312B02" w:rsidRPr="00241121" w:rsidRDefault="00312B02" w:rsidP="00312B02">
      <w:pPr>
        <w:spacing w:after="240"/>
        <w:jc w:val="both"/>
        <w:outlineLvl w:val="1"/>
      </w:pPr>
      <w:r w:rsidRPr="00241121">
        <w:t>The Utility’s capital structure has been reconciled with staff’s recommended rate base for Phase II. The appropriate ROE is 11.16 percent based upon the Commission-approved leverage formula currently in effect.</w:t>
      </w:r>
      <w:r w:rsidRPr="00241121">
        <w:rPr>
          <w:vertAlign w:val="superscript"/>
        </w:rPr>
        <w:footnoteReference w:id="15"/>
      </w:r>
      <w:r w:rsidRPr="00241121">
        <w:t xml:space="preserve"> Staff recommends an ROE of 11.16 percent, with a range of 10.16 percent to 12.16 percent, and an overall rate of return of 6.55 percent. The ROE and overall rate of return are shown on Schedule No. 2.</w:t>
      </w:r>
    </w:p>
    <w:p w:rsidR="00312B02" w:rsidRPr="00241121" w:rsidRDefault="00312B02" w:rsidP="00312B02">
      <w:pPr>
        <w:jc w:val="both"/>
        <w:outlineLvl w:val="1"/>
        <w:rPr>
          <w:rFonts w:ascii="Arial" w:hAnsi="Arial" w:cs="Arial"/>
          <w:b/>
          <w:bCs/>
          <w:kern w:val="32"/>
          <w:szCs w:val="32"/>
        </w:rPr>
      </w:pPr>
      <w:r w:rsidRPr="00241121">
        <w:rPr>
          <w:rFonts w:ascii="Arial" w:hAnsi="Arial" w:cs="Arial"/>
          <w:b/>
          <w:bCs/>
          <w:kern w:val="32"/>
          <w:szCs w:val="32"/>
        </w:rPr>
        <w:t>Operation and Maintenance (O&amp;M) Expense</w:t>
      </w:r>
    </w:p>
    <w:p w:rsidR="00312B02" w:rsidRPr="00241121" w:rsidRDefault="00312B02" w:rsidP="00312B02">
      <w:pPr>
        <w:jc w:val="both"/>
      </w:pPr>
      <w:r w:rsidRPr="00241121">
        <w:t>Staff’s recommended adjustments to the O&amp;M expense accounts that are affected by the completion of the pro forma projects are discussed below.</w:t>
      </w:r>
    </w:p>
    <w:p w:rsidR="00312B02" w:rsidRPr="00241121" w:rsidRDefault="00312B02" w:rsidP="00312B02">
      <w:pPr>
        <w:jc w:val="both"/>
        <w:rPr>
          <w:rFonts w:ascii="Arial" w:hAnsi="Arial" w:cs="Arial"/>
          <w:b/>
          <w:bCs/>
          <w:kern w:val="32"/>
          <w:szCs w:val="32"/>
        </w:rPr>
      </w:pPr>
    </w:p>
    <w:p w:rsidR="00312B02" w:rsidRPr="00241121" w:rsidRDefault="00312B02" w:rsidP="00312B02">
      <w:pPr>
        <w:jc w:val="both"/>
        <w:rPr>
          <w:rFonts w:ascii="Arial" w:hAnsi="Arial" w:cs="Arial"/>
          <w:b/>
          <w:bCs/>
          <w:i/>
          <w:kern w:val="32"/>
          <w:szCs w:val="32"/>
        </w:rPr>
      </w:pPr>
      <w:r w:rsidRPr="00241121">
        <w:rPr>
          <w:rFonts w:ascii="Arial" w:hAnsi="Arial" w:cs="Arial"/>
          <w:b/>
          <w:bCs/>
          <w:i/>
          <w:kern w:val="32"/>
          <w:szCs w:val="32"/>
        </w:rPr>
        <w:tab/>
        <w:t>Excessive Unaccounted for Water Expense Adjustments</w:t>
      </w:r>
    </w:p>
    <w:p w:rsidR="00312B02" w:rsidRPr="00241121" w:rsidRDefault="00312B02" w:rsidP="00312B02">
      <w:pPr>
        <w:spacing w:after="240"/>
        <w:jc w:val="both"/>
      </w:pPr>
      <w:r w:rsidRPr="00241121">
        <w:t>In Order No. PSC-14-0626-PAA-WU, the Commission found that Little Gasparilla had unaccounted water of 17 percent for the test year ended September 30, 2013. This resulted in a 7 percent excessive unaccounted for water (EUW) adjustment to purchased water, purchased power, and chemical expenses for the test year. The Commission noted in its order that, based on the Utility’s assertion, the EUW could be the result of flushing that was not recorded and old meters that were not registering properly.</w:t>
      </w:r>
      <w:r w:rsidRPr="00241121">
        <w:rPr>
          <w:rStyle w:val="FootnoteReference"/>
        </w:rPr>
        <w:footnoteReference w:id="16"/>
      </w:r>
    </w:p>
    <w:p w:rsidR="00312B02" w:rsidRPr="00241121" w:rsidRDefault="00312B02" w:rsidP="00312B02">
      <w:pPr>
        <w:spacing w:after="240"/>
        <w:jc w:val="both"/>
      </w:pPr>
      <w:r w:rsidRPr="00241121">
        <w:lastRenderedPageBreak/>
        <w:t>As discussed above, the Commission approved a meter replacement project for Phase II, and Little Gasparilla completed 131 of the meter replacements as of November 14, 2017. In response to a staff data request, Little Gasparilla provided data on its purchased water, gallons sold, and water used for other uses (such as flushing) for the year 2016 and January to August of 2017.</w:t>
      </w:r>
      <w:r w:rsidRPr="00241121">
        <w:rPr>
          <w:rStyle w:val="FootnoteReference"/>
        </w:rPr>
        <w:footnoteReference w:id="17"/>
      </w:r>
      <w:r w:rsidRPr="00241121">
        <w:t xml:space="preserve"> Based on this data, unaccounted for water has decreased to 4 percent for 2016 and 4.8 percent for part of 2017. Staff commends the Utility for keeping records of the estimated amount of water used for flushing and attributed to leaks. </w:t>
      </w:r>
    </w:p>
    <w:p w:rsidR="00312B02" w:rsidRPr="00241121" w:rsidRDefault="00312B02" w:rsidP="00312B02">
      <w:pPr>
        <w:spacing w:after="240"/>
        <w:jc w:val="both"/>
      </w:pPr>
      <w:r w:rsidRPr="00241121">
        <w:t>Therefore, staff recommends removing the previously approved 7 percent EUW expense adjustments as it appears Little Gasparilla has taken the steps necessary to correct the problem.</w:t>
      </w:r>
      <w:r w:rsidR="003D6F32">
        <w:t xml:space="preserve"> Based on Commission practice</w:t>
      </w:r>
      <w:r w:rsidRPr="00241121">
        <w:t>, the previously approved EUW adjustments</w:t>
      </w:r>
      <w:r w:rsidR="003D6F32">
        <w:t xml:space="preserve"> would</w:t>
      </w:r>
      <w:r w:rsidRPr="00241121">
        <w:t xml:space="preserve"> continue to be applied to the Utility’s future price index and pass through rate adjustments until the Utility has another rate proceeding that includes a comprehensive unaccounted for water review. Therefore, staff believes it is important to recognize the Utility’s correction of the EUW in this proceeding to prevent the continuation of future EUW adjustments that are no longer necessary. Accordingly, staff increased the following accounts to reverse the 7 percent EUW adjustments previously approved by Order No. PSC-14-0626-PAA-WU: (1) increased Account No. 610 - Purchased Water by $3,803; (2) increased Account No. 615 - Purchased Power by $280; and (3) increased Account No. 618 - Chemicals by $38.</w:t>
      </w:r>
    </w:p>
    <w:p w:rsidR="00312B02" w:rsidRPr="00241121" w:rsidRDefault="00312B02" w:rsidP="00312B02">
      <w:pPr>
        <w:jc w:val="both"/>
        <w:rPr>
          <w:rFonts w:ascii="Arial" w:hAnsi="Arial" w:cs="Arial"/>
          <w:b/>
          <w:bCs/>
          <w:i/>
          <w:kern w:val="32"/>
          <w:szCs w:val="32"/>
        </w:rPr>
      </w:pPr>
      <w:r w:rsidRPr="00241121">
        <w:rPr>
          <w:rFonts w:ascii="Arial" w:hAnsi="Arial" w:cs="Arial"/>
          <w:b/>
          <w:bCs/>
          <w:i/>
          <w:kern w:val="32"/>
          <w:szCs w:val="32"/>
        </w:rPr>
        <w:tab/>
        <w:t>Rent Expense (640)</w:t>
      </w:r>
    </w:p>
    <w:p w:rsidR="00312B02" w:rsidRPr="00241121" w:rsidRDefault="00312B02" w:rsidP="00312B02">
      <w:pPr>
        <w:jc w:val="both"/>
      </w:pPr>
      <w:r w:rsidRPr="00241121">
        <w:t>With the completion of the new utility building, the Utility has moved its office from the mainland to the new building on the island. Consequently, staff decreased rent expense by $3,510 to remove office rent for the Utility’s mainland office space that was included in the Phase I revenue requirement.</w:t>
      </w:r>
    </w:p>
    <w:p w:rsidR="00312B02" w:rsidRPr="00241121" w:rsidRDefault="00312B02" w:rsidP="00312B02">
      <w:pPr>
        <w:jc w:val="both"/>
      </w:pPr>
    </w:p>
    <w:p w:rsidR="00312B02" w:rsidRPr="00241121" w:rsidRDefault="00312B02" w:rsidP="00312B02">
      <w:pPr>
        <w:jc w:val="both"/>
        <w:rPr>
          <w:rFonts w:ascii="Arial" w:hAnsi="Arial" w:cs="Arial"/>
          <w:b/>
          <w:bCs/>
          <w:i/>
          <w:kern w:val="32"/>
          <w:szCs w:val="32"/>
        </w:rPr>
      </w:pPr>
      <w:r w:rsidRPr="00241121">
        <w:rPr>
          <w:rFonts w:ascii="Arial" w:hAnsi="Arial" w:cs="Arial"/>
          <w:b/>
          <w:bCs/>
          <w:kern w:val="32"/>
          <w:szCs w:val="32"/>
        </w:rPr>
        <w:tab/>
      </w:r>
      <w:r w:rsidRPr="00241121">
        <w:rPr>
          <w:rFonts w:ascii="Arial" w:hAnsi="Arial" w:cs="Arial"/>
          <w:b/>
          <w:bCs/>
          <w:i/>
          <w:kern w:val="32"/>
          <w:szCs w:val="32"/>
        </w:rPr>
        <w:t>Insurance Expense (655)</w:t>
      </w:r>
    </w:p>
    <w:p w:rsidR="00312B02" w:rsidRPr="00241121" w:rsidRDefault="00312B02" w:rsidP="00312B02">
      <w:pPr>
        <w:jc w:val="both"/>
      </w:pPr>
      <w:r w:rsidRPr="00241121">
        <w:t>The Utility was required to obtain additional insurance on the new office building, including wind and flood insurance, as a condition of its building loans. Because the actual insurance premiums on the completed building are notably higher than the 2014 estimates, staff believes it will be beneficial to discuss the reason for the increase. In 2014, it was estimated that the total insurance expense for the new utility building would increase to $7,000, resulting in an increase of $3,272 over the Utility’s 2013 test year insurance expense of $3,728. However, the Utility’s insurance provider advi</w:t>
      </w:r>
      <w:r w:rsidR="00454348">
        <w:t>sed that for the 2017/2018 term</w:t>
      </w:r>
      <w:r w:rsidRPr="00241121">
        <w:t xml:space="preserve"> the premiums have increased and the insurance carrier will no longer include the wind coverage in the package policy, requiring a separate wind policy. The most significant premium increase is for the flood policy which increased from a premium of $2,297 for the 2015/2016 term to a premium of $7,879 for the 2017/2018 term. The Utility was not required to carry the separate flood insurance policy during the 2016/2017 term while the building construction was covered under a separate builder’s insurance policy that was discontinued when the construction was completed. The insurance provider advised that the new building is no longer eligible for grandfathering and that actuarial rates must be used for rating, contributing to the significant increase in the flood insurance premium. The current policy includes a $50,000 deductible. </w:t>
      </w:r>
    </w:p>
    <w:p w:rsidR="00312B02" w:rsidRPr="00241121" w:rsidRDefault="00312B02" w:rsidP="00312B02">
      <w:pPr>
        <w:jc w:val="both"/>
      </w:pPr>
    </w:p>
    <w:p w:rsidR="00312B02" w:rsidRPr="00241121" w:rsidRDefault="00312B02" w:rsidP="00312B02">
      <w:pPr>
        <w:jc w:val="both"/>
      </w:pPr>
      <w:r w:rsidRPr="00241121">
        <w:lastRenderedPageBreak/>
        <w:t xml:space="preserve">Based on these changes, the total insurance expense for the new utility building is $14,672, resulting an in increase of $10,944 over the 2013 test year expense of $3,728. However, the insurance provider advised that if the SBA does not accept the $50,000 deductible, the $7,879 flood insurance premium will increase to either $12,641 with a $10,000 deductible, or $16,054 with a $1,250 deductible. Efforts are still underway to request the SBA’s approval of the $50,000 deductible. Therefore, based on the current premiums as of November 2017, staff has increased the insurance expense by $10,944 to reflect the increase in insurance on the new building going forward. </w:t>
      </w:r>
    </w:p>
    <w:p w:rsidR="00312B02" w:rsidRPr="00241121" w:rsidRDefault="00312B02" w:rsidP="00312B02">
      <w:pPr>
        <w:jc w:val="both"/>
      </w:pPr>
    </w:p>
    <w:p w:rsidR="00312B02" w:rsidRPr="00241121" w:rsidRDefault="00312B02" w:rsidP="00312B02">
      <w:pPr>
        <w:jc w:val="both"/>
      </w:pPr>
      <w:r w:rsidRPr="00241121">
        <w:rPr>
          <w:rFonts w:ascii="Arial" w:hAnsi="Arial" w:cs="Arial"/>
          <w:b/>
          <w:bCs/>
          <w:kern w:val="32"/>
          <w:szCs w:val="32"/>
        </w:rPr>
        <w:tab/>
      </w:r>
      <w:r w:rsidRPr="00241121">
        <w:rPr>
          <w:rFonts w:ascii="Arial" w:hAnsi="Arial" w:cs="Arial"/>
          <w:b/>
          <w:bCs/>
          <w:i/>
          <w:kern w:val="32"/>
          <w:szCs w:val="32"/>
        </w:rPr>
        <w:t>Regulatory Commission Expense (665)</w:t>
      </w:r>
    </w:p>
    <w:p w:rsidR="00312B02" w:rsidRPr="00241121" w:rsidRDefault="00312B02" w:rsidP="00312B02">
      <w:pPr>
        <w:pStyle w:val="BodyText"/>
      </w:pPr>
      <w:r w:rsidRPr="00241121">
        <w:t xml:space="preserve">Traditionally, when the Commission approves a rate increase using a phased approach, all of the rate case expense </w:t>
      </w:r>
      <w:r w:rsidR="00440438">
        <w:t xml:space="preserve">is </w:t>
      </w:r>
      <w:r w:rsidRPr="00241121">
        <w:t xml:space="preserve">included in the Phase I revenue requirement. This process is more efficient and also eliminates the need for a second four-year rate reduction in the same rate proceeding. Accordingly, the rate case expense that the Commission approved in Phase I included the cost of the future Phase II customer notice and a small amount of legal fees related to tariff and noticing work. However, due to the unique circumstances in the instant case, the Utility incurred additional rate case expense following implementation of the Phase I rate increase. </w:t>
      </w:r>
    </w:p>
    <w:p w:rsidR="00312B02" w:rsidRPr="00241121" w:rsidRDefault="00CF61A9" w:rsidP="00312B02">
      <w:pPr>
        <w:pStyle w:val="BodyText"/>
      </w:pPr>
      <w:r w:rsidRPr="00241121">
        <w:t>In its November 8, 2017 letter, OPC proposed that a notice should be provided to the customers before the recommendation for Phase II rates is filed to allow customer comments to be incorporated into staff’s recommendation. OPC also stated that a customer meeting on quality of service issues should be held given it has been three years since the Phase I rates were approved.</w:t>
      </w:r>
      <w:r>
        <w:rPr>
          <w:u w:val="single"/>
        </w:rPr>
        <w:t xml:space="preserve"> </w:t>
      </w:r>
      <w:r w:rsidRPr="00CF61A9">
        <w:t>Consistent with current Commission practice in rate proceedings that use a phased approach, staff does not believe a second customer meeting is necessary. The customers were previously noticed about the proposed pro forma projects and proposed rate increases for both Phase I and Phase II in the Staff Report and staff’s PAA recommendation that were issued previously in this docket. Although the type of notice proposed by OPC</w:t>
      </w:r>
      <w:r>
        <w:t xml:space="preserve"> </w:t>
      </w:r>
      <w:r w:rsidRPr="00241121">
        <w:t>is not required by Rule 25-22.0407, F.A.C., Little Gasparilla voluntarily agreed to provide a notice advising its customers that a recommendation for the Phase II rate increase would be presented at the Commission’s December 12, 2017 Agenda.</w:t>
      </w:r>
      <w:r w:rsidR="005E48A0">
        <w:t xml:space="preserve"> The U</w:t>
      </w:r>
      <w:r>
        <w:t xml:space="preserve">tility provided a notice to the customers on November 16, 2017. </w:t>
      </w:r>
      <w:r w:rsidRPr="00241121">
        <w:t xml:space="preserve"> As of November 30, 2017, the Commission had received comments from two customers who objected to the rate increase, but did not express any concerns about the quality of service. Staff believes it would be appropriate to include the cost of this additional notice in the Utility’s rate case expense</w:t>
      </w:r>
      <w:r w:rsidR="00312B02" w:rsidRPr="00241121">
        <w:t xml:space="preserve">. </w:t>
      </w:r>
    </w:p>
    <w:p w:rsidR="00312B02" w:rsidRPr="00241121" w:rsidRDefault="00312B02" w:rsidP="00312B02">
      <w:pPr>
        <w:pStyle w:val="BodyText"/>
      </w:pPr>
      <w:r w:rsidRPr="00241121">
        <w:t xml:space="preserve">Also, the cost of the future Phase II rate increase notice that was included in the Phase I rate case expense was calculated based on 372 customers in the 2013 test year. Since that time, Little Gasparilla has added approximately 84 new customers, which will result in an additional $62 in noticing costs. Staff believes it would be appropriate to include this incremental increase in the noticing cost since the notice is required by Rule 25-22.0407, F.A.C., and must be provided to all customers who are receiving service when the notice is sent. Staff is also recommending that the Utility be required to provide notice of the four-year rate reduction to its customers when the rates are reduced to remove the amortized rate case expense. For noticing, staff estimated $488 for postage expense, $199 for printing expense, and $50 for envelopes. This results in $737 for the Phase II noticing requirements. It should be noted that the noticing cost is the only </w:t>
      </w:r>
      <w:r w:rsidRPr="00241121">
        <w:lastRenderedPageBreak/>
        <w:t>recommended expense in this recommendation that was updated based on the current number of customers.</w:t>
      </w:r>
    </w:p>
    <w:p w:rsidR="00312B02" w:rsidRPr="00241121" w:rsidRDefault="00312B02" w:rsidP="00312B02">
      <w:pPr>
        <w:pStyle w:val="BodyText"/>
      </w:pPr>
      <w:r w:rsidRPr="00241121">
        <w:t xml:space="preserve">In addition, the Utility has incurred an additional $3,100 in rate case related legal fees for additional legal services provided during Phase II. Some concern has been expressed about allowing recovery for services such as requesting an extension of time to complete the pro forma projects. In a typical case where the Phase II rate increase is approved at the same time as the Phase I increase, such additional legal fees would likely be recovered as part of a utility’s recurring contractual services – legal expense. However, Little Gasparilla’s Phase I increase did not include an allowance for any recurring legal expenses. Consequently, the Utility will be unable to recover the rate case related legal expenses that it incurred to complete the second phase of this case unless a specific adjustment is included. Staff has reviewed the additional rate case expense to ensure that there is no duplication of any legal fees previously included in the Phase I rate case expense or any other legal expenses related directly to the pro forma projects. Staff believes the requested legal fees are reasonable and should be approved. </w:t>
      </w:r>
    </w:p>
    <w:p w:rsidR="00312B02" w:rsidRPr="00241121" w:rsidRDefault="00312B02" w:rsidP="00312B02">
      <w:pPr>
        <w:pStyle w:val="BodyText"/>
      </w:pPr>
      <w:r w:rsidRPr="00241121">
        <w:t>By Order No. PSC-14-0626-PAA-WU, the Commission approved annual regulatory commission expense of $3,546 for Phase I, which included $200 to reflect the five-year amortization of the Utility’s grandfather certificate filing fee, and $3,346 to reflect the four-year amortization of the Phase I rate case expense. The grandfather certificate filing will not be fully amortized until February 2020, and the Phase I rate case expense will not be fully amortized until February 2019. If the Commission approves a Phase II rate increase and includes additional rate case expense, the incremental Phase II rate case expense will be amortized separately from the Phase I rate case expense, and will be fully amortized in early 2021. As will be discussed in Issue 3, staff is recommending that an additional four-year rate reduction be approved in this case to remove the incremental Phase II rate case expense at the end of the four-year amortization period. Based on the above, staff recommends an incremental increase in rate case expense of $3,837 ($737 + $3,100 = $3,837), which amortized over four years is $959.</w:t>
      </w:r>
    </w:p>
    <w:p w:rsidR="00312B02" w:rsidRPr="00241121" w:rsidRDefault="00312B02" w:rsidP="00312B02">
      <w:pPr>
        <w:jc w:val="both"/>
        <w:rPr>
          <w:rFonts w:ascii="Arial" w:hAnsi="Arial" w:cs="Arial"/>
          <w:b/>
          <w:bCs/>
          <w:i/>
          <w:kern w:val="32"/>
          <w:szCs w:val="32"/>
        </w:rPr>
      </w:pPr>
      <w:r w:rsidRPr="00241121">
        <w:rPr>
          <w:rFonts w:ascii="Arial" w:hAnsi="Arial" w:cs="Arial"/>
          <w:b/>
          <w:bCs/>
          <w:i/>
          <w:kern w:val="32"/>
          <w:szCs w:val="32"/>
        </w:rPr>
        <w:tab/>
        <w:t>Post Phase I Price Index and Pass Through Rate Adjustments</w:t>
      </w:r>
    </w:p>
    <w:p w:rsidR="00312B02" w:rsidRPr="00241121" w:rsidRDefault="00312B02" w:rsidP="00312B02">
      <w:pPr>
        <w:spacing w:after="240"/>
        <w:jc w:val="both"/>
        <w:rPr>
          <w:bCs/>
          <w:iCs/>
        </w:rPr>
      </w:pPr>
      <w:r w:rsidRPr="00241121">
        <w:t xml:space="preserve">Since the Phase I rates were implemented, Little Gasparilla also received approval of four price index and three pass through rate adjustments for 2014 through 2017. The pass through rate adjustments were necessary to reflect the increase in Little Gasparilla’s purchased water expense due to increases in CCU’s water rates. Little Gasparilla’s revenues were increased by a total of $14,848 for the price index and pass through adjustments. Because staff’s recommended revenue requirement for Phase II is built upon the previously approved Phase I revenue requirement, an additional adjustment is necessary to reflect the increase in expenses associated with the approved price index and pass through rate adjustments. Consistent with Commission practice, the price index and pass through adjustment included the Commission’s previously approved 7 percent EUW adjustment. As discussed above, staff is recommending that the EUW adjustment be eliminated because the Utility has corrected the issue. Therefore, staff believes the $424 in total EUW reductions that were applied to Little Gasparilla’s 2014 through 2017 price index and pass through rate adjustments should also be removed to reflect the appropriate expenses going forward. </w:t>
      </w:r>
      <w:r w:rsidRPr="00241121">
        <w:rPr>
          <w:rFonts w:ascii="TimesNewRomanPSMT" w:hAnsi="TimesNewRomanPSMT" w:cs="TimesNewRomanPSMT"/>
        </w:rPr>
        <w:t xml:space="preserve">Consequently, staff has increased the Utility’s 2013 test year approved operating expenses by a total of $15,272 ($14,848 + $424 = $15,272) to reflect the operating expense increases that were associated with the price index and pass through adjustments approved from </w:t>
      </w:r>
      <w:r w:rsidRPr="00241121">
        <w:rPr>
          <w:rFonts w:ascii="TimesNewRomanPSMT" w:hAnsi="TimesNewRomanPSMT" w:cs="TimesNewRomanPSMT"/>
        </w:rPr>
        <w:lastRenderedPageBreak/>
        <w:t>2014 through 2017, and reversal of the EUW adjustments. S</w:t>
      </w:r>
      <w:r w:rsidRPr="00241121">
        <w:rPr>
          <w:bCs/>
          <w:iCs/>
        </w:rPr>
        <w:t xml:space="preserve">taff recommends that an increase of $15,272 be reflected in the Utility’s O&amp;M expenses to retain the price index and pass through rate adjustments that Little Gasparilla has received since the Phase I rate increase went into effect. </w:t>
      </w:r>
    </w:p>
    <w:p w:rsidR="00312B02" w:rsidRPr="00241121" w:rsidRDefault="00312B02" w:rsidP="00312B02">
      <w:pPr>
        <w:pStyle w:val="Second-LevelSubheading"/>
        <w:ind w:left="0"/>
      </w:pPr>
      <w:r w:rsidRPr="00241121">
        <w:rPr>
          <w:i w:val="0"/>
        </w:rPr>
        <w:tab/>
      </w:r>
      <w:r w:rsidRPr="00241121">
        <w:t>Operation and Maintenance Expense (O&amp;M Summary)</w:t>
      </w:r>
    </w:p>
    <w:p w:rsidR="00312B02" w:rsidRPr="00241121" w:rsidRDefault="00312B02" w:rsidP="00312B02">
      <w:pPr>
        <w:pStyle w:val="BodyText"/>
      </w:pPr>
      <w:r w:rsidRPr="00241121">
        <w:t>By Order No. PSC-14-0626-PAA-WU, the Commission approved O&amp;M expense of $209,637 for Phase I. Based on the above adjustments, O&amp;M expense should be increased by $27,786 for Phase II, resulting in total O&amp;M expense of $237,423 for Phase II. Staff’s recommended adjustments to O&amp;M expense are shown on Schedule Nos. 3-A through 3-C.</w:t>
      </w:r>
    </w:p>
    <w:p w:rsidR="00312B02" w:rsidRPr="00241121" w:rsidRDefault="00312B02" w:rsidP="00312B02">
      <w:pPr>
        <w:spacing w:before="240"/>
        <w:ind w:firstLine="720"/>
        <w:jc w:val="both"/>
        <w:rPr>
          <w:rFonts w:ascii="Arial" w:hAnsi="Arial" w:cs="Arial"/>
          <w:b/>
          <w:bCs/>
          <w:i/>
          <w:kern w:val="32"/>
          <w:szCs w:val="32"/>
        </w:rPr>
      </w:pPr>
      <w:r w:rsidRPr="00241121">
        <w:rPr>
          <w:rFonts w:ascii="Arial" w:hAnsi="Arial" w:cs="Arial"/>
          <w:b/>
          <w:bCs/>
          <w:i/>
          <w:kern w:val="32"/>
          <w:szCs w:val="32"/>
        </w:rPr>
        <w:t>Other Operating Expenses and Operating Expense Summary</w:t>
      </w:r>
    </w:p>
    <w:p w:rsidR="00312B02" w:rsidRPr="00241121" w:rsidRDefault="00312B02" w:rsidP="00312B02">
      <w:pPr>
        <w:jc w:val="both"/>
      </w:pPr>
      <w:r w:rsidRPr="00241121">
        <w:t>Staff has adjusted depreciation expense to reflect the pro forma additions and retirements, resulting in an increase of $15,061. Also, staff has increased taxes other than income (TOTI) by $5,928 to reflect the increase in utility property taxes associated with the net plant additions, and by $3,116 to reflect RAFs of 4.5 percent on the change in revenues, for a total TOTI increase of $9,044.  Staff’s total adjustment to operating expenses, including additional RAFS, is $51,891, resulting in total operating expenses of $349,494.</w:t>
      </w:r>
    </w:p>
    <w:p w:rsidR="00312B02" w:rsidRPr="00241121" w:rsidRDefault="00312B02" w:rsidP="00312B02">
      <w:pPr>
        <w:spacing w:before="240"/>
        <w:jc w:val="both"/>
        <w:rPr>
          <w:rFonts w:ascii="Arial" w:hAnsi="Arial" w:cs="Arial"/>
          <w:b/>
          <w:bCs/>
          <w:kern w:val="32"/>
          <w:szCs w:val="32"/>
        </w:rPr>
      </w:pPr>
      <w:r w:rsidRPr="00241121">
        <w:rPr>
          <w:rFonts w:ascii="Arial" w:hAnsi="Arial" w:cs="Arial"/>
          <w:b/>
          <w:bCs/>
          <w:kern w:val="32"/>
          <w:szCs w:val="32"/>
        </w:rPr>
        <w:t>Conclusion</w:t>
      </w:r>
    </w:p>
    <w:p w:rsidR="00312B02" w:rsidRPr="00241121" w:rsidRDefault="00312B02" w:rsidP="00312B02">
      <w:pPr>
        <w:jc w:val="both"/>
      </w:pPr>
      <w:r w:rsidRPr="00241121">
        <w:t>The Utility’s Phase II revenue requirement should be $413,652, resulting in an annual increase of $69,252 or 20.11 percent over the recommended Phase I revenue requirement, annualized to reflect the Utility’s current rates based on the price index and pass through adjustments that have been approved since the Utility’s Phase I rates were implemented. The appropriate return on equity (ROE) is 11.16 percent with a range of 10.16 percent to 12.16 percent. The appropriate overall rate of return is 6.55 percent. Phase II rate base is shown on Schedule Nos. 1-A and 1-B.  The capital structure for Phase II is shown on Schedule No. 2. The revenue requirement is shown on Schedule Nos. 3-A and 3-B. The resulting rates are shown on Schedule No. 4.</w:t>
      </w:r>
    </w:p>
    <w:p w:rsidR="00312B02" w:rsidRPr="00241121" w:rsidRDefault="00312B02" w:rsidP="00312B02">
      <w:pPr>
        <w:spacing w:after="240"/>
        <w:jc w:val="both"/>
        <w:outlineLvl w:val="1"/>
      </w:pPr>
      <w:r w:rsidRPr="00241121">
        <w:rPr>
          <w:color w:val="000000"/>
        </w:rPr>
        <w:tab/>
      </w:r>
    </w:p>
    <w:p w:rsidR="00224D42" w:rsidRDefault="00224D42" w:rsidP="00312B02">
      <w:pPr>
        <w:spacing w:after="240"/>
        <w:jc w:val="both"/>
        <w:outlineLvl w:val="1"/>
      </w:pPr>
    </w:p>
    <w:p w:rsidR="006D7303" w:rsidRDefault="006D7303">
      <w:pPr>
        <w:pStyle w:val="BodyText"/>
      </w:pPr>
    </w:p>
    <w:p w:rsidR="00200C10" w:rsidRDefault="00200C10">
      <w:pPr>
        <w:pStyle w:val="IssueHeading"/>
        <w:rPr>
          <w:vanish/>
          <w:specVanish/>
        </w:rPr>
      </w:pPr>
      <w:r w:rsidRPr="004C3641">
        <w:rPr>
          <w:b w:val="0"/>
          <w:i w:val="0"/>
        </w:rPr>
        <w:br w:type="page"/>
      </w:r>
      <w:r w:rsidRPr="004C3641">
        <w:lastRenderedPageBreak/>
        <w:t xml:space="preserve">Issue </w:t>
      </w:r>
      <w:fldSimple w:instr=" SEQ Issue \* MERGEFORMAT ">
        <w:r w:rsidR="002713FC">
          <w:rPr>
            <w:noProof/>
          </w:rPr>
          <w:t>2</w:t>
        </w:r>
      </w:fldSimple>
      <w:r w:rsidRPr="004C3641">
        <w:t>:</w:t>
      </w:r>
      <w:r>
        <w:fldChar w:fldCharType="begin"/>
      </w:r>
      <w:r>
        <w:instrText xml:space="preserve"> TC "</w:instrText>
      </w:r>
      <w:r>
        <w:fldChar w:fldCharType="begin"/>
      </w:r>
      <w:r>
        <w:instrText xml:space="preserve"> SEQ issue \c </w:instrText>
      </w:r>
      <w:r>
        <w:fldChar w:fldCharType="separate"/>
      </w:r>
      <w:bookmarkStart w:id="18" w:name="_Toc499901213"/>
      <w:r w:rsidR="002713FC">
        <w:rPr>
          <w:noProof/>
        </w:rPr>
        <w:instrText>2</w:instrText>
      </w:r>
      <w:r>
        <w:fldChar w:fldCharType="end"/>
      </w:r>
      <w:r>
        <w:tab/>
      </w:r>
      <w:r w:rsidR="0004406C">
        <w:instrText xml:space="preserve">Rates </w:instrText>
      </w:r>
      <w:r>
        <w:instrText>(Bruce)</w:instrText>
      </w:r>
      <w:bookmarkEnd w:id="18"/>
      <w:r>
        <w:instrText xml:space="preserve">" \l 1 </w:instrText>
      </w:r>
      <w:r>
        <w:fldChar w:fldCharType="end"/>
      </w:r>
      <w:r>
        <w:t> </w:t>
      </w:r>
    </w:p>
    <w:p w:rsidR="00200C10" w:rsidRDefault="00200C10">
      <w:pPr>
        <w:pStyle w:val="BodyText"/>
      </w:pPr>
      <w:r>
        <w:t> What are the appropriate water rates for Phase II?</w:t>
      </w:r>
    </w:p>
    <w:p w:rsidR="00200C10" w:rsidRPr="004C3641" w:rsidRDefault="00200C10">
      <w:pPr>
        <w:pStyle w:val="IssueSubsectionHeading"/>
        <w:rPr>
          <w:vanish/>
          <w:specVanish/>
        </w:rPr>
      </w:pPr>
      <w:r w:rsidRPr="004C3641">
        <w:t>Recommendation: </w:t>
      </w:r>
    </w:p>
    <w:p w:rsidR="00200C10" w:rsidRDefault="00200C10" w:rsidP="00733066">
      <w:pPr>
        <w:jc w:val="both"/>
      </w:pPr>
      <w:r>
        <w:t> </w:t>
      </w:r>
      <w:r w:rsidR="00733066">
        <w:t xml:space="preserve">The Phase II rate increase of </w:t>
      </w:r>
      <w:r w:rsidR="00245799">
        <w:t>20.16</w:t>
      </w:r>
      <w:r w:rsidR="00733066">
        <w:t xml:space="preserve"> percent for water should be applied to the existing rates as shown on Schedule No. 4. The </w:t>
      </w:r>
      <w:r w:rsidR="008D63B4">
        <w:t>utility</w:t>
      </w:r>
      <w:r w:rsidR="00733066">
        <w:t xml:space="preserve"> should file revised tariff sheets and a proposed customer notice to reflect the Commission-approved rates. The approved rates should be effective for service rendered on or after the stamped approval date on the tariff sheet</w:t>
      </w:r>
      <w:r w:rsidR="00463FCB">
        <w:t>s</w:t>
      </w:r>
      <w:r w:rsidR="00733066">
        <w:t xml:space="preserve"> pursuant to Rule 25-30.475(1), F.A.C. In addition, the approved rates should not be implemented until staff has approved the proposed customer notice and the notice has been received by the customers. The </w:t>
      </w:r>
      <w:r w:rsidR="008D63B4">
        <w:t>utility</w:t>
      </w:r>
      <w:r w:rsidR="00733066">
        <w:t xml:space="preserve"> should provide proof of the date notice was given within 10 days of the date of the notice.</w:t>
      </w:r>
      <w:r>
        <w:t xml:space="preserve"> (Bruce)</w:t>
      </w:r>
    </w:p>
    <w:p w:rsidR="00733066" w:rsidRDefault="00733066" w:rsidP="00733066">
      <w:pPr>
        <w:jc w:val="both"/>
      </w:pPr>
    </w:p>
    <w:p w:rsidR="00200C10" w:rsidRPr="004C3641" w:rsidRDefault="00200C10">
      <w:pPr>
        <w:pStyle w:val="IssueSubsectionHeading"/>
        <w:rPr>
          <w:vanish/>
          <w:specVanish/>
        </w:rPr>
      </w:pPr>
      <w:r w:rsidRPr="004C3641">
        <w:t>Staff Analysis: </w:t>
      </w:r>
    </w:p>
    <w:p w:rsidR="00733066" w:rsidRDefault="00200C10" w:rsidP="00733066">
      <w:pPr>
        <w:jc w:val="both"/>
      </w:pPr>
      <w:r>
        <w:t> </w:t>
      </w:r>
      <w:r w:rsidR="00733066">
        <w:t xml:space="preserve">Since the implementation of Phase I rates, the </w:t>
      </w:r>
      <w:r w:rsidR="008D63B4">
        <w:t>utility</w:t>
      </w:r>
      <w:r w:rsidR="00834F68">
        <w:t xml:space="preserve"> has had four</w:t>
      </w:r>
      <w:r w:rsidR="00733066">
        <w:t xml:space="preserve"> price index and</w:t>
      </w:r>
      <w:r w:rsidR="00834F68">
        <w:t xml:space="preserve"> three pass th</w:t>
      </w:r>
      <w:r w:rsidR="00733066">
        <w:t>rough rate adjustments</w:t>
      </w:r>
      <w:r w:rsidR="00834F68">
        <w:t xml:space="preserve"> for 2014 through 2017</w:t>
      </w:r>
      <w:r w:rsidR="00733066">
        <w:t>.  In order to determine the appropriate percentage price increase to the existing rates, staff annualized revenues using the existing rates</w:t>
      </w:r>
      <w:r w:rsidR="00463FCB">
        <w:t>, which became effective October 1, 2017,</w:t>
      </w:r>
      <w:r w:rsidR="00733066">
        <w:t xml:space="preserve"> and the billing determinants</w:t>
      </w:r>
      <w:r w:rsidR="0009722E">
        <w:t xml:space="preserve"> </w:t>
      </w:r>
      <w:r w:rsidR="00002519" w:rsidRPr="00002519">
        <w:t xml:space="preserve">as </w:t>
      </w:r>
      <w:r w:rsidR="0009722E" w:rsidRPr="00002519">
        <w:t>of 2014</w:t>
      </w:r>
      <w:r w:rsidR="0009722E">
        <w:t>,</w:t>
      </w:r>
      <w:r w:rsidR="00733066">
        <w:t xml:space="preserve"> used to set Phase I rates.  This w</w:t>
      </w:r>
      <w:r w:rsidR="003149C2">
        <w:t>ould result in an increase of 20</w:t>
      </w:r>
      <w:r w:rsidR="00733066">
        <w:t>.</w:t>
      </w:r>
      <w:r w:rsidR="003149C2">
        <w:t>16</w:t>
      </w:r>
      <w:r w:rsidR="00733066">
        <w:t xml:space="preserve"> percent for water over the existing rates.  The calculation is shown below.  </w:t>
      </w:r>
    </w:p>
    <w:p w:rsidR="00733066" w:rsidRDefault="00733066" w:rsidP="00733066">
      <w:pPr>
        <w:jc w:val="both"/>
      </w:pPr>
    </w:p>
    <w:p w:rsidR="004B41B6" w:rsidRPr="00307E12" w:rsidRDefault="00307E12" w:rsidP="00307E12">
      <w:pPr>
        <w:pStyle w:val="BodyText"/>
        <w:spacing w:after="0"/>
        <w:jc w:val="center"/>
        <w:rPr>
          <w:rFonts w:ascii="Arial" w:hAnsi="Arial" w:cs="Arial"/>
          <w:b/>
        </w:rPr>
      </w:pPr>
      <w:r w:rsidRPr="00307E12">
        <w:rPr>
          <w:rFonts w:ascii="Arial" w:hAnsi="Arial" w:cs="Arial"/>
          <w:b/>
        </w:rPr>
        <w:t>Table 2-1</w:t>
      </w:r>
    </w:p>
    <w:p w:rsidR="00307E12" w:rsidRDefault="00307E12" w:rsidP="00307E12">
      <w:pPr>
        <w:pStyle w:val="BodyText"/>
        <w:spacing w:after="0"/>
        <w:jc w:val="center"/>
        <w:rPr>
          <w:rFonts w:ascii="Arial" w:hAnsi="Arial" w:cs="Arial"/>
        </w:rPr>
      </w:pPr>
      <w:r w:rsidRPr="00307E12">
        <w:rPr>
          <w:rFonts w:ascii="Arial" w:hAnsi="Arial" w:cs="Arial"/>
          <w:b/>
        </w:rPr>
        <w:t>Determination of Percentage Service Rate Increase</w:t>
      </w:r>
    </w:p>
    <w:tbl>
      <w:tblPr>
        <w:tblStyle w:val="TableGrid"/>
        <w:tblW w:w="0" w:type="auto"/>
        <w:jc w:val="center"/>
        <w:tblLook w:val="04A0" w:firstRow="1" w:lastRow="0" w:firstColumn="1" w:lastColumn="0" w:noHBand="0" w:noVBand="1"/>
      </w:tblPr>
      <w:tblGrid>
        <w:gridCol w:w="4092"/>
        <w:gridCol w:w="1779"/>
      </w:tblGrid>
      <w:tr w:rsidR="00307E12" w:rsidTr="002432D1">
        <w:trPr>
          <w:jc w:val="center"/>
        </w:trPr>
        <w:tc>
          <w:tcPr>
            <w:tcW w:w="4092" w:type="dxa"/>
          </w:tcPr>
          <w:p w:rsidR="00307E12" w:rsidRPr="00307E12" w:rsidRDefault="00307E12">
            <w:pPr>
              <w:pStyle w:val="IssueHeading"/>
              <w:rPr>
                <w:rFonts w:ascii="Times New Roman" w:hAnsi="Times New Roman" w:cs="Times New Roman"/>
                <w:b w:val="0"/>
                <w:i w:val="0"/>
              </w:rPr>
            </w:pPr>
          </w:p>
        </w:tc>
        <w:tc>
          <w:tcPr>
            <w:tcW w:w="1779" w:type="dxa"/>
          </w:tcPr>
          <w:p w:rsidR="00307E12" w:rsidRPr="00307E12" w:rsidRDefault="00307E12" w:rsidP="00307E12">
            <w:pPr>
              <w:pStyle w:val="IssueHeading"/>
              <w:jc w:val="center"/>
              <w:rPr>
                <w:rFonts w:ascii="Times New Roman" w:hAnsi="Times New Roman" w:cs="Times New Roman"/>
                <w:i w:val="0"/>
              </w:rPr>
            </w:pPr>
            <w:r w:rsidRPr="00307E12">
              <w:rPr>
                <w:rFonts w:ascii="Times New Roman" w:hAnsi="Times New Roman" w:cs="Times New Roman"/>
                <w:i w:val="0"/>
              </w:rPr>
              <w:t>Water</w:t>
            </w:r>
          </w:p>
        </w:tc>
      </w:tr>
      <w:tr w:rsidR="00307E12" w:rsidTr="002432D1">
        <w:trPr>
          <w:jc w:val="center"/>
        </w:trPr>
        <w:tc>
          <w:tcPr>
            <w:tcW w:w="4092" w:type="dxa"/>
          </w:tcPr>
          <w:p w:rsidR="00307E12" w:rsidRPr="00307E12" w:rsidRDefault="0067351D">
            <w:pPr>
              <w:pStyle w:val="IssueHeading"/>
              <w:rPr>
                <w:rFonts w:ascii="Times New Roman" w:hAnsi="Times New Roman" w:cs="Times New Roman"/>
                <w:b w:val="0"/>
                <w:i w:val="0"/>
              </w:rPr>
            </w:pPr>
            <w:r>
              <w:rPr>
                <w:rFonts w:ascii="Times New Roman" w:hAnsi="Times New Roman" w:cs="Times New Roman"/>
                <w:b w:val="0"/>
                <w:i w:val="0"/>
              </w:rPr>
              <w:t>Annualized Revenues</w:t>
            </w:r>
          </w:p>
        </w:tc>
        <w:tc>
          <w:tcPr>
            <w:tcW w:w="1779" w:type="dxa"/>
          </w:tcPr>
          <w:p w:rsidR="00307E12" w:rsidRPr="00307E12" w:rsidRDefault="00EB7102" w:rsidP="00EB7102">
            <w:pPr>
              <w:pStyle w:val="IssueHeading"/>
              <w:jc w:val="right"/>
              <w:rPr>
                <w:rFonts w:ascii="Times New Roman" w:hAnsi="Times New Roman" w:cs="Times New Roman"/>
                <w:b w:val="0"/>
                <w:i w:val="0"/>
              </w:rPr>
            </w:pPr>
            <w:r>
              <w:rPr>
                <w:rFonts w:ascii="Times New Roman" w:hAnsi="Times New Roman" w:cs="Times New Roman"/>
                <w:b w:val="0"/>
                <w:i w:val="0"/>
              </w:rPr>
              <w:t>$344,400</w:t>
            </w:r>
          </w:p>
        </w:tc>
      </w:tr>
      <w:tr w:rsidR="00307E12" w:rsidTr="002432D1">
        <w:trPr>
          <w:jc w:val="center"/>
        </w:trPr>
        <w:tc>
          <w:tcPr>
            <w:tcW w:w="4092" w:type="dxa"/>
          </w:tcPr>
          <w:p w:rsidR="00307E12" w:rsidRPr="00307E12" w:rsidRDefault="00307E12">
            <w:pPr>
              <w:pStyle w:val="IssueHeading"/>
              <w:rPr>
                <w:rFonts w:ascii="Times New Roman" w:hAnsi="Times New Roman" w:cs="Times New Roman"/>
                <w:b w:val="0"/>
                <w:i w:val="0"/>
              </w:rPr>
            </w:pPr>
            <w:r w:rsidRPr="00307E12">
              <w:rPr>
                <w:rFonts w:ascii="Times New Roman" w:hAnsi="Times New Roman" w:cs="Times New Roman"/>
                <w:b w:val="0"/>
                <w:i w:val="0"/>
              </w:rPr>
              <w:t>Less: Miscellaneous Revenues</w:t>
            </w:r>
          </w:p>
        </w:tc>
        <w:tc>
          <w:tcPr>
            <w:tcW w:w="1779" w:type="dxa"/>
          </w:tcPr>
          <w:p w:rsidR="00307E12" w:rsidRPr="00307E12" w:rsidRDefault="00EB7102" w:rsidP="00EB7102">
            <w:pPr>
              <w:pStyle w:val="IssueHeading"/>
              <w:jc w:val="right"/>
              <w:rPr>
                <w:rFonts w:ascii="Times New Roman" w:hAnsi="Times New Roman" w:cs="Times New Roman"/>
                <w:b w:val="0"/>
                <w:i w:val="0"/>
              </w:rPr>
            </w:pPr>
            <w:r>
              <w:rPr>
                <w:rFonts w:ascii="Times New Roman" w:hAnsi="Times New Roman" w:cs="Times New Roman"/>
                <w:b w:val="0"/>
                <w:i w:val="0"/>
              </w:rPr>
              <w:t>$980</w:t>
            </w:r>
          </w:p>
        </w:tc>
      </w:tr>
      <w:tr w:rsidR="004879B4" w:rsidTr="002432D1">
        <w:trPr>
          <w:jc w:val="center"/>
        </w:trPr>
        <w:tc>
          <w:tcPr>
            <w:tcW w:w="4092" w:type="dxa"/>
          </w:tcPr>
          <w:p w:rsidR="004879B4" w:rsidRPr="0009722E" w:rsidRDefault="00463FCB" w:rsidP="00463FCB">
            <w:pPr>
              <w:pStyle w:val="IssueHeading"/>
              <w:spacing w:after="0"/>
              <w:rPr>
                <w:rFonts w:ascii="Times New Roman" w:hAnsi="Times New Roman" w:cs="Times New Roman"/>
                <w:b w:val="0"/>
                <w:i w:val="0"/>
                <w:highlight w:val="yellow"/>
              </w:rPr>
            </w:pPr>
            <w:r w:rsidRPr="00002519">
              <w:rPr>
                <w:rFonts w:ascii="Times New Roman" w:hAnsi="Times New Roman" w:cs="Times New Roman"/>
                <w:b w:val="0"/>
                <w:i w:val="0"/>
              </w:rPr>
              <w:t xml:space="preserve">Annualized </w:t>
            </w:r>
            <w:r w:rsidR="004879B4" w:rsidRPr="00002519">
              <w:rPr>
                <w:rFonts w:ascii="Times New Roman" w:hAnsi="Times New Roman" w:cs="Times New Roman"/>
                <w:b w:val="0"/>
                <w:i w:val="0"/>
              </w:rPr>
              <w:t>Service Revenue Requirement</w:t>
            </w:r>
          </w:p>
        </w:tc>
        <w:tc>
          <w:tcPr>
            <w:tcW w:w="1779" w:type="dxa"/>
          </w:tcPr>
          <w:p w:rsidR="004879B4" w:rsidRPr="00307E12" w:rsidRDefault="00EB7102" w:rsidP="00EB7102">
            <w:pPr>
              <w:pStyle w:val="IssueHeading"/>
              <w:jc w:val="right"/>
              <w:rPr>
                <w:rFonts w:ascii="Times New Roman" w:hAnsi="Times New Roman" w:cs="Times New Roman"/>
                <w:b w:val="0"/>
                <w:i w:val="0"/>
              </w:rPr>
            </w:pPr>
            <w:r w:rsidRPr="00002519">
              <w:rPr>
                <w:rFonts w:ascii="Times New Roman" w:hAnsi="Times New Roman" w:cs="Times New Roman"/>
                <w:b w:val="0"/>
                <w:i w:val="0"/>
              </w:rPr>
              <w:t>$343,460</w:t>
            </w:r>
          </w:p>
        </w:tc>
      </w:tr>
      <w:tr w:rsidR="00307E12" w:rsidTr="002432D1">
        <w:trPr>
          <w:jc w:val="center"/>
        </w:trPr>
        <w:tc>
          <w:tcPr>
            <w:tcW w:w="4092" w:type="dxa"/>
          </w:tcPr>
          <w:p w:rsidR="00307E12" w:rsidRPr="00307E12" w:rsidRDefault="004879B4">
            <w:pPr>
              <w:pStyle w:val="IssueHeading"/>
              <w:rPr>
                <w:rFonts w:ascii="Times New Roman" w:hAnsi="Times New Roman" w:cs="Times New Roman"/>
                <w:b w:val="0"/>
                <w:i w:val="0"/>
              </w:rPr>
            </w:pPr>
            <w:r>
              <w:rPr>
                <w:rFonts w:ascii="Times New Roman" w:hAnsi="Times New Roman" w:cs="Times New Roman"/>
                <w:b w:val="0"/>
                <w:i w:val="0"/>
              </w:rPr>
              <w:t xml:space="preserve">Phase II </w:t>
            </w:r>
            <w:r w:rsidR="00307E12" w:rsidRPr="00307E12">
              <w:rPr>
                <w:rFonts w:ascii="Times New Roman" w:hAnsi="Times New Roman" w:cs="Times New Roman"/>
                <w:b w:val="0"/>
                <w:i w:val="0"/>
              </w:rPr>
              <w:t>Revenue Increase</w:t>
            </w:r>
          </w:p>
        </w:tc>
        <w:tc>
          <w:tcPr>
            <w:tcW w:w="1779" w:type="dxa"/>
          </w:tcPr>
          <w:p w:rsidR="00307E12" w:rsidRPr="00307E12" w:rsidRDefault="003149C2" w:rsidP="003149C2">
            <w:pPr>
              <w:pStyle w:val="IssueHeading"/>
              <w:jc w:val="right"/>
              <w:rPr>
                <w:rFonts w:ascii="Times New Roman" w:hAnsi="Times New Roman" w:cs="Times New Roman"/>
                <w:b w:val="0"/>
                <w:i w:val="0"/>
              </w:rPr>
            </w:pPr>
            <w:r>
              <w:rPr>
                <w:rFonts w:ascii="Times New Roman" w:hAnsi="Times New Roman" w:cs="Times New Roman"/>
                <w:b w:val="0"/>
                <w:i w:val="0"/>
              </w:rPr>
              <w:t>$69</w:t>
            </w:r>
            <w:r w:rsidR="002432D1">
              <w:rPr>
                <w:rFonts w:ascii="Times New Roman" w:hAnsi="Times New Roman" w:cs="Times New Roman"/>
                <w:b w:val="0"/>
                <w:i w:val="0"/>
              </w:rPr>
              <w:t>,</w:t>
            </w:r>
            <w:r>
              <w:rPr>
                <w:rFonts w:ascii="Times New Roman" w:hAnsi="Times New Roman" w:cs="Times New Roman"/>
                <w:b w:val="0"/>
                <w:i w:val="0"/>
              </w:rPr>
              <w:t>252</w:t>
            </w:r>
          </w:p>
        </w:tc>
      </w:tr>
      <w:tr w:rsidR="00307E12" w:rsidTr="002432D1">
        <w:trPr>
          <w:jc w:val="center"/>
        </w:trPr>
        <w:tc>
          <w:tcPr>
            <w:tcW w:w="4092" w:type="dxa"/>
          </w:tcPr>
          <w:p w:rsidR="00307E12" w:rsidRPr="00307E12" w:rsidRDefault="00307E12">
            <w:pPr>
              <w:pStyle w:val="IssueHeading"/>
              <w:rPr>
                <w:rFonts w:ascii="Times New Roman" w:hAnsi="Times New Roman" w:cs="Times New Roman"/>
                <w:b w:val="0"/>
                <w:i w:val="0"/>
              </w:rPr>
            </w:pPr>
            <w:r>
              <w:rPr>
                <w:rFonts w:ascii="Times New Roman" w:hAnsi="Times New Roman" w:cs="Times New Roman"/>
                <w:b w:val="0"/>
                <w:i w:val="0"/>
              </w:rPr>
              <w:t xml:space="preserve">% Service Rate </w:t>
            </w:r>
            <w:r w:rsidR="004879B4">
              <w:rPr>
                <w:rFonts w:ascii="Times New Roman" w:hAnsi="Times New Roman" w:cs="Times New Roman"/>
                <w:b w:val="0"/>
                <w:i w:val="0"/>
              </w:rPr>
              <w:t>Increase (Line 4/Line 3</w:t>
            </w:r>
            <w:r>
              <w:rPr>
                <w:rFonts w:ascii="Times New Roman" w:hAnsi="Times New Roman" w:cs="Times New Roman"/>
                <w:b w:val="0"/>
                <w:i w:val="0"/>
              </w:rPr>
              <w:t>)</w:t>
            </w:r>
          </w:p>
        </w:tc>
        <w:tc>
          <w:tcPr>
            <w:tcW w:w="1779" w:type="dxa"/>
          </w:tcPr>
          <w:p w:rsidR="00307E12" w:rsidRPr="00307E12" w:rsidRDefault="003149C2" w:rsidP="003149C2">
            <w:pPr>
              <w:pStyle w:val="IssueHeading"/>
              <w:jc w:val="right"/>
              <w:rPr>
                <w:rFonts w:ascii="Times New Roman" w:hAnsi="Times New Roman" w:cs="Times New Roman"/>
                <w:b w:val="0"/>
                <w:i w:val="0"/>
              </w:rPr>
            </w:pPr>
            <w:r>
              <w:rPr>
                <w:rFonts w:ascii="Times New Roman" w:hAnsi="Times New Roman" w:cs="Times New Roman"/>
                <w:b w:val="0"/>
                <w:i w:val="0"/>
              </w:rPr>
              <w:t>20</w:t>
            </w:r>
            <w:r w:rsidR="002432D1">
              <w:rPr>
                <w:rFonts w:ascii="Times New Roman" w:hAnsi="Times New Roman" w:cs="Times New Roman"/>
                <w:b w:val="0"/>
                <w:i w:val="0"/>
              </w:rPr>
              <w:t>.</w:t>
            </w:r>
            <w:r>
              <w:rPr>
                <w:rFonts w:ascii="Times New Roman" w:hAnsi="Times New Roman" w:cs="Times New Roman"/>
                <w:b w:val="0"/>
                <w:i w:val="0"/>
              </w:rPr>
              <w:t>16</w:t>
            </w:r>
            <w:r w:rsidR="002432D1">
              <w:rPr>
                <w:rFonts w:ascii="Times New Roman" w:hAnsi="Times New Roman" w:cs="Times New Roman"/>
                <w:b w:val="0"/>
                <w:i w:val="0"/>
              </w:rPr>
              <w:t>%</w:t>
            </w:r>
          </w:p>
        </w:tc>
      </w:tr>
    </w:tbl>
    <w:p w:rsidR="005F25EE" w:rsidRDefault="005F25EE">
      <w:pPr>
        <w:pStyle w:val="IssueHeading"/>
        <w:rPr>
          <w:rFonts w:ascii="Times New Roman" w:hAnsi="Times New Roman" w:cs="Times New Roman"/>
          <w:b w:val="0"/>
          <w:i w:val="0"/>
        </w:rPr>
      </w:pPr>
    </w:p>
    <w:p w:rsidR="00200C10" w:rsidRDefault="00762437">
      <w:pPr>
        <w:pStyle w:val="IssueHeading"/>
        <w:rPr>
          <w:vanish/>
          <w:specVanish/>
        </w:rPr>
      </w:pPr>
      <w:r w:rsidRPr="00762437">
        <w:rPr>
          <w:rFonts w:ascii="Times New Roman" w:hAnsi="Times New Roman" w:cs="Times New Roman"/>
          <w:b w:val="0"/>
          <w:i w:val="0"/>
        </w:rPr>
        <w:t>Staff</w:t>
      </w:r>
      <w:r>
        <w:rPr>
          <w:rFonts w:ascii="Times New Roman" w:hAnsi="Times New Roman" w:cs="Times New Roman"/>
          <w:b w:val="0"/>
          <w:i w:val="0"/>
        </w:rPr>
        <w:t xml:space="preserve"> recommends that the</w:t>
      </w:r>
      <w:r w:rsidR="0001760F" w:rsidRPr="0001760F">
        <w:rPr>
          <w:rFonts w:ascii="Times New Roman" w:hAnsi="Times New Roman"/>
          <w:szCs w:val="24"/>
        </w:rPr>
        <w:t xml:space="preserve"> </w:t>
      </w:r>
      <w:r w:rsidR="0001760F" w:rsidRPr="0001760F">
        <w:rPr>
          <w:rFonts w:ascii="Times New Roman" w:hAnsi="Times New Roman"/>
          <w:b w:val="0"/>
          <w:i w:val="0"/>
          <w:szCs w:val="24"/>
        </w:rPr>
        <w:t xml:space="preserve">Phase II rate increase of </w:t>
      </w:r>
      <w:r w:rsidR="003149C2">
        <w:rPr>
          <w:rFonts w:ascii="Times New Roman" w:hAnsi="Times New Roman" w:cs="Times New Roman"/>
          <w:b w:val="0"/>
          <w:i w:val="0"/>
        </w:rPr>
        <w:t>20</w:t>
      </w:r>
      <w:r w:rsidR="0001760F" w:rsidRPr="00463FCB">
        <w:rPr>
          <w:rFonts w:ascii="Times New Roman" w:hAnsi="Times New Roman" w:cs="Times New Roman"/>
          <w:b w:val="0"/>
          <w:i w:val="0"/>
        </w:rPr>
        <w:t>.</w:t>
      </w:r>
      <w:r w:rsidR="003149C2">
        <w:rPr>
          <w:rFonts w:ascii="Times New Roman" w:hAnsi="Times New Roman" w:cs="Times New Roman"/>
          <w:b w:val="0"/>
          <w:i w:val="0"/>
        </w:rPr>
        <w:t>16</w:t>
      </w:r>
      <w:r w:rsidR="0001760F" w:rsidRPr="0001760F">
        <w:rPr>
          <w:rFonts w:ascii="Times New Roman" w:hAnsi="Times New Roman"/>
          <w:b w:val="0"/>
          <w:i w:val="0"/>
          <w:szCs w:val="24"/>
        </w:rPr>
        <w:t xml:space="preserve"> percent for water should be applied to the existing rates as shown on Schedule No. 4. The </w:t>
      </w:r>
      <w:r w:rsidR="008D63B4">
        <w:rPr>
          <w:rFonts w:ascii="Times New Roman" w:hAnsi="Times New Roman"/>
          <w:b w:val="0"/>
          <w:i w:val="0"/>
          <w:szCs w:val="24"/>
        </w:rPr>
        <w:t>utility</w:t>
      </w:r>
      <w:r w:rsidR="0001760F" w:rsidRPr="0001760F">
        <w:rPr>
          <w:rFonts w:ascii="Times New Roman" w:hAnsi="Times New Roman"/>
          <w:b w:val="0"/>
          <w:i w:val="0"/>
          <w:szCs w:val="24"/>
        </w:rPr>
        <w:t xml:space="preserve"> should file revised tariff sheets and a proposed customer notice to reflect the Commission-approved rates. The approved rates should be effective for service rendered on or after the stamped approval date on the tariff sheet</w:t>
      </w:r>
      <w:r w:rsidR="00463FCB">
        <w:rPr>
          <w:rFonts w:ascii="Times New Roman" w:hAnsi="Times New Roman"/>
          <w:b w:val="0"/>
          <w:i w:val="0"/>
          <w:szCs w:val="24"/>
        </w:rPr>
        <w:t>s</w:t>
      </w:r>
      <w:r w:rsidR="0001760F" w:rsidRPr="0001760F">
        <w:rPr>
          <w:rFonts w:ascii="Times New Roman" w:hAnsi="Times New Roman"/>
          <w:b w:val="0"/>
          <w:i w:val="0"/>
          <w:szCs w:val="24"/>
        </w:rPr>
        <w:t xml:space="preserve"> pursuant to Rule 25-30.475(1), F.A.C. In addition, the approved rates should not be implemented until staff has approved the proposed customer notice and the notice has been received by the customers. The </w:t>
      </w:r>
      <w:r w:rsidR="008D63B4">
        <w:rPr>
          <w:rFonts w:ascii="Times New Roman" w:hAnsi="Times New Roman"/>
          <w:b w:val="0"/>
          <w:i w:val="0"/>
          <w:szCs w:val="24"/>
        </w:rPr>
        <w:t>utility</w:t>
      </w:r>
      <w:r w:rsidR="0001760F" w:rsidRPr="0001760F">
        <w:rPr>
          <w:rFonts w:ascii="Times New Roman" w:hAnsi="Times New Roman"/>
          <w:b w:val="0"/>
          <w:i w:val="0"/>
          <w:szCs w:val="24"/>
        </w:rPr>
        <w:t xml:space="preserve"> should provide proof of the date notice was given within 10 days of the date of the notice.</w:t>
      </w:r>
      <w:r>
        <w:rPr>
          <w:rFonts w:ascii="Times New Roman" w:hAnsi="Times New Roman" w:cs="Times New Roman"/>
          <w:b w:val="0"/>
          <w:i w:val="0"/>
        </w:rPr>
        <w:t xml:space="preserve"> </w:t>
      </w:r>
      <w:r w:rsidR="00200C10" w:rsidRPr="004C3641">
        <w:rPr>
          <w:b w:val="0"/>
          <w:i w:val="0"/>
        </w:rPr>
        <w:br w:type="page"/>
      </w:r>
      <w:r w:rsidR="00200C10" w:rsidRPr="004C3641">
        <w:lastRenderedPageBreak/>
        <w:t xml:space="preserve">Issue </w:t>
      </w:r>
      <w:fldSimple w:instr=" SEQ Issue \* MERGEFORMAT ">
        <w:r w:rsidR="002713FC">
          <w:rPr>
            <w:noProof/>
          </w:rPr>
          <w:t>3</w:t>
        </w:r>
      </w:fldSimple>
      <w:r w:rsidR="00200C10" w:rsidRPr="004C3641">
        <w:t>:</w:t>
      </w:r>
      <w:r w:rsidR="00200C10">
        <w:fldChar w:fldCharType="begin"/>
      </w:r>
      <w:r w:rsidR="00200C10">
        <w:instrText xml:space="preserve"> TC "</w:instrText>
      </w:r>
      <w:r w:rsidR="00200C10">
        <w:fldChar w:fldCharType="begin"/>
      </w:r>
      <w:r w:rsidR="00200C10">
        <w:instrText xml:space="preserve"> SEQ issue \c </w:instrText>
      </w:r>
      <w:r w:rsidR="00200C10">
        <w:fldChar w:fldCharType="separate"/>
      </w:r>
      <w:bookmarkStart w:id="19" w:name="_Toc499901214"/>
      <w:r w:rsidR="002713FC">
        <w:rPr>
          <w:noProof/>
        </w:rPr>
        <w:instrText>3</w:instrText>
      </w:r>
      <w:r w:rsidR="00200C10">
        <w:fldChar w:fldCharType="end"/>
      </w:r>
      <w:r w:rsidR="00200C10">
        <w:tab/>
      </w:r>
      <w:r w:rsidR="0004406C">
        <w:instrText xml:space="preserve">Rate Reduction </w:instrText>
      </w:r>
      <w:r w:rsidR="00200C10">
        <w:instrText>(Bruce, Golden)</w:instrText>
      </w:r>
      <w:bookmarkEnd w:id="19"/>
      <w:r w:rsidR="00200C10">
        <w:instrText xml:space="preserve">" \l 1 </w:instrText>
      </w:r>
      <w:r w:rsidR="00200C10">
        <w:fldChar w:fldCharType="end"/>
      </w:r>
      <w:r w:rsidR="00200C10">
        <w:t> </w:t>
      </w:r>
    </w:p>
    <w:p w:rsidR="00200C10" w:rsidRDefault="00200C10">
      <w:pPr>
        <w:pStyle w:val="BodyText"/>
      </w:pPr>
      <w:r>
        <w:t> What is the appropriate amount by which rates should be reduced four years after the established effective date to reflect the removal of the amortized rate case expense as required by Section 367.0816?</w:t>
      </w:r>
    </w:p>
    <w:p w:rsidR="00200C10" w:rsidRPr="004C3641" w:rsidRDefault="00200C10">
      <w:pPr>
        <w:pStyle w:val="IssueSubsectionHeading"/>
        <w:rPr>
          <w:vanish/>
          <w:specVanish/>
        </w:rPr>
      </w:pPr>
      <w:r w:rsidRPr="004C3641">
        <w:t>Recommendation: </w:t>
      </w:r>
    </w:p>
    <w:p w:rsidR="00200C10" w:rsidRDefault="00200C10">
      <w:pPr>
        <w:pStyle w:val="BodyText"/>
      </w:pPr>
      <w:r>
        <w:t> </w:t>
      </w:r>
      <w:r w:rsidR="00883B84" w:rsidRPr="00761456">
        <w:t xml:space="preserve">The water rates should be reduced as shown on Schedule No. 4, to remove rate case expense grossed-up for RAFs and amortized over a four-year period. The decrease in rates should become effective immediately following the expiration of the four-year rate case expense recovery period. The Utility should be required to file revised tariffs and a proposed customer notice setting forth the lower rates and the reason for the reduction no later than one month prior to the actual date of the required rate reduction. If </w:t>
      </w:r>
      <w:r w:rsidR="00883B84">
        <w:t>Little Gasparilla</w:t>
      </w:r>
      <w:r w:rsidR="00883B84" w:rsidRPr="00761456">
        <w:t xml:space="preserve"> files this reduction in conjunction with a price index or pass-through rate adjustment, separate data should be filed for the price index and/or pass-through increase or decrease and the reduction in the rates due to the amortized rate case expense. </w:t>
      </w:r>
      <w:r>
        <w:t xml:space="preserve"> (Bruce, Golden)</w:t>
      </w:r>
      <w:r w:rsidR="00883B84">
        <w:t xml:space="preserve"> (Final Agency Action)</w:t>
      </w:r>
    </w:p>
    <w:p w:rsidR="00200C10" w:rsidRPr="004C3641" w:rsidRDefault="00200C10">
      <w:pPr>
        <w:pStyle w:val="IssueSubsectionHeading"/>
        <w:rPr>
          <w:vanish/>
          <w:specVanish/>
        </w:rPr>
      </w:pPr>
      <w:r w:rsidRPr="004C3641">
        <w:t>Staff Analysis: </w:t>
      </w:r>
    </w:p>
    <w:p w:rsidR="0008693E" w:rsidRPr="00761456" w:rsidRDefault="00200C10" w:rsidP="0008693E">
      <w:pPr>
        <w:pStyle w:val="BodyText"/>
      </w:pPr>
      <w:r>
        <w:t> </w:t>
      </w:r>
      <w:r w:rsidR="00883B84">
        <w:t>Little Gasparilla’s</w:t>
      </w:r>
      <w:r w:rsidR="00883B84" w:rsidRPr="00761456">
        <w:t xml:space="preserve"> water rates should be reduced immediately following the expiration of the four-year rate case expense recovery period by the amount of the rate case expense previously included in the rates. The reduction will reflect the removal of revenues associated with the amortization of rate case expense</w:t>
      </w:r>
      <w:r w:rsidR="00883B84">
        <w:t>, the associated return on working capital,</w:t>
      </w:r>
      <w:r w:rsidR="00883B84" w:rsidRPr="00761456">
        <w:t xml:space="preserve"> and the gross-up for RAFs </w:t>
      </w:r>
      <w:r w:rsidR="00883B84" w:rsidRPr="00A04832">
        <w:t xml:space="preserve">which is </w:t>
      </w:r>
      <w:r w:rsidR="00883B84" w:rsidRPr="00D46444">
        <w:t>$1,012</w:t>
      </w:r>
      <w:r w:rsidR="00883B84" w:rsidRPr="00761456">
        <w:t>.</w:t>
      </w:r>
      <w:r w:rsidR="00883B84">
        <w:rPr>
          <w:rStyle w:val="FootnoteReference"/>
        </w:rPr>
        <w:footnoteReference w:id="18"/>
      </w:r>
      <w:r w:rsidR="00883B84" w:rsidRPr="00761456">
        <w:t xml:space="preserve"> Using the Utility's current revenues, expenses, and customer base, the reduction in revenues will result in the rate decrease shown on Schedule No. 4.</w:t>
      </w:r>
      <w:r w:rsidR="00883B84">
        <w:t xml:space="preserve"> </w:t>
      </w:r>
      <w:r w:rsidR="00883B84" w:rsidRPr="00D46444">
        <w:t>As discussed in Issue 1, the rate case expense approved by the Commission in Phase</w:t>
      </w:r>
      <w:r w:rsidR="00D46444" w:rsidRPr="00D46444">
        <w:t xml:space="preserve"> I</w:t>
      </w:r>
      <w:r w:rsidR="00883B84" w:rsidRPr="00D46444">
        <w:t xml:space="preserve"> will be fully amortized in February 2019. If approved by the Commission, the incremental increase in rate case expense for Phase II will be fully amortized in early 2021, requiring a second four-year rate reduction for this docket.</w:t>
      </w:r>
    </w:p>
    <w:p w:rsidR="0008693E" w:rsidRPr="00761456" w:rsidRDefault="00883B84" w:rsidP="0008693E">
      <w:pPr>
        <w:pStyle w:val="BodyText"/>
      </w:pPr>
      <w:r>
        <w:rPr>
          <w:color w:val="000000"/>
        </w:rPr>
        <w:t>Little Gasparilla</w:t>
      </w:r>
      <w:r w:rsidRPr="00761456">
        <w:rPr>
          <w:color w:val="000000"/>
        </w:rPr>
        <w:t xml:space="preserve"> </w:t>
      </w:r>
      <w:r w:rsidRPr="00761456">
        <w:t xml:space="preserve">should be required to file revised tariff sheets no later than one month prior to the actual date of the required rate reduction. The Utility also should be required to file a proposed customer notice setting forth the lower rates and the reason for the reduction. If </w:t>
      </w:r>
      <w:r w:rsidRPr="00D46444">
        <w:t>Little Gasparilla</w:t>
      </w:r>
      <w:r>
        <w:t xml:space="preserve"> </w:t>
      </w:r>
      <w:r w:rsidRPr="00761456">
        <w:t>files this reduction in conjunction with a price index or pass-through rate adjustment, separate data should be filed for the price index and/or pass-through increase or decrease and the reduction in the rates due to the amortized rate case expense</w:t>
      </w:r>
      <w:r>
        <w:t>.</w:t>
      </w:r>
    </w:p>
    <w:p w:rsidR="00200C10" w:rsidRDefault="00200C10">
      <w:pPr>
        <w:pStyle w:val="BodyText"/>
      </w:pPr>
    </w:p>
    <w:p w:rsidR="00200C10" w:rsidRDefault="00200C10">
      <w:pPr>
        <w:pStyle w:val="IssueHeading"/>
        <w:rPr>
          <w:vanish/>
          <w:specVanish/>
        </w:rPr>
      </w:pPr>
      <w:r w:rsidRPr="004C3641">
        <w:rPr>
          <w:b w:val="0"/>
          <w:i w:val="0"/>
        </w:rPr>
        <w:br w:type="page"/>
      </w:r>
      <w:r w:rsidRPr="004C3641">
        <w:lastRenderedPageBreak/>
        <w:t xml:space="preserve">Issue </w:t>
      </w:r>
      <w:fldSimple w:instr=" SEQ Issue \* MERGEFORMAT ">
        <w:r w:rsidR="002713FC">
          <w:rPr>
            <w:noProof/>
          </w:rPr>
          <w:t>4</w:t>
        </w:r>
      </w:fldSimple>
      <w:r w:rsidRPr="004C3641">
        <w:t>:</w:t>
      </w:r>
      <w:r w:rsidR="0004406C" w:rsidRPr="0004406C">
        <w:t xml:space="preserve"> </w:t>
      </w:r>
      <w:r w:rsidR="0004406C">
        <w:fldChar w:fldCharType="begin"/>
      </w:r>
      <w:r w:rsidR="0004406C">
        <w:instrText xml:space="preserve"> TC "</w:instrText>
      </w:r>
      <w:bookmarkStart w:id="20" w:name="_Toc499901215"/>
      <w:r w:rsidR="0004406C">
        <w:instrText>4</w:instrText>
      </w:r>
      <w:r w:rsidR="0004406C">
        <w:tab/>
        <w:instrText>Temporary Rates (Golden)</w:instrText>
      </w:r>
      <w:bookmarkEnd w:id="20"/>
      <w:r w:rsidR="0004406C">
        <w:instrText xml:space="preserve">" \l 1 </w:instrText>
      </w:r>
      <w:r w:rsidR="0004406C">
        <w:fldChar w:fldCharType="end"/>
      </w:r>
      <w:r>
        <w:t> </w:t>
      </w:r>
    </w:p>
    <w:p w:rsidR="00200C10" w:rsidRDefault="00200C10">
      <w:pPr>
        <w:pStyle w:val="BodyText"/>
      </w:pPr>
      <w:r>
        <w:t xml:space="preserve"> Should the recommended rates be approved for the </w:t>
      </w:r>
      <w:r w:rsidR="008D63B4">
        <w:t>Utility</w:t>
      </w:r>
      <w:r>
        <w:t xml:space="preserve"> on a temporary basis, subject to refund, in the event of a protest filed by a party other than the </w:t>
      </w:r>
      <w:r w:rsidR="008D63B4">
        <w:t>utility</w:t>
      </w:r>
      <w:r>
        <w:t>?</w:t>
      </w:r>
    </w:p>
    <w:p w:rsidR="00200C10" w:rsidRPr="004C3641" w:rsidRDefault="00200C10">
      <w:pPr>
        <w:pStyle w:val="IssueSubsectionHeading"/>
        <w:rPr>
          <w:vanish/>
          <w:specVanish/>
        </w:rPr>
      </w:pPr>
      <w:r w:rsidRPr="004C3641">
        <w:t>Recommendation: </w:t>
      </w:r>
    </w:p>
    <w:p w:rsidR="00200C10" w:rsidRDefault="00200C10">
      <w:pPr>
        <w:pStyle w:val="BodyText"/>
      </w:pPr>
      <w:r>
        <w:t> </w:t>
      </w:r>
      <w:r w:rsidR="002D4334" w:rsidRPr="00761456">
        <w:t>Yes. Pursuant to Section 367.0814(7), F.S., the recommended rates should be approved for the Utility on a temporary basis, subject to refund, in the event of a protest filed by a party other than the Utility.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r w:rsidR="000D2C28" w:rsidRPr="00761456">
        <w:t xml:space="preserve"> (Golden)</w:t>
      </w:r>
      <w:r>
        <w:t xml:space="preserve"> </w:t>
      </w:r>
      <w:r w:rsidR="00A92D1B">
        <w:t>(Final Agency Action)</w:t>
      </w:r>
    </w:p>
    <w:p w:rsidR="00200C10" w:rsidRPr="004C3641" w:rsidRDefault="00200C10">
      <w:pPr>
        <w:pStyle w:val="IssueSubsectionHeading"/>
        <w:rPr>
          <w:vanish/>
          <w:specVanish/>
        </w:rPr>
      </w:pPr>
      <w:r w:rsidRPr="004C3641">
        <w:t>Staff Analysis: </w:t>
      </w:r>
    </w:p>
    <w:p w:rsidR="002D4334" w:rsidRPr="00761456" w:rsidRDefault="00200C10" w:rsidP="002D4334">
      <w:pPr>
        <w:pStyle w:val="BodyText"/>
      </w:pPr>
      <w:r>
        <w:t> </w:t>
      </w:r>
      <w:r w:rsidR="002D4334" w:rsidRPr="00761456">
        <w:t>This recommendation proposes an increase in rates. A timely protest might delay what may be a justified rate increase resulting in an unrecoverable loss of revenue to the Utility. Therefore, pursuant to Section 367.0814(7), F.S., in the event of a protest filed by a party other than the Utility, staff recommends that the recommended rates be approved as temporary rates.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2D4334" w:rsidRPr="00761456" w:rsidRDefault="002D4334" w:rsidP="002D4334">
      <w:pPr>
        <w:pStyle w:val="BodyText"/>
      </w:pPr>
      <w:r w:rsidRPr="00761456">
        <w:t xml:space="preserve">The Utility should be authorized to collect the temporary rates upon staff’s approval of an appropriate security for the potential refund and the proposed customer notice. Security should be in the form of a bond or letter of credit in the </w:t>
      </w:r>
      <w:r w:rsidRPr="008F690D">
        <w:t xml:space="preserve">amount of </w:t>
      </w:r>
      <w:r w:rsidRPr="001719F6">
        <w:t>$46,168</w:t>
      </w:r>
      <w:r w:rsidRPr="00761456">
        <w:t>. Alternatively, the Utility could establish an escrow agreement with an independent financial institution.</w:t>
      </w:r>
    </w:p>
    <w:p w:rsidR="002D4334" w:rsidRPr="00761456" w:rsidRDefault="002D4334" w:rsidP="002D4334">
      <w:pPr>
        <w:pStyle w:val="BodyText"/>
        <w:spacing w:after="0"/>
      </w:pPr>
      <w:r w:rsidRPr="00761456">
        <w:t>If the Utility chooses a bond as security, the bond should contain wording to the effect that it will be terminated only under the following conditions:</w:t>
      </w:r>
    </w:p>
    <w:p w:rsidR="002D4334" w:rsidRPr="00761456" w:rsidRDefault="002D4334" w:rsidP="002D4334">
      <w:pPr>
        <w:pStyle w:val="BodyText"/>
        <w:numPr>
          <w:ilvl w:val="0"/>
          <w:numId w:val="11"/>
        </w:numPr>
        <w:spacing w:after="0"/>
      </w:pPr>
      <w:r w:rsidRPr="00761456">
        <w:t>The Commission approves the rate increase; or,</w:t>
      </w:r>
    </w:p>
    <w:p w:rsidR="002D4334" w:rsidRPr="00761456" w:rsidRDefault="002D4334" w:rsidP="002D4334">
      <w:pPr>
        <w:pStyle w:val="BodyText"/>
        <w:numPr>
          <w:ilvl w:val="0"/>
          <w:numId w:val="11"/>
        </w:numPr>
      </w:pPr>
      <w:r w:rsidRPr="00761456">
        <w:t>If the Commission denies the increase, the Utility shall refund the amount collected that is attributable to the increase.</w:t>
      </w:r>
    </w:p>
    <w:p w:rsidR="002D4334" w:rsidRPr="00761456" w:rsidRDefault="002D4334" w:rsidP="002D4334">
      <w:pPr>
        <w:pStyle w:val="BodyText"/>
        <w:spacing w:after="0"/>
      </w:pPr>
      <w:r w:rsidRPr="00761456">
        <w:t>If the Utility chooses a letter of credit as a security, it should contain the following conditions:</w:t>
      </w:r>
    </w:p>
    <w:p w:rsidR="002D4334" w:rsidRPr="00761456" w:rsidRDefault="002D4334" w:rsidP="002D4334">
      <w:pPr>
        <w:pStyle w:val="BodyText"/>
        <w:numPr>
          <w:ilvl w:val="0"/>
          <w:numId w:val="12"/>
        </w:numPr>
        <w:spacing w:after="0"/>
      </w:pPr>
      <w:r w:rsidRPr="00761456">
        <w:t>The letter of credit is irrevocable for the period it is in effect.</w:t>
      </w:r>
    </w:p>
    <w:p w:rsidR="002D4334" w:rsidRPr="00761456" w:rsidRDefault="002D4334" w:rsidP="002D4334">
      <w:pPr>
        <w:pStyle w:val="BodyText"/>
        <w:numPr>
          <w:ilvl w:val="0"/>
          <w:numId w:val="12"/>
        </w:numPr>
        <w:spacing w:after="0"/>
      </w:pPr>
      <w:r w:rsidRPr="00761456">
        <w:t>The letter of credit will be in effect until a final Commission order is rendered, either approving or denying the rate increase.</w:t>
      </w:r>
    </w:p>
    <w:p w:rsidR="002D4334" w:rsidRPr="00761456" w:rsidRDefault="002D4334" w:rsidP="002D4334">
      <w:pPr>
        <w:pStyle w:val="BodyText"/>
        <w:spacing w:after="0"/>
        <w:ind w:left="1080"/>
      </w:pPr>
    </w:p>
    <w:p w:rsidR="002D4334" w:rsidRPr="00761456" w:rsidRDefault="002D4334" w:rsidP="002D4334">
      <w:pPr>
        <w:pStyle w:val="BodyText"/>
        <w:spacing w:after="0"/>
      </w:pPr>
      <w:r w:rsidRPr="00761456">
        <w:lastRenderedPageBreak/>
        <w:t>If security is provided through an escrow agreement, the following conditions should be part of the agreement:</w:t>
      </w:r>
    </w:p>
    <w:p w:rsidR="002D4334" w:rsidRPr="00761456" w:rsidRDefault="002D4334" w:rsidP="002D4334">
      <w:pPr>
        <w:pStyle w:val="BodyText"/>
        <w:numPr>
          <w:ilvl w:val="0"/>
          <w:numId w:val="13"/>
        </w:numPr>
        <w:spacing w:after="0"/>
      </w:pPr>
      <w:r w:rsidRPr="00761456">
        <w:t>The Commission Clerk, or his or her designee, must be a signatory to the escrow agreement.</w:t>
      </w:r>
    </w:p>
    <w:p w:rsidR="002D4334" w:rsidRPr="00761456" w:rsidRDefault="002D4334" w:rsidP="002D4334">
      <w:pPr>
        <w:pStyle w:val="BodyText"/>
        <w:numPr>
          <w:ilvl w:val="0"/>
          <w:numId w:val="13"/>
        </w:numPr>
        <w:spacing w:after="0"/>
      </w:pPr>
      <w:r w:rsidRPr="00761456">
        <w:t xml:space="preserve">No monies in the escrow account may be withdrawn by the Utility without the prior written authorization of the Commission Clerk, or his or her designee. </w:t>
      </w:r>
    </w:p>
    <w:p w:rsidR="002D4334" w:rsidRPr="00761456" w:rsidRDefault="002D4334" w:rsidP="002D4334">
      <w:pPr>
        <w:pStyle w:val="BodyText"/>
        <w:numPr>
          <w:ilvl w:val="0"/>
          <w:numId w:val="13"/>
        </w:numPr>
        <w:spacing w:after="0"/>
      </w:pPr>
      <w:r w:rsidRPr="00761456">
        <w:t>The escrow account shall be an interest bearing account.</w:t>
      </w:r>
    </w:p>
    <w:p w:rsidR="002D4334" w:rsidRPr="00761456" w:rsidRDefault="002D4334" w:rsidP="002D4334">
      <w:pPr>
        <w:pStyle w:val="BodyText"/>
        <w:numPr>
          <w:ilvl w:val="0"/>
          <w:numId w:val="13"/>
        </w:numPr>
        <w:spacing w:after="0"/>
      </w:pPr>
      <w:r w:rsidRPr="00761456">
        <w:t>If a refund to the customers is required, all interest earned by the escrow account shall be distributed to the customers.</w:t>
      </w:r>
    </w:p>
    <w:p w:rsidR="002D4334" w:rsidRPr="00761456" w:rsidRDefault="002D4334" w:rsidP="002D4334">
      <w:pPr>
        <w:pStyle w:val="BodyText"/>
        <w:numPr>
          <w:ilvl w:val="0"/>
          <w:numId w:val="13"/>
        </w:numPr>
        <w:spacing w:after="0"/>
      </w:pPr>
      <w:r w:rsidRPr="00761456">
        <w:t>If a refund to the customers is not required, the interest earned by the escrow account shall revert to the Utility.</w:t>
      </w:r>
    </w:p>
    <w:p w:rsidR="002D4334" w:rsidRPr="00761456" w:rsidRDefault="002D4334" w:rsidP="002D4334">
      <w:pPr>
        <w:pStyle w:val="BodyText"/>
        <w:numPr>
          <w:ilvl w:val="0"/>
          <w:numId w:val="13"/>
        </w:numPr>
        <w:spacing w:after="0"/>
      </w:pPr>
      <w:r w:rsidRPr="00761456">
        <w:t>All information on the escrow account shall be available from the holder of the escrow account to a Commission representative at all times.</w:t>
      </w:r>
    </w:p>
    <w:p w:rsidR="002D4334" w:rsidRPr="00761456" w:rsidRDefault="002D4334" w:rsidP="002D4334">
      <w:pPr>
        <w:pStyle w:val="BodyText"/>
        <w:numPr>
          <w:ilvl w:val="0"/>
          <w:numId w:val="13"/>
        </w:numPr>
        <w:spacing w:after="0"/>
      </w:pPr>
      <w:r w:rsidRPr="00761456">
        <w:t>The amount of revenue subject to refund shall be deposited in the escrow account within seven days of receipt.</w:t>
      </w:r>
    </w:p>
    <w:p w:rsidR="002D4334" w:rsidRPr="00761456" w:rsidRDefault="002D4334" w:rsidP="002D4334">
      <w:pPr>
        <w:pStyle w:val="BodyText"/>
        <w:numPr>
          <w:ilvl w:val="0"/>
          <w:numId w:val="13"/>
        </w:numPr>
        <w:spacing w:after="0"/>
      </w:pPr>
      <w:r w:rsidRPr="00761456">
        <w:t xml:space="preserve">This escrow account is established by the direction of the Florida Public Service Commission for the purpose(s) set forth in its order requiring such account. Pursuant to </w:t>
      </w:r>
      <w:r w:rsidRPr="00351E51">
        <w:rPr>
          <w:i/>
        </w:rPr>
        <w:t>Cosentino v. Elson</w:t>
      </w:r>
      <w:r w:rsidRPr="00761456">
        <w:t>, 263 So. 2d 253 (Fla. 3d DCA 1972), escrow accounts are not subject to garnishments.</w:t>
      </w:r>
    </w:p>
    <w:p w:rsidR="002D4334" w:rsidRPr="00761456" w:rsidRDefault="002D4334" w:rsidP="002D4334">
      <w:pPr>
        <w:pStyle w:val="BodyText"/>
        <w:numPr>
          <w:ilvl w:val="0"/>
          <w:numId w:val="13"/>
        </w:numPr>
        <w:spacing w:after="0"/>
      </w:pPr>
      <w:r w:rsidRPr="00761456">
        <w:t>The account must specify by whom and on whose behalf such monies were paid.</w:t>
      </w:r>
    </w:p>
    <w:p w:rsidR="002D4334" w:rsidRPr="00761456" w:rsidRDefault="002D4334" w:rsidP="002D4334">
      <w:pPr>
        <w:pStyle w:val="BodyText"/>
        <w:spacing w:after="0"/>
        <w:ind w:left="1080"/>
      </w:pPr>
    </w:p>
    <w:p w:rsidR="002D4334" w:rsidRPr="00761456" w:rsidRDefault="002D4334" w:rsidP="002D4334">
      <w:pPr>
        <w:pStyle w:val="BodyText"/>
      </w:pPr>
      <w:r w:rsidRPr="00761456">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2D4334" w:rsidRDefault="002D4334" w:rsidP="002D4334">
      <w:pPr>
        <w:pStyle w:val="BodyText"/>
      </w:pPr>
      <w:r w:rsidRPr="00761456">
        <w:t>The Utility should maintain a record of the amount of the bond, and the amount of revenues that are subject to refund.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p>
    <w:p w:rsidR="00200C10" w:rsidRDefault="00200C10" w:rsidP="000D2C28">
      <w:pPr>
        <w:pStyle w:val="BodyText"/>
      </w:pPr>
    </w:p>
    <w:p w:rsidR="00200C10" w:rsidRDefault="00200C10">
      <w:pPr>
        <w:pStyle w:val="IssueHeading"/>
        <w:rPr>
          <w:vanish/>
          <w:specVanish/>
        </w:rPr>
      </w:pPr>
      <w:r w:rsidRPr="004C3641">
        <w:rPr>
          <w:b w:val="0"/>
          <w:i w:val="0"/>
        </w:rPr>
        <w:br w:type="page"/>
      </w:r>
      <w:r w:rsidRPr="004C3641">
        <w:lastRenderedPageBreak/>
        <w:t xml:space="preserve">Issue </w:t>
      </w:r>
      <w:fldSimple w:instr=" SEQ Issue \* MERGEFORMAT ">
        <w:r w:rsidR="002713FC">
          <w:rPr>
            <w:noProof/>
          </w:rPr>
          <w:t>5</w:t>
        </w:r>
      </w:fldSimple>
      <w:r w:rsidRPr="004C3641">
        <w:t>:</w:t>
      </w:r>
      <w:r w:rsidR="0004406C" w:rsidRPr="0004406C">
        <w:t xml:space="preserve"> </w:t>
      </w:r>
      <w:r w:rsidR="0004406C">
        <w:fldChar w:fldCharType="begin"/>
      </w:r>
      <w:r w:rsidR="0004406C">
        <w:instrText xml:space="preserve"> TC "</w:instrText>
      </w:r>
      <w:bookmarkStart w:id="21" w:name="_Toc499901216"/>
      <w:r w:rsidR="00A95AD4">
        <w:instrText>5</w:instrText>
      </w:r>
      <w:r w:rsidR="00A95AD4">
        <w:tab/>
        <w:instrText>Close Docket (Murphy</w:instrText>
      </w:r>
      <w:r w:rsidR="0004406C">
        <w:instrText>)</w:instrText>
      </w:r>
      <w:bookmarkEnd w:id="21"/>
      <w:r w:rsidR="0004406C">
        <w:instrText xml:space="preserve">" \l 1 </w:instrText>
      </w:r>
      <w:r w:rsidR="0004406C">
        <w:fldChar w:fldCharType="end"/>
      </w:r>
      <w:r>
        <w:t> </w:t>
      </w:r>
    </w:p>
    <w:p w:rsidR="00200C10" w:rsidRDefault="00200C10">
      <w:pPr>
        <w:pStyle w:val="BodyText"/>
      </w:pPr>
      <w:r>
        <w:t> Should this docket be closed?</w:t>
      </w:r>
    </w:p>
    <w:p w:rsidR="00200C10" w:rsidRPr="004C3641" w:rsidRDefault="00200C10">
      <w:pPr>
        <w:pStyle w:val="IssueSubsectionHeading"/>
        <w:rPr>
          <w:vanish/>
          <w:specVanish/>
        </w:rPr>
      </w:pPr>
      <w:r w:rsidRPr="004C3641">
        <w:t>Recommendation: </w:t>
      </w:r>
    </w:p>
    <w:p w:rsidR="00200C10" w:rsidRDefault="00200C10">
      <w:pPr>
        <w:pStyle w:val="BodyText"/>
      </w:pPr>
      <w:r>
        <w:t> </w:t>
      </w:r>
      <w:r w:rsidR="00BB08C3">
        <w:t xml:space="preserve">No. If no person whose substantial interests are affected by the proposed agency action files a protest within twenty-one days of the issuance of the order, a consummating order will be issued. The docket should remain open for staff’s verification that the revised tariff sheets and the customer notice have been filed by the </w:t>
      </w:r>
      <w:r w:rsidR="008D63B4">
        <w:t>utility</w:t>
      </w:r>
      <w:r w:rsidR="00BB08C3">
        <w:t xml:space="preserve"> and approved by staff. When the tariff and notice actions are complete, this docket may be closed administratively. (Murphy, Bruce)</w:t>
      </w:r>
      <w:r>
        <w:t xml:space="preserve"> </w:t>
      </w:r>
    </w:p>
    <w:p w:rsidR="00200C10" w:rsidRPr="004C3641" w:rsidRDefault="00200C10">
      <w:pPr>
        <w:pStyle w:val="IssueSubsectionHeading"/>
        <w:rPr>
          <w:vanish/>
          <w:specVanish/>
        </w:rPr>
      </w:pPr>
      <w:r w:rsidRPr="004C3641">
        <w:t>Staff Analysis: </w:t>
      </w:r>
    </w:p>
    <w:p w:rsidR="00200C10" w:rsidRDefault="00200C10">
      <w:pPr>
        <w:pStyle w:val="BodyText"/>
      </w:pPr>
      <w:r>
        <w:t> </w:t>
      </w:r>
      <w:r w:rsidR="00BB08C3">
        <w:t xml:space="preserve">No. If no person whose substantial interests are affected by the proposed agency action files a protest within twenty-one days of the issuance of the order, a consummating order will be issued. The docket should remain open for staff’s verification that the revised tariff sheets and the customer notice have been filed by the </w:t>
      </w:r>
      <w:r w:rsidR="008D63B4">
        <w:t>utility</w:t>
      </w:r>
      <w:r w:rsidR="00BB08C3">
        <w:t xml:space="preserve"> and approved by staff. When the tariff and notice actions are complete, this docket may be closed administratively.</w:t>
      </w:r>
    </w:p>
    <w:p w:rsidR="00334755" w:rsidRDefault="00334755">
      <w:pPr>
        <w:pStyle w:val="BodyText"/>
      </w:pPr>
    </w:p>
    <w:p w:rsidR="002C5FA7" w:rsidRDefault="002C5FA7" w:rsidP="00E275D8">
      <w:pPr>
        <w:pStyle w:val="BodyText"/>
        <w:sectPr w:rsidR="002C5FA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956F7C" w:rsidRDefault="00956F7C" w:rsidP="00E275D8">
      <w:pPr>
        <w:pStyle w:val="BodyText"/>
        <w:rPr>
          <w:sz w:val="20"/>
          <w:szCs w:val="20"/>
        </w:rPr>
      </w:pPr>
    </w:p>
    <w:tbl>
      <w:tblPr>
        <w:tblW w:w="9375" w:type="dxa"/>
        <w:tblInd w:w="92"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375"/>
        <w:gridCol w:w="3812"/>
        <w:gridCol w:w="238"/>
        <w:gridCol w:w="1491"/>
        <w:gridCol w:w="129"/>
        <w:gridCol w:w="1710"/>
        <w:gridCol w:w="1620"/>
      </w:tblGrid>
      <w:tr w:rsidR="00DC71C1" w:rsidRPr="00BC5498" w:rsidTr="00A425E5">
        <w:trPr>
          <w:trHeight w:val="301"/>
        </w:trPr>
        <w:tc>
          <w:tcPr>
            <w:tcW w:w="375" w:type="dxa"/>
            <w:tcBorders>
              <w:top w:val="single" w:sz="4" w:space="0" w:color="000000"/>
              <w:left w:val="single" w:sz="4" w:space="0" w:color="000000"/>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5541" w:type="dxa"/>
            <w:gridSpan w:val="3"/>
            <w:tcBorders>
              <w:top w:val="single" w:sz="4" w:space="0" w:color="000000"/>
              <w:left w:val="nil"/>
              <w:bottom w:val="nil"/>
              <w:right w:val="nil"/>
            </w:tcBorders>
            <w:noWrap/>
            <w:vAlign w:val="bottom"/>
            <w:hideMark/>
          </w:tcPr>
          <w:p w:rsidR="00DC71C1" w:rsidRPr="00BC5498" w:rsidRDefault="00DC71C1" w:rsidP="00A425E5">
            <w:pPr>
              <w:rPr>
                <w:rFonts w:ascii="SWISS" w:hAnsi="SWISS" w:cs="Arial"/>
                <w:color w:val="000000"/>
                <w:sz w:val="20"/>
                <w:szCs w:val="20"/>
              </w:rPr>
            </w:pPr>
            <w:r>
              <w:rPr>
                <w:rFonts w:ascii="SWISS" w:hAnsi="SWISS" w:cs="Arial"/>
                <w:b/>
                <w:bCs/>
                <w:color w:val="000000"/>
                <w:sz w:val="20"/>
                <w:szCs w:val="20"/>
              </w:rPr>
              <w:t>LITTLE GASPARILLA WATER UTILITY, INC.</w:t>
            </w:r>
          </w:p>
        </w:tc>
        <w:tc>
          <w:tcPr>
            <w:tcW w:w="3459" w:type="dxa"/>
            <w:gridSpan w:val="3"/>
            <w:tcBorders>
              <w:top w:val="single" w:sz="4" w:space="0" w:color="000000"/>
              <w:left w:val="nil"/>
              <w:bottom w:val="nil"/>
              <w:right w:val="single" w:sz="4" w:space="0" w:color="000000"/>
            </w:tcBorders>
            <w:noWrap/>
            <w:vAlign w:val="bottom"/>
            <w:hideMark/>
          </w:tcPr>
          <w:p w:rsidR="00DC71C1" w:rsidRPr="00BC5498" w:rsidRDefault="00DC71C1" w:rsidP="00A425E5">
            <w:pPr>
              <w:jc w:val="right"/>
              <w:rPr>
                <w:sz w:val="20"/>
                <w:szCs w:val="20"/>
              </w:rPr>
            </w:pPr>
            <w:r w:rsidRPr="00BC5498">
              <w:rPr>
                <w:rFonts w:ascii="SWISS" w:hAnsi="SWISS" w:cs="Arial"/>
                <w:b/>
                <w:bCs/>
                <w:color w:val="000000"/>
                <w:sz w:val="20"/>
                <w:szCs w:val="20"/>
              </w:rPr>
              <w:t>SCHEDULE NO. 1-A</w:t>
            </w:r>
            <w:r w:rsidRPr="00BC5498">
              <w:rPr>
                <w:sz w:val="20"/>
                <w:szCs w:val="20"/>
              </w:rPr>
              <w:fldChar w:fldCharType="begin"/>
            </w:r>
            <w:r w:rsidRPr="00BC5498">
              <w:rPr>
                <w:sz w:val="20"/>
                <w:szCs w:val="20"/>
              </w:rPr>
              <w:instrText xml:space="preserve"> TC "</w:instrText>
            </w:r>
            <w:bookmarkStart w:id="22" w:name="_Toc399147316"/>
            <w:r w:rsidRPr="00BC5498">
              <w:rPr>
                <w:sz w:val="20"/>
                <w:szCs w:val="20"/>
              </w:rPr>
              <w:instrText xml:space="preserve"> </w:instrText>
            </w:r>
            <w:bookmarkStart w:id="23" w:name="_Toc443384728"/>
            <w:bookmarkStart w:id="24" w:name="_Toc441233993"/>
            <w:bookmarkStart w:id="25" w:name="_Toc422220886"/>
            <w:bookmarkStart w:id="26" w:name="_Toc451937571"/>
            <w:bookmarkStart w:id="27" w:name="_Toc478581575"/>
            <w:bookmarkStart w:id="28" w:name="_Toc481571379"/>
            <w:bookmarkStart w:id="29" w:name="_Toc484800700"/>
            <w:bookmarkStart w:id="30" w:name="_Toc496733043"/>
            <w:bookmarkStart w:id="31" w:name="_Toc499901217"/>
            <w:r w:rsidRPr="00BC5498">
              <w:rPr>
                <w:sz w:val="20"/>
                <w:szCs w:val="20"/>
              </w:rPr>
              <w:instrText>Schedule No. 1-A Water Rate Base</w:instrText>
            </w:r>
            <w:bookmarkEnd w:id="22"/>
            <w:bookmarkEnd w:id="23"/>
            <w:bookmarkEnd w:id="24"/>
            <w:bookmarkEnd w:id="25"/>
            <w:bookmarkEnd w:id="26"/>
            <w:bookmarkEnd w:id="27"/>
            <w:bookmarkEnd w:id="28"/>
            <w:bookmarkEnd w:id="29"/>
            <w:bookmarkEnd w:id="30"/>
            <w:r>
              <w:rPr>
                <w:sz w:val="20"/>
                <w:szCs w:val="20"/>
              </w:rPr>
              <w:instrText xml:space="preserve"> – Phase II</w:instrText>
            </w:r>
            <w:bookmarkEnd w:id="31"/>
            <w:r w:rsidRPr="00BC5498">
              <w:rPr>
                <w:sz w:val="20"/>
                <w:szCs w:val="20"/>
              </w:rPr>
              <w:instrText xml:space="preserve">”l 1 </w:instrText>
            </w:r>
            <w:r w:rsidRPr="00BC5498">
              <w:rPr>
                <w:sz w:val="20"/>
                <w:szCs w:val="20"/>
              </w:rPr>
              <w:fldChar w:fldCharType="end"/>
            </w:r>
          </w:p>
        </w:tc>
      </w:tr>
      <w:tr w:rsidR="00DC71C1" w:rsidRPr="00BC5498" w:rsidTr="00A425E5">
        <w:trPr>
          <w:trHeight w:val="301"/>
        </w:trPr>
        <w:tc>
          <w:tcPr>
            <w:tcW w:w="375" w:type="dxa"/>
            <w:tcBorders>
              <w:top w:val="nil"/>
              <w:left w:val="single" w:sz="4" w:space="0" w:color="000000"/>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3812" w:type="dxa"/>
            <w:tcBorders>
              <w:top w:val="nil"/>
              <w:left w:val="nil"/>
              <w:bottom w:val="nil"/>
              <w:right w:val="nil"/>
            </w:tcBorders>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 xml:space="preserve">TEST YEAR ENDED </w:t>
            </w:r>
            <w:r>
              <w:rPr>
                <w:rFonts w:ascii="SWISS" w:hAnsi="SWISS" w:cs="Arial"/>
                <w:b/>
                <w:bCs/>
                <w:color w:val="000000"/>
                <w:sz w:val="20"/>
                <w:szCs w:val="20"/>
              </w:rPr>
              <w:t>9</w:t>
            </w:r>
            <w:r w:rsidRPr="00BC5498">
              <w:rPr>
                <w:rFonts w:ascii="SWISS" w:hAnsi="SWISS" w:cs="Arial"/>
                <w:b/>
                <w:bCs/>
                <w:color w:val="000000"/>
                <w:sz w:val="20"/>
                <w:szCs w:val="20"/>
              </w:rPr>
              <w:t>/</w:t>
            </w:r>
            <w:r>
              <w:rPr>
                <w:rFonts w:ascii="SWISS" w:hAnsi="SWISS" w:cs="Arial"/>
                <w:b/>
                <w:bCs/>
                <w:color w:val="000000"/>
                <w:sz w:val="20"/>
                <w:szCs w:val="20"/>
              </w:rPr>
              <w:t>30</w:t>
            </w:r>
            <w:r w:rsidRPr="00BC5498">
              <w:rPr>
                <w:rFonts w:ascii="SWISS" w:hAnsi="SWISS" w:cs="Arial"/>
                <w:b/>
                <w:bCs/>
                <w:color w:val="000000"/>
                <w:sz w:val="20"/>
                <w:szCs w:val="20"/>
              </w:rPr>
              <w:t>/201</w:t>
            </w:r>
            <w:r>
              <w:rPr>
                <w:rFonts w:ascii="SWISS" w:hAnsi="SWISS" w:cs="Arial"/>
                <w:b/>
                <w:bCs/>
                <w:color w:val="000000"/>
                <w:sz w:val="20"/>
                <w:szCs w:val="20"/>
              </w:rPr>
              <w:t>3</w:t>
            </w:r>
          </w:p>
        </w:tc>
        <w:tc>
          <w:tcPr>
            <w:tcW w:w="5188" w:type="dxa"/>
            <w:gridSpan w:val="5"/>
            <w:tcBorders>
              <w:top w:val="nil"/>
              <w:left w:val="nil"/>
              <w:bottom w:val="nil"/>
              <w:right w:val="single" w:sz="4" w:space="0" w:color="000000"/>
            </w:tcBorders>
            <w:noWrap/>
            <w:vAlign w:val="bottom"/>
          </w:tcPr>
          <w:p w:rsidR="00DC71C1" w:rsidRPr="00BC5498" w:rsidRDefault="00DC71C1" w:rsidP="00A425E5">
            <w:pPr>
              <w:jc w:val="right"/>
              <w:rPr>
                <w:rFonts w:ascii="SWISS" w:hAnsi="SWISS" w:cs="Arial"/>
                <w:b/>
                <w:bCs/>
                <w:color w:val="000000"/>
                <w:sz w:val="20"/>
                <w:szCs w:val="20"/>
              </w:rPr>
            </w:pPr>
            <w:r w:rsidRPr="00BC5498">
              <w:rPr>
                <w:rFonts w:ascii="SWISS" w:hAnsi="SWISS" w:cs="Arial"/>
                <w:b/>
                <w:bCs/>
                <w:color w:val="000000"/>
                <w:sz w:val="20"/>
                <w:szCs w:val="20"/>
              </w:rPr>
              <w:t>DOCKET NO. 20</w:t>
            </w:r>
            <w:r>
              <w:rPr>
                <w:rFonts w:ascii="SWISS" w:hAnsi="SWISS" w:cs="Arial"/>
                <w:b/>
                <w:bCs/>
                <w:color w:val="000000"/>
                <w:sz w:val="20"/>
                <w:szCs w:val="20"/>
              </w:rPr>
              <w:t>130265</w:t>
            </w:r>
            <w:r w:rsidRPr="00BC5498">
              <w:rPr>
                <w:rFonts w:ascii="SWISS" w:hAnsi="SWISS" w:cs="Arial"/>
                <w:b/>
                <w:bCs/>
                <w:color w:val="000000"/>
                <w:sz w:val="20"/>
                <w:szCs w:val="20"/>
              </w:rPr>
              <w:t>-W</w:t>
            </w:r>
            <w:r>
              <w:rPr>
                <w:rFonts w:ascii="SWISS" w:hAnsi="SWISS" w:cs="Arial"/>
                <w:b/>
                <w:bCs/>
                <w:color w:val="000000"/>
                <w:sz w:val="20"/>
                <w:szCs w:val="20"/>
              </w:rPr>
              <w:t>U</w:t>
            </w:r>
          </w:p>
        </w:tc>
      </w:tr>
      <w:tr w:rsidR="00DC71C1" w:rsidRPr="00BC5498" w:rsidTr="00A425E5">
        <w:trPr>
          <w:trHeight w:val="301"/>
        </w:trPr>
        <w:tc>
          <w:tcPr>
            <w:tcW w:w="375" w:type="dxa"/>
            <w:tcBorders>
              <w:top w:val="nil"/>
              <w:left w:val="single" w:sz="4" w:space="0" w:color="000000"/>
              <w:bottom w:val="single" w:sz="4" w:space="0" w:color="000000"/>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5670" w:type="dxa"/>
            <w:gridSpan w:val="4"/>
            <w:tcBorders>
              <w:top w:val="nil"/>
              <w:left w:val="nil"/>
              <w:bottom w:val="single" w:sz="4" w:space="0" w:color="000000"/>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b/>
                <w:bCs/>
                <w:color w:val="000000"/>
                <w:sz w:val="20"/>
                <w:szCs w:val="20"/>
              </w:rPr>
              <w:t>SCHEDULE OF WATER RATE BASE</w:t>
            </w:r>
            <w:r>
              <w:rPr>
                <w:rFonts w:ascii="SWISS" w:hAnsi="SWISS" w:cs="Arial"/>
                <w:b/>
                <w:bCs/>
                <w:color w:val="000000"/>
                <w:sz w:val="20"/>
                <w:szCs w:val="20"/>
              </w:rPr>
              <w:t xml:space="preserve"> (PHASE II)</w:t>
            </w:r>
          </w:p>
        </w:tc>
        <w:tc>
          <w:tcPr>
            <w:tcW w:w="1710" w:type="dxa"/>
            <w:tcBorders>
              <w:top w:val="nil"/>
              <w:left w:val="nil"/>
              <w:bottom w:val="single" w:sz="4" w:space="0" w:color="000000"/>
              <w:right w:val="nil"/>
            </w:tcBorders>
            <w:noWrap/>
            <w:vAlign w:val="bottom"/>
          </w:tcPr>
          <w:p w:rsidR="00DC71C1" w:rsidRPr="00BC5498" w:rsidRDefault="00DC71C1" w:rsidP="00A425E5">
            <w:pPr>
              <w:rPr>
                <w:rFonts w:ascii="SWISS" w:hAnsi="SWISS" w:cs="Arial"/>
                <w:color w:val="000000"/>
                <w:sz w:val="20"/>
                <w:szCs w:val="20"/>
              </w:rPr>
            </w:pPr>
          </w:p>
        </w:tc>
        <w:tc>
          <w:tcPr>
            <w:tcW w:w="1620" w:type="dxa"/>
            <w:tcBorders>
              <w:top w:val="nil"/>
              <w:left w:val="nil"/>
              <w:bottom w:val="single" w:sz="4" w:space="0" w:color="000000"/>
              <w:right w:val="single" w:sz="4" w:space="0" w:color="000000"/>
            </w:tcBorders>
            <w:noWrap/>
            <w:vAlign w:val="bottom"/>
          </w:tcPr>
          <w:p w:rsidR="00DC71C1" w:rsidRPr="00BC5498" w:rsidRDefault="00DC71C1" w:rsidP="00A425E5">
            <w:pPr>
              <w:rPr>
                <w:rFonts w:ascii="SWISS" w:hAnsi="SWISS" w:cs="Arial"/>
                <w:color w:val="000000"/>
                <w:sz w:val="20"/>
                <w:szCs w:val="20"/>
              </w:rPr>
            </w:pPr>
          </w:p>
        </w:tc>
      </w:tr>
      <w:tr w:rsidR="00DC71C1" w:rsidRPr="00BC5498" w:rsidTr="00A425E5">
        <w:trPr>
          <w:trHeight w:val="301"/>
        </w:trPr>
        <w:tc>
          <w:tcPr>
            <w:tcW w:w="375" w:type="dxa"/>
            <w:tcBorders>
              <w:top w:val="nil"/>
              <w:left w:val="single" w:sz="4" w:space="0" w:color="000000"/>
              <w:bottom w:val="nil"/>
              <w:right w:val="nil"/>
            </w:tcBorders>
            <w:noWrap/>
            <w:vAlign w:val="bottom"/>
            <w:hideMark/>
          </w:tcPr>
          <w:p w:rsidR="00DC71C1" w:rsidRPr="00BC5498" w:rsidRDefault="00DC71C1" w:rsidP="00A425E5">
            <w:pPr>
              <w:rPr>
                <w:rFonts w:ascii="SWISS" w:hAnsi="SWISS" w:cs="Arial"/>
                <w:b/>
                <w:color w:val="000000"/>
                <w:sz w:val="20"/>
                <w:szCs w:val="20"/>
              </w:rPr>
            </w:pPr>
            <w:r w:rsidRPr="00BC5498">
              <w:rPr>
                <w:rFonts w:ascii="SWISS" w:hAnsi="SWISS" w:cs="Arial"/>
                <w:b/>
                <w:color w:val="000000"/>
                <w:sz w:val="20"/>
                <w:szCs w:val="20"/>
              </w:rPr>
              <w:t> </w:t>
            </w:r>
          </w:p>
        </w:tc>
        <w:tc>
          <w:tcPr>
            <w:tcW w:w="4050" w:type="dxa"/>
            <w:gridSpan w:val="2"/>
            <w:tcBorders>
              <w:top w:val="nil"/>
              <w:left w:val="nil"/>
              <w:bottom w:val="nil"/>
              <w:right w:val="nil"/>
            </w:tcBorders>
            <w:noWrap/>
            <w:vAlign w:val="bottom"/>
            <w:hideMark/>
          </w:tcPr>
          <w:p w:rsidR="00DC71C1" w:rsidRPr="00BC5498" w:rsidRDefault="00DC71C1" w:rsidP="00A425E5">
            <w:pPr>
              <w:rPr>
                <w:rFonts w:ascii="SWISS" w:hAnsi="SWISS" w:cs="Arial"/>
                <w:b/>
                <w:color w:val="000000"/>
                <w:sz w:val="20"/>
                <w:szCs w:val="20"/>
              </w:rPr>
            </w:pPr>
            <w:r w:rsidRPr="00BC5498">
              <w:rPr>
                <w:rFonts w:ascii="SWISS" w:hAnsi="SWISS" w:cs="Arial"/>
                <w:b/>
                <w:color w:val="000000"/>
                <w:sz w:val="20"/>
                <w:szCs w:val="20"/>
              </w:rPr>
              <w:t> </w:t>
            </w:r>
          </w:p>
        </w:tc>
        <w:tc>
          <w:tcPr>
            <w:tcW w:w="1620" w:type="dxa"/>
            <w:gridSpan w:val="2"/>
            <w:tcBorders>
              <w:top w:val="nil"/>
              <w:left w:val="nil"/>
              <w:bottom w:val="nil"/>
              <w:right w:val="nil"/>
            </w:tcBorders>
            <w:noWrap/>
            <w:vAlign w:val="bottom"/>
          </w:tcPr>
          <w:p w:rsidR="00DC71C1" w:rsidRPr="00BC5498" w:rsidRDefault="00DC71C1" w:rsidP="00A425E5">
            <w:pPr>
              <w:jc w:val="center"/>
              <w:rPr>
                <w:rFonts w:ascii="SWISS" w:hAnsi="SWISS" w:cs="Arial"/>
                <w:b/>
                <w:bCs/>
                <w:color w:val="000000"/>
                <w:sz w:val="20"/>
                <w:szCs w:val="20"/>
              </w:rPr>
            </w:pPr>
            <w:r>
              <w:rPr>
                <w:rFonts w:ascii="SWISS" w:hAnsi="SWISS" w:cs="Arial"/>
                <w:b/>
                <w:bCs/>
                <w:color w:val="000000"/>
                <w:sz w:val="20"/>
                <w:szCs w:val="20"/>
              </w:rPr>
              <w:t>PHASE I</w:t>
            </w:r>
          </w:p>
        </w:tc>
        <w:tc>
          <w:tcPr>
            <w:tcW w:w="1710" w:type="dxa"/>
            <w:tcBorders>
              <w:top w:val="nil"/>
              <w:left w:val="nil"/>
              <w:bottom w:val="nil"/>
              <w:right w:val="nil"/>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STAFF</w:t>
            </w:r>
          </w:p>
        </w:tc>
        <w:tc>
          <w:tcPr>
            <w:tcW w:w="1620" w:type="dxa"/>
            <w:tcBorders>
              <w:top w:val="nil"/>
              <w:left w:val="nil"/>
              <w:bottom w:val="nil"/>
              <w:right w:val="single" w:sz="4" w:space="0" w:color="000000"/>
            </w:tcBorders>
            <w:noWrap/>
            <w:vAlign w:val="bottom"/>
          </w:tcPr>
          <w:p w:rsidR="00DC71C1" w:rsidRPr="00BC5498" w:rsidRDefault="00DC71C1" w:rsidP="00A425E5">
            <w:pPr>
              <w:jc w:val="center"/>
              <w:rPr>
                <w:rFonts w:ascii="SWISS" w:hAnsi="SWISS" w:cs="Arial"/>
                <w:b/>
                <w:bCs/>
                <w:color w:val="000000"/>
                <w:sz w:val="20"/>
                <w:szCs w:val="20"/>
              </w:rPr>
            </w:pPr>
          </w:p>
        </w:tc>
      </w:tr>
      <w:tr w:rsidR="00DC71C1" w:rsidRPr="00BC5498" w:rsidTr="00A425E5">
        <w:trPr>
          <w:trHeight w:val="301"/>
        </w:trPr>
        <w:tc>
          <w:tcPr>
            <w:tcW w:w="375" w:type="dxa"/>
            <w:tcBorders>
              <w:top w:val="nil"/>
              <w:left w:val="single" w:sz="4" w:space="0" w:color="000000"/>
              <w:bottom w:val="nil"/>
              <w:right w:val="nil"/>
            </w:tcBorders>
            <w:noWrap/>
            <w:vAlign w:val="bottom"/>
            <w:hideMark/>
          </w:tcPr>
          <w:p w:rsidR="00DC71C1" w:rsidRPr="00BC5498" w:rsidRDefault="00DC71C1" w:rsidP="00A425E5">
            <w:pPr>
              <w:rPr>
                <w:rFonts w:ascii="SWISS" w:hAnsi="SWISS" w:cs="Arial"/>
                <w:b/>
                <w:color w:val="000000"/>
                <w:sz w:val="20"/>
                <w:szCs w:val="20"/>
              </w:rPr>
            </w:pPr>
            <w:r w:rsidRPr="00BC5498">
              <w:rPr>
                <w:rFonts w:ascii="SWISS" w:hAnsi="SWISS" w:cs="Arial"/>
                <w:b/>
                <w:color w:val="000000"/>
                <w:sz w:val="20"/>
                <w:szCs w:val="20"/>
              </w:rPr>
              <w:t> </w:t>
            </w:r>
          </w:p>
        </w:tc>
        <w:tc>
          <w:tcPr>
            <w:tcW w:w="4050" w:type="dxa"/>
            <w:gridSpan w:val="2"/>
            <w:tcBorders>
              <w:top w:val="nil"/>
              <w:left w:val="nil"/>
              <w:bottom w:val="nil"/>
              <w:right w:val="nil"/>
            </w:tcBorders>
            <w:noWrap/>
            <w:vAlign w:val="bottom"/>
          </w:tcPr>
          <w:p w:rsidR="00DC71C1" w:rsidRPr="00BC5498" w:rsidRDefault="00DC71C1" w:rsidP="00A425E5">
            <w:pPr>
              <w:rPr>
                <w:rFonts w:ascii="SWISS" w:hAnsi="SWISS" w:cs="Arial"/>
                <w:b/>
                <w:color w:val="000000"/>
              </w:rPr>
            </w:pPr>
          </w:p>
        </w:tc>
        <w:tc>
          <w:tcPr>
            <w:tcW w:w="1620" w:type="dxa"/>
            <w:gridSpan w:val="2"/>
            <w:tcBorders>
              <w:top w:val="nil"/>
              <w:left w:val="nil"/>
              <w:bottom w:val="nil"/>
              <w:right w:val="nil"/>
            </w:tcBorders>
            <w:noWrap/>
            <w:vAlign w:val="bottom"/>
            <w:hideMark/>
          </w:tcPr>
          <w:p w:rsidR="00DC71C1" w:rsidRPr="00BC5498" w:rsidRDefault="00DC71C1" w:rsidP="00A425E5">
            <w:pPr>
              <w:jc w:val="center"/>
              <w:rPr>
                <w:rFonts w:ascii="SWISS" w:hAnsi="SWISS" w:cs="Arial"/>
                <w:b/>
                <w:bCs/>
                <w:color w:val="000000"/>
                <w:sz w:val="20"/>
                <w:szCs w:val="20"/>
              </w:rPr>
            </w:pPr>
            <w:r>
              <w:rPr>
                <w:rFonts w:ascii="SWISS" w:hAnsi="SWISS" w:cs="Arial"/>
                <w:b/>
                <w:bCs/>
                <w:color w:val="000000"/>
                <w:sz w:val="20"/>
                <w:szCs w:val="20"/>
              </w:rPr>
              <w:t xml:space="preserve">APPROVED </w:t>
            </w:r>
          </w:p>
        </w:tc>
        <w:tc>
          <w:tcPr>
            <w:tcW w:w="1710" w:type="dxa"/>
            <w:tcBorders>
              <w:top w:val="nil"/>
              <w:left w:val="nil"/>
              <w:bottom w:val="nil"/>
              <w:right w:val="nil"/>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ADJUSTMENTS</w:t>
            </w:r>
          </w:p>
        </w:tc>
        <w:tc>
          <w:tcPr>
            <w:tcW w:w="1620" w:type="dxa"/>
            <w:tcBorders>
              <w:top w:val="nil"/>
              <w:left w:val="nil"/>
              <w:bottom w:val="nil"/>
              <w:right w:val="single" w:sz="4" w:space="0" w:color="000000"/>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BALANCE</w:t>
            </w:r>
          </w:p>
        </w:tc>
      </w:tr>
      <w:tr w:rsidR="00DC71C1" w:rsidRPr="00BC5498" w:rsidTr="00A425E5">
        <w:trPr>
          <w:trHeight w:val="301"/>
        </w:trPr>
        <w:tc>
          <w:tcPr>
            <w:tcW w:w="375" w:type="dxa"/>
            <w:tcBorders>
              <w:top w:val="nil"/>
              <w:left w:val="single" w:sz="4" w:space="0" w:color="000000"/>
              <w:bottom w:val="nil"/>
              <w:right w:val="nil"/>
            </w:tcBorders>
            <w:noWrap/>
            <w:vAlign w:val="bottom"/>
          </w:tcPr>
          <w:p w:rsidR="00DC71C1" w:rsidRPr="00BC5498" w:rsidRDefault="00DC71C1" w:rsidP="00A425E5">
            <w:pPr>
              <w:rPr>
                <w:rFonts w:ascii="SWISS" w:hAnsi="SWISS" w:cs="Arial"/>
                <w:b/>
                <w:color w:val="000000"/>
                <w:sz w:val="20"/>
                <w:szCs w:val="20"/>
              </w:rPr>
            </w:pPr>
          </w:p>
        </w:tc>
        <w:tc>
          <w:tcPr>
            <w:tcW w:w="4050" w:type="dxa"/>
            <w:gridSpan w:val="2"/>
            <w:tcBorders>
              <w:top w:val="nil"/>
              <w:left w:val="nil"/>
              <w:bottom w:val="nil"/>
              <w:right w:val="nil"/>
            </w:tcBorders>
            <w:noWrap/>
            <w:vAlign w:val="bottom"/>
          </w:tcPr>
          <w:p w:rsidR="00DC71C1" w:rsidRPr="00BC5498" w:rsidRDefault="00DC71C1" w:rsidP="00A425E5">
            <w:pPr>
              <w:rPr>
                <w:rFonts w:ascii="SWISS" w:hAnsi="SWISS" w:cs="Arial"/>
                <w:b/>
                <w:color w:val="000000"/>
              </w:rPr>
            </w:pPr>
          </w:p>
        </w:tc>
        <w:tc>
          <w:tcPr>
            <w:tcW w:w="1620" w:type="dxa"/>
            <w:gridSpan w:val="2"/>
            <w:tcBorders>
              <w:top w:val="nil"/>
              <w:left w:val="nil"/>
              <w:bottom w:val="nil"/>
              <w:right w:val="nil"/>
            </w:tcBorders>
            <w:noWrap/>
            <w:vAlign w:val="bottom"/>
            <w:hideMark/>
          </w:tcPr>
          <w:p w:rsidR="00DC71C1" w:rsidRPr="00BC5498" w:rsidRDefault="00DC71C1" w:rsidP="00A425E5">
            <w:pPr>
              <w:jc w:val="center"/>
              <w:rPr>
                <w:rFonts w:ascii="SWISS" w:hAnsi="SWISS" w:cs="Arial"/>
                <w:b/>
                <w:bCs/>
                <w:color w:val="000000"/>
                <w:sz w:val="20"/>
                <w:szCs w:val="20"/>
              </w:rPr>
            </w:pPr>
            <w:r>
              <w:rPr>
                <w:rFonts w:ascii="SWISS" w:hAnsi="SWISS" w:cs="Arial"/>
                <w:b/>
                <w:bCs/>
                <w:color w:val="000000"/>
                <w:sz w:val="20"/>
                <w:szCs w:val="20"/>
              </w:rPr>
              <w:t>BY</w:t>
            </w:r>
          </w:p>
        </w:tc>
        <w:tc>
          <w:tcPr>
            <w:tcW w:w="1710" w:type="dxa"/>
            <w:tcBorders>
              <w:top w:val="nil"/>
              <w:left w:val="nil"/>
              <w:bottom w:val="nil"/>
              <w:right w:val="nil"/>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TO UTILITY</w:t>
            </w:r>
          </w:p>
        </w:tc>
        <w:tc>
          <w:tcPr>
            <w:tcW w:w="1620" w:type="dxa"/>
            <w:tcBorders>
              <w:top w:val="nil"/>
              <w:left w:val="nil"/>
              <w:bottom w:val="nil"/>
              <w:right w:val="single" w:sz="4" w:space="0" w:color="000000"/>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PER</w:t>
            </w:r>
          </w:p>
        </w:tc>
      </w:tr>
      <w:tr w:rsidR="00DC71C1" w:rsidRPr="00BC5498" w:rsidTr="00A425E5">
        <w:trPr>
          <w:trHeight w:val="301"/>
        </w:trPr>
        <w:tc>
          <w:tcPr>
            <w:tcW w:w="375" w:type="dxa"/>
            <w:tcBorders>
              <w:top w:val="nil"/>
              <w:left w:val="single" w:sz="4" w:space="0" w:color="000000"/>
              <w:bottom w:val="single" w:sz="4" w:space="0" w:color="000000"/>
              <w:right w:val="nil"/>
            </w:tcBorders>
            <w:noWrap/>
            <w:vAlign w:val="bottom"/>
            <w:hideMark/>
          </w:tcPr>
          <w:p w:rsidR="00DC71C1" w:rsidRPr="00BC5498" w:rsidRDefault="00DC71C1" w:rsidP="00A425E5">
            <w:pPr>
              <w:rPr>
                <w:rFonts w:ascii="SWISS" w:hAnsi="SWISS" w:cs="Arial"/>
                <w:b/>
                <w:color w:val="000000"/>
                <w:sz w:val="20"/>
                <w:szCs w:val="20"/>
              </w:rPr>
            </w:pPr>
            <w:r w:rsidRPr="00BC5498">
              <w:rPr>
                <w:rFonts w:ascii="SWISS" w:hAnsi="SWISS" w:cs="Arial"/>
                <w:b/>
                <w:color w:val="000000"/>
                <w:sz w:val="20"/>
                <w:szCs w:val="20"/>
              </w:rPr>
              <w:t> </w:t>
            </w:r>
          </w:p>
        </w:tc>
        <w:tc>
          <w:tcPr>
            <w:tcW w:w="4050" w:type="dxa"/>
            <w:gridSpan w:val="2"/>
            <w:tcBorders>
              <w:top w:val="nil"/>
              <w:left w:val="nil"/>
              <w:bottom w:val="single" w:sz="4" w:space="0" w:color="000000"/>
              <w:right w:val="nil"/>
            </w:tcBorders>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DESCRIPTION</w:t>
            </w:r>
          </w:p>
        </w:tc>
        <w:tc>
          <w:tcPr>
            <w:tcW w:w="1620" w:type="dxa"/>
            <w:gridSpan w:val="2"/>
            <w:tcBorders>
              <w:top w:val="nil"/>
              <w:left w:val="nil"/>
              <w:bottom w:val="single" w:sz="4" w:space="0" w:color="000000"/>
              <w:right w:val="nil"/>
            </w:tcBorders>
            <w:noWrap/>
            <w:vAlign w:val="bottom"/>
            <w:hideMark/>
          </w:tcPr>
          <w:p w:rsidR="00DC71C1" w:rsidRPr="00BC5498" w:rsidRDefault="00DC71C1" w:rsidP="00A425E5">
            <w:pPr>
              <w:jc w:val="center"/>
              <w:rPr>
                <w:rFonts w:ascii="SWISS" w:hAnsi="SWISS" w:cs="Arial"/>
                <w:b/>
                <w:bCs/>
                <w:color w:val="000000"/>
                <w:sz w:val="20"/>
                <w:szCs w:val="20"/>
              </w:rPr>
            </w:pPr>
            <w:r>
              <w:rPr>
                <w:rFonts w:ascii="SWISS" w:hAnsi="SWISS" w:cs="Arial"/>
                <w:b/>
                <w:bCs/>
                <w:color w:val="000000"/>
                <w:sz w:val="20"/>
                <w:szCs w:val="20"/>
              </w:rPr>
              <w:t>COMMISSION</w:t>
            </w:r>
          </w:p>
        </w:tc>
        <w:tc>
          <w:tcPr>
            <w:tcW w:w="1710" w:type="dxa"/>
            <w:tcBorders>
              <w:top w:val="nil"/>
              <w:left w:val="nil"/>
              <w:bottom w:val="single" w:sz="4" w:space="0" w:color="000000"/>
              <w:right w:val="nil"/>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BALANCE</w:t>
            </w:r>
          </w:p>
        </w:tc>
        <w:tc>
          <w:tcPr>
            <w:tcW w:w="1620" w:type="dxa"/>
            <w:tcBorders>
              <w:top w:val="nil"/>
              <w:left w:val="nil"/>
              <w:bottom w:val="single" w:sz="4" w:space="0" w:color="000000"/>
              <w:right w:val="single" w:sz="4" w:space="0" w:color="000000"/>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STAFF</w:t>
            </w:r>
          </w:p>
        </w:tc>
      </w:tr>
      <w:tr w:rsidR="00DC71C1" w:rsidRPr="00BC5498" w:rsidTr="00A425E5">
        <w:trPr>
          <w:trHeight w:val="301"/>
        </w:trPr>
        <w:tc>
          <w:tcPr>
            <w:tcW w:w="375" w:type="dxa"/>
            <w:tcBorders>
              <w:top w:val="single" w:sz="4" w:space="0" w:color="000000"/>
              <w:left w:val="single" w:sz="4" w:space="0" w:color="000000"/>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single" w:sz="4" w:space="0" w:color="000000"/>
              <w:left w:val="nil"/>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620" w:type="dxa"/>
            <w:gridSpan w:val="2"/>
            <w:tcBorders>
              <w:top w:val="single" w:sz="4" w:space="0" w:color="000000"/>
              <w:left w:val="nil"/>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710" w:type="dxa"/>
            <w:tcBorders>
              <w:top w:val="single" w:sz="4" w:space="0" w:color="000000"/>
              <w:left w:val="nil"/>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620" w:type="dxa"/>
            <w:tcBorders>
              <w:top w:val="single" w:sz="4" w:space="0" w:color="000000"/>
              <w:left w:val="nil"/>
              <w:bottom w:val="nil"/>
              <w:right w:val="single" w:sz="4" w:space="0" w:color="000000"/>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r>
      <w:tr w:rsidR="00DC71C1" w:rsidRPr="00BC5498" w:rsidTr="00A425E5">
        <w:trPr>
          <w:trHeight w:val="301"/>
        </w:trPr>
        <w:tc>
          <w:tcPr>
            <w:tcW w:w="375" w:type="dxa"/>
            <w:tcBorders>
              <w:top w:val="nil"/>
              <w:left w:val="single" w:sz="4" w:space="0" w:color="000000"/>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1.</w:t>
            </w:r>
          </w:p>
        </w:tc>
        <w:tc>
          <w:tcPr>
            <w:tcW w:w="4050" w:type="dxa"/>
            <w:gridSpan w:val="2"/>
            <w:tcBorders>
              <w:top w:val="nil"/>
              <w:left w:val="nil"/>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UTILITY PLANT IN SERVICE</w:t>
            </w:r>
          </w:p>
        </w:tc>
        <w:tc>
          <w:tcPr>
            <w:tcW w:w="1620" w:type="dxa"/>
            <w:gridSpan w:val="2"/>
            <w:tcBorders>
              <w:top w:val="nil"/>
              <w:left w:val="nil"/>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w:t>
            </w:r>
            <w:r>
              <w:rPr>
                <w:rFonts w:ascii="SWISS" w:hAnsi="SWISS" w:cs="Arial"/>
                <w:color w:val="000000"/>
                <w:sz w:val="20"/>
                <w:szCs w:val="20"/>
              </w:rPr>
              <w:t>1,655</w:t>
            </w:r>
            <w:r w:rsidRPr="00BC5498">
              <w:rPr>
                <w:rFonts w:ascii="SWISS" w:hAnsi="SWISS" w:cs="Arial"/>
                <w:color w:val="000000"/>
                <w:sz w:val="20"/>
                <w:szCs w:val="20"/>
              </w:rPr>
              <w:t>,</w:t>
            </w:r>
            <w:r>
              <w:rPr>
                <w:rFonts w:ascii="SWISS" w:hAnsi="SWISS" w:cs="Arial"/>
                <w:color w:val="000000"/>
                <w:sz w:val="20"/>
                <w:szCs w:val="20"/>
              </w:rPr>
              <w:t>176</w:t>
            </w:r>
            <w:r w:rsidRPr="00BC5498">
              <w:rPr>
                <w:rFonts w:ascii="SWISS" w:hAnsi="SWISS" w:cs="Arial"/>
                <w:color w:val="000000"/>
                <w:sz w:val="20"/>
                <w:szCs w:val="20"/>
              </w:rPr>
              <w:t xml:space="preserve"> </w:t>
            </w:r>
          </w:p>
        </w:tc>
        <w:tc>
          <w:tcPr>
            <w:tcW w:w="1710" w:type="dxa"/>
            <w:tcBorders>
              <w:top w:val="nil"/>
              <w:left w:val="nil"/>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w:t>
            </w:r>
            <w:r>
              <w:rPr>
                <w:rFonts w:ascii="SWISS" w:hAnsi="SWISS" w:cs="Arial"/>
                <w:color w:val="000000"/>
                <w:sz w:val="20"/>
                <w:szCs w:val="20"/>
              </w:rPr>
              <w:t>364</w:t>
            </w:r>
            <w:r w:rsidRPr="00BC5498">
              <w:rPr>
                <w:rFonts w:ascii="SWISS" w:hAnsi="SWISS" w:cs="Arial"/>
                <w:color w:val="000000"/>
                <w:sz w:val="20"/>
                <w:szCs w:val="20"/>
              </w:rPr>
              <w:t>,</w:t>
            </w:r>
            <w:r>
              <w:rPr>
                <w:rFonts w:ascii="SWISS" w:hAnsi="SWISS" w:cs="Arial"/>
                <w:color w:val="000000"/>
                <w:sz w:val="20"/>
                <w:szCs w:val="20"/>
              </w:rPr>
              <w:t>816</w:t>
            </w:r>
          </w:p>
        </w:tc>
        <w:tc>
          <w:tcPr>
            <w:tcW w:w="1620" w:type="dxa"/>
            <w:tcBorders>
              <w:top w:val="nil"/>
              <w:left w:val="nil"/>
              <w:bottom w:val="nil"/>
              <w:right w:val="single" w:sz="4" w:space="0" w:color="000000"/>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w:t>
            </w:r>
            <w:r>
              <w:rPr>
                <w:rFonts w:ascii="SWISS" w:hAnsi="SWISS" w:cs="Arial"/>
                <w:color w:val="000000"/>
                <w:sz w:val="20"/>
                <w:szCs w:val="20"/>
              </w:rPr>
              <w:t>2,019</w:t>
            </w:r>
            <w:r w:rsidRPr="00BC5498">
              <w:rPr>
                <w:rFonts w:ascii="SWISS" w:hAnsi="SWISS" w:cs="Arial"/>
                <w:color w:val="000000"/>
                <w:sz w:val="20"/>
                <w:szCs w:val="20"/>
              </w:rPr>
              <w:t>,</w:t>
            </w:r>
            <w:r>
              <w:rPr>
                <w:rFonts w:ascii="SWISS" w:hAnsi="SWISS" w:cs="Arial"/>
                <w:color w:val="000000"/>
                <w:sz w:val="20"/>
                <w:szCs w:val="20"/>
              </w:rPr>
              <w:t>992</w:t>
            </w:r>
            <w:r w:rsidRPr="00BC5498">
              <w:rPr>
                <w:rFonts w:ascii="SWISS" w:hAnsi="SWISS" w:cs="Arial"/>
                <w:color w:val="000000"/>
                <w:sz w:val="20"/>
                <w:szCs w:val="20"/>
              </w:rPr>
              <w:t xml:space="preserve"> </w:t>
            </w:r>
          </w:p>
        </w:tc>
      </w:tr>
      <w:tr w:rsidR="00DC71C1" w:rsidRPr="00BC5498" w:rsidTr="00A425E5">
        <w:trPr>
          <w:trHeight w:val="301"/>
        </w:trPr>
        <w:tc>
          <w:tcPr>
            <w:tcW w:w="375" w:type="dxa"/>
            <w:tcBorders>
              <w:top w:val="nil"/>
              <w:left w:val="single" w:sz="4" w:space="0" w:color="000000"/>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71C1" w:rsidRPr="00BC5498" w:rsidRDefault="00DC71C1" w:rsidP="00A425E5">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71C1" w:rsidRPr="00BC5498" w:rsidRDefault="00DC71C1" w:rsidP="00A425E5">
            <w:pPr>
              <w:jc w:val="right"/>
              <w:rPr>
                <w:rFonts w:ascii="SWISS" w:hAnsi="SWISS" w:cs="Arial"/>
                <w:color w:val="000000"/>
                <w:sz w:val="20"/>
                <w:szCs w:val="20"/>
              </w:rPr>
            </w:pPr>
          </w:p>
        </w:tc>
      </w:tr>
      <w:tr w:rsidR="00DC71C1" w:rsidRPr="00BC5498" w:rsidTr="00A425E5">
        <w:trPr>
          <w:trHeight w:val="301"/>
        </w:trPr>
        <w:tc>
          <w:tcPr>
            <w:tcW w:w="375" w:type="dxa"/>
            <w:tcBorders>
              <w:top w:val="nil"/>
              <w:left w:val="single" w:sz="4" w:space="0" w:color="000000"/>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2.</w:t>
            </w:r>
          </w:p>
        </w:tc>
        <w:tc>
          <w:tcPr>
            <w:tcW w:w="4050" w:type="dxa"/>
            <w:gridSpan w:val="2"/>
            <w:tcBorders>
              <w:top w:val="nil"/>
              <w:left w:val="nil"/>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LAND &amp; LAND RIGHTS</w:t>
            </w:r>
          </w:p>
        </w:tc>
        <w:tc>
          <w:tcPr>
            <w:tcW w:w="1620" w:type="dxa"/>
            <w:gridSpan w:val="2"/>
            <w:tcBorders>
              <w:top w:val="nil"/>
              <w:left w:val="nil"/>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Pr>
                <w:rFonts w:ascii="SWISS" w:hAnsi="SWISS" w:cs="Arial"/>
                <w:color w:val="000000"/>
                <w:sz w:val="20"/>
                <w:szCs w:val="20"/>
              </w:rPr>
              <w:t>52</w:t>
            </w:r>
            <w:r w:rsidRPr="00BC5498">
              <w:rPr>
                <w:rFonts w:ascii="SWISS" w:hAnsi="SWISS" w:cs="Arial"/>
                <w:color w:val="000000"/>
                <w:sz w:val="20"/>
                <w:szCs w:val="20"/>
              </w:rPr>
              <w:t>,</w:t>
            </w:r>
            <w:r>
              <w:rPr>
                <w:rFonts w:ascii="SWISS" w:hAnsi="SWISS" w:cs="Arial"/>
                <w:color w:val="000000"/>
                <w:sz w:val="20"/>
                <w:szCs w:val="20"/>
              </w:rPr>
              <w:t>475</w:t>
            </w:r>
            <w:r w:rsidRPr="00BC5498">
              <w:rPr>
                <w:rFonts w:ascii="SWISS" w:hAnsi="SWISS" w:cs="Arial"/>
                <w:color w:val="000000"/>
                <w:sz w:val="20"/>
                <w:szCs w:val="20"/>
              </w:rPr>
              <w:t xml:space="preserve"> </w:t>
            </w:r>
          </w:p>
        </w:tc>
        <w:tc>
          <w:tcPr>
            <w:tcW w:w="1710" w:type="dxa"/>
            <w:tcBorders>
              <w:top w:val="nil"/>
              <w:left w:val="nil"/>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 xml:space="preserve">0 </w:t>
            </w:r>
          </w:p>
        </w:tc>
        <w:tc>
          <w:tcPr>
            <w:tcW w:w="1620" w:type="dxa"/>
            <w:tcBorders>
              <w:top w:val="nil"/>
              <w:left w:val="nil"/>
              <w:bottom w:val="nil"/>
              <w:right w:val="single" w:sz="4" w:space="0" w:color="000000"/>
            </w:tcBorders>
            <w:noWrap/>
            <w:vAlign w:val="bottom"/>
            <w:hideMark/>
          </w:tcPr>
          <w:p w:rsidR="00DC71C1" w:rsidRPr="00BC5498" w:rsidRDefault="00DC71C1" w:rsidP="00A425E5">
            <w:pPr>
              <w:jc w:val="right"/>
              <w:rPr>
                <w:rFonts w:ascii="SWISS" w:hAnsi="SWISS" w:cs="Arial"/>
                <w:color w:val="000000"/>
                <w:sz w:val="20"/>
                <w:szCs w:val="20"/>
              </w:rPr>
            </w:pPr>
            <w:r>
              <w:rPr>
                <w:rFonts w:ascii="SWISS" w:hAnsi="SWISS" w:cs="Arial"/>
                <w:color w:val="000000"/>
                <w:sz w:val="20"/>
                <w:szCs w:val="20"/>
              </w:rPr>
              <w:t>52</w:t>
            </w:r>
            <w:r w:rsidRPr="00BC5498">
              <w:rPr>
                <w:rFonts w:ascii="SWISS" w:hAnsi="SWISS" w:cs="Arial"/>
                <w:color w:val="000000"/>
                <w:sz w:val="20"/>
                <w:szCs w:val="20"/>
              </w:rPr>
              <w:t>,</w:t>
            </w:r>
            <w:r>
              <w:rPr>
                <w:rFonts w:ascii="SWISS" w:hAnsi="SWISS" w:cs="Arial"/>
                <w:color w:val="000000"/>
                <w:sz w:val="20"/>
                <w:szCs w:val="20"/>
              </w:rPr>
              <w:t>475</w:t>
            </w:r>
          </w:p>
        </w:tc>
      </w:tr>
      <w:tr w:rsidR="00DC71C1" w:rsidRPr="00BC5498" w:rsidTr="00A425E5">
        <w:trPr>
          <w:trHeight w:val="301"/>
        </w:trPr>
        <w:tc>
          <w:tcPr>
            <w:tcW w:w="375" w:type="dxa"/>
            <w:tcBorders>
              <w:top w:val="nil"/>
              <w:left w:val="single" w:sz="4" w:space="0" w:color="000000"/>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71C1" w:rsidRPr="00BC5498" w:rsidRDefault="00DC71C1" w:rsidP="00A425E5">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71C1" w:rsidRPr="00BC5498" w:rsidRDefault="00DC71C1" w:rsidP="00A425E5">
            <w:pPr>
              <w:jc w:val="right"/>
              <w:rPr>
                <w:rFonts w:ascii="SWISS" w:hAnsi="SWISS" w:cs="Arial"/>
                <w:color w:val="000000"/>
                <w:sz w:val="20"/>
                <w:szCs w:val="20"/>
              </w:rPr>
            </w:pPr>
          </w:p>
        </w:tc>
      </w:tr>
      <w:tr w:rsidR="00DC71C1" w:rsidRPr="00BC5498" w:rsidTr="00A425E5">
        <w:trPr>
          <w:trHeight w:val="301"/>
        </w:trPr>
        <w:tc>
          <w:tcPr>
            <w:tcW w:w="375" w:type="dxa"/>
            <w:tcBorders>
              <w:top w:val="nil"/>
              <w:left w:val="single" w:sz="4" w:space="0" w:color="000000"/>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3.</w:t>
            </w:r>
          </w:p>
        </w:tc>
        <w:tc>
          <w:tcPr>
            <w:tcW w:w="4050" w:type="dxa"/>
            <w:gridSpan w:val="2"/>
            <w:tcBorders>
              <w:top w:val="nil"/>
              <w:left w:val="nil"/>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NON-USED AND USEFUL COMPONENTS</w:t>
            </w:r>
          </w:p>
        </w:tc>
        <w:tc>
          <w:tcPr>
            <w:tcW w:w="1620" w:type="dxa"/>
            <w:gridSpan w:val="2"/>
            <w:tcBorders>
              <w:top w:val="nil"/>
              <w:left w:val="nil"/>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Pr>
                <w:rFonts w:ascii="SWISS" w:hAnsi="SWISS" w:cs="Arial"/>
                <w:color w:val="000000"/>
                <w:sz w:val="20"/>
                <w:szCs w:val="20"/>
              </w:rPr>
              <w:t>(110,295)</w:t>
            </w:r>
          </w:p>
        </w:tc>
        <w:tc>
          <w:tcPr>
            <w:tcW w:w="1710" w:type="dxa"/>
            <w:tcBorders>
              <w:top w:val="nil"/>
              <w:left w:val="nil"/>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 xml:space="preserve">0 </w:t>
            </w:r>
          </w:p>
        </w:tc>
        <w:tc>
          <w:tcPr>
            <w:tcW w:w="1620" w:type="dxa"/>
            <w:tcBorders>
              <w:top w:val="nil"/>
              <w:left w:val="nil"/>
              <w:bottom w:val="nil"/>
              <w:right w:val="single" w:sz="4" w:space="0" w:color="000000"/>
            </w:tcBorders>
            <w:noWrap/>
            <w:vAlign w:val="bottom"/>
            <w:hideMark/>
          </w:tcPr>
          <w:p w:rsidR="00DC71C1" w:rsidRPr="00BC5498" w:rsidRDefault="00DC71C1" w:rsidP="00A425E5">
            <w:pPr>
              <w:jc w:val="right"/>
              <w:rPr>
                <w:rFonts w:ascii="SWISS" w:hAnsi="SWISS" w:cs="Arial"/>
                <w:color w:val="000000"/>
                <w:sz w:val="20"/>
                <w:szCs w:val="20"/>
              </w:rPr>
            </w:pPr>
            <w:r>
              <w:rPr>
                <w:rFonts w:ascii="SWISS" w:hAnsi="SWISS" w:cs="Arial"/>
                <w:color w:val="000000"/>
                <w:sz w:val="20"/>
                <w:szCs w:val="20"/>
              </w:rPr>
              <w:t>(110,295)</w:t>
            </w:r>
          </w:p>
        </w:tc>
      </w:tr>
      <w:tr w:rsidR="00DC71C1" w:rsidRPr="00BC5498" w:rsidTr="00A425E5">
        <w:trPr>
          <w:trHeight w:val="301"/>
        </w:trPr>
        <w:tc>
          <w:tcPr>
            <w:tcW w:w="375" w:type="dxa"/>
            <w:tcBorders>
              <w:top w:val="nil"/>
              <w:left w:val="single" w:sz="4" w:space="0" w:color="000000"/>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71C1" w:rsidRPr="00BC5498" w:rsidRDefault="00DC71C1" w:rsidP="00A425E5">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71C1" w:rsidRPr="00BC5498" w:rsidRDefault="00DC71C1" w:rsidP="00A425E5">
            <w:pPr>
              <w:jc w:val="right"/>
              <w:rPr>
                <w:rFonts w:ascii="SWISS" w:hAnsi="SWISS" w:cs="Arial"/>
                <w:color w:val="000000"/>
                <w:sz w:val="20"/>
                <w:szCs w:val="20"/>
              </w:rPr>
            </w:pPr>
          </w:p>
        </w:tc>
      </w:tr>
      <w:tr w:rsidR="00DC71C1" w:rsidRPr="00BC5498" w:rsidTr="00A425E5">
        <w:trPr>
          <w:trHeight w:val="301"/>
        </w:trPr>
        <w:tc>
          <w:tcPr>
            <w:tcW w:w="375" w:type="dxa"/>
            <w:tcBorders>
              <w:top w:val="nil"/>
              <w:left w:val="single" w:sz="4" w:space="0" w:color="000000"/>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4.</w:t>
            </w:r>
          </w:p>
        </w:tc>
        <w:tc>
          <w:tcPr>
            <w:tcW w:w="4050" w:type="dxa"/>
            <w:gridSpan w:val="2"/>
            <w:tcBorders>
              <w:top w:val="nil"/>
              <w:left w:val="nil"/>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CIAC</w:t>
            </w:r>
          </w:p>
        </w:tc>
        <w:tc>
          <w:tcPr>
            <w:tcW w:w="1620" w:type="dxa"/>
            <w:gridSpan w:val="2"/>
            <w:tcBorders>
              <w:top w:val="nil"/>
              <w:left w:val="nil"/>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w:t>
            </w:r>
            <w:r>
              <w:rPr>
                <w:rFonts w:ascii="SWISS" w:hAnsi="SWISS" w:cs="Arial"/>
                <w:color w:val="000000"/>
                <w:sz w:val="20"/>
                <w:szCs w:val="20"/>
              </w:rPr>
              <w:t>479</w:t>
            </w:r>
            <w:r w:rsidRPr="00BC5498">
              <w:rPr>
                <w:rFonts w:ascii="SWISS" w:hAnsi="SWISS" w:cs="Arial"/>
                <w:color w:val="000000"/>
                <w:sz w:val="20"/>
                <w:szCs w:val="20"/>
              </w:rPr>
              <w:t>,</w:t>
            </w:r>
            <w:r>
              <w:rPr>
                <w:rFonts w:ascii="SWISS" w:hAnsi="SWISS" w:cs="Arial"/>
                <w:color w:val="000000"/>
                <w:sz w:val="20"/>
                <w:szCs w:val="20"/>
              </w:rPr>
              <w:t>873</w:t>
            </w:r>
            <w:r w:rsidRPr="00BC5498">
              <w:rPr>
                <w:rFonts w:ascii="SWISS" w:hAnsi="SWISS" w:cs="Arial"/>
                <w:color w:val="000000"/>
                <w:sz w:val="20"/>
                <w:szCs w:val="20"/>
              </w:rPr>
              <w:t>)</w:t>
            </w:r>
          </w:p>
        </w:tc>
        <w:tc>
          <w:tcPr>
            <w:tcW w:w="1710" w:type="dxa"/>
            <w:tcBorders>
              <w:top w:val="nil"/>
              <w:left w:val="nil"/>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 xml:space="preserve">0 </w:t>
            </w:r>
          </w:p>
        </w:tc>
        <w:tc>
          <w:tcPr>
            <w:tcW w:w="1620" w:type="dxa"/>
            <w:tcBorders>
              <w:top w:val="nil"/>
              <w:left w:val="nil"/>
              <w:bottom w:val="nil"/>
              <w:right w:val="single" w:sz="4" w:space="0" w:color="000000"/>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w:t>
            </w:r>
            <w:r>
              <w:rPr>
                <w:rFonts w:ascii="SWISS" w:hAnsi="SWISS" w:cs="Arial"/>
                <w:color w:val="000000"/>
                <w:sz w:val="20"/>
                <w:szCs w:val="20"/>
              </w:rPr>
              <w:t>479</w:t>
            </w:r>
            <w:r w:rsidRPr="00BC5498">
              <w:rPr>
                <w:rFonts w:ascii="SWISS" w:hAnsi="SWISS" w:cs="Arial"/>
                <w:color w:val="000000"/>
                <w:sz w:val="20"/>
                <w:szCs w:val="20"/>
              </w:rPr>
              <w:t>,</w:t>
            </w:r>
            <w:r>
              <w:rPr>
                <w:rFonts w:ascii="SWISS" w:hAnsi="SWISS" w:cs="Arial"/>
                <w:color w:val="000000"/>
                <w:sz w:val="20"/>
                <w:szCs w:val="20"/>
              </w:rPr>
              <w:t>873</w:t>
            </w:r>
            <w:r w:rsidRPr="00BC5498">
              <w:rPr>
                <w:rFonts w:ascii="SWISS" w:hAnsi="SWISS" w:cs="Arial"/>
                <w:color w:val="000000"/>
                <w:sz w:val="20"/>
                <w:szCs w:val="20"/>
              </w:rPr>
              <w:t>)</w:t>
            </w:r>
          </w:p>
        </w:tc>
      </w:tr>
      <w:tr w:rsidR="00DC71C1" w:rsidRPr="00BC5498" w:rsidTr="00A425E5">
        <w:trPr>
          <w:trHeight w:val="301"/>
        </w:trPr>
        <w:tc>
          <w:tcPr>
            <w:tcW w:w="375" w:type="dxa"/>
            <w:tcBorders>
              <w:top w:val="nil"/>
              <w:left w:val="single" w:sz="4" w:space="0" w:color="000000"/>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71C1" w:rsidRPr="00BC5498" w:rsidRDefault="00DC71C1" w:rsidP="00A425E5">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71C1" w:rsidRPr="00BC5498" w:rsidRDefault="00DC71C1" w:rsidP="00A425E5">
            <w:pPr>
              <w:jc w:val="right"/>
              <w:rPr>
                <w:rFonts w:ascii="SWISS" w:hAnsi="SWISS" w:cs="Arial"/>
                <w:color w:val="000000"/>
                <w:sz w:val="20"/>
                <w:szCs w:val="20"/>
              </w:rPr>
            </w:pPr>
          </w:p>
        </w:tc>
      </w:tr>
      <w:tr w:rsidR="00DC71C1" w:rsidRPr="00BC5498" w:rsidTr="00A425E5">
        <w:trPr>
          <w:trHeight w:val="313"/>
        </w:trPr>
        <w:tc>
          <w:tcPr>
            <w:tcW w:w="375" w:type="dxa"/>
            <w:tcBorders>
              <w:top w:val="nil"/>
              <w:left w:val="single" w:sz="4" w:space="0" w:color="000000"/>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5.</w:t>
            </w:r>
          </w:p>
        </w:tc>
        <w:tc>
          <w:tcPr>
            <w:tcW w:w="4050" w:type="dxa"/>
            <w:gridSpan w:val="2"/>
            <w:tcBorders>
              <w:top w:val="nil"/>
              <w:left w:val="nil"/>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ACCUMULATED DEPRECIATION</w:t>
            </w:r>
          </w:p>
        </w:tc>
        <w:tc>
          <w:tcPr>
            <w:tcW w:w="1620" w:type="dxa"/>
            <w:gridSpan w:val="2"/>
            <w:tcBorders>
              <w:top w:val="nil"/>
              <w:left w:val="nil"/>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w:t>
            </w:r>
            <w:r>
              <w:rPr>
                <w:rFonts w:ascii="SWISS" w:hAnsi="SWISS" w:cs="Arial"/>
                <w:color w:val="000000"/>
                <w:sz w:val="20"/>
                <w:szCs w:val="20"/>
              </w:rPr>
              <w:t>697</w:t>
            </w:r>
            <w:r w:rsidRPr="00BC5498">
              <w:rPr>
                <w:rFonts w:ascii="SWISS" w:hAnsi="SWISS" w:cs="Arial"/>
                <w:color w:val="000000"/>
                <w:sz w:val="20"/>
                <w:szCs w:val="20"/>
              </w:rPr>
              <w:t>,</w:t>
            </w:r>
            <w:r>
              <w:rPr>
                <w:rFonts w:ascii="SWISS" w:hAnsi="SWISS" w:cs="Arial"/>
                <w:color w:val="000000"/>
                <w:sz w:val="20"/>
                <w:szCs w:val="20"/>
              </w:rPr>
              <w:t>656</w:t>
            </w:r>
            <w:r w:rsidRPr="00BC5498">
              <w:rPr>
                <w:rFonts w:ascii="SWISS" w:hAnsi="SWISS" w:cs="Arial"/>
                <w:color w:val="000000"/>
                <w:sz w:val="20"/>
                <w:szCs w:val="20"/>
              </w:rPr>
              <w:t>)</w:t>
            </w:r>
          </w:p>
        </w:tc>
        <w:tc>
          <w:tcPr>
            <w:tcW w:w="1710" w:type="dxa"/>
            <w:tcBorders>
              <w:top w:val="nil"/>
              <w:left w:val="nil"/>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Pr>
                <w:rFonts w:ascii="SWISS" w:hAnsi="SWISS" w:cs="Arial"/>
                <w:color w:val="000000"/>
                <w:sz w:val="20"/>
                <w:szCs w:val="20"/>
              </w:rPr>
              <w:t>73</w:t>
            </w:r>
            <w:r w:rsidRPr="00BC5498">
              <w:rPr>
                <w:rFonts w:ascii="SWISS" w:hAnsi="SWISS" w:cs="Arial"/>
                <w:color w:val="000000"/>
                <w:sz w:val="20"/>
                <w:szCs w:val="20"/>
              </w:rPr>
              <w:t>,</w:t>
            </w:r>
            <w:r>
              <w:rPr>
                <w:rFonts w:ascii="SWISS" w:hAnsi="SWISS" w:cs="Arial"/>
                <w:color w:val="000000"/>
                <w:sz w:val="20"/>
                <w:szCs w:val="20"/>
              </w:rPr>
              <w:t>095</w:t>
            </w:r>
          </w:p>
        </w:tc>
        <w:tc>
          <w:tcPr>
            <w:tcW w:w="1620" w:type="dxa"/>
            <w:tcBorders>
              <w:top w:val="nil"/>
              <w:left w:val="nil"/>
              <w:bottom w:val="nil"/>
              <w:right w:val="single" w:sz="4" w:space="0" w:color="000000"/>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w:t>
            </w:r>
            <w:r>
              <w:rPr>
                <w:rFonts w:ascii="SWISS" w:hAnsi="SWISS" w:cs="Arial"/>
                <w:color w:val="000000"/>
                <w:sz w:val="20"/>
                <w:szCs w:val="20"/>
              </w:rPr>
              <w:t>624</w:t>
            </w:r>
            <w:r w:rsidRPr="00BC5498">
              <w:rPr>
                <w:rFonts w:ascii="SWISS" w:hAnsi="SWISS" w:cs="Arial"/>
                <w:color w:val="000000"/>
                <w:sz w:val="20"/>
                <w:szCs w:val="20"/>
              </w:rPr>
              <w:t>,</w:t>
            </w:r>
            <w:r>
              <w:rPr>
                <w:rFonts w:ascii="SWISS" w:hAnsi="SWISS" w:cs="Arial"/>
                <w:color w:val="000000"/>
                <w:sz w:val="20"/>
                <w:szCs w:val="20"/>
              </w:rPr>
              <w:t>561</w:t>
            </w:r>
            <w:r w:rsidRPr="00BC5498">
              <w:rPr>
                <w:rFonts w:ascii="SWISS" w:hAnsi="SWISS" w:cs="Arial"/>
                <w:color w:val="000000"/>
                <w:sz w:val="20"/>
                <w:szCs w:val="20"/>
              </w:rPr>
              <w:t>)</w:t>
            </w:r>
          </w:p>
        </w:tc>
      </w:tr>
      <w:tr w:rsidR="00DC71C1" w:rsidRPr="00BC5498" w:rsidTr="00A425E5">
        <w:trPr>
          <w:trHeight w:val="313"/>
        </w:trPr>
        <w:tc>
          <w:tcPr>
            <w:tcW w:w="375" w:type="dxa"/>
            <w:tcBorders>
              <w:top w:val="nil"/>
              <w:left w:val="single" w:sz="4" w:space="0" w:color="000000"/>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71C1" w:rsidRPr="00BC5498" w:rsidRDefault="00DC71C1" w:rsidP="00A425E5">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71C1" w:rsidRPr="00BC5498" w:rsidRDefault="00DC71C1" w:rsidP="00A425E5">
            <w:pPr>
              <w:jc w:val="right"/>
              <w:rPr>
                <w:rFonts w:ascii="SWISS" w:hAnsi="SWISS" w:cs="Arial"/>
                <w:color w:val="000000"/>
                <w:sz w:val="20"/>
                <w:szCs w:val="20"/>
              </w:rPr>
            </w:pPr>
          </w:p>
        </w:tc>
      </w:tr>
      <w:tr w:rsidR="00DC71C1" w:rsidRPr="00BC5498" w:rsidTr="00A425E5">
        <w:trPr>
          <w:trHeight w:val="313"/>
        </w:trPr>
        <w:tc>
          <w:tcPr>
            <w:tcW w:w="375" w:type="dxa"/>
            <w:tcBorders>
              <w:top w:val="nil"/>
              <w:left w:val="single" w:sz="4" w:space="0" w:color="000000"/>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6.</w:t>
            </w:r>
          </w:p>
        </w:tc>
        <w:tc>
          <w:tcPr>
            <w:tcW w:w="4050" w:type="dxa"/>
            <w:gridSpan w:val="2"/>
            <w:tcBorders>
              <w:top w:val="nil"/>
              <w:left w:val="nil"/>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AMORTIZATION OF CIAC</w:t>
            </w:r>
          </w:p>
        </w:tc>
        <w:tc>
          <w:tcPr>
            <w:tcW w:w="1620" w:type="dxa"/>
            <w:gridSpan w:val="2"/>
            <w:tcBorders>
              <w:top w:val="nil"/>
              <w:left w:val="nil"/>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Pr>
                <w:rFonts w:ascii="SWISS" w:hAnsi="SWISS" w:cs="Arial"/>
                <w:color w:val="000000"/>
                <w:sz w:val="20"/>
                <w:szCs w:val="20"/>
              </w:rPr>
              <w:t>92</w:t>
            </w:r>
            <w:r w:rsidRPr="00BC5498">
              <w:rPr>
                <w:rFonts w:ascii="SWISS" w:hAnsi="SWISS" w:cs="Arial"/>
                <w:color w:val="000000"/>
                <w:sz w:val="20"/>
                <w:szCs w:val="20"/>
              </w:rPr>
              <w:t>,</w:t>
            </w:r>
            <w:r>
              <w:rPr>
                <w:rFonts w:ascii="SWISS" w:hAnsi="SWISS" w:cs="Arial"/>
                <w:color w:val="000000"/>
                <w:sz w:val="20"/>
                <w:szCs w:val="20"/>
              </w:rPr>
              <w:t>092</w:t>
            </w:r>
          </w:p>
        </w:tc>
        <w:tc>
          <w:tcPr>
            <w:tcW w:w="1710" w:type="dxa"/>
            <w:tcBorders>
              <w:top w:val="nil"/>
              <w:left w:val="nil"/>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Pr>
                <w:rFonts w:ascii="SWISS" w:hAnsi="SWISS" w:cs="Arial"/>
                <w:color w:val="000000"/>
                <w:sz w:val="20"/>
                <w:szCs w:val="20"/>
              </w:rPr>
              <w:t>0</w:t>
            </w:r>
          </w:p>
        </w:tc>
        <w:tc>
          <w:tcPr>
            <w:tcW w:w="1620" w:type="dxa"/>
            <w:tcBorders>
              <w:top w:val="nil"/>
              <w:left w:val="nil"/>
              <w:bottom w:val="nil"/>
              <w:right w:val="single" w:sz="4" w:space="0" w:color="000000"/>
            </w:tcBorders>
            <w:noWrap/>
            <w:vAlign w:val="bottom"/>
            <w:hideMark/>
          </w:tcPr>
          <w:p w:rsidR="00DC71C1" w:rsidRPr="00BC5498" w:rsidRDefault="00DC71C1" w:rsidP="00A425E5">
            <w:pPr>
              <w:jc w:val="right"/>
              <w:rPr>
                <w:rFonts w:ascii="SWISS" w:hAnsi="SWISS" w:cs="Arial"/>
                <w:color w:val="000000"/>
                <w:sz w:val="20"/>
                <w:szCs w:val="20"/>
              </w:rPr>
            </w:pPr>
            <w:r>
              <w:rPr>
                <w:rFonts w:ascii="SWISS" w:hAnsi="SWISS" w:cs="Arial"/>
                <w:color w:val="000000"/>
                <w:sz w:val="20"/>
                <w:szCs w:val="20"/>
              </w:rPr>
              <w:t>92,092</w:t>
            </w:r>
            <w:r w:rsidRPr="00BC5498">
              <w:rPr>
                <w:rFonts w:ascii="SWISS" w:hAnsi="SWISS" w:cs="Arial"/>
                <w:color w:val="000000"/>
                <w:sz w:val="20"/>
                <w:szCs w:val="20"/>
              </w:rPr>
              <w:t xml:space="preserve"> </w:t>
            </w:r>
          </w:p>
        </w:tc>
      </w:tr>
      <w:tr w:rsidR="00DC71C1" w:rsidRPr="00BC5498" w:rsidTr="00A425E5">
        <w:trPr>
          <w:trHeight w:val="301"/>
        </w:trPr>
        <w:tc>
          <w:tcPr>
            <w:tcW w:w="375" w:type="dxa"/>
            <w:tcBorders>
              <w:top w:val="nil"/>
              <w:left w:val="single" w:sz="4" w:space="0" w:color="000000"/>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71C1" w:rsidRPr="00BC5498" w:rsidRDefault="00DC71C1" w:rsidP="00A425E5">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71C1" w:rsidRPr="00BC5498" w:rsidRDefault="00DC71C1" w:rsidP="00A425E5">
            <w:pPr>
              <w:jc w:val="right"/>
              <w:rPr>
                <w:rFonts w:ascii="SWISS" w:hAnsi="SWISS" w:cs="Arial"/>
                <w:color w:val="000000"/>
                <w:sz w:val="20"/>
                <w:szCs w:val="20"/>
              </w:rPr>
            </w:pPr>
          </w:p>
        </w:tc>
      </w:tr>
      <w:tr w:rsidR="00DC71C1" w:rsidRPr="00BC5498" w:rsidTr="00A425E5">
        <w:trPr>
          <w:trHeight w:val="301"/>
        </w:trPr>
        <w:tc>
          <w:tcPr>
            <w:tcW w:w="375" w:type="dxa"/>
            <w:tcBorders>
              <w:top w:val="nil"/>
              <w:left w:val="single" w:sz="4" w:space="0" w:color="000000"/>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7.</w:t>
            </w:r>
          </w:p>
        </w:tc>
        <w:tc>
          <w:tcPr>
            <w:tcW w:w="4050" w:type="dxa"/>
            <w:gridSpan w:val="2"/>
            <w:tcBorders>
              <w:top w:val="nil"/>
              <w:left w:val="nil"/>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WORKING CAPITAL ALLOWANCE</w:t>
            </w:r>
          </w:p>
        </w:tc>
        <w:tc>
          <w:tcPr>
            <w:tcW w:w="1620" w:type="dxa"/>
            <w:gridSpan w:val="2"/>
            <w:tcBorders>
              <w:top w:val="nil"/>
              <w:left w:val="nil"/>
              <w:bottom w:val="nil"/>
              <w:right w:val="nil"/>
            </w:tcBorders>
            <w:noWrap/>
            <w:vAlign w:val="bottom"/>
            <w:hideMark/>
          </w:tcPr>
          <w:p w:rsidR="00DC71C1" w:rsidRPr="00BC5498" w:rsidRDefault="00DC71C1" w:rsidP="00A425E5">
            <w:pPr>
              <w:jc w:val="right"/>
              <w:rPr>
                <w:rFonts w:ascii="SWISS" w:hAnsi="SWISS" w:cs="Arial"/>
                <w:color w:val="000000"/>
                <w:sz w:val="20"/>
                <w:szCs w:val="20"/>
                <w:u w:val="single"/>
              </w:rPr>
            </w:pPr>
            <w:r>
              <w:rPr>
                <w:rFonts w:ascii="SWISS" w:hAnsi="SWISS" w:cs="Arial"/>
                <w:color w:val="000000"/>
                <w:sz w:val="20"/>
                <w:szCs w:val="20"/>
                <w:u w:val="single"/>
              </w:rPr>
              <w:t>26,205</w:t>
            </w:r>
          </w:p>
        </w:tc>
        <w:tc>
          <w:tcPr>
            <w:tcW w:w="1710" w:type="dxa"/>
            <w:tcBorders>
              <w:top w:val="nil"/>
              <w:left w:val="nil"/>
              <w:bottom w:val="nil"/>
              <w:right w:val="nil"/>
            </w:tcBorders>
            <w:noWrap/>
            <w:vAlign w:val="bottom"/>
            <w:hideMark/>
          </w:tcPr>
          <w:p w:rsidR="00DC71C1" w:rsidRPr="00BC5498" w:rsidRDefault="00DC71C1" w:rsidP="00A425E5">
            <w:pPr>
              <w:jc w:val="right"/>
              <w:rPr>
                <w:rFonts w:ascii="SWISS" w:hAnsi="SWISS" w:cs="Arial"/>
                <w:color w:val="000000"/>
                <w:sz w:val="20"/>
                <w:szCs w:val="20"/>
                <w:u w:val="single"/>
              </w:rPr>
            </w:pPr>
            <w:r>
              <w:rPr>
                <w:rFonts w:ascii="SWISS" w:hAnsi="SWISS" w:cs="Arial"/>
                <w:color w:val="000000"/>
                <w:sz w:val="20"/>
                <w:szCs w:val="20"/>
                <w:u w:val="single"/>
              </w:rPr>
              <w:t>3</w:t>
            </w:r>
            <w:r w:rsidRPr="00BC5498">
              <w:rPr>
                <w:rFonts w:ascii="SWISS" w:hAnsi="SWISS" w:cs="Arial"/>
                <w:color w:val="000000"/>
                <w:sz w:val="20"/>
                <w:szCs w:val="20"/>
                <w:u w:val="single"/>
              </w:rPr>
              <w:t>,</w:t>
            </w:r>
            <w:r>
              <w:rPr>
                <w:rFonts w:ascii="SWISS" w:hAnsi="SWISS" w:cs="Arial"/>
                <w:color w:val="000000"/>
                <w:sz w:val="20"/>
                <w:szCs w:val="20"/>
                <w:u w:val="single"/>
              </w:rPr>
              <w:t>473</w:t>
            </w:r>
            <w:r w:rsidRPr="00BC5498">
              <w:rPr>
                <w:rFonts w:ascii="SWISS" w:hAnsi="SWISS" w:cs="Arial"/>
                <w:color w:val="000000"/>
                <w:sz w:val="20"/>
                <w:szCs w:val="20"/>
                <w:u w:val="single"/>
              </w:rPr>
              <w:t xml:space="preserve"> </w:t>
            </w:r>
          </w:p>
        </w:tc>
        <w:tc>
          <w:tcPr>
            <w:tcW w:w="1620" w:type="dxa"/>
            <w:tcBorders>
              <w:top w:val="nil"/>
              <w:left w:val="nil"/>
              <w:bottom w:val="nil"/>
              <w:right w:val="single" w:sz="4" w:space="0" w:color="000000"/>
            </w:tcBorders>
            <w:noWrap/>
            <w:vAlign w:val="bottom"/>
            <w:hideMark/>
          </w:tcPr>
          <w:p w:rsidR="00DC71C1" w:rsidRPr="00BC5498" w:rsidRDefault="00DC71C1" w:rsidP="00A425E5">
            <w:pPr>
              <w:jc w:val="right"/>
              <w:rPr>
                <w:rFonts w:ascii="SWISS" w:hAnsi="SWISS" w:cs="Arial"/>
                <w:color w:val="000000"/>
                <w:sz w:val="20"/>
                <w:szCs w:val="20"/>
                <w:u w:val="single"/>
              </w:rPr>
            </w:pPr>
            <w:r>
              <w:rPr>
                <w:rFonts w:ascii="SWISS" w:hAnsi="SWISS" w:cs="Arial"/>
                <w:color w:val="000000"/>
                <w:sz w:val="20"/>
                <w:szCs w:val="20"/>
                <w:u w:val="single"/>
              </w:rPr>
              <w:t>29</w:t>
            </w:r>
            <w:r w:rsidRPr="00BC5498">
              <w:rPr>
                <w:rFonts w:ascii="SWISS" w:hAnsi="SWISS" w:cs="Arial"/>
                <w:color w:val="000000"/>
                <w:sz w:val="20"/>
                <w:szCs w:val="20"/>
                <w:u w:val="single"/>
              </w:rPr>
              <w:t>,</w:t>
            </w:r>
            <w:r>
              <w:rPr>
                <w:rFonts w:ascii="SWISS" w:hAnsi="SWISS" w:cs="Arial"/>
                <w:color w:val="000000"/>
                <w:sz w:val="20"/>
                <w:szCs w:val="20"/>
                <w:u w:val="single"/>
              </w:rPr>
              <w:t>678</w:t>
            </w:r>
            <w:r w:rsidRPr="00BC5498">
              <w:rPr>
                <w:rFonts w:ascii="SWISS" w:hAnsi="SWISS" w:cs="Arial"/>
                <w:color w:val="000000"/>
                <w:sz w:val="20"/>
                <w:szCs w:val="20"/>
                <w:u w:val="single"/>
              </w:rPr>
              <w:t xml:space="preserve"> </w:t>
            </w:r>
          </w:p>
        </w:tc>
      </w:tr>
      <w:tr w:rsidR="00DC71C1" w:rsidRPr="00BC5498" w:rsidTr="00A425E5">
        <w:trPr>
          <w:trHeight w:val="301"/>
        </w:trPr>
        <w:tc>
          <w:tcPr>
            <w:tcW w:w="375" w:type="dxa"/>
            <w:tcBorders>
              <w:top w:val="nil"/>
              <w:left w:val="single" w:sz="4" w:space="0" w:color="000000"/>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DC71C1" w:rsidRPr="00BC5498" w:rsidRDefault="00DC71C1" w:rsidP="00A425E5">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620" w:type="dxa"/>
            <w:tcBorders>
              <w:top w:val="nil"/>
              <w:left w:val="nil"/>
              <w:bottom w:val="nil"/>
              <w:right w:val="single" w:sz="4" w:space="0" w:color="000000"/>
            </w:tcBorders>
            <w:noWrap/>
            <w:vAlign w:val="bottom"/>
          </w:tcPr>
          <w:p w:rsidR="00DC71C1" w:rsidRPr="00BC5498" w:rsidRDefault="00DC71C1" w:rsidP="00A425E5">
            <w:pPr>
              <w:jc w:val="right"/>
              <w:rPr>
                <w:rFonts w:ascii="SWISS" w:hAnsi="SWISS" w:cs="Arial"/>
                <w:color w:val="000000"/>
                <w:sz w:val="20"/>
                <w:szCs w:val="20"/>
              </w:rPr>
            </w:pPr>
          </w:p>
        </w:tc>
      </w:tr>
      <w:tr w:rsidR="00DC71C1" w:rsidRPr="00BC5498" w:rsidTr="00A425E5">
        <w:trPr>
          <w:trHeight w:val="301"/>
        </w:trPr>
        <w:tc>
          <w:tcPr>
            <w:tcW w:w="375" w:type="dxa"/>
            <w:tcBorders>
              <w:top w:val="nil"/>
              <w:left w:val="single" w:sz="4" w:space="0" w:color="000000"/>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8.</w:t>
            </w:r>
          </w:p>
        </w:tc>
        <w:tc>
          <w:tcPr>
            <w:tcW w:w="4050" w:type="dxa"/>
            <w:gridSpan w:val="2"/>
            <w:tcBorders>
              <w:top w:val="nil"/>
              <w:left w:val="nil"/>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WATER RATE BASE</w:t>
            </w:r>
          </w:p>
        </w:tc>
        <w:tc>
          <w:tcPr>
            <w:tcW w:w="1620" w:type="dxa"/>
            <w:gridSpan w:val="2"/>
            <w:tcBorders>
              <w:top w:val="nil"/>
              <w:left w:val="nil"/>
              <w:bottom w:val="nil"/>
              <w:right w:val="nil"/>
            </w:tcBorders>
            <w:noWrap/>
            <w:vAlign w:val="bottom"/>
            <w:hideMark/>
          </w:tcPr>
          <w:p w:rsidR="00DC71C1" w:rsidRPr="00BC5498" w:rsidRDefault="00DC71C1" w:rsidP="00A425E5">
            <w:pPr>
              <w:jc w:val="right"/>
              <w:rPr>
                <w:rFonts w:ascii="SWISS" w:hAnsi="SWISS" w:cs="Arial"/>
                <w:color w:val="000000"/>
                <w:sz w:val="20"/>
                <w:szCs w:val="20"/>
                <w:u w:val="double"/>
              </w:rPr>
            </w:pPr>
            <w:r w:rsidRPr="00BC5498">
              <w:rPr>
                <w:rFonts w:ascii="SWISS" w:hAnsi="SWISS" w:cs="Arial"/>
                <w:color w:val="000000"/>
                <w:sz w:val="20"/>
                <w:szCs w:val="20"/>
                <w:u w:val="double"/>
              </w:rPr>
              <w:t>$</w:t>
            </w:r>
            <w:r>
              <w:rPr>
                <w:rFonts w:ascii="SWISS" w:hAnsi="SWISS" w:cs="Arial"/>
                <w:color w:val="000000"/>
                <w:sz w:val="20"/>
                <w:szCs w:val="20"/>
                <w:u w:val="double"/>
              </w:rPr>
              <w:t>538</w:t>
            </w:r>
            <w:r w:rsidRPr="00BC5498">
              <w:rPr>
                <w:rFonts w:ascii="SWISS" w:hAnsi="SWISS" w:cs="Arial"/>
                <w:color w:val="000000"/>
                <w:sz w:val="20"/>
                <w:szCs w:val="20"/>
                <w:u w:val="double"/>
              </w:rPr>
              <w:t>,</w:t>
            </w:r>
            <w:r>
              <w:rPr>
                <w:rFonts w:ascii="SWISS" w:hAnsi="SWISS" w:cs="Arial"/>
                <w:color w:val="000000"/>
                <w:sz w:val="20"/>
                <w:szCs w:val="20"/>
                <w:u w:val="double"/>
              </w:rPr>
              <w:t>123</w:t>
            </w:r>
            <w:r w:rsidRPr="00BC5498">
              <w:rPr>
                <w:rFonts w:ascii="SWISS" w:hAnsi="SWISS" w:cs="Arial"/>
                <w:color w:val="000000"/>
                <w:sz w:val="20"/>
                <w:szCs w:val="20"/>
                <w:u w:val="double"/>
              </w:rPr>
              <w:t xml:space="preserve"> </w:t>
            </w:r>
          </w:p>
        </w:tc>
        <w:tc>
          <w:tcPr>
            <w:tcW w:w="1710" w:type="dxa"/>
            <w:tcBorders>
              <w:top w:val="nil"/>
              <w:left w:val="nil"/>
              <w:bottom w:val="nil"/>
              <w:right w:val="nil"/>
            </w:tcBorders>
            <w:noWrap/>
            <w:vAlign w:val="bottom"/>
            <w:hideMark/>
          </w:tcPr>
          <w:p w:rsidR="00DC71C1" w:rsidRPr="00BC5498" w:rsidRDefault="00DC71C1" w:rsidP="00A425E5">
            <w:pPr>
              <w:jc w:val="right"/>
              <w:rPr>
                <w:rFonts w:ascii="SWISS" w:hAnsi="SWISS" w:cs="Arial"/>
                <w:color w:val="000000"/>
                <w:sz w:val="20"/>
                <w:szCs w:val="20"/>
                <w:u w:val="double"/>
              </w:rPr>
            </w:pPr>
            <w:r w:rsidRPr="00BC5498">
              <w:rPr>
                <w:rFonts w:ascii="SWISS" w:hAnsi="SWISS" w:cs="Arial"/>
                <w:color w:val="000000"/>
                <w:sz w:val="20"/>
                <w:szCs w:val="20"/>
                <w:u w:val="double"/>
              </w:rPr>
              <w:t>$</w:t>
            </w:r>
            <w:r>
              <w:rPr>
                <w:rFonts w:ascii="SWISS" w:hAnsi="SWISS" w:cs="Arial"/>
                <w:color w:val="000000"/>
                <w:sz w:val="20"/>
                <w:szCs w:val="20"/>
                <w:u w:val="double"/>
              </w:rPr>
              <w:t>441</w:t>
            </w:r>
            <w:r w:rsidRPr="00BC5498">
              <w:rPr>
                <w:rFonts w:ascii="SWISS" w:hAnsi="SWISS" w:cs="Arial"/>
                <w:color w:val="000000"/>
                <w:sz w:val="20"/>
                <w:szCs w:val="20"/>
                <w:u w:val="double"/>
              </w:rPr>
              <w:t>,</w:t>
            </w:r>
            <w:r>
              <w:rPr>
                <w:rFonts w:ascii="SWISS" w:hAnsi="SWISS" w:cs="Arial"/>
                <w:color w:val="000000"/>
                <w:sz w:val="20"/>
                <w:szCs w:val="20"/>
                <w:u w:val="double"/>
              </w:rPr>
              <w:t>384</w:t>
            </w:r>
          </w:p>
        </w:tc>
        <w:tc>
          <w:tcPr>
            <w:tcW w:w="1620" w:type="dxa"/>
            <w:tcBorders>
              <w:top w:val="nil"/>
              <w:left w:val="nil"/>
              <w:bottom w:val="nil"/>
              <w:right w:val="single" w:sz="4" w:space="0" w:color="000000"/>
            </w:tcBorders>
            <w:noWrap/>
            <w:vAlign w:val="bottom"/>
            <w:hideMark/>
          </w:tcPr>
          <w:p w:rsidR="00DC71C1" w:rsidRPr="00BC5498" w:rsidRDefault="00DC71C1" w:rsidP="00A425E5">
            <w:pPr>
              <w:jc w:val="right"/>
              <w:rPr>
                <w:rFonts w:ascii="SWISS" w:hAnsi="SWISS" w:cs="Arial"/>
                <w:color w:val="000000"/>
                <w:sz w:val="20"/>
                <w:szCs w:val="20"/>
                <w:u w:val="double"/>
              </w:rPr>
            </w:pPr>
            <w:r w:rsidRPr="00BC5498">
              <w:rPr>
                <w:rFonts w:ascii="SWISS" w:hAnsi="SWISS" w:cs="Arial"/>
                <w:color w:val="000000"/>
                <w:sz w:val="20"/>
                <w:szCs w:val="20"/>
                <w:u w:val="double"/>
              </w:rPr>
              <w:t>$</w:t>
            </w:r>
            <w:r>
              <w:rPr>
                <w:rFonts w:ascii="SWISS" w:hAnsi="SWISS" w:cs="Arial"/>
                <w:color w:val="000000"/>
                <w:sz w:val="20"/>
                <w:szCs w:val="20"/>
                <w:u w:val="double"/>
              </w:rPr>
              <w:t>979</w:t>
            </w:r>
            <w:r w:rsidRPr="00BC5498">
              <w:rPr>
                <w:rFonts w:ascii="SWISS" w:hAnsi="SWISS" w:cs="Arial"/>
                <w:color w:val="000000"/>
                <w:sz w:val="20"/>
                <w:szCs w:val="20"/>
                <w:u w:val="double"/>
              </w:rPr>
              <w:t>,</w:t>
            </w:r>
            <w:r>
              <w:rPr>
                <w:rFonts w:ascii="SWISS" w:hAnsi="SWISS" w:cs="Arial"/>
                <w:color w:val="000000"/>
                <w:sz w:val="20"/>
                <w:szCs w:val="20"/>
                <w:u w:val="double"/>
              </w:rPr>
              <w:t>508</w:t>
            </w:r>
            <w:r w:rsidRPr="00BC5498">
              <w:rPr>
                <w:rFonts w:ascii="SWISS" w:hAnsi="SWISS" w:cs="Arial"/>
                <w:color w:val="000000"/>
                <w:sz w:val="20"/>
                <w:szCs w:val="20"/>
                <w:u w:val="double"/>
              </w:rPr>
              <w:t xml:space="preserve"> </w:t>
            </w:r>
          </w:p>
        </w:tc>
      </w:tr>
      <w:tr w:rsidR="00DC71C1" w:rsidRPr="00BC5498" w:rsidTr="00A425E5">
        <w:trPr>
          <w:trHeight w:val="301"/>
        </w:trPr>
        <w:tc>
          <w:tcPr>
            <w:tcW w:w="375" w:type="dxa"/>
            <w:tcBorders>
              <w:top w:val="nil"/>
              <w:left w:val="single" w:sz="4" w:space="0" w:color="000000"/>
              <w:bottom w:val="single" w:sz="4" w:space="0" w:color="000000"/>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4050" w:type="dxa"/>
            <w:gridSpan w:val="2"/>
            <w:tcBorders>
              <w:top w:val="nil"/>
              <w:left w:val="nil"/>
              <w:bottom w:val="single" w:sz="4" w:space="0" w:color="000000"/>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620" w:type="dxa"/>
            <w:gridSpan w:val="2"/>
            <w:tcBorders>
              <w:top w:val="nil"/>
              <w:left w:val="nil"/>
              <w:bottom w:val="single" w:sz="4" w:space="0" w:color="000000"/>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710" w:type="dxa"/>
            <w:tcBorders>
              <w:top w:val="nil"/>
              <w:left w:val="nil"/>
              <w:bottom w:val="single" w:sz="4" w:space="0" w:color="000000"/>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620" w:type="dxa"/>
            <w:tcBorders>
              <w:top w:val="nil"/>
              <w:left w:val="nil"/>
              <w:bottom w:val="single" w:sz="4" w:space="0" w:color="000000"/>
              <w:right w:val="single" w:sz="4" w:space="0" w:color="000000"/>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r>
    </w:tbl>
    <w:p w:rsidR="00956F7C" w:rsidRDefault="00956F7C" w:rsidP="00E275D8">
      <w:pPr>
        <w:pStyle w:val="BodyText"/>
        <w:rPr>
          <w:sz w:val="20"/>
          <w:szCs w:val="20"/>
        </w:rPr>
      </w:pPr>
    </w:p>
    <w:p w:rsidR="00956F7C" w:rsidRDefault="00956F7C" w:rsidP="00E275D8">
      <w:pPr>
        <w:pStyle w:val="BodyText"/>
        <w:sectPr w:rsidR="00956F7C" w:rsidSect="0068481F">
          <w:headerReference w:type="default" r:id="rId15"/>
          <w:pgSz w:w="12240" w:h="15840" w:code="1"/>
          <w:pgMar w:top="1584" w:right="1440" w:bottom="1440" w:left="1440" w:header="720" w:footer="720" w:gutter="0"/>
          <w:cols w:space="720"/>
          <w:formProt w:val="0"/>
          <w:docGrid w:linePitch="360"/>
        </w:sectPr>
      </w:pPr>
    </w:p>
    <w:p w:rsidR="00E06484" w:rsidRDefault="00E06484" w:rsidP="00E275D8">
      <w:pPr>
        <w:pStyle w:val="BodyText"/>
      </w:pPr>
    </w:p>
    <w:tbl>
      <w:tblPr>
        <w:tblW w:w="9468" w:type="dxa"/>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53"/>
        <w:gridCol w:w="216"/>
        <w:gridCol w:w="3562"/>
        <w:gridCol w:w="1713"/>
        <w:gridCol w:w="216"/>
        <w:gridCol w:w="1360"/>
        <w:gridCol w:w="236"/>
        <w:gridCol w:w="216"/>
        <w:gridCol w:w="1496"/>
      </w:tblGrid>
      <w:tr w:rsidR="00DC71C1" w:rsidRPr="00BC5498" w:rsidTr="00A425E5">
        <w:trPr>
          <w:trHeight w:val="301"/>
        </w:trPr>
        <w:tc>
          <w:tcPr>
            <w:tcW w:w="453" w:type="dxa"/>
            <w:tcBorders>
              <w:top w:val="single" w:sz="4" w:space="0" w:color="000000" w:themeColor="text1"/>
              <w:left w:val="single" w:sz="4" w:space="0" w:color="000000" w:themeColor="text1"/>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5491" w:type="dxa"/>
            <w:gridSpan w:val="3"/>
            <w:tcBorders>
              <w:top w:val="single" w:sz="4" w:space="0" w:color="000000" w:themeColor="text1"/>
              <w:left w:val="nil"/>
              <w:bottom w:val="nil"/>
              <w:right w:val="nil"/>
            </w:tcBorders>
            <w:noWrap/>
            <w:vAlign w:val="bottom"/>
            <w:hideMark/>
          </w:tcPr>
          <w:p w:rsidR="00DC71C1" w:rsidRPr="00BC5498" w:rsidRDefault="00DC71C1" w:rsidP="00A425E5">
            <w:pPr>
              <w:rPr>
                <w:rFonts w:ascii="SWISS" w:hAnsi="SWISS" w:cs="Arial"/>
                <w:color w:val="000000"/>
                <w:sz w:val="20"/>
                <w:szCs w:val="20"/>
              </w:rPr>
            </w:pPr>
            <w:r>
              <w:rPr>
                <w:rFonts w:ascii="SWISS" w:hAnsi="SWISS" w:cs="Arial"/>
                <w:b/>
                <w:bCs/>
                <w:color w:val="000000"/>
                <w:sz w:val="20"/>
                <w:szCs w:val="20"/>
              </w:rPr>
              <w:t>LITTLE GASPARILLA WATER UTILITY, INC.</w:t>
            </w:r>
          </w:p>
        </w:tc>
        <w:tc>
          <w:tcPr>
            <w:tcW w:w="3524" w:type="dxa"/>
            <w:gridSpan w:val="5"/>
            <w:tcBorders>
              <w:top w:val="single" w:sz="4" w:space="0" w:color="000000" w:themeColor="text1"/>
              <w:left w:val="nil"/>
              <w:bottom w:val="nil"/>
              <w:right w:val="single" w:sz="4" w:space="0" w:color="000000" w:themeColor="text1"/>
            </w:tcBorders>
            <w:noWrap/>
            <w:vAlign w:val="bottom"/>
            <w:hideMark/>
          </w:tcPr>
          <w:p w:rsidR="00DC71C1" w:rsidRPr="00BC5498" w:rsidRDefault="00DC71C1" w:rsidP="00A425E5">
            <w:pPr>
              <w:jc w:val="right"/>
              <w:rPr>
                <w:sz w:val="20"/>
                <w:szCs w:val="20"/>
              </w:rPr>
            </w:pPr>
            <w:r w:rsidRPr="00BC5498">
              <w:rPr>
                <w:rFonts w:ascii="SWISS" w:hAnsi="SWISS" w:cs="Arial"/>
                <w:b/>
                <w:bCs/>
                <w:color w:val="000000"/>
                <w:sz w:val="20"/>
                <w:szCs w:val="20"/>
              </w:rPr>
              <w:t>SCHEDULE NO. 1-</w:t>
            </w:r>
            <w:r>
              <w:rPr>
                <w:rFonts w:ascii="SWISS" w:hAnsi="SWISS" w:cs="Arial"/>
                <w:b/>
                <w:bCs/>
                <w:color w:val="000000"/>
                <w:sz w:val="20"/>
                <w:szCs w:val="20"/>
              </w:rPr>
              <w:t>B</w:t>
            </w:r>
            <w:r w:rsidRPr="00BC5498">
              <w:rPr>
                <w:sz w:val="20"/>
                <w:szCs w:val="20"/>
              </w:rPr>
              <w:fldChar w:fldCharType="begin"/>
            </w:r>
            <w:r w:rsidRPr="00BC5498">
              <w:rPr>
                <w:sz w:val="20"/>
                <w:szCs w:val="20"/>
              </w:rPr>
              <w:instrText xml:space="preserve"> TC " </w:instrText>
            </w:r>
            <w:bookmarkStart w:id="32" w:name="_Toc478581577"/>
            <w:bookmarkStart w:id="33" w:name="_Toc481571381"/>
            <w:bookmarkStart w:id="34" w:name="_Toc484800702"/>
            <w:bookmarkStart w:id="35" w:name="_Toc496733045"/>
            <w:bookmarkStart w:id="36" w:name="_Toc499901218"/>
            <w:r w:rsidRPr="00BC5498">
              <w:rPr>
                <w:sz w:val="20"/>
                <w:szCs w:val="20"/>
              </w:rPr>
              <w:instrText>Schedule No. 1-</w:instrText>
            </w:r>
            <w:r>
              <w:rPr>
                <w:sz w:val="20"/>
                <w:szCs w:val="20"/>
              </w:rPr>
              <w:instrText>B</w:instrText>
            </w:r>
            <w:r w:rsidRPr="00BC5498">
              <w:rPr>
                <w:sz w:val="20"/>
                <w:szCs w:val="20"/>
              </w:rPr>
              <w:instrText xml:space="preserve"> Adjustments To Rate Base</w:instrText>
            </w:r>
            <w:bookmarkEnd w:id="32"/>
            <w:bookmarkEnd w:id="33"/>
            <w:bookmarkEnd w:id="34"/>
            <w:bookmarkEnd w:id="35"/>
            <w:r>
              <w:rPr>
                <w:sz w:val="20"/>
                <w:szCs w:val="20"/>
              </w:rPr>
              <w:instrText xml:space="preserve"> – Phase II</w:instrText>
            </w:r>
            <w:bookmarkEnd w:id="36"/>
            <w:r w:rsidRPr="00BC5498">
              <w:rPr>
                <w:sz w:val="20"/>
                <w:szCs w:val="20"/>
              </w:rPr>
              <w:instrText xml:space="preserve">”l 1 </w:instrText>
            </w:r>
            <w:r w:rsidRPr="00BC5498">
              <w:rPr>
                <w:sz w:val="20"/>
                <w:szCs w:val="20"/>
              </w:rPr>
              <w:fldChar w:fldCharType="end"/>
            </w:r>
          </w:p>
        </w:tc>
      </w:tr>
      <w:tr w:rsidR="00DC71C1" w:rsidRPr="00BC5498" w:rsidTr="00A425E5">
        <w:trPr>
          <w:trHeight w:val="301"/>
        </w:trPr>
        <w:tc>
          <w:tcPr>
            <w:tcW w:w="453" w:type="dxa"/>
            <w:tcBorders>
              <w:top w:val="nil"/>
              <w:left w:val="single" w:sz="4" w:space="0" w:color="000000" w:themeColor="text1"/>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3778" w:type="dxa"/>
            <w:gridSpan w:val="2"/>
            <w:tcBorders>
              <w:top w:val="nil"/>
              <w:left w:val="nil"/>
              <w:bottom w:val="nil"/>
              <w:right w:val="nil"/>
            </w:tcBorders>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 xml:space="preserve">TEST YEAR ENDED </w:t>
            </w:r>
            <w:r>
              <w:rPr>
                <w:rFonts w:ascii="SWISS" w:hAnsi="SWISS" w:cs="Arial"/>
                <w:b/>
                <w:bCs/>
                <w:color w:val="000000"/>
                <w:sz w:val="20"/>
                <w:szCs w:val="20"/>
              </w:rPr>
              <w:t>9</w:t>
            </w:r>
            <w:r w:rsidRPr="00BC5498">
              <w:rPr>
                <w:rFonts w:ascii="SWISS" w:hAnsi="SWISS" w:cs="Arial"/>
                <w:b/>
                <w:bCs/>
                <w:color w:val="000000"/>
                <w:sz w:val="20"/>
                <w:szCs w:val="20"/>
              </w:rPr>
              <w:t>/</w:t>
            </w:r>
            <w:r>
              <w:rPr>
                <w:rFonts w:ascii="SWISS" w:hAnsi="SWISS" w:cs="Arial"/>
                <w:b/>
                <w:bCs/>
                <w:color w:val="000000"/>
                <w:sz w:val="20"/>
                <w:szCs w:val="20"/>
              </w:rPr>
              <w:t>30</w:t>
            </w:r>
            <w:r w:rsidRPr="00BC5498">
              <w:rPr>
                <w:rFonts w:ascii="SWISS" w:hAnsi="SWISS" w:cs="Arial"/>
                <w:b/>
                <w:bCs/>
                <w:color w:val="000000"/>
                <w:sz w:val="20"/>
                <w:szCs w:val="20"/>
              </w:rPr>
              <w:t>/201</w:t>
            </w:r>
            <w:r>
              <w:rPr>
                <w:rFonts w:ascii="SWISS" w:hAnsi="SWISS" w:cs="Arial"/>
                <w:b/>
                <w:bCs/>
                <w:color w:val="000000"/>
                <w:sz w:val="20"/>
                <w:szCs w:val="20"/>
              </w:rPr>
              <w:t>3</w:t>
            </w:r>
          </w:p>
        </w:tc>
        <w:tc>
          <w:tcPr>
            <w:tcW w:w="5237" w:type="dxa"/>
            <w:gridSpan w:val="6"/>
            <w:tcBorders>
              <w:top w:val="nil"/>
              <w:left w:val="nil"/>
              <w:bottom w:val="nil"/>
              <w:right w:val="single" w:sz="4" w:space="0" w:color="000000" w:themeColor="text1"/>
            </w:tcBorders>
            <w:noWrap/>
            <w:vAlign w:val="bottom"/>
          </w:tcPr>
          <w:p w:rsidR="00DC71C1" w:rsidRPr="00BC5498" w:rsidRDefault="00DC71C1" w:rsidP="00A425E5">
            <w:pPr>
              <w:jc w:val="right"/>
              <w:rPr>
                <w:rFonts w:ascii="SWISS" w:hAnsi="SWISS" w:cs="Arial"/>
                <w:b/>
                <w:bCs/>
                <w:color w:val="000000"/>
                <w:sz w:val="20"/>
                <w:szCs w:val="20"/>
              </w:rPr>
            </w:pPr>
            <w:r w:rsidRPr="00BC5498">
              <w:rPr>
                <w:rFonts w:ascii="SWISS" w:hAnsi="SWISS" w:cs="Arial"/>
                <w:b/>
                <w:bCs/>
                <w:color w:val="000000"/>
                <w:sz w:val="20"/>
                <w:szCs w:val="20"/>
              </w:rPr>
              <w:t>DOCKET NO. 20</w:t>
            </w:r>
            <w:r>
              <w:rPr>
                <w:rFonts w:ascii="SWISS" w:hAnsi="SWISS" w:cs="Arial"/>
                <w:b/>
                <w:bCs/>
                <w:color w:val="000000"/>
                <w:sz w:val="20"/>
                <w:szCs w:val="20"/>
              </w:rPr>
              <w:t>130265</w:t>
            </w:r>
            <w:r w:rsidRPr="00BC5498">
              <w:rPr>
                <w:rFonts w:ascii="SWISS" w:hAnsi="SWISS" w:cs="Arial"/>
                <w:b/>
                <w:bCs/>
                <w:color w:val="000000"/>
                <w:sz w:val="20"/>
                <w:szCs w:val="20"/>
              </w:rPr>
              <w:t>-W</w:t>
            </w:r>
            <w:r>
              <w:rPr>
                <w:rFonts w:ascii="SWISS" w:hAnsi="SWISS" w:cs="Arial"/>
                <w:b/>
                <w:bCs/>
                <w:color w:val="000000"/>
                <w:sz w:val="20"/>
                <w:szCs w:val="20"/>
              </w:rPr>
              <w:t>U</w:t>
            </w:r>
          </w:p>
        </w:tc>
      </w:tr>
      <w:tr w:rsidR="00DC71C1" w:rsidRPr="00BC5498" w:rsidTr="00A425E5">
        <w:trPr>
          <w:trHeight w:val="301"/>
        </w:trPr>
        <w:tc>
          <w:tcPr>
            <w:tcW w:w="453" w:type="dxa"/>
            <w:tcBorders>
              <w:top w:val="nil"/>
              <w:left w:val="single" w:sz="4" w:space="0" w:color="000000" w:themeColor="text1"/>
              <w:bottom w:val="single" w:sz="4" w:space="0" w:color="000000" w:themeColor="text1"/>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5707" w:type="dxa"/>
            <w:gridSpan w:val="4"/>
            <w:tcBorders>
              <w:top w:val="nil"/>
              <w:left w:val="nil"/>
              <w:bottom w:val="single" w:sz="4" w:space="0" w:color="000000" w:themeColor="text1"/>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b/>
                <w:bCs/>
                <w:color w:val="000000"/>
                <w:sz w:val="20"/>
                <w:szCs w:val="20"/>
              </w:rPr>
              <w:t>ADJUSTMENTS TO RATE BASE</w:t>
            </w:r>
            <w:r>
              <w:rPr>
                <w:rFonts w:ascii="SWISS" w:hAnsi="SWISS" w:cs="Arial"/>
                <w:b/>
                <w:bCs/>
                <w:color w:val="000000"/>
                <w:sz w:val="20"/>
                <w:szCs w:val="20"/>
              </w:rPr>
              <w:t xml:space="preserve"> (PHASE II)</w:t>
            </w:r>
          </w:p>
        </w:tc>
        <w:tc>
          <w:tcPr>
            <w:tcW w:w="1812" w:type="dxa"/>
            <w:gridSpan w:val="3"/>
            <w:tcBorders>
              <w:top w:val="nil"/>
              <w:left w:val="nil"/>
              <w:bottom w:val="single" w:sz="4" w:space="0" w:color="000000" w:themeColor="text1"/>
              <w:right w:val="nil"/>
            </w:tcBorders>
            <w:noWrap/>
            <w:vAlign w:val="bottom"/>
          </w:tcPr>
          <w:p w:rsidR="00DC71C1" w:rsidRPr="00BC5498" w:rsidRDefault="00DC71C1" w:rsidP="00A425E5">
            <w:pPr>
              <w:rPr>
                <w:rFonts w:ascii="SWISS" w:hAnsi="SWISS" w:cs="Arial"/>
                <w:color w:val="000000"/>
                <w:sz w:val="20"/>
                <w:szCs w:val="20"/>
              </w:rPr>
            </w:pPr>
          </w:p>
        </w:tc>
        <w:tc>
          <w:tcPr>
            <w:tcW w:w="1496" w:type="dxa"/>
            <w:tcBorders>
              <w:top w:val="nil"/>
              <w:left w:val="nil"/>
              <w:bottom w:val="single" w:sz="4" w:space="0" w:color="000000" w:themeColor="text1"/>
              <w:right w:val="single" w:sz="4" w:space="0" w:color="000000" w:themeColor="text1"/>
            </w:tcBorders>
            <w:noWrap/>
            <w:vAlign w:val="bottom"/>
          </w:tcPr>
          <w:p w:rsidR="00DC71C1" w:rsidRPr="00BC5498" w:rsidRDefault="00DC71C1" w:rsidP="00A425E5">
            <w:pPr>
              <w:rPr>
                <w:rFonts w:ascii="SWISS" w:hAnsi="SWISS" w:cs="Arial"/>
                <w:color w:val="000000"/>
                <w:sz w:val="20"/>
                <w:szCs w:val="20"/>
              </w:rPr>
            </w:pPr>
          </w:p>
        </w:tc>
      </w:tr>
      <w:tr w:rsidR="00DC71C1" w:rsidRPr="00BC5498" w:rsidTr="00A425E5">
        <w:trPr>
          <w:trHeight w:val="292"/>
        </w:trPr>
        <w:tc>
          <w:tcPr>
            <w:tcW w:w="669" w:type="dxa"/>
            <w:gridSpan w:val="2"/>
            <w:tcBorders>
              <w:top w:val="single" w:sz="4" w:space="0" w:color="000000" w:themeColor="text1"/>
              <w:left w:val="single" w:sz="4" w:space="0" w:color="000000" w:themeColor="text1"/>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6851" w:type="dxa"/>
            <w:gridSpan w:val="4"/>
            <w:tcBorders>
              <w:top w:val="single" w:sz="4" w:space="0" w:color="000000" w:themeColor="text1"/>
              <w:left w:val="nil"/>
              <w:bottom w:val="nil"/>
              <w:right w:val="nil"/>
            </w:tcBorders>
            <w:noWrap/>
            <w:vAlign w:val="bottom"/>
          </w:tcPr>
          <w:p w:rsidR="00DC71C1" w:rsidRPr="00BC5498" w:rsidRDefault="00DC71C1" w:rsidP="00A425E5">
            <w:pPr>
              <w:rPr>
                <w:sz w:val="20"/>
                <w:szCs w:val="20"/>
              </w:rPr>
            </w:pPr>
          </w:p>
        </w:tc>
        <w:tc>
          <w:tcPr>
            <w:tcW w:w="236" w:type="dxa"/>
            <w:tcBorders>
              <w:top w:val="single" w:sz="4" w:space="0" w:color="000000" w:themeColor="text1"/>
              <w:left w:val="nil"/>
              <w:bottom w:val="nil"/>
              <w:right w:val="nil"/>
            </w:tcBorders>
            <w:noWrap/>
            <w:vAlign w:val="bottom"/>
          </w:tcPr>
          <w:p w:rsidR="00DC71C1" w:rsidRPr="00BC5498" w:rsidRDefault="00DC71C1" w:rsidP="00A425E5">
            <w:pPr>
              <w:rPr>
                <w:sz w:val="20"/>
                <w:szCs w:val="20"/>
              </w:rPr>
            </w:pPr>
          </w:p>
        </w:tc>
        <w:tc>
          <w:tcPr>
            <w:tcW w:w="1712" w:type="dxa"/>
            <w:gridSpan w:val="2"/>
            <w:tcBorders>
              <w:top w:val="single" w:sz="4" w:space="0" w:color="000000" w:themeColor="text1"/>
              <w:left w:val="nil"/>
              <w:bottom w:val="nil"/>
              <w:right w:val="single" w:sz="4" w:space="0" w:color="000000" w:themeColor="text1"/>
            </w:tcBorders>
            <w:noWrap/>
            <w:vAlign w:val="bottom"/>
            <w:hideMark/>
          </w:tcPr>
          <w:p w:rsidR="00DC71C1" w:rsidRPr="00BC5498" w:rsidRDefault="00DC71C1" w:rsidP="00A425E5">
            <w:pPr>
              <w:rPr>
                <w:sz w:val="20"/>
                <w:szCs w:val="20"/>
              </w:rPr>
            </w:pPr>
          </w:p>
        </w:tc>
      </w:tr>
      <w:tr w:rsidR="00DC71C1" w:rsidRPr="00BC5498" w:rsidTr="00A425E5">
        <w:trPr>
          <w:trHeight w:val="292"/>
        </w:trPr>
        <w:tc>
          <w:tcPr>
            <w:tcW w:w="669" w:type="dxa"/>
            <w:gridSpan w:val="2"/>
            <w:tcBorders>
              <w:top w:val="nil"/>
              <w:left w:val="single" w:sz="4" w:space="0" w:color="000000" w:themeColor="text1"/>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6851" w:type="dxa"/>
            <w:gridSpan w:val="4"/>
            <w:tcBorders>
              <w:top w:val="nil"/>
              <w:left w:val="nil"/>
              <w:bottom w:val="nil"/>
              <w:right w:val="nil"/>
            </w:tcBorders>
            <w:noWrap/>
            <w:vAlign w:val="bottom"/>
          </w:tcPr>
          <w:p w:rsidR="00DC71C1" w:rsidRPr="00BC5498" w:rsidRDefault="00DC71C1" w:rsidP="00A425E5">
            <w:pPr>
              <w:rPr>
                <w:sz w:val="20"/>
                <w:szCs w:val="20"/>
              </w:rPr>
            </w:pPr>
          </w:p>
        </w:tc>
        <w:tc>
          <w:tcPr>
            <w:tcW w:w="236" w:type="dxa"/>
            <w:tcBorders>
              <w:top w:val="nil"/>
              <w:left w:val="nil"/>
              <w:bottom w:val="nil"/>
              <w:right w:val="nil"/>
            </w:tcBorders>
            <w:noWrap/>
            <w:vAlign w:val="bottom"/>
          </w:tcPr>
          <w:p w:rsidR="00DC71C1" w:rsidRPr="00BC5498" w:rsidRDefault="00DC71C1" w:rsidP="00A425E5">
            <w:pPr>
              <w:jc w:val="center"/>
              <w:rPr>
                <w:rFonts w:ascii="SWISS" w:hAnsi="SWISS" w:cs="Arial"/>
                <w:b/>
                <w:bCs/>
                <w:color w:val="000000"/>
                <w:sz w:val="20"/>
                <w:szCs w:val="20"/>
                <w:u w:val="single"/>
              </w:rPr>
            </w:pPr>
          </w:p>
        </w:tc>
        <w:tc>
          <w:tcPr>
            <w:tcW w:w="1712" w:type="dxa"/>
            <w:gridSpan w:val="2"/>
            <w:tcBorders>
              <w:top w:val="nil"/>
              <w:left w:val="nil"/>
              <w:bottom w:val="nil"/>
              <w:right w:val="single" w:sz="4" w:space="0" w:color="000000" w:themeColor="text1"/>
            </w:tcBorders>
            <w:noWrap/>
            <w:vAlign w:val="bottom"/>
          </w:tcPr>
          <w:p w:rsidR="00DC71C1" w:rsidRPr="00BC5498" w:rsidRDefault="00DC71C1" w:rsidP="00A425E5">
            <w:pPr>
              <w:jc w:val="center"/>
              <w:rPr>
                <w:rFonts w:ascii="SWISS" w:hAnsi="SWISS" w:cs="Arial"/>
                <w:b/>
                <w:bCs/>
                <w:color w:val="000000"/>
                <w:sz w:val="20"/>
                <w:szCs w:val="20"/>
                <w:u w:val="single"/>
              </w:rPr>
            </w:pPr>
            <w:r w:rsidRPr="00BC5498">
              <w:rPr>
                <w:rFonts w:ascii="SWISS" w:hAnsi="SWISS" w:cs="Arial"/>
                <w:b/>
                <w:bCs/>
                <w:color w:val="000000"/>
                <w:sz w:val="20"/>
                <w:szCs w:val="20"/>
                <w:u w:val="single"/>
              </w:rPr>
              <w:t>WATER</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6851" w:type="dxa"/>
            <w:gridSpan w:val="4"/>
            <w:tcBorders>
              <w:top w:val="nil"/>
              <w:left w:val="nil"/>
              <w:bottom w:val="nil"/>
              <w:right w:val="nil"/>
            </w:tcBorders>
            <w:noWrap/>
            <w:vAlign w:val="bottom"/>
            <w:hideMark/>
          </w:tcPr>
          <w:p w:rsidR="00DC71C1" w:rsidRPr="00BC5498" w:rsidRDefault="00DC71C1" w:rsidP="00A425E5">
            <w:pPr>
              <w:rPr>
                <w:rFonts w:ascii="SWISS" w:hAnsi="SWISS" w:cs="Arial"/>
                <w:b/>
                <w:bCs/>
                <w:color w:val="000000"/>
                <w:sz w:val="20"/>
                <w:szCs w:val="20"/>
                <w:u w:val="single"/>
              </w:rPr>
            </w:pPr>
            <w:r w:rsidRPr="00BC5498">
              <w:rPr>
                <w:rFonts w:ascii="SWISS" w:hAnsi="SWISS" w:cs="Arial"/>
                <w:b/>
                <w:bCs/>
                <w:color w:val="000000"/>
                <w:sz w:val="20"/>
                <w:szCs w:val="20"/>
                <w:u w:val="single"/>
              </w:rPr>
              <w:t>UTILITY PLANT IN SERVICE</w:t>
            </w:r>
          </w:p>
        </w:tc>
        <w:tc>
          <w:tcPr>
            <w:tcW w:w="236" w:type="dxa"/>
            <w:tcBorders>
              <w:top w:val="nil"/>
              <w:left w:val="nil"/>
              <w:bottom w:val="nil"/>
              <w:right w:val="nil"/>
            </w:tcBorders>
            <w:noWrap/>
            <w:vAlign w:val="bottom"/>
          </w:tcPr>
          <w:p w:rsidR="00DC71C1" w:rsidRPr="00BC5498" w:rsidRDefault="00DC71C1" w:rsidP="00A425E5">
            <w:pPr>
              <w:rPr>
                <w:sz w:val="20"/>
                <w:szCs w:val="20"/>
              </w:rPr>
            </w:pPr>
          </w:p>
        </w:tc>
        <w:tc>
          <w:tcPr>
            <w:tcW w:w="1712" w:type="dxa"/>
            <w:gridSpan w:val="2"/>
            <w:tcBorders>
              <w:top w:val="nil"/>
              <w:left w:val="nil"/>
              <w:bottom w:val="nil"/>
              <w:right w:val="single" w:sz="4" w:space="0" w:color="000000" w:themeColor="text1"/>
            </w:tcBorders>
            <w:noWrap/>
            <w:vAlign w:val="bottom"/>
          </w:tcPr>
          <w:p w:rsidR="00DC71C1" w:rsidRPr="00BC5498" w:rsidRDefault="00DC71C1" w:rsidP="00A425E5">
            <w:pPr>
              <w:rPr>
                <w:sz w:val="20"/>
                <w:szCs w:val="20"/>
              </w:rPr>
            </w:pPr>
          </w:p>
        </w:tc>
      </w:tr>
      <w:tr w:rsidR="00DC71C1" w:rsidRPr="00BC5498" w:rsidTr="00A425E5">
        <w:trPr>
          <w:trHeight w:val="292"/>
        </w:trPr>
        <w:tc>
          <w:tcPr>
            <w:tcW w:w="669" w:type="dxa"/>
            <w:gridSpan w:val="2"/>
            <w:tcBorders>
              <w:top w:val="nil"/>
              <w:left w:val="single" w:sz="4" w:space="0" w:color="000000" w:themeColor="text1"/>
              <w:bottom w:val="nil"/>
              <w:right w:val="nil"/>
            </w:tcBorders>
            <w:noWrap/>
            <w:hideMark/>
          </w:tcPr>
          <w:p w:rsidR="00DC71C1" w:rsidRDefault="00DC71C1" w:rsidP="00A425E5">
            <w:pPr>
              <w:jc w:val="right"/>
              <w:rPr>
                <w:rFonts w:ascii="SWISS" w:hAnsi="SWISS" w:cs="Arial"/>
                <w:color w:val="000000"/>
                <w:sz w:val="20"/>
                <w:szCs w:val="20"/>
              </w:rPr>
            </w:pPr>
            <w:r>
              <w:rPr>
                <w:rFonts w:ascii="SWISS" w:hAnsi="SWISS" w:cs="Arial"/>
                <w:color w:val="000000"/>
                <w:sz w:val="20"/>
                <w:szCs w:val="20"/>
              </w:rPr>
              <w:t>1.</w:t>
            </w:r>
          </w:p>
        </w:tc>
        <w:tc>
          <w:tcPr>
            <w:tcW w:w="6851" w:type="dxa"/>
            <w:gridSpan w:val="4"/>
            <w:tcBorders>
              <w:top w:val="nil"/>
              <w:left w:val="nil"/>
              <w:bottom w:val="nil"/>
              <w:right w:val="nil"/>
            </w:tcBorders>
            <w:noWrap/>
            <w:vAlign w:val="bottom"/>
            <w:hideMark/>
          </w:tcPr>
          <w:p w:rsidR="00DC71C1" w:rsidRDefault="00DC71C1" w:rsidP="00A425E5">
            <w:pPr>
              <w:rPr>
                <w:rFonts w:ascii="SWISS" w:hAnsi="SWISS" w:cs="Arial"/>
                <w:color w:val="000000"/>
                <w:sz w:val="20"/>
                <w:szCs w:val="20"/>
              </w:rPr>
            </w:pPr>
            <w:r>
              <w:rPr>
                <w:rFonts w:ascii="SWISS" w:hAnsi="SWISS" w:cs="Arial"/>
                <w:color w:val="000000"/>
                <w:sz w:val="20"/>
                <w:szCs w:val="20"/>
              </w:rPr>
              <w:t>To reflect pro forma plant addition for easements for county interconnect to Account 309.</w:t>
            </w: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 xml:space="preserve">54 </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tcPr>
          <w:p w:rsidR="00DC71C1" w:rsidRDefault="00DC71C1" w:rsidP="00A425E5">
            <w:pPr>
              <w:jc w:val="right"/>
              <w:rPr>
                <w:rFonts w:ascii="SWISS" w:hAnsi="SWISS" w:cs="Arial"/>
                <w:color w:val="000000"/>
                <w:sz w:val="20"/>
                <w:szCs w:val="20"/>
              </w:rPr>
            </w:pPr>
            <w:r>
              <w:rPr>
                <w:rFonts w:ascii="SWISS" w:hAnsi="SWISS" w:cs="Arial"/>
                <w:color w:val="000000"/>
                <w:sz w:val="20"/>
                <w:szCs w:val="20"/>
              </w:rPr>
              <w:t>2.</w:t>
            </w:r>
          </w:p>
        </w:tc>
        <w:tc>
          <w:tcPr>
            <w:tcW w:w="6851" w:type="dxa"/>
            <w:gridSpan w:val="4"/>
            <w:tcBorders>
              <w:top w:val="nil"/>
              <w:left w:val="nil"/>
              <w:bottom w:val="nil"/>
              <w:right w:val="nil"/>
            </w:tcBorders>
            <w:noWrap/>
            <w:vAlign w:val="bottom"/>
          </w:tcPr>
          <w:p w:rsidR="00DC71C1" w:rsidRDefault="00DC71C1" w:rsidP="00A425E5">
            <w:pPr>
              <w:rPr>
                <w:rFonts w:ascii="SWISS" w:hAnsi="SWISS" w:cs="Arial"/>
                <w:color w:val="000000"/>
                <w:sz w:val="20"/>
                <w:szCs w:val="20"/>
              </w:rPr>
            </w:pPr>
            <w:r>
              <w:rPr>
                <w:rFonts w:ascii="SWISS" w:hAnsi="SWISS" w:cs="Arial"/>
                <w:color w:val="000000"/>
                <w:sz w:val="20"/>
                <w:szCs w:val="20"/>
              </w:rPr>
              <w:t>To reflect pro forma plant addition for easements for north line extension to Account 331</w:t>
            </w: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 xml:space="preserve">21,810 </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hideMark/>
          </w:tcPr>
          <w:p w:rsidR="00DC71C1" w:rsidRDefault="00DC71C1" w:rsidP="00A425E5">
            <w:pPr>
              <w:jc w:val="right"/>
              <w:rPr>
                <w:rFonts w:ascii="SWISS" w:hAnsi="SWISS" w:cs="Arial"/>
                <w:color w:val="000000"/>
                <w:sz w:val="20"/>
                <w:szCs w:val="20"/>
              </w:rPr>
            </w:pPr>
            <w:r>
              <w:rPr>
                <w:rFonts w:ascii="SWISS" w:hAnsi="SWISS" w:cs="Arial"/>
                <w:color w:val="000000"/>
                <w:sz w:val="20"/>
                <w:szCs w:val="20"/>
              </w:rPr>
              <w:t>3.</w:t>
            </w:r>
          </w:p>
        </w:tc>
        <w:tc>
          <w:tcPr>
            <w:tcW w:w="6851" w:type="dxa"/>
            <w:gridSpan w:val="4"/>
            <w:tcBorders>
              <w:top w:val="nil"/>
              <w:left w:val="nil"/>
              <w:bottom w:val="nil"/>
              <w:right w:val="nil"/>
            </w:tcBorders>
            <w:noWrap/>
            <w:vAlign w:val="bottom"/>
            <w:hideMark/>
          </w:tcPr>
          <w:p w:rsidR="00DC71C1" w:rsidRDefault="00DC71C1" w:rsidP="00A425E5">
            <w:pPr>
              <w:rPr>
                <w:rFonts w:ascii="SWISS" w:hAnsi="SWISS" w:cs="Arial"/>
                <w:color w:val="000000"/>
                <w:sz w:val="20"/>
                <w:szCs w:val="20"/>
              </w:rPr>
            </w:pPr>
            <w:r>
              <w:rPr>
                <w:rFonts w:ascii="SWISS" w:hAnsi="SWISS" w:cs="Arial"/>
                <w:color w:val="000000"/>
                <w:sz w:val="20"/>
                <w:szCs w:val="20"/>
              </w:rPr>
              <w:t>To reflect pro forma easement clearing costs for new utility building to Account 304.</w:t>
            </w: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 xml:space="preserve">1,200 </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tcPr>
          <w:p w:rsidR="00DC71C1" w:rsidRDefault="00DC71C1" w:rsidP="00A425E5">
            <w:pPr>
              <w:jc w:val="right"/>
              <w:rPr>
                <w:rFonts w:ascii="SWISS" w:hAnsi="SWISS" w:cs="Arial"/>
                <w:color w:val="000000"/>
                <w:sz w:val="20"/>
                <w:szCs w:val="20"/>
              </w:rPr>
            </w:pPr>
            <w:r>
              <w:rPr>
                <w:rFonts w:ascii="SWISS" w:hAnsi="SWISS" w:cs="Arial"/>
                <w:color w:val="000000"/>
                <w:sz w:val="20"/>
                <w:szCs w:val="20"/>
              </w:rPr>
              <w:t>4.</w:t>
            </w:r>
          </w:p>
        </w:tc>
        <w:tc>
          <w:tcPr>
            <w:tcW w:w="6851" w:type="dxa"/>
            <w:gridSpan w:val="4"/>
            <w:tcBorders>
              <w:top w:val="nil"/>
              <w:left w:val="nil"/>
              <w:bottom w:val="nil"/>
              <w:right w:val="nil"/>
            </w:tcBorders>
            <w:noWrap/>
            <w:vAlign w:val="bottom"/>
          </w:tcPr>
          <w:p w:rsidR="00DC71C1" w:rsidRDefault="00DC71C1" w:rsidP="00A425E5">
            <w:pPr>
              <w:rPr>
                <w:rFonts w:ascii="SWISS" w:hAnsi="SWISS" w:cs="Arial"/>
                <w:color w:val="000000"/>
                <w:sz w:val="20"/>
                <w:szCs w:val="20"/>
              </w:rPr>
            </w:pPr>
            <w:r>
              <w:rPr>
                <w:rFonts w:ascii="SWISS" w:hAnsi="SWISS" w:cs="Arial"/>
                <w:color w:val="000000"/>
                <w:sz w:val="20"/>
                <w:szCs w:val="20"/>
              </w:rPr>
              <w:t>To reflect actual cost incurred during Phase I for north line extension project to Account 331.</w:t>
            </w: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(25,023)</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hideMark/>
          </w:tcPr>
          <w:p w:rsidR="00DC71C1" w:rsidRDefault="00DC71C1" w:rsidP="00A425E5">
            <w:pPr>
              <w:jc w:val="right"/>
              <w:rPr>
                <w:rFonts w:ascii="SWISS" w:hAnsi="SWISS" w:cs="Arial"/>
                <w:color w:val="000000"/>
                <w:sz w:val="20"/>
                <w:szCs w:val="20"/>
              </w:rPr>
            </w:pPr>
            <w:r>
              <w:rPr>
                <w:rFonts w:ascii="SWISS" w:hAnsi="SWISS" w:cs="Arial"/>
                <w:color w:val="000000"/>
                <w:sz w:val="20"/>
                <w:szCs w:val="20"/>
              </w:rPr>
              <w:t>5.</w:t>
            </w:r>
          </w:p>
        </w:tc>
        <w:tc>
          <w:tcPr>
            <w:tcW w:w="6851" w:type="dxa"/>
            <w:gridSpan w:val="4"/>
            <w:tcBorders>
              <w:top w:val="nil"/>
              <w:left w:val="nil"/>
              <w:bottom w:val="nil"/>
              <w:right w:val="nil"/>
            </w:tcBorders>
            <w:noWrap/>
            <w:vAlign w:val="bottom"/>
            <w:hideMark/>
          </w:tcPr>
          <w:p w:rsidR="00DC71C1" w:rsidRDefault="00DC71C1" w:rsidP="00A425E5">
            <w:pPr>
              <w:rPr>
                <w:rFonts w:ascii="SWISS" w:hAnsi="SWISS" w:cs="Arial"/>
                <w:color w:val="000000"/>
                <w:sz w:val="20"/>
                <w:szCs w:val="20"/>
              </w:rPr>
            </w:pPr>
            <w:r>
              <w:rPr>
                <w:rFonts w:ascii="SWISS" w:hAnsi="SWISS" w:cs="Arial"/>
                <w:color w:val="000000"/>
                <w:sz w:val="20"/>
                <w:szCs w:val="20"/>
              </w:rPr>
              <w:t>To reflect removal of an unrelated water main repair from Account 331.</w:t>
            </w: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(125)</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hideMark/>
          </w:tcPr>
          <w:p w:rsidR="00DC71C1" w:rsidRDefault="00DC71C1" w:rsidP="00A425E5">
            <w:pPr>
              <w:jc w:val="right"/>
              <w:rPr>
                <w:rFonts w:ascii="SWISS" w:hAnsi="SWISS" w:cs="Arial"/>
                <w:color w:val="000000"/>
                <w:sz w:val="20"/>
                <w:szCs w:val="20"/>
              </w:rPr>
            </w:pPr>
            <w:r>
              <w:rPr>
                <w:rFonts w:ascii="SWISS" w:hAnsi="SWISS" w:cs="Arial"/>
                <w:color w:val="000000"/>
                <w:sz w:val="20"/>
                <w:szCs w:val="20"/>
              </w:rPr>
              <w:t>6.</w:t>
            </w:r>
          </w:p>
        </w:tc>
        <w:tc>
          <w:tcPr>
            <w:tcW w:w="6851" w:type="dxa"/>
            <w:gridSpan w:val="4"/>
            <w:tcBorders>
              <w:top w:val="nil"/>
              <w:left w:val="nil"/>
              <w:bottom w:val="nil"/>
              <w:right w:val="nil"/>
            </w:tcBorders>
            <w:noWrap/>
            <w:vAlign w:val="bottom"/>
          </w:tcPr>
          <w:p w:rsidR="00DC71C1" w:rsidRDefault="00DC71C1" w:rsidP="00A425E5">
            <w:pPr>
              <w:rPr>
                <w:rFonts w:ascii="SWISS" w:hAnsi="SWISS" w:cs="Arial"/>
                <w:color w:val="000000"/>
                <w:sz w:val="20"/>
                <w:szCs w:val="20"/>
              </w:rPr>
            </w:pPr>
            <w:r>
              <w:rPr>
                <w:rFonts w:ascii="SWISS" w:hAnsi="SWISS" w:cs="Arial"/>
                <w:color w:val="000000"/>
                <w:sz w:val="20"/>
                <w:szCs w:val="20"/>
              </w:rPr>
              <w:t>To reflect plant addition for north line extension after obtained easements to Account 331.</w:t>
            </w: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 xml:space="preserve">9,426 </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hideMark/>
          </w:tcPr>
          <w:p w:rsidR="00DC71C1" w:rsidRDefault="00DC71C1" w:rsidP="00A425E5">
            <w:pPr>
              <w:jc w:val="right"/>
              <w:rPr>
                <w:rFonts w:ascii="SWISS" w:hAnsi="SWISS" w:cs="Arial"/>
                <w:color w:val="000000"/>
                <w:sz w:val="20"/>
                <w:szCs w:val="20"/>
              </w:rPr>
            </w:pPr>
            <w:r>
              <w:rPr>
                <w:rFonts w:ascii="SWISS" w:hAnsi="SWISS" w:cs="Arial"/>
                <w:color w:val="000000"/>
                <w:sz w:val="20"/>
                <w:szCs w:val="20"/>
              </w:rPr>
              <w:t>7.</w:t>
            </w:r>
          </w:p>
        </w:tc>
        <w:tc>
          <w:tcPr>
            <w:tcW w:w="6851" w:type="dxa"/>
            <w:gridSpan w:val="4"/>
            <w:tcBorders>
              <w:top w:val="nil"/>
              <w:left w:val="nil"/>
              <w:bottom w:val="nil"/>
              <w:right w:val="nil"/>
            </w:tcBorders>
            <w:noWrap/>
          </w:tcPr>
          <w:p w:rsidR="00DC71C1" w:rsidRDefault="00DC71C1" w:rsidP="00A425E5">
            <w:pPr>
              <w:rPr>
                <w:rFonts w:ascii="SWISS" w:hAnsi="SWISS" w:cs="Arial"/>
                <w:color w:val="000000"/>
                <w:sz w:val="20"/>
                <w:szCs w:val="20"/>
              </w:rPr>
            </w:pPr>
            <w:r>
              <w:rPr>
                <w:rFonts w:ascii="SWISS" w:hAnsi="SWISS" w:cs="Arial"/>
                <w:color w:val="000000"/>
                <w:sz w:val="20"/>
                <w:szCs w:val="20"/>
              </w:rPr>
              <w:t>To reflect actual cost for subaqueous pipeline and interconnection to Account 309.</w:t>
            </w: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 xml:space="preserve">33,102 </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tcPr>
          <w:p w:rsidR="00DC71C1" w:rsidRDefault="00DC71C1" w:rsidP="00A425E5">
            <w:pPr>
              <w:jc w:val="right"/>
              <w:rPr>
                <w:rFonts w:ascii="SWISS" w:hAnsi="SWISS" w:cs="Arial"/>
                <w:color w:val="000000"/>
                <w:sz w:val="20"/>
                <w:szCs w:val="20"/>
              </w:rPr>
            </w:pPr>
            <w:r>
              <w:rPr>
                <w:rFonts w:ascii="SWISS" w:hAnsi="SWISS" w:cs="Arial"/>
                <w:color w:val="000000"/>
                <w:sz w:val="20"/>
                <w:szCs w:val="20"/>
              </w:rPr>
              <w:t>8.</w:t>
            </w:r>
          </w:p>
        </w:tc>
        <w:tc>
          <w:tcPr>
            <w:tcW w:w="6851" w:type="dxa"/>
            <w:gridSpan w:val="4"/>
            <w:tcBorders>
              <w:top w:val="nil"/>
              <w:left w:val="nil"/>
              <w:bottom w:val="nil"/>
              <w:right w:val="nil"/>
            </w:tcBorders>
            <w:noWrap/>
          </w:tcPr>
          <w:p w:rsidR="00DC71C1" w:rsidRDefault="00DC71C1" w:rsidP="00A425E5">
            <w:pPr>
              <w:rPr>
                <w:rFonts w:ascii="SWISS" w:hAnsi="SWISS" w:cs="Arial"/>
                <w:color w:val="000000"/>
                <w:sz w:val="20"/>
                <w:szCs w:val="20"/>
              </w:rPr>
            </w:pPr>
            <w:r>
              <w:rPr>
                <w:rFonts w:ascii="SWISS" w:hAnsi="SWISS" w:cs="Arial"/>
                <w:color w:val="000000"/>
                <w:sz w:val="20"/>
                <w:szCs w:val="20"/>
              </w:rPr>
              <w:t>To remove the refunded construction water deposit from Account 309.</w:t>
            </w: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(1,500)</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hideMark/>
          </w:tcPr>
          <w:p w:rsidR="00DC71C1" w:rsidRDefault="00DC71C1" w:rsidP="00A425E5">
            <w:pPr>
              <w:jc w:val="right"/>
              <w:rPr>
                <w:rFonts w:ascii="SWISS" w:hAnsi="SWISS" w:cs="Arial"/>
                <w:color w:val="000000"/>
                <w:sz w:val="20"/>
                <w:szCs w:val="20"/>
              </w:rPr>
            </w:pPr>
            <w:r>
              <w:rPr>
                <w:rFonts w:ascii="SWISS" w:hAnsi="SWISS" w:cs="Arial"/>
                <w:color w:val="000000"/>
                <w:sz w:val="20"/>
                <w:szCs w:val="20"/>
              </w:rPr>
              <w:t>9.</w:t>
            </w:r>
          </w:p>
        </w:tc>
        <w:tc>
          <w:tcPr>
            <w:tcW w:w="6851" w:type="dxa"/>
            <w:gridSpan w:val="4"/>
            <w:tcBorders>
              <w:top w:val="nil"/>
              <w:left w:val="nil"/>
              <w:bottom w:val="nil"/>
              <w:right w:val="nil"/>
            </w:tcBorders>
            <w:noWrap/>
            <w:vAlign w:val="bottom"/>
            <w:hideMark/>
          </w:tcPr>
          <w:p w:rsidR="00DC71C1" w:rsidRDefault="00DC71C1" w:rsidP="00A425E5">
            <w:pPr>
              <w:rPr>
                <w:rFonts w:ascii="SWISS" w:hAnsi="SWISS" w:cs="Arial"/>
                <w:color w:val="000000"/>
                <w:sz w:val="20"/>
                <w:szCs w:val="20"/>
              </w:rPr>
            </w:pPr>
            <w:r>
              <w:rPr>
                <w:rFonts w:ascii="SWISS" w:hAnsi="SWISS" w:cs="Arial"/>
                <w:color w:val="000000"/>
                <w:sz w:val="20"/>
                <w:szCs w:val="20"/>
              </w:rPr>
              <w:t>To reflect removal of non-utility items from Account 309.</w:t>
            </w: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(677)</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tcPr>
          <w:p w:rsidR="00DC71C1" w:rsidRDefault="00DC71C1" w:rsidP="00A425E5">
            <w:pPr>
              <w:jc w:val="right"/>
              <w:rPr>
                <w:rFonts w:ascii="SWISS" w:hAnsi="SWISS" w:cs="Arial"/>
                <w:color w:val="000000"/>
                <w:sz w:val="20"/>
                <w:szCs w:val="20"/>
              </w:rPr>
            </w:pPr>
            <w:r>
              <w:rPr>
                <w:rFonts w:ascii="SWISS" w:hAnsi="SWISS" w:cs="Arial"/>
                <w:color w:val="000000"/>
                <w:sz w:val="20"/>
                <w:szCs w:val="20"/>
              </w:rPr>
              <w:t>10.</w:t>
            </w:r>
          </w:p>
        </w:tc>
        <w:tc>
          <w:tcPr>
            <w:tcW w:w="6851" w:type="dxa"/>
            <w:gridSpan w:val="4"/>
            <w:tcBorders>
              <w:top w:val="nil"/>
              <w:left w:val="nil"/>
              <w:bottom w:val="nil"/>
              <w:right w:val="nil"/>
            </w:tcBorders>
            <w:noWrap/>
            <w:vAlign w:val="bottom"/>
            <w:hideMark/>
          </w:tcPr>
          <w:p w:rsidR="00DC71C1" w:rsidRDefault="00DC71C1" w:rsidP="00A425E5">
            <w:pPr>
              <w:rPr>
                <w:rFonts w:ascii="SWISS" w:hAnsi="SWISS" w:cs="Arial"/>
                <w:color w:val="000000"/>
                <w:sz w:val="20"/>
                <w:szCs w:val="20"/>
              </w:rPr>
            </w:pPr>
            <w:r>
              <w:rPr>
                <w:rFonts w:ascii="SWISS" w:hAnsi="SWISS" w:cs="Arial"/>
                <w:color w:val="000000"/>
                <w:sz w:val="20"/>
                <w:szCs w:val="20"/>
              </w:rPr>
              <w:t>To reflect pro forma plant addition for new utility building to Account 304.</w:t>
            </w: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 xml:space="preserve">$355,218 </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tcPr>
          <w:p w:rsidR="00DC71C1" w:rsidRDefault="00DC71C1" w:rsidP="00A425E5">
            <w:pPr>
              <w:jc w:val="right"/>
              <w:rPr>
                <w:rFonts w:ascii="SWISS" w:hAnsi="SWISS" w:cs="Arial"/>
                <w:color w:val="000000"/>
                <w:sz w:val="20"/>
                <w:szCs w:val="20"/>
              </w:rPr>
            </w:pPr>
            <w:r>
              <w:rPr>
                <w:rFonts w:ascii="SWISS" w:hAnsi="SWISS" w:cs="Arial"/>
                <w:color w:val="000000"/>
                <w:sz w:val="20"/>
                <w:szCs w:val="20"/>
              </w:rPr>
              <w:t>11.</w:t>
            </w:r>
          </w:p>
        </w:tc>
        <w:tc>
          <w:tcPr>
            <w:tcW w:w="6851" w:type="dxa"/>
            <w:gridSpan w:val="4"/>
            <w:tcBorders>
              <w:top w:val="nil"/>
              <w:left w:val="nil"/>
              <w:bottom w:val="nil"/>
              <w:right w:val="nil"/>
            </w:tcBorders>
            <w:noWrap/>
            <w:vAlign w:val="bottom"/>
          </w:tcPr>
          <w:p w:rsidR="00DC71C1" w:rsidRDefault="00DC71C1" w:rsidP="00A425E5">
            <w:pPr>
              <w:rPr>
                <w:rFonts w:ascii="SWISS" w:hAnsi="SWISS" w:cs="Arial"/>
                <w:color w:val="000000"/>
                <w:sz w:val="20"/>
                <w:szCs w:val="20"/>
              </w:rPr>
            </w:pPr>
            <w:r>
              <w:rPr>
                <w:rFonts w:ascii="SWISS" w:hAnsi="SWISS" w:cs="Arial"/>
                <w:color w:val="000000"/>
                <w:sz w:val="20"/>
                <w:szCs w:val="20"/>
              </w:rPr>
              <w:t>To reflect pro forma legal fees for new utility building to Account 304.</w:t>
            </w: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 xml:space="preserve">3,645 </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tcPr>
          <w:p w:rsidR="00DC71C1" w:rsidRDefault="00DC71C1" w:rsidP="00A425E5">
            <w:pPr>
              <w:jc w:val="right"/>
              <w:rPr>
                <w:rFonts w:ascii="SWISS" w:hAnsi="SWISS" w:cs="Arial"/>
                <w:color w:val="000000"/>
                <w:sz w:val="20"/>
                <w:szCs w:val="20"/>
              </w:rPr>
            </w:pPr>
            <w:r>
              <w:rPr>
                <w:rFonts w:ascii="SWISS" w:hAnsi="SWISS" w:cs="Arial"/>
                <w:color w:val="000000"/>
                <w:sz w:val="20"/>
                <w:szCs w:val="20"/>
              </w:rPr>
              <w:t>12.</w:t>
            </w:r>
          </w:p>
        </w:tc>
        <w:tc>
          <w:tcPr>
            <w:tcW w:w="6851" w:type="dxa"/>
            <w:gridSpan w:val="4"/>
            <w:tcBorders>
              <w:top w:val="nil"/>
              <w:left w:val="nil"/>
              <w:bottom w:val="nil"/>
              <w:right w:val="nil"/>
            </w:tcBorders>
            <w:noWrap/>
            <w:vAlign w:val="bottom"/>
          </w:tcPr>
          <w:p w:rsidR="00DC71C1" w:rsidRDefault="00DC71C1" w:rsidP="00A425E5">
            <w:pPr>
              <w:rPr>
                <w:rFonts w:ascii="SWISS" w:hAnsi="SWISS" w:cs="Arial"/>
                <w:color w:val="000000"/>
                <w:sz w:val="20"/>
                <w:szCs w:val="20"/>
              </w:rPr>
            </w:pPr>
            <w:r>
              <w:rPr>
                <w:rFonts w:ascii="SWISS" w:hAnsi="SWISS" w:cs="Arial"/>
                <w:color w:val="000000"/>
                <w:sz w:val="20"/>
                <w:szCs w:val="20"/>
              </w:rPr>
              <w:t>To reflect removal of non-project related expense.</w:t>
            </w: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(250)</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tcPr>
          <w:p w:rsidR="00DC71C1" w:rsidRDefault="00DC71C1" w:rsidP="00A425E5">
            <w:pPr>
              <w:jc w:val="right"/>
              <w:rPr>
                <w:rFonts w:ascii="SWISS" w:hAnsi="SWISS" w:cs="Arial"/>
                <w:color w:val="000000"/>
                <w:sz w:val="20"/>
                <w:szCs w:val="20"/>
              </w:rPr>
            </w:pPr>
            <w:r>
              <w:rPr>
                <w:rFonts w:ascii="SWISS" w:hAnsi="SWISS" w:cs="Arial"/>
                <w:color w:val="000000"/>
                <w:sz w:val="20"/>
                <w:szCs w:val="20"/>
              </w:rPr>
              <w:t>13.</w:t>
            </w:r>
          </w:p>
        </w:tc>
        <w:tc>
          <w:tcPr>
            <w:tcW w:w="6851" w:type="dxa"/>
            <w:gridSpan w:val="4"/>
            <w:tcBorders>
              <w:top w:val="nil"/>
              <w:left w:val="nil"/>
              <w:bottom w:val="nil"/>
              <w:right w:val="nil"/>
            </w:tcBorders>
            <w:noWrap/>
            <w:vAlign w:val="bottom"/>
          </w:tcPr>
          <w:p w:rsidR="00DC71C1" w:rsidRDefault="00DC71C1" w:rsidP="00A425E5">
            <w:pPr>
              <w:rPr>
                <w:rFonts w:ascii="SWISS" w:hAnsi="SWISS" w:cs="Arial"/>
                <w:color w:val="000000"/>
                <w:sz w:val="20"/>
                <w:szCs w:val="20"/>
              </w:rPr>
            </w:pPr>
            <w:r>
              <w:rPr>
                <w:rFonts w:ascii="SWISS" w:hAnsi="SWISS" w:cs="Arial"/>
                <w:color w:val="000000"/>
                <w:sz w:val="20"/>
                <w:szCs w:val="20"/>
              </w:rPr>
              <w:t>To reflect retirement of plant replaced by utility building.</w:t>
            </w: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(52,151)</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tcPr>
          <w:p w:rsidR="00DC71C1" w:rsidRDefault="00DC71C1" w:rsidP="00A425E5">
            <w:pPr>
              <w:jc w:val="right"/>
              <w:rPr>
                <w:rFonts w:ascii="SWISS" w:hAnsi="SWISS" w:cs="Arial"/>
                <w:color w:val="000000"/>
                <w:sz w:val="20"/>
                <w:szCs w:val="20"/>
              </w:rPr>
            </w:pPr>
            <w:r>
              <w:rPr>
                <w:rFonts w:ascii="SWISS" w:hAnsi="SWISS" w:cs="Arial"/>
                <w:color w:val="000000"/>
                <w:sz w:val="20"/>
                <w:szCs w:val="20"/>
              </w:rPr>
              <w:t>14.</w:t>
            </w:r>
          </w:p>
        </w:tc>
        <w:tc>
          <w:tcPr>
            <w:tcW w:w="6851" w:type="dxa"/>
            <w:gridSpan w:val="4"/>
            <w:tcBorders>
              <w:top w:val="nil"/>
              <w:left w:val="nil"/>
              <w:bottom w:val="nil"/>
              <w:right w:val="nil"/>
            </w:tcBorders>
            <w:noWrap/>
            <w:vAlign w:val="bottom"/>
          </w:tcPr>
          <w:p w:rsidR="00DC71C1" w:rsidRDefault="00DC71C1" w:rsidP="00A425E5">
            <w:pPr>
              <w:rPr>
                <w:rFonts w:ascii="SWISS" w:hAnsi="SWISS" w:cs="Arial"/>
                <w:color w:val="000000"/>
                <w:sz w:val="20"/>
                <w:szCs w:val="20"/>
              </w:rPr>
            </w:pPr>
            <w:r>
              <w:rPr>
                <w:rFonts w:ascii="SWISS" w:hAnsi="SWISS" w:cs="Arial"/>
                <w:color w:val="000000"/>
                <w:sz w:val="20"/>
                <w:szCs w:val="20"/>
              </w:rPr>
              <w:t>To reclassify building demolition/removal cost to accumulated depreciation.</w:t>
            </w: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(29,179)</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tcPr>
          <w:p w:rsidR="00DC71C1" w:rsidRDefault="00DC71C1" w:rsidP="00A425E5">
            <w:pPr>
              <w:jc w:val="right"/>
              <w:rPr>
                <w:rFonts w:ascii="SWISS" w:hAnsi="SWISS" w:cs="Arial"/>
                <w:color w:val="000000"/>
                <w:sz w:val="20"/>
                <w:szCs w:val="20"/>
              </w:rPr>
            </w:pPr>
            <w:r>
              <w:rPr>
                <w:rFonts w:ascii="SWISS" w:hAnsi="SWISS" w:cs="Arial"/>
                <w:color w:val="000000"/>
                <w:sz w:val="20"/>
                <w:szCs w:val="20"/>
              </w:rPr>
              <w:t>15.</w:t>
            </w:r>
          </w:p>
        </w:tc>
        <w:tc>
          <w:tcPr>
            <w:tcW w:w="6851" w:type="dxa"/>
            <w:gridSpan w:val="4"/>
            <w:tcBorders>
              <w:top w:val="nil"/>
              <w:left w:val="nil"/>
              <w:bottom w:val="nil"/>
              <w:right w:val="nil"/>
            </w:tcBorders>
            <w:noWrap/>
            <w:vAlign w:val="bottom"/>
          </w:tcPr>
          <w:p w:rsidR="00DC71C1" w:rsidRDefault="00DC71C1" w:rsidP="00A425E5">
            <w:pPr>
              <w:rPr>
                <w:rFonts w:ascii="SWISS" w:hAnsi="SWISS" w:cs="Arial"/>
                <w:color w:val="000000"/>
                <w:sz w:val="20"/>
                <w:szCs w:val="20"/>
              </w:rPr>
            </w:pPr>
            <w:r>
              <w:rPr>
                <w:rFonts w:ascii="SWISS" w:hAnsi="SWISS" w:cs="Arial"/>
                <w:color w:val="000000"/>
                <w:sz w:val="20"/>
                <w:szCs w:val="20"/>
              </w:rPr>
              <w:t>To reflect completed pro forma drive-by meter change out program to Account 334.</w:t>
            </w: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00"/>
                <w:sz w:val="20"/>
                <w:szCs w:val="20"/>
                <w:u w:val="single"/>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 xml:space="preserve">56,094 </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16.</w:t>
            </w:r>
          </w:p>
        </w:tc>
        <w:tc>
          <w:tcPr>
            <w:tcW w:w="6851" w:type="dxa"/>
            <w:gridSpan w:val="4"/>
            <w:tcBorders>
              <w:top w:val="nil"/>
              <w:left w:val="nil"/>
              <w:bottom w:val="nil"/>
              <w:right w:val="nil"/>
            </w:tcBorders>
            <w:noWrap/>
            <w:vAlign w:val="bottom"/>
          </w:tcPr>
          <w:p w:rsidR="00DC71C1" w:rsidRDefault="00DC71C1" w:rsidP="00A425E5">
            <w:pPr>
              <w:rPr>
                <w:rFonts w:ascii="SWISS" w:hAnsi="SWISS" w:cs="Arial"/>
                <w:color w:val="000000"/>
                <w:sz w:val="20"/>
                <w:szCs w:val="20"/>
              </w:rPr>
            </w:pPr>
            <w:r>
              <w:rPr>
                <w:rFonts w:ascii="SWISS" w:hAnsi="SWISS" w:cs="Arial"/>
                <w:color w:val="000000"/>
                <w:sz w:val="20"/>
                <w:szCs w:val="20"/>
              </w:rPr>
              <w:t>To reflect completed retirement of replaced meters.</w:t>
            </w: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FF"/>
                <w:sz w:val="20"/>
                <w:szCs w:val="20"/>
                <w:u w:val="double"/>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u w:val="single"/>
              </w:rPr>
            </w:pPr>
            <w:r>
              <w:rPr>
                <w:rFonts w:ascii="SWISS" w:hAnsi="SWISS" w:cs="Arial"/>
                <w:color w:val="000000"/>
                <w:sz w:val="20"/>
                <w:szCs w:val="20"/>
                <w:u w:val="single"/>
              </w:rPr>
              <w:t>(6,826)</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 </w:t>
            </w:r>
          </w:p>
        </w:tc>
        <w:tc>
          <w:tcPr>
            <w:tcW w:w="6851" w:type="dxa"/>
            <w:gridSpan w:val="4"/>
            <w:tcBorders>
              <w:top w:val="nil"/>
              <w:left w:val="nil"/>
              <w:bottom w:val="nil"/>
              <w:right w:val="nil"/>
            </w:tcBorders>
            <w:noWrap/>
            <w:vAlign w:val="bottom"/>
          </w:tcPr>
          <w:p w:rsidR="00DC71C1" w:rsidRDefault="00DC71C1" w:rsidP="00A425E5">
            <w:pPr>
              <w:rPr>
                <w:rFonts w:ascii="SWISS" w:hAnsi="SWISS" w:cs="Arial"/>
                <w:color w:val="000000"/>
                <w:sz w:val="20"/>
                <w:szCs w:val="20"/>
              </w:rPr>
            </w:pPr>
            <w:r>
              <w:rPr>
                <w:rFonts w:ascii="SWISS" w:hAnsi="SWISS" w:cs="Arial"/>
                <w:color w:val="000000"/>
                <w:sz w:val="20"/>
                <w:szCs w:val="20"/>
              </w:rPr>
              <w:t xml:space="preserve">     Total</w:t>
            </w: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FF"/>
                <w:sz w:val="20"/>
                <w:szCs w:val="20"/>
                <w:u w:val="double"/>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FF"/>
                <w:sz w:val="20"/>
                <w:szCs w:val="20"/>
                <w:u w:val="double"/>
              </w:rPr>
            </w:pPr>
            <w:r w:rsidRPr="00265D26">
              <w:rPr>
                <w:rFonts w:ascii="SWISS" w:hAnsi="SWISS" w:cs="Arial"/>
                <w:sz w:val="20"/>
                <w:szCs w:val="20"/>
                <w:u w:val="double"/>
              </w:rPr>
              <w:t>$364,816</w:t>
            </w:r>
            <w:r>
              <w:rPr>
                <w:rFonts w:ascii="SWISS" w:hAnsi="SWISS" w:cs="Arial"/>
                <w:color w:val="0000FF"/>
                <w:sz w:val="20"/>
                <w:szCs w:val="20"/>
                <w:u w:val="double"/>
              </w:rPr>
              <w:t xml:space="preserve"> </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tcPr>
          <w:p w:rsidR="00DC71C1" w:rsidRDefault="00DC71C1" w:rsidP="00A425E5">
            <w:pPr>
              <w:jc w:val="right"/>
              <w:rPr>
                <w:rFonts w:ascii="SWISS" w:hAnsi="SWISS" w:cs="Arial"/>
                <w:color w:val="000000"/>
                <w:sz w:val="20"/>
                <w:szCs w:val="20"/>
              </w:rPr>
            </w:pPr>
          </w:p>
        </w:tc>
        <w:tc>
          <w:tcPr>
            <w:tcW w:w="6851" w:type="dxa"/>
            <w:gridSpan w:val="4"/>
            <w:tcBorders>
              <w:top w:val="nil"/>
              <w:left w:val="nil"/>
              <w:bottom w:val="nil"/>
              <w:right w:val="nil"/>
            </w:tcBorders>
            <w:noWrap/>
            <w:vAlign w:val="bottom"/>
          </w:tcPr>
          <w:p w:rsidR="00DC71C1" w:rsidRDefault="00DC71C1" w:rsidP="00A425E5">
            <w:pPr>
              <w:rPr>
                <w:rFonts w:ascii="SWISS" w:hAnsi="SWISS" w:cs="Arial"/>
                <w:color w:val="000000"/>
                <w:sz w:val="20"/>
                <w:szCs w:val="20"/>
              </w:rPr>
            </w:pPr>
          </w:p>
        </w:tc>
        <w:tc>
          <w:tcPr>
            <w:tcW w:w="236" w:type="dxa"/>
            <w:tcBorders>
              <w:top w:val="nil"/>
              <w:left w:val="nil"/>
              <w:bottom w:val="nil"/>
              <w:right w:val="nil"/>
            </w:tcBorders>
            <w:noWrap/>
            <w:vAlign w:val="bottom"/>
          </w:tcPr>
          <w:p w:rsidR="00DC71C1"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p>
        </w:tc>
      </w:tr>
      <w:tr w:rsidR="00DC71C1" w:rsidRPr="00BC5498" w:rsidTr="00A425E5">
        <w:trPr>
          <w:trHeight w:val="292"/>
        </w:trPr>
        <w:tc>
          <w:tcPr>
            <w:tcW w:w="669" w:type="dxa"/>
            <w:gridSpan w:val="2"/>
            <w:tcBorders>
              <w:top w:val="nil"/>
              <w:left w:val="single" w:sz="4" w:space="0" w:color="000000" w:themeColor="text1"/>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6851" w:type="dxa"/>
            <w:gridSpan w:val="4"/>
            <w:tcBorders>
              <w:top w:val="nil"/>
              <w:left w:val="nil"/>
              <w:bottom w:val="nil"/>
              <w:right w:val="nil"/>
            </w:tcBorders>
            <w:noWrap/>
            <w:vAlign w:val="bottom"/>
            <w:hideMark/>
          </w:tcPr>
          <w:p w:rsidR="00DC71C1" w:rsidRPr="00BC5498" w:rsidRDefault="00DC71C1" w:rsidP="00A425E5">
            <w:pPr>
              <w:rPr>
                <w:rFonts w:ascii="SWISS" w:hAnsi="SWISS" w:cs="Arial"/>
                <w:b/>
                <w:bCs/>
                <w:color w:val="000000"/>
                <w:sz w:val="20"/>
                <w:szCs w:val="20"/>
                <w:u w:val="single"/>
              </w:rPr>
            </w:pPr>
            <w:r w:rsidRPr="00BC5498">
              <w:rPr>
                <w:rFonts w:ascii="SWISS" w:hAnsi="SWISS" w:cs="Arial"/>
                <w:b/>
                <w:bCs/>
                <w:color w:val="000000"/>
                <w:sz w:val="20"/>
                <w:szCs w:val="20"/>
                <w:u w:val="single"/>
              </w:rPr>
              <w:t>ACCUMULATED DEPRECIATION</w:t>
            </w:r>
          </w:p>
        </w:tc>
        <w:tc>
          <w:tcPr>
            <w:tcW w:w="236" w:type="dxa"/>
            <w:tcBorders>
              <w:top w:val="nil"/>
              <w:left w:val="nil"/>
              <w:bottom w:val="nil"/>
              <w:right w:val="nil"/>
            </w:tcBorders>
            <w:noWrap/>
            <w:vAlign w:val="bottom"/>
          </w:tcPr>
          <w:p w:rsidR="00DC71C1" w:rsidRPr="00BC5498" w:rsidRDefault="00DC71C1" w:rsidP="00A425E5">
            <w:pPr>
              <w:rPr>
                <w:sz w:val="20"/>
                <w:szCs w:val="20"/>
              </w:rPr>
            </w:pPr>
          </w:p>
        </w:tc>
        <w:tc>
          <w:tcPr>
            <w:tcW w:w="1712" w:type="dxa"/>
            <w:gridSpan w:val="2"/>
            <w:tcBorders>
              <w:top w:val="nil"/>
              <w:left w:val="nil"/>
              <w:bottom w:val="nil"/>
              <w:right w:val="single" w:sz="4" w:space="0" w:color="000000" w:themeColor="text1"/>
            </w:tcBorders>
            <w:noWrap/>
            <w:vAlign w:val="bottom"/>
          </w:tcPr>
          <w:p w:rsidR="00DC71C1" w:rsidRPr="00BC5498" w:rsidRDefault="00DC71C1" w:rsidP="00A425E5">
            <w:pPr>
              <w:rPr>
                <w:sz w:val="20"/>
                <w:szCs w:val="20"/>
              </w:rPr>
            </w:pPr>
          </w:p>
        </w:tc>
      </w:tr>
      <w:tr w:rsidR="00DC71C1" w:rsidRPr="00BC5498" w:rsidTr="00A425E5">
        <w:trPr>
          <w:trHeight w:val="292"/>
        </w:trPr>
        <w:tc>
          <w:tcPr>
            <w:tcW w:w="669" w:type="dxa"/>
            <w:gridSpan w:val="2"/>
            <w:tcBorders>
              <w:top w:val="nil"/>
              <w:left w:val="single" w:sz="4" w:space="0" w:color="000000" w:themeColor="text1"/>
              <w:bottom w:val="nil"/>
              <w:right w:val="nil"/>
            </w:tcBorders>
            <w:noWrap/>
            <w:vAlign w:val="bottom"/>
            <w:hideMark/>
          </w:tcPr>
          <w:p w:rsidR="00DC71C1" w:rsidRDefault="00DC71C1" w:rsidP="00A425E5">
            <w:pPr>
              <w:jc w:val="right"/>
              <w:rPr>
                <w:rFonts w:ascii="SWISS" w:hAnsi="SWISS" w:cs="Arial"/>
                <w:color w:val="000000"/>
                <w:sz w:val="20"/>
                <w:szCs w:val="20"/>
              </w:rPr>
            </w:pPr>
            <w:r>
              <w:rPr>
                <w:rFonts w:ascii="SWISS" w:hAnsi="SWISS" w:cs="Arial"/>
                <w:color w:val="000000"/>
                <w:sz w:val="20"/>
                <w:szCs w:val="20"/>
              </w:rPr>
              <w:t>1.</w:t>
            </w:r>
          </w:p>
        </w:tc>
        <w:tc>
          <w:tcPr>
            <w:tcW w:w="6851" w:type="dxa"/>
            <w:gridSpan w:val="4"/>
            <w:tcBorders>
              <w:top w:val="nil"/>
              <w:left w:val="nil"/>
              <w:bottom w:val="nil"/>
              <w:right w:val="nil"/>
            </w:tcBorders>
            <w:noWrap/>
            <w:vAlign w:val="bottom"/>
            <w:hideMark/>
          </w:tcPr>
          <w:p w:rsidR="00DC71C1" w:rsidRDefault="00DC71C1" w:rsidP="00A425E5">
            <w:pPr>
              <w:rPr>
                <w:rFonts w:ascii="SWISS" w:hAnsi="SWISS" w:cs="Arial"/>
                <w:color w:val="000000"/>
                <w:sz w:val="20"/>
                <w:szCs w:val="20"/>
              </w:rPr>
            </w:pPr>
            <w:r>
              <w:rPr>
                <w:rFonts w:ascii="SWISS" w:hAnsi="SWISS" w:cs="Arial"/>
                <w:color w:val="000000"/>
                <w:sz w:val="20"/>
                <w:szCs w:val="20"/>
              </w:rPr>
              <w:t>To reflect accumulated depreciation on pro forma additions and retirements.</w:t>
            </w:r>
          </w:p>
        </w:tc>
        <w:tc>
          <w:tcPr>
            <w:tcW w:w="236" w:type="dxa"/>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u w:val="single"/>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($15,061)</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2.</w:t>
            </w:r>
          </w:p>
        </w:tc>
        <w:tc>
          <w:tcPr>
            <w:tcW w:w="6851" w:type="dxa"/>
            <w:gridSpan w:val="4"/>
            <w:tcBorders>
              <w:top w:val="nil"/>
              <w:left w:val="nil"/>
              <w:bottom w:val="nil"/>
              <w:right w:val="nil"/>
            </w:tcBorders>
            <w:noWrap/>
            <w:vAlign w:val="bottom"/>
          </w:tcPr>
          <w:p w:rsidR="00DC71C1" w:rsidRDefault="00DC71C1" w:rsidP="00A425E5">
            <w:pPr>
              <w:rPr>
                <w:rFonts w:ascii="SWISS" w:hAnsi="SWISS" w:cs="Arial"/>
                <w:color w:val="000000"/>
                <w:sz w:val="20"/>
                <w:szCs w:val="20"/>
              </w:rPr>
            </w:pPr>
            <w:r>
              <w:rPr>
                <w:rFonts w:ascii="SWISS" w:hAnsi="SWISS" w:cs="Arial"/>
                <w:color w:val="000000"/>
                <w:sz w:val="20"/>
                <w:szCs w:val="20"/>
              </w:rPr>
              <w:t>To reflect retirement of replaced utility building.</w:t>
            </w:r>
          </w:p>
        </w:tc>
        <w:tc>
          <w:tcPr>
            <w:tcW w:w="236" w:type="dxa"/>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 xml:space="preserve">$52,151 </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vAlign w:val="bottom"/>
            <w:hideMark/>
          </w:tcPr>
          <w:p w:rsidR="00DC71C1" w:rsidRDefault="00DC71C1" w:rsidP="00A425E5">
            <w:pPr>
              <w:jc w:val="right"/>
              <w:rPr>
                <w:rFonts w:ascii="SWISS" w:hAnsi="SWISS" w:cs="Arial"/>
                <w:color w:val="000000"/>
                <w:sz w:val="20"/>
                <w:szCs w:val="20"/>
              </w:rPr>
            </w:pPr>
            <w:r>
              <w:rPr>
                <w:rFonts w:ascii="SWISS" w:hAnsi="SWISS" w:cs="Arial"/>
                <w:color w:val="000000"/>
                <w:sz w:val="20"/>
                <w:szCs w:val="20"/>
              </w:rPr>
              <w:t>3.</w:t>
            </w:r>
          </w:p>
        </w:tc>
        <w:tc>
          <w:tcPr>
            <w:tcW w:w="6851" w:type="dxa"/>
            <w:gridSpan w:val="4"/>
            <w:tcBorders>
              <w:top w:val="nil"/>
              <w:left w:val="nil"/>
              <w:bottom w:val="nil"/>
              <w:right w:val="nil"/>
            </w:tcBorders>
            <w:noWrap/>
            <w:vAlign w:val="bottom"/>
            <w:hideMark/>
          </w:tcPr>
          <w:p w:rsidR="00DC71C1" w:rsidRDefault="00DC71C1" w:rsidP="00A425E5">
            <w:pPr>
              <w:rPr>
                <w:rFonts w:ascii="SWISS" w:hAnsi="SWISS" w:cs="Arial"/>
                <w:color w:val="000000"/>
                <w:sz w:val="20"/>
                <w:szCs w:val="20"/>
              </w:rPr>
            </w:pPr>
            <w:r>
              <w:rPr>
                <w:rFonts w:ascii="SWISS" w:hAnsi="SWISS" w:cs="Arial"/>
                <w:color w:val="000000"/>
                <w:sz w:val="20"/>
                <w:szCs w:val="20"/>
              </w:rPr>
              <w:t>To reflect building demolition/removal costs.</w:t>
            </w:r>
          </w:p>
        </w:tc>
        <w:tc>
          <w:tcPr>
            <w:tcW w:w="236" w:type="dxa"/>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 xml:space="preserve">$29,179 </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vAlign w:val="bottom"/>
          </w:tcPr>
          <w:p w:rsidR="00DC71C1" w:rsidRDefault="00DC71C1" w:rsidP="00A425E5">
            <w:pPr>
              <w:jc w:val="right"/>
              <w:rPr>
                <w:rFonts w:ascii="SWISS" w:hAnsi="SWISS" w:cs="Arial"/>
                <w:color w:val="000000"/>
                <w:sz w:val="20"/>
                <w:szCs w:val="20"/>
              </w:rPr>
            </w:pPr>
            <w:r>
              <w:rPr>
                <w:rFonts w:ascii="SWISS" w:hAnsi="SWISS" w:cs="Arial"/>
                <w:color w:val="000000"/>
                <w:sz w:val="20"/>
                <w:szCs w:val="20"/>
              </w:rPr>
              <w:t>4.</w:t>
            </w:r>
          </w:p>
        </w:tc>
        <w:tc>
          <w:tcPr>
            <w:tcW w:w="6851" w:type="dxa"/>
            <w:gridSpan w:val="4"/>
            <w:tcBorders>
              <w:top w:val="nil"/>
              <w:left w:val="nil"/>
              <w:bottom w:val="nil"/>
              <w:right w:val="nil"/>
            </w:tcBorders>
            <w:noWrap/>
            <w:vAlign w:val="bottom"/>
          </w:tcPr>
          <w:p w:rsidR="00DC71C1" w:rsidRDefault="00DC71C1" w:rsidP="00A425E5">
            <w:pPr>
              <w:rPr>
                <w:rFonts w:ascii="SWISS" w:hAnsi="SWISS" w:cs="Arial"/>
                <w:color w:val="000000"/>
                <w:sz w:val="20"/>
                <w:szCs w:val="20"/>
              </w:rPr>
            </w:pPr>
            <w:r>
              <w:rPr>
                <w:rFonts w:ascii="SWISS" w:hAnsi="SWISS" w:cs="Arial"/>
                <w:color w:val="000000"/>
                <w:sz w:val="20"/>
                <w:szCs w:val="20"/>
              </w:rPr>
              <w:t>To reflect retirement of replaced meters.</w:t>
            </w:r>
          </w:p>
        </w:tc>
        <w:tc>
          <w:tcPr>
            <w:tcW w:w="236" w:type="dxa"/>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00"/>
                <w:sz w:val="20"/>
                <w:szCs w:val="20"/>
                <w:u w:val="single"/>
              </w:rPr>
            </w:pPr>
            <w:r>
              <w:rPr>
                <w:rFonts w:ascii="SWISS" w:hAnsi="SWISS" w:cs="Arial"/>
                <w:color w:val="000000"/>
                <w:sz w:val="20"/>
                <w:szCs w:val="20"/>
                <w:u w:val="single"/>
              </w:rPr>
              <w:t xml:space="preserve">$6,826 </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vAlign w:val="bottom"/>
            <w:hideMark/>
          </w:tcPr>
          <w:p w:rsidR="00DC71C1" w:rsidRDefault="00DC71C1" w:rsidP="00A425E5">
            <w:pPr>
              <w:rPr>
                <w:rFonts w:ascii="SWISS" w:hAnsi="SWISS" w:cs="Arial"/>
                <w:color w:val="000000"/>
                <w:sz w:val="20"/>
                <w:szCs w:val="20"/>
              </w:rPr>
            </w:pPr>
            <w:r>
              <w:rPr>
                <w:rFonts w:ascii="SWISS" w:hAnsi="SWISS" w:cs="Arial"/>
                <w:color w:val="000000"/>
                <w:sz w:val="20"/>
                <w:szCs w:val="20"/>
              </w:rPr>
              <w:t> </w:t>
            </w:r>
          </w:p>
        </w:tc>
        <w:tc>
          <w:tcPr>
            <w:tcW w:w="6851" w:type="dxa"/>
            <w:gridSpan w:val="4"/>
            <w:tcBorders>
              <w:top w:val="nil"/>
              <w:left w:val="nil"/>
              <w:bottom w:val="nil"/>
              <w:right w:val="nil"/>
            </w:tcBorders>
            <w:noWrap/>
            <w:vAlign w:val="bottom"/>
            <w:hideMark/>
          </w:tcPr>
          <w:p w:rsidR="00DC71C1" w:rsidRDefault="00DC71C1" w:rsidP="00A425E5">
            <w:pPr>
              <w:rPr>
                <w:rFonts w:ascii="SWISS" w:hAnsi="SWISS" w:cs="Arial"/>
                <w:color w:val="000000"/>
                <w:sz w:val="20"/>
                <w:szCs w:val="20"/>
              </w:rPr>
            </w:pPr>
            <w:r>
              <w:rPr>
                <w:rFonts w:ascii="SWISS" w:hAnsi="SWISS" w:cs="Arial"/>
                <w:color w:val="000000"/>
                <w:sz w:val="20"/>
                <w:szCs w:val="20"/>
              </w:rPr>
              <w:t xml:space="preserve">     Total</w:t>
            </w:r>
          </w:p>
        </w:tc>
        <w:tc>
          <w:tcPr>
            <w:tcW w:w="236" w:type="dxa"/>
            <w:tcBorders>
              <w:top w:val="nil"/>
              <w:left w:val="nil"/>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1712" w:type="dxa"/>
            <w:gridSpan w:val="2"/>
            <w:tcBorders>
              <w:top w:val="nil"/>
              <w:left w:val="nil"/>
              <w:bottom w:val="nil"/>
              <w:right w:val="single" w:sz="4" w:space="0" w:color="000000" w:themeColor="text1"/>
            </w:tcBorders>
            <w:noWrap/>
            <w:vAlign w:val="bottom"/>
          </w:tcPr>
          <w:p w:rsidR="00DC71C1" w:rsidRDefault="00DC71C1" w:rsidP="00A425E5">
            <w:pPr>
              <w:jc w:val="right"/>
              <w:rPr>
                <w:rFonts w:ascii="SWISS" w:hAnsi="SWISS" w:cs="Arial"/>
                <w:color w:val="0000FF"/>
                <w:sz w:val="20"/>
                <w:szCs w:val="20"/>
                <w:u w:val="double"/>
              </w:rPr>
            </w:pPr>
            <w:r w:rsidRPr="004A61E4">
              <w:rPr>
                <w:rFonts w:ascii="SWISS" w:hAnsi="SWISS" w:cs="Arial"/>
                <w:sz w:val="20"/>
                <w:szCs w:val="20"/>
                <w:u w:val="double"/>
              </w:rPr>
              <w:t>$73,095</w:t>
            </w:r>
            <w:r>
              <w:rPr>
                <w:rFonts w:ascii="SWISS" w:hAnsi="SWISS" w:cs="Arial"/>
                <w:color w:val="0000FF"/>
                <w:sz w:val="20"/>
                <w:szCs w:val="20"/>
                <w:u w:val="double"/>
              </w:rPr>
              <w:t xml:space="preserve"> </w:t>
            </w:r>
          </w:p>
        </w:tc>
      </w:tr>
      <w:tr w:rsidR="00DC71C1" w:rsidRPr="00BC5498" w:rsidTr="00A425E5">
        <w:trPr>
          <w:trHeight w:val="292"/>
        </w:trPr>
        <w:tc>
          <w:tcPr>
            <w:tcW w:w="669" w:type="dxa"/>
            <w:gridSpan w:val="2"/>
            <w:tcBorders>
              <w:top w:val="nil"/>
              <w:left w:val="single" w:sz="4" w:space="0" w:color="000000" w:themeColor="text1"/>
              <w:bottom w:val="nil"/>
              <w:right w:val="nil"/>
            </w:tcBorders>
            <w:noWrap/>
            <w:vAlign w:val="bottom"/>
          </w:tcPr>
          <w:p w:rsidR="00DC71C1" w:rsidRPr="00BC5498" w:rsidRDefault="00DC71C1" w:rsidP="00A425E5">
            <w:pPr>
              <w:jc w:val="right"/>
              <w:rPr>
                <w:rFonts w:ascii="SWISS" w:hAnsi="SWISS" w:cs="Arial"/>
                <w:color w:val="000000"/>
                <w:sz w:val="20"/>
                <w:szCs w:val="20"/>
              </w:rPr>
            </w:pPr>
          </w:p>
        </w:tc>
        <w:tc>
          <w:tcPr>
            <w:tcW w:w="6851" w:type="dxa"/>
            <w:gridSpan w:val="4"/>
            <w:tcBorders>
              <w:top w:val="nil"/>
              <w:left w:val="nil"/>
              <w:bottom w:val="nil"/>
              <w:right w:val="nil"/>
            </w:tcBorders>
            <w:noWrap/>
            <w:vAlign w:val="bottom"/>
          </w:tcPr>
          <w:p w:rsidR="00DC71C1" w:rsidRPr="00BC5498" w:rsidRDefault="00DC71C1" w:rsidP="00A425E5">
            <w:pPr>
              <w:rPr>
                <w:rFonts w:ascii="SWISS" w:hAnsi="SWISS" w:cs="Arial"/>
                <w:color w:val="000000"/>
                <w:sz w:val="20"/>
                <w:szCs w:val="20"/>
              </w:rPr>
            </w:pPr>
          </w:p>
        </w:tc>
        <w:tc>
          <w:tcPr>
            <w:tcW w:w="236" w:type="dxa"/>
            <w:tcBorders>
              <w:top w:val="nil"/>
              <w:left w:val="nil"/>
              <w:bottom w:val="nil"/>
              <w:right w:val="nil"/>
            </w:tcBorders>
            <w:noWrap/>
            <w:vAlign w:val="bottom"/>
          </w:tcPr>
          <w:p w:rsidR="00DC71C1" w:rsidRPr="00BC5498" w:rsidRDefault="00DC71C1" w:rsidP="00A425E5">
            <w:pPr>
              <w:jc w:val="right"/>
              <w:rPr>
                <w:rFonts w:ascii="SWISS" w:hAnsi="SWISS" w:cs="Arial"/>
                <w:sz w:val="20"/>
                <w:szCs w:val="20"/>
                <w:u w:val="double"/>
              </w:rPr>
            </w:pPr>
          </w:p>
        </w:tc>
        <w:tc>
          <w:tcPr>
            <w:tcW w:w="1712" w:type="dxa"/>
            <w:gridSpan w:val="2"/>
            <w:tcBorders>
              <w:top w:val="nil"/>
              <w:left w:val="nil"/>
              <w:bottom w:val="nil"/>
              <w:right w:val="single" w:sz="4" w:space="0" w:color="000000" w:themeColor="text1"/>
            </w:tcBorders>
            <w:noWrap/>
            <w:vAlign w:val="bottom"/>
          </w:tcPr>
          <w:p w:rsidR="00DC71C1" w:rsidRPr="00BC5498" w:rsidRDefault="00DC71C1" w:rsidP="00A425E5">
            <w:pPr>
              <w:jc w:val="right"/>
              <w:rPr>
                <w:rFonts w:ascii="SWISS" w:hAnsi="SWISS" w:cs="Arial"/>
                <w:sz w:val="20"/>
                <w:szCs w:val="20"/>
                <w:u w:val="double"/>
              </w:rPr>
            </w:pPr>
          </w:p>
        </w:tc>
      </w:tr>
      <w:tr w:rsidR="00DC71C1" w:rsidRPr="00BC5498" w:rsidTr="00A425E5">
        <w:trPr>
          <w:trHeight w:val="292"/>
        </w:trPr>
        <w:tc>
          <w:tcPr>
            <w:tcW w:w="669" w:type="dxa"/>
            <w:gridSpan w:val="2"/>
            <w:tcBorders>
              <w:top w:val="nil"/>
              <w:left w:val="single" w:sz="4" w:space="0" w:color="000000" w:themeColor="text1"/>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 </w:t>
            </w:r>
          </w:p>
        </w:tc>
        <w:tc>
          <w:tcPr>
            <w:tcW w:w="6851" w:type="dxa"/>
            <w:gridSpan w:val="4"/>
            <w:tcBorders>
              <w:top w:val="nil"/>
              <w:left w:val="nil"/>
              <w:bottom w:val="nil"/>
              <w:right w:val="nil"/>
            </w:tcBorders>
            <w:noWrap/>
            <w:vAlign w:val="bottom"/>
            <w:hideMark/>
          </w:tcPr>
          <w:p w:rsidR="00DC71C1" w:rsidRPr="00BC5498" w:rsidRDefault="00DC71C1" w:rsidP="00A425E5">
            <w:pPr>
              <w:rPr>
                <w:rFonts w:ascii="SWISS" w:hAnsi="SWISS" w:cs="Arial"/>
                <w:b/>
                <w:bCs/>
                <w:color w:val="000000"/>
                <w:sz w:val="20"/>
                <w:szCs w:val="20"/>
                <w:u w:val="single"/>
              </w:rPr>
            </w:pPr>
            <w:r w:rsidRPr="00BC5498">
              <w:rPr>
                <w:rFonts w:ascii="SWISS" w:hAnsi="SWISS" w:cs="Arial"/>
                <w:b/>
                <w:bCs/>
                <w:color w:val="000000"/>
                <w:sz w:val="20"/>
                <w:szCs w:val="20"/>
                <w:u w:val="single"/>
              </w:rPr>
              <w:t>WORKING CAPITAL ALLOWANCE</w:t>
            </w:r>
          </w:p>
        </w:tc>
        <w:tc>
          <w:tcPr>
            <w:tcW w:w="236" w:type="dxa"/>
            <w:tcBorders>
              <w:top w:val="nil"/>
              <w:left w:val="nil"/>
              <w:bottom w:val="nil"/>
              <w:right w:val="nil"/>
            </w:tcBorders>
            <w:noWrap/>
            <w:vAlign w:val="bottom"/>
          </w:tcPr>
          <w:p w:rsidR="00DC71C1" w:rsidRPr="00BC5498" w:rsidRDefault="00DC71C1" w:rsidP="00A425E5">
            <w:pPr>
              <w:rPr>
                <w:sz w:val="20"/>
                <w:szCs w:val="20"/>
              </w:rPr>
            </w:pPr>
          </w:p>
        </w:tc>
        <w:tc>
          <w:tcPr>
            <w:tcW w:w="1712" w:type="dxa"/>
            <w:gridSpan w:val="2"/>
            <w:tcBorders>
              <w:top w:val="nil"/>
              <w:left w:val="nil"/>
              <w:bottom w:val="nil"/>
              <w:right w:val="single" w:sz="4" w:space="0" w:color="000000" w:themeColor="text1"/>
            </w:tcBorders>
            <w:noWrap/>
            <w:vAlign w:val="bottom"/>
          </w:tcPr>
          <w:p w:rsidR="00DC71C1" w:rsidRPr="00BC5498" w:rsidRDefault="00DC71C1" w:rsidP="00A425E5">
            <w:pPr>
              <w:rPr>
                <w:sz w:val="20"/>
                <w:szCs w:val="20"/>
              </w:rPr>
            </w:pPr>
          </w:p>
        </w:tc>
      </w:tr>
      <w:tr w:rsidR="00DC71C1" w:rsidRPr="00BC5498" w:rsidTr="00A425E5">
        <w:trPr>
          <w:trHeight w:val="292"/>
        </w:trPr>
        <w:tc>
          <w:tcPr>
            <w:tcW w:w="669" w:type="dxa"/>
            <w:gridSpan w:val="2"/>
            <w:tcBorders>
              <w:top w:val="nil"/>
              <w:left w:val="single" w:sz="4" w:space="0" w:color="000000" w:themeColor="text1"/>
              <w:bottom w:val="nil"/>
              <w:right w:val="nil"/>
            </w:tcBorders>
            <w:noWrap/>
            <w:vAlign w:val="bottom"/>
            <w:hideMark/>
          </w:tcPr>
          <w:p w:rsidR="00DC71C1" w:rsidRPr="00BC5498" w:rsidRDefault="00DC71C1" w:rsidP="00A425E5">
            <w:pPr>
              <w:jc w:val="right"/>
              <w:rPr>
                <w:rFonts w:ascii="SWISS" w:hAnsi="SWISS" w:cs="Arial"/>
                <w:color w:val="000000"/>
                <w:sz w:val="20"/>
                <w:szCs w:val="20"/>
              </w:rPr>
            </w:pPr>
            <w:r w:rsidRPr="00BC5498">
              <w:rPr>
                <w:rFonts w:ascii="SWISS" w:hAnsi="SWISS" w:cs="Arial"/>
                <w:color w:val="000000"/>
                <w:sz w:val="20"/>
                <w:szCs w:val="20"/>
              </w:rPr>
              <w:t> </w:t>
            </w:r>
          </w:p>
        </w:tc>
        <w:tc>
          <w:tcPr>
            <w:tcW w:w="6851" w:type="dxa"/>
            <w:gridSpan w:val="4"/>
            <w:tcBorders>
              <w:top w:val="nil"/>
              <w:left w:val="nil"/>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To reflect 1/8 of test year O&amp;M expenses.</w:t>
            </w:r>
          </w:p>
        </w:tc>
        <w:tc>
          <w:tcPr>
            <w:tcW w:w="236" w:type="dxa"/>
            <w:tcBorders>
              <w:top w:val="nil"/>
              <w:left w:val="nil"/>
              <w:bottom w:val="nil"/>
              <w:right w:val="nil"/>
            </w:tcBorders>
            <w:noWrap/>
            <w:vAlign w:val="bottom"/>
          </w:tcPr>
          <w:p w:rsidR="00DC71C1" w:rsidRPr="00BC5498" w:rsidRDefault="00DC71C1" w:rsidP="00A425E5">
            <w:pPr>
              <w:jc w:val="right"/>
              <w:rPr>
                <w:rFonts w:ascii="SWISS" w:hAnsi="SWISS" w:cs="Arial"/>
                <w:sz w:val="20"/>
                <w:szCs w:val="20"/>
                <w:u w:val="double"/>
              </w:rPr>
            </w:pPr>
          </w:p>
        </w:tc>
        <w:tc>
          <w:tcPr>
            <w:tcW w:w="1712" w:type="dxa"/>
            <w:gridSpan w:val="2"/>
            <w:tcBorders>
              <w:top w:val="nil"/>
              <w:left w:val="nil"/>
              <w:bottom w:val="nil"/>
              <w:right w:val="single" w:sz="4" w:space="0" w:color="000000" w:themeColor="text1"/>
            </w:tcBorders>
            <w:noWrap/>
            <w:vAlign w:val="bottom"/>
          </w:tcPr>
          <w:p w:rsidR="00DC71C1" w:rsidRPr="00BC5498" w:rsidRDefault="00DC71C1" w:rsidP="00A425E5">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3</w:t>
            </w:r>
            <w:r w:rsidRPr="00BC5498">
              <w:rPr>
                <w:rFonts w:ascii="SWISS" w:hAnsi="SWISS" w:cs="Arial"/>
                <w:sz w:val="20"/>
                <w:szCs w:val="20"/>
                <w:u w:val="double"/>
              </w:rPr>
              <w:t>,</w:t>
            </w:r>
            <w:r>
              <w:rPr>
                <w:rFonts w:ascii="SWISS" w:hAnsi="SWISS" w:cs="Arial"/>
                <w:sz w:val="20"/>
                <w:szCs w:val="20"/>
                <w:u w:val="double"/>
              </w:rPr>
              <w:t>473</w:t>
            </w:r>
          </w:p>
        </w:tc>
      </w:tr>
      <w:tr w:rsidR="00DC71C1" w:rsidRPr="00BC5498" w:rsidTr="00A425E5">
        <w:trPr>
          <w:trHeight w:val="292"/>
        </w:trPr>
        <w:tc>
          <w:tcPr>
            <w:tcW w:w="669" w:type="dxa"/>
            <w:gridSpan w:val="2"/>
            <w:tcBorders>
              <w:top w:val="nil"/>
              <w:left w:val="single" w:sz="4" w:space="0" w:color="000000" w:themeColor="text1"/>
              <w:bottom w:val="single" w:sz="4" w:space="0" w:color="000000" w:themeColor="text1"/>
              <w:right w:val="nil"/>
            </w:tcBorders>
            <w:noWrap/>
            <w:vAlign w:val="bottom"/>
          </w:tcPr>
          <w:p w:rsidR="00DC71C1" w:rsidRPr="00BC5498" w:rsidRDefault="00DC71C1" w:rsidP="00A425E5">
            <w:pPr>
              <w:rPr>
                <w:rFonts w:ascii="SWISS" w:hAnsi="SWISS" w:cs="Arial"/>
                <w:color w:val="000000"/>
              </w:rPr>
            </w:pPr>
          </w:p>
        </w:tc>
        <w:tc>
          <w:tcPr>
            <w:tcW w:w="6851" w:type="dxa"/>
            <w:gridSpan w:val="4"/>
            <w:tcBorders>
              <w:top w:val="nil"/>
              <w:left w:val="nil"/>
              <w:bottom w:val="single" w:sz="4" w:space="0" w:color="000000" w:themeColor="text1"/>
              <w:right w:val="nil"/>
            </w:tcBorders>
            <w:noWrap/>
            <w:vAlign w:val="bottom"/>
          </w:tcPr>
          <w:p w:rsidR="00DC71C1" w:rsidRPr="00BC5498" w:rsidRDefault="00DC71C1" w:rsidP="00A425E5">
            <w:pPr>
              <w:rPr>
                <w:rFonts w:ascii="SWISS" w:hAnsi="SWISS" w:cs="Arial"/>
                <w:color w:val="000000"/>
              </w:rPr>
            </w:pPr>
          </w:p>
        </w:tc>
        <w:tc>
          <w:tcPr>
            <w:tcW w:w="236" w:type="dxa"/>
            <w:tcBorders>
              <w:top w:val="nil"/>
              <w:left w:val="nil"/>
              <w:bottom w:val="single" w:sz="4" w:space="0" w:color="000000" w:themeColor="text1"/>
              <w:right w:val="nil"/>
            </w:tcBorders>
            <w:noWrap/>
            <w:vAlign w:val="bottom"/>
          </w:tcPr>
          <w:p w:rsidR="00DC71C1" w:rsidRPr="00BC5498" w:rsidRDefault="00DC71C1" w:rsidP="00A425E5">
            <w:pPr>
              <w:rPr>
                <w:rFonts w:ascii="SWISS" w:hAnsi="SWISS" w:cs="Arial"/>
              </w:rPr>
            </w:pPr>
          </w:p>
        </w:tc>
        <w:tc>
          <w:tcPr>
            <w:tcW w:w="1712" w:type="dxa"/>
            <w:gridSpan w:val="2"/>
            <w:tcBorders>
              <w:top w:val="nil"/>
              <w:left w:val="nil"/>
              <w:bottom w:val="single" w:sz="4" w:space="0" w:color="000000" w:themeColor="text1"/>
              <w:right w:val="single" w:sz="4" w:space="0" w:color="000000" w:themeColor="text1"/>
            </w:tcBorders>
            <w:noWrap/>
            <w:vAlign w:val="bottom"/>
          </w:tcPr>
          <w:p w:rsidR="00DC71C1" w:rsidRPr="00BC5498" w:rsidRDefault="00DC71C1" w:rsidP="00A425E5">
            <w:pPr>
              <w:rPr>
                <w:rFonts w:ascii="SWISS" w:hAnsi="SWISS" w:cs="Arial"/>
              </w:rPr>
            </w:pPr>
          </w:p>
        </w:tc>
      </w:tr>
    </w:tbl>
    <w:p w:rsidR="002C5FA7" w:rsidRDefault="002C5FA7" w:rsidP="00E275D8">
      <w:pPr>
        <w:pStyle w:val="BodyText"/>
        <w:sectPr w:rsidR="002C5FA7" w:rsidSect="0068481F">
          <w:headerReference w:type="default" r:id="rId16"/>
          <w:pgSz w:w="12240" w:h="15840" w:code="1"/>
          <w:pgMar w:top="1584" w:right="1440" w:bottom="1440" w:left="1440" w:header="720" w:footer="720" w:gutter="0"/>
          <w:cols w:space="720"/>
          <w:formProt w:val="0"/>
          <w:docGrid w:linePitch="360"/>
        </w:sectPr>
      </w:pPr>
    </w:p>
    <w:tbl>
      <w:tblPr>
        <w:tblW w:w="14864" w:type="dxa"/>
        <w:jc w:val="center"/>
        <w:tblInd w:w="628" w:type="dxa"/>
        <w:tblLook w:val="04A0" w:firstRow="1" w:lastRow="0" w:firstColumn="1" w:lastColumn="0" w:noHBand="0" w:noVBand="1"/>
      </w:tblPr>
      <w:tblGrid>
        <w:gridCol w:w="471"/>
        <w:gridCol w:w="3655"/>
        <w:gridCol w:w="1414"/>
        <w:gridCol w:w="1061"/>
        <w:gridCol w:w="1510"/>
        <w:gridCol w:w="1756"/>
        <w:gridCol w:w="1622"/>
        <w:gridCol w:w="1192"/>
        <w:gridCol w:w="833"/>
        <w:gridCol w:w="1350"/>
      </w:tblGrid>
      <w:tr w:rsidR="00DC71C1" w:rsidRPr="00894E26" w:rsidTr="00A425E5">
        <w:trPr>
          <w:trHeight w:val="300"/>
          <w:jc w:val="center"/>
        </w:trPr>
        <w:tc>
          <w:tcPr>
            <w:tcW w:w="471" w:type="dxa"/>
            <w:tcBorders>
              <w:top w:val="single" w:sz="8" w:space="0" w:color="auto"/>
              <w:left w:val="single" w:sz="8" w:space="0" w:color="auto"/>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bookmarkStart w:id="37" w:name="RANGE!A1:J36"/>
            <w:r w:rsidRPr="00894E26">
              <w:rPr>
                <w:rFonts w:ascii="SWISS" w:hAnsi="SWISS" w:cs="Arial"/>
                <w:color w:val="000000"/>
                <w:sz w:val="20"/>
                <w:szCs w:val="20"/>
              </w:rPr>
              <w:lastRenderedPageBreak/>
              <w:t> </w:t>
            </w:r>
            <w:bookmarkEnd w:id="37"/>
          </w:p>
        </w:tc>
        <w:tc>
          <w:tcPr>
            <w:tcW w:w="5069" w:type="dxa"/>
            <w:gridSpan w:val="2"/>
            <w:tcBorders>
              <w:top w:val="single" w:sz="8" w:space="0" w:color="auto"/>
              <w:left w:val="nil"/>
              <w:bottom w:val="nil"/>
              <w:right w:val="nil"/>
            </w:tcBorders>
            <w:shd w:val="clear" w:color="auto" w:fill="auto"/>
            <w:noWrap/>
            <w:vAlign w:val="bottom"/>
            <w:hideMark/>
          </w:tcPr>
          <w:p w:rsidR="00DC71C1" w:rsidRPr="00894E26" w:rsidRDefault="00DC71C1" w:rsidP="00A425E5">
            <w:pPr>
              <w:rPr>
                <w:rFonts w:ascii="SWISS" w:hAnsi="SWISS" w:cs="Arial"/>
                <w:b/>
                <w:bCs/>
                <w:color w:val="000000"/>
                <w:sz w:val="20"/>
                <w:szCs w:val="20"/>
              </w:rPr>
            </w:pPr>
            <w:r w:rsidRPr="00894E26">
              <w:rPr>
                <w:rFonts w:ascii="SWISS" w:hAnsi="SWISS" w:cs="Arial"/>
                <w:b/>
                <w:bCs/>
                <w:color w:val="000000"/>
                <w:sz w:val="20"/>
                <w:szCs w:val="20"/>
              </w:rPr>
              <w:t>LITTLE GASPARILLA WATER UTILITY, INC.</w:t>
            </w:r>
          </w:p>
        </w:tc>
        <w:tc>
          <w:tcPr>
            <w:tcW w:w="1061" w:type="dxa"/>
            <w:tcBorders>
              <w:top w:val="single" w:sz="8" w:space="0" w:color="auto"/>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1510" w:type="dxa"/>
            <w:tcBorders>
              <w:top w:val="single" w:sz="8" w:space="0" w:color="auto"/>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1756" w:type="dxa"/>
            <w:tcBorders>
              <w:top w:val="single" w:sz="8" w:space="0" w:color="auto"/>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1622" w:type="dxa"/>
            <w:tcBorders>
              <w:top w:val="single" w:sz="8" w:space="0" w:color="auto"/>
              <w:left w:val="nil"/>
              <w:bottom w:val="nil"/>
              <w:right w:val="nil"/>
            </w:tcBorders>
            <w:shd w:val="clear" w:color="auto" w:fill="auto"/>
            <w:noWrap/>
            <w:vAlign w:val="bottom"/>
            <w:hideMark/>
          </w:tcPr>
          <w:p w:rsidR="00DC71C1" w:rsidRPr="00894E26" w:rsidRDefault="00DC71C1" w:rsidP="00A425E5">
            <w:pPr>
              <w:rPr>
                <w:rFonts w:ascii="SWISS" w:hAnsi="SWISS" w:cs="Arial"/>
                <w:b/>
                <w:bCs/>
                <w:color w:val="000000"/>
                <w:sz w:val="20"/>
                <w:szCs w:val="20"/>
              </w:rPr>
            </w:pPr>
            <w:r w:rsidRPr="00894E26">
              <w:rPr>
                <w:rFonts w:ascii="SWISS" w:hAnsi="SWISS" w:cs="Arial"/>
                <w:b/>
                <w:bCs/>
                <w:color w:val="000000"/>
                <w:sz w:val="20"/>
                <w:szCs w:val="20"/>
              </w:rPr>
              <w:t> </w:t>
            </w:r>
          </w:p>
        </w:tc>
        <w:tc>
          <w:tcPr>
            <w:tcW w:w="3375" w:type="dxa"/>
            <w:gridSpan w:val="3"/>
            <w:tcBorders>
              <w:top w:val="single" w:sz="8" w:space="0" w:color="auto"/>
              <w:left w:val="nil"/>
              <w:bottom w:val="nil"/>
              <w:right w:val="single" w:sz="8" w:space="0" w:color="000000"/>
            </w:tcBorders>
            <w:shd w:val="clear" w:color="auto" w:fill="auto"/>
            <w:noWrap/>
            <w:vAlign w:val="bottom"/>
            <w:hideMark/>
          </w:tcPr>
          <w:p w:rsidR="00DC71C1" w:rsidRPr="00894E26" w:rsidRDefault="00DC71C1" w:rsidP="00A425E5">
            <w:pPr>
              <w:jc w:val="right"/>
              <w:rPr>
                <w:rFonts w:ascii="SWISS" w:hAnsi="SWISS" w:cs="Arial"/>
                <w:b/>
                <w:bCs/>
                <w:color w:val="000000"/>
                <w:sz w:val="20"/>
                <w:szCs w:val="20"/>
              </w:rPr>
            </w:pPr>
            <w:r w:rsidRPr="00894E26">
              <w:rPr>
                <w:rFonts w:ascii="SWISS" w:hAnsi="SWISS" w:cs="Arial"/>
                <w:b/>
                <w:bCs/>
                <w:color w:val="000000"/>
                <w:sz w:val="20"/>
                <w:szCs w:val="20"/>
              </w:rPr>
              <w:t xml:space="preserve">SCHEDULE NO. </w:t>
            </w:r>
            <w:r>
              <w:rPr>
                <w:rFonts w:ascii="SWISS" w:hAnsi="SWISS" w:cs="Arial"/>
                <w:b/>
                <w:bCs/>
                <w:color w:val="000000"/>
                <w:sz w:val="20"/>
                <w:szCs w:val="20"/>
              </w:rPr>
              <w:t>2</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5069" w:type="dxa"/>
            <w:gridSpan w:val="2"/>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b/>
                <w:bCs/>
                <w:color w:val="000000"/>
                <w:sz w:val="20"/>
                <w:szCs w:val="20"/>
              </w:rPr>
            </w:pPr>
            <w:r w:rsidRPr="00894E26">
              <w:rPr>
                <w:rFonts w:ascii="SWISS" w:hAnsi="SWISS" w:cs="Arial"/>
                <w:b/>
                <w:bCs/>
                <w:color w:val="000000"/>
                <w:sz w:val="20"/>
                <w:szCs w:val="20"/>
              </w:rPr>
              <w:t>TEST YEAR ENDED  09/30/13</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p>
        </w:tc>
        <w:tc>
          <w:tcPr>
            <w:tcW w:w="1510"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p>
        </w:tc>
        <w:tc>
          <w:tcPr>
            <w:tcW w:w="1756"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p>
        </w:tc>
        <w:tc>
          <w:tcPr>
            <w:tcW w:w="1622"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p>
        </w:tc>
        <w:tc>
          <w:tcPr>
            <w:tcW w:w="3375" w:type="dxa"/>
            <w:gridSpan w:val="3"/>
            <w:tcBorders>
              <w:top w:val="nil"/>
              <w:left w:val="nil"/>
              <w:bottom w:val="nil"/>
              <w:right w:val="single" w:sz="8" w:space="0" w:color="000000"/>
            </w:tcBorders>
            <w:shd w:val="clear" w:color="auto" w:fill="auto"/>
            <w:noWrap/>
            <w:vAlign w:val="center"/>
            <w:hideMark/>
          </w:tcPr>
          <w:p w:rsidR="00DC71C1" w:rsidRPr="00894E26" w:rsidRDefault="00DC71C1" w:rsidP="00A425E5">
            <w:pPr>
              <w:jc w:val="right"/>
              <w:rPr>
                <w:rFonts w:ascii="SWISS" w:hAnsi="SWISS" w:cs="Arial"/>
                <w:b/>
                <w:bCs/>
                <w:color w:val="000000"/>
                <w:sz w:val="20"/>
                <w:szCs w:val="20"/>
              </w:rPr>
            </w:pPr>
            <w:r w:rsidRPr="00894E26">
              <w:rPr>
                <w:rFonts w:ascii="SWISS" w:hAnsi="SWISS" w:cs="Arial"/>
                <w:b/>
                <w:bCs/>
                <w:color w:val="000000"/>
                <w:sz w:val="20"/>
                <w:szCs w:val="20"/>
              </w:rPr>
              <w:t>DOCKET NO. 130265-WU</w:t>
            </w:r>
            <w:r w:rsidR="009057AE" w:rsidRPr="00BC5498">
              <w:rPr>
                <w:sz w:val="20"/>
                <w:szCs w:val="20"/>
              </w:rPr>
              <w:fldChar w:fldCharType="begin"/>
            </w:r>
            <w:r w:rsidR="009057AE" w:rsidRPr="00BC5498">
              <w:rPr>
                <w:sz w:val="20"/>
                <w:szCs w:val="20"/>
              </w:rPr>
              <w:instrText xml:space="preserve"> TC " </w:instrText>
            </w:r>
            <w:bookmarkStart w:id="38" w:name="_Toc499901219"/>
            <w:r w:rsidR="009057AE" w:rsidRPr="00BC5498">
              <w:rPr>
                <w:sz w:val="20"/>
                <w:szCs w:val="20"/>
              </w:rPr>
              <w:instrText xml:space="preserve">Schedule No. </w:instrText>
            </w:r>
            <w:r w:rsidR="009057AE">
              <w:rPr>
                <w:sz w:val="20"/>
                <w:szCs w:val="20"/>
              </w:rPr>
              <w:instrText>2 Capital Structure – Phase II</w:instrText>
            </w:r>
            <w:bookmarkEnd w:id="38"/>
            <w:r w:rsidR="009057AE" w:rsidRPr="00BC5498">
              <w:rPr>
                <w:sz w:val="20"/>
                <w:szCs w:val="20"/>
              </w:rPr>
              <w:instrText xml:space="preserve">”\l 1 </w:instrText>
            </w:r>
            <w:r w:rsidR="009057AE" w:rsidRPr="00BC5498">
              <w:rPr>
                <w:sz w:val="20"/>
                <w:szCs w:val="20"/>
              </w:rPr>
              <w:fldChar w:fldCharType="end"/>
            </w:r>
          </w:p>
        </w:tc>
      </w:tr>
      <w:tr w:rsidR="00DC71C1" w:rsidRPr="00894E26" w:rsidTr="00A425E5">
        <w:trPr>
          <w:trHeight w:val="312"/>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5069" w:type="dxa"/>
            <w:gridSpan w:val="2"/>
            <w:tcBorders>
              <w:top w:val="nil"/>
              <w:left w:val="nil"/>
              <w:bottom w:val="single" w:sz="8" w:space="0" w:color="auto"/>
              <w:right w:val="nil"/>
            </w:tcBorders>
            <w:shd w:val="clear" w:color="auto" w:fill="auto"/>
            <w:noWrap/>
            <w:vAlign w:val="center"/>
            <w:hideMark/>
          </w:tcPr>
          <w:p w:rsidR="00DC71C1" w:rsidRPr="00894E26" w:rsidRDefault="00DC71C1" w:rsidP="00A425E5">
            <w:pPr>
              <w:rPr>
                <w:rFonts w:ascii="SWISS" w:hAnsi="SWISS" w:cs="Arial"/>
                <w:b/>
                <w:bCs/>
                <w:color w:val="000000"/>
                <w:sz w:val="20"/>
                <w:szCs w:val="20"/>
              </w:rPr>
            </w:pPr>
            <w:r w:rsidRPr="00894E26">
              <w:rPr>
                <w:rFonts w:ascii="SWISS" w:hAnsi="SWISS" w:cs="Arial"/>
                <w:b/>
                <w:bCs/>
                <w:color w:val="000000"/>
                <w:sz w:val="20"/>
                <w:szCs w:val="20"/>
              </w:rPr>
              <w:t>SCHEDULE OF CAPITAL STRUCTURE (PHASE II)</w:t>
            </w:r>
          </w:p>
        </w:tc>
        <w:tc>
          <w:tcPr>
            <w:tcW w:w="1061" w:type="dxa"/>
            <w:tcBorders>
              <w:top w:val="nil"/>
              <w:left w:val="nil"/>
              <w:bottom w:val="nil"/>
              <w:right w:val="nil"/>
            </w:tcBorders>
            <w:shd w:val="clear" w:color="auto" w:fill="auto"/>
            <w:noWrap/>
            <w:vAlign w:val="center"/>
            <w:hideMark/>
          </w:tcPr>
          <w:p w:rsidR="00DC71C1" w:rsidRPr="00894E26" w:rsidRDefault="00DC71C1" w:rsidP="00A425E5">
            <w:pPr>
              <w:rPr>
                <w:rFonts w:ascii="SWISS" w:hAnsi="SWISS" w:cs="Arial"/>
                <w:color w:val="000000"/>
                <w:sz w:val="20"/>
                <w:szCs w:val="20"/>
              </w:rPr>
            </w:pPr>
          </w:p>
        </w:tc>
        <w:tc>
          <w:tcPr>
            <w:tcW w:w="1510"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p>
        </w:tc>
        <w:tc>
          <w:tcPr>
            <w:tcW w:w="1756"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p>
        </w:tc>
        <w:tc>
          <w:tcPr>
            <w:tcW w:w="1622"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p>
        </w:tc>
        <w:tc>
          <w:tcPr>
            <w:tcW w:w="1192" w:type="dxa"/>
            <w:tcBorders>
              <w:top w:val="nil"/>
              <w:left w:val="nil"/>
              <w:bottom w:val="nil"/>
              <w:right w:val="nil"/>
            </w:tcBorders>
            <w:shd w:val="clear" w:color="auto" w:fill="auto"/>
            <w:noWrap/>
            <w:vAlign w:val="bottom"/>
            <w:hideMark/>
          </w:tcPr>
          <w:p w:rsidR="00DC71C1" w:rsidRPr="00894E26" w:rsidRDefault="00DC71C1" w:rsidP="00DC71C1">
            <w:pPr>
              <w:rPr>
                <w:rFonts w:ascii="SWISS" w:hAnsi="SWISS" w:cs="Arial"/>
                <w:color w:val="000000"/>
                <w:sz w:val="20"/>
                <w:szCs w:val="20"/>
              </w:rPr>
            </w:pPr>
          </w:p>
        </w:tc>
        <w:tc>
          <w:tcPr>
            <w:tcW w:w="833"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r>
      <w:tr w:rsidR="00DC71C1" w:rsidRPr="00894E26" w:rsidTr="00A425E5">
        <w:trPr>
          <w:trHeight w:val="300"/>
          <w:jc w:val="center"/>
        </w:trPr>
        <w:tc>
          <w:tcPr>
            <w:tcW w:w="471" w:type="dxa"/>
            <w:tcBorders>
              <w:top w:val="single" w:sz="8" w:space="0" w:color="auto"/>
              <w:left w:val="single" w:sz="8" w:space="0" w:color="auto"/>
              <w:bottom w:val="nil"/>
              <w:right w:val="nil"/>
            </w:tcBorders>
            <w:shd w:val="clear" w:color="auto" w:fill="auto"/>
            <w:noWrap/>
            <w:vAlign w:val="bottom"/>
            <w:hideMark/>
          </w:tcPr>
          <w:p w:rsidR="00DC71C1" w:rsidRPr="00894E26" w:rsidRDefault="00DC71C1" w:rsidP="00A425E5">
            <w:pPr>
              <w:jc w:val="cente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1414"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1061" w:type="dxa"/>
            <w:tcBorders>
              <w:top w:val="single" w:sz="8" w:space="0" w:color="auto"/>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1510" w:type="dxa"/>
            <w:tcBorders>
              <w:top w:val="single" w:sz="8" w:space="0" w:color="auto"/>
              <w:left w:val="nil"/>
              <w:bottom w:val="nil"/>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Pr>
                <w:rFonts w:ascii="SWISS" w:hAnsi="SWISS" w:cs="Arial"/>
                <w:b/>
                <w:bCs/>
                <w:color w:val="000000"/>
                <w:sz w:val="20"/>
                <w:szCs w:val="20"/>
              </w:rPr>
              <w:t>TEST YEAR</w:t>
            </w:r>
          </w:p>
        </w:tc>
        <w:tc>
          <w:tcPr>
            <w:tcW w:w="1756" w:type="dxa"/>
            <w:tcBorders>
              <w:top w:val="single" w:sz="8" w:space="0" w:color="auto"/>
              <w:left w:val="nil"/>
              <w:bottom w:val="nil"/>
              <w:right w:val="nil"/>
            </w:tcBorders>
            <w:shd w:val="clear" w:color="auto" w:fill="auto"/>
            <w:noWrap/>
            <w:vAlign w:val="bottom"/>
            <w:hideMark/>
          </w:tcPr>
          <w:p w:rsidR="00DC71C1" w:rsidRPr="00894E26" w:rsidRDefault="00DC71C1" w:rsidP="00A425E5">
            <w:pPr>
              <w:rPr>
                <w:rFonts w:ascii="SWISS" w:hAnsi="SWISS" w:cs="Arial"/>
                <w:b/>
                <w:color w:val="000000"/>
                <w:sz w:val="20"/>
                <w:szCs w:val="20"/>
              </w:rPr>
            </w:pPr>
            <w:r w:rsidRPr="00894E26">
              <w:rPr>
                <w:rFonts w:ascii="SWISS" w:hAnsi="SWISS" w:cs="Arial"/>
                <w:color w:val="000000"/>
                <w:sz w:val="20"/>
                <w:szCs w:val="20"/>
              </w:rPr>
              <w:t> </w:t>
            </w:r>
            <w:r w:rsidRPr="00465650">
              <w:rPr>
                <w:rFonts w:ascii="SWISS" w:hAnsi="SWISS" w:cs="Arial"/>
                <w:b/>
                <w:color w:val="000000"/>
                <w:sz w:val="20"/>
                <w:szCs w:val="20"/>
              </w:rPr>
              <w:t>ADJSUTMENTS</w:t>
            </w:r>
          </w:p>
        </w:tc>
        <w:tc>
          <w:tcPr>
            <w:tcW w:w="1622" w:type="dxa"/>
            <w:tcBorders>
              <w:top w:val="single" w:sz="8" w:space="0" w:color="auto"/>
              <w:left w:val="nil"/>
              <w:bottom w:val="nil"/>
              <w:right w:val="nil"/>
            </w:tcBorders>
            <w:shd w:val="clear" w:color="auto" w:fill="auto"/>
            <w:noWrap/>
            <w:vAlign w:val="bottom"/>
            <w:hideMark/>
          </w:tcPr>
          <w:p w:rsidR="00DC71C1" w:rsidRPr="00894E26" w:rsidRDefault="00DC71C1" w:rsidP="00A425E5">
            <w:pPr>
              <w:rPr>
                <w:rFonts w:ascii="SWISS" w:hAnsi="SWISS" w:cs="Arial"/>
                <w:b/>
                <w:color w:val="000000"/>
                <w:sz w:val="20"/>
                <w:szCs w:val="20"/>
              </w:rPr>
            </w:pPr>
            <w:r w:rsidRPr="00894E26">
              <w:rPr>
                <w:rFonts w:ascii="SWISS" w:hAnsi="SWISS" w:cs="Arial"/>
                <w:color w:val="000000"/>
                <w:sz w:val="20"/>
                <w:szCs w:val="20"/>
              </w:rPr>
              <w:t> </w:t>
            </w:r>
            <w:r w:rsidRPr="00894E26">
              <w:rPr>
                <w:rFonts w:ascii="SWISS" w:hAnsi="SWISS" w:cs="Arial"/>
                <w:b/>
                <w:color w:val="000000"/>
                <w:sz w:val="20"/>
                <w:szCs w:val="20"/>
              </w:rPr>
              <w:t>RECONCILED</w:t>
            </w:r>
          </w:p>
        </w:tc>
        <w:tc>
          <w:tcPr>
            <w:tcW w:w="1192" w:type="dxa"/>
            <w:tcBorders>
              <w:top w:val="single" w:sz="8" w:space="0" w:color="auto"/>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833" w:type="dxa"/>
            <w:tcBorders>
              <w:top w:val="single" w:sz="8" w:space="0" w:color="auto"/>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1350" w:type="dxa"/>
            <w:tcBorders>
              <w:top w:val="single" w:sz="8" w:space="0" w:color="auto"/>
              <w:left w:val="nil"/>
              <w:bottom w:val="nil"/>
              <w:right w:val="single" w:sz="8" w:space="0" w:color="auto"/>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Pr>
                <w:rFonts w:ascii="SWISS" w:hAnsi="SWISS" w:cs="Arial"/>
                <w:b/>
                <w:bCs/>
                <w:color w:val="000000"/>
                <w:sz w:val="20"/>
                <w:szCs w:val="20"/>
              </w:rPr>
              <w:t>PHASE I</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Pr>
                <w:rFonts w:ascii="SWISS" w:hAnsi="SWISS" w:cs="Arial"/>
                <w:b/>
                <w:bCs/>
                <w:color w:val="000000"/>
                <w:sz w:val="20"/>
                <w:szCs w:val="20"/>
              </w:rPr>
              <w:t>STAFF</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Pr>
                <w:rFonts w:ascii="SWISS" w:hAnsi="SWISS" w:cs="Arial"/>
                <w:b/>
                <w:bCs/>
                <w:color w:val="000000"/>
                <w:sz w:val="20"/>
                <w:szCs w:val="20"/>
              </w:rPr>
              <w:t>BALANCE</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Pr>
                <w:rFonts w:ascii="SWISS" w:hAnsi="SWISS" w:cs="Arial"/>
                <w:b/>
                <w:bCs/>
                <w:color w:val="000000"/>
                <w:sz w:val="20"/>
                <w:szCs w:val="20"/>
              </w:rPr>
              <w:t>TO</w:t>
            </w:r>
          </w:p>
        </w:tc>
        <w:tc>
          <w:tcPr>
            <w:tcW w:w="1622" w:type="dxa"/>
            <w:tcBorders>
              <w:top w:val="nil"/>
              <w:left w:val="nil"/>
              <w:bottom w:val="nil"/>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Pr>
                <w:rFonts w:ascii="SWISS" w:hAnsi="SWISS" w:cs="Arial"/>
                <w:b/>
                <w:bCs/>
                <w:color w:val="000000"/>
                <w:sz w:val="20"/>
                <w:szCs w:val="20"/>
              </w:rPr>
              <w:t>CAPITAL</w:t>
            </w:r>
          </w:p>
        </w:tc>
        <w:tc>
          <w:tcPr>
            <w:tcW w:w="1192" w:type="dxa"/>
            <w:tcBorders>
              <w:top w:val="nil"/>
              <w:left w:val="nil"/>
              <w:bottom w:val="nil"/>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sidRPr="00894E26">
              <w:rPr>
                <w:rFonts w:ascii="SWISS" w:hAnsi="SWISS" w:cs="Arial"/>
                <w:b/>
                <w:bCs/>
                <w:color w:val="000000"/>
                <w:sz w:val="20"/>
                <w:szCs w:val="20"/>
              </w:rPr>
              <w:t>PERCENT</w:t>
            </w:r>
          </w:p>
        </w:tc>
        <w:tc>
          <w:tcPr>
            <w:tcW w:w="833"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rPr>
                <w:rFonts w:ascii="SWISS" w:hAnsi="SWISS" w:cs="Arial"/>
                <w:b/>
                <w:bCs/>
                <w:color w:val="000000"/>
                <w:sz w:val="20"/>
                <w:szCs w:val="20"/>
              </w:rPr>
            </w:pPr>
            <w:r w:rsidRPr="00894E26">
              <w:rPr>
                <w:rFonts w:ascii="SWISS" w:hAnsi="SWISS" w:cs="Arial"/>
                <w:b/>
                <w:bCs/>
                <w:color w:val="000000"/>
                <w:sz w:val="20"/>
                <w:szCs w:val="20"/>
              </w:rPr>
              <w:t> </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sidRPr="00894E26">
              <w:rPr>
                <w:rFonts w:ascii="SWISS" w:hAnsi="SWISS" w:cs="Arial"/>
                <w:b/>
                <w:bCs/>
                <w:color w:val="000000"/>
                <w:sz w:val="20"/>
                <w:szCs w:val="20"/>
              </w:rPr>
              <w:t>PER</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sidRPr="00894E26">
              <w:rPr>
                <w:rFonts w:ascii="SWISS" w:hAnsi="SWISS" w:cs="Arial"/>
                <w:b/>
                <w:bCs/>
                <w:color w:val="000000"/>
                <w:sz w:val="20"/>
                <w:szCs w:val="20"/>
              </w:rPr>
              <w:t>ADJUST-</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Pr>
                <w:rFonts w:ascii="SWISS" w:hAnsi="SWISS" w:cs="Arial"/>
                <w:b/>
                <w:bCs/>
                <w:color w:val="000000"/>
                <w:sz w:val="20"/>
                <w:szCs w:val="20"/>
              </w:rPr>
              <w:t>PER</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Pr>
                <w:rFonts w:ascii="SWISS" w:hAnsi="SWISS" w:cs="Arial"/>
                <w:b/>
                <w:bCs/>
                <w:color w:val="000000"/>
                <w:sz w:val="20"/>
                <w:szCs w:val="20"/>
              </w:rPr>
              <w:t>RECONCILE</w:t>
            </w:r>
          </w:p>
        </w:tc>
        <w:tc>
          <w:tcPr>
            <w:tcW w:w="1622" w:type="dxa"/>
            <w:tcBorders>
              <w:top w:val="nil"/>
              <w:left w:val="nil"/>
              <w:bottom w:val="nil"/>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Pr>
                <w:rFonts w:ascii="SWISS" w:hAnsi="SWISS" w:cs="Arial"/>
                <w:b/>
                <w:bCs/>
                <w:color w:val="000000"/>
                <w:sz w:val="20"/>
                <w:szCs w:val="20"/>
              </w:rPr>
              <w:t>STRUCTURE</w:t>
            </w:r>
          </w:p>
        </w:tc>
        <w:tc>
          <w:tcPr>
            <w:tcW w:w="1192" w:type="dxa"/>
            <w:tcBorders>
              <w:top w:val="nil"/>
              <w:left w:val="nil"/>
              <w:bottom w:val="nil"/>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sidRPr="00894E26">
              <w:rPr>
                <w:rFonts w:ascii="SWISS" w:hAnsi="SWISS" w:cs="Arial"/>
                <w:b/>
                <w:bCs/>
                <w:color w:val="000000"/>
                <w:sz w:val="20"/>
                <w:szCs w:val="20"/>
              </w:rPr>
              <w:t>OF</w:t>
            </w:r>
          </w:p>
        </w:tc>
        <w:tc>
          <w:tcPr>
            <w:tcW w:w="833"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sidRPr="00894E26">
              <w:rPr>
                <w:rFonts w:ascii="SWISS" w:hAnsi="SWISS" w:cs="Arial"/>
                <w:b/>
                <w:bCs/>
                <w:color w:val="000000"/>
                <w:sz w:val="20"/>
                <w:szCs w:val="20"/>
              </w:rPr>
              <w:t>WEIGHTED</w:t>
            </w:r>
          </w:p>
        </w:tc>
      </w:tr>
      <w:tr w:rsidR="00DC71C1" w:rsidRPr="00894E26" w:rsidTr="00A425E5">
        <w:trPr>
          <w:trHeight w:val="312"/>
          <w:jc w:val="center"/>
        </w:trPr>
        <w:tc>
          <w:tcPr>
            <w:tcW w:w="471" w:type="dxa"/>
            <w:tcBorders>
              <w:top w:val="nil"/>
              <w:left w:val="single" w:sz="8" w:space="0" w:color="auto"/>
              <w:bottom w:val="single" w:sz="8" w:space="0" w:color="auto"/>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single" w:sz="8" w:space="0" w:color="auto"/>
              <w:right w:val="nil"/>
            </w:tcBorders>
            <w:shd w:val="clear" w:color="auto" w:fill="auto"/>
            <w:noWrap/>
            <w:vAlign w:val="bottom"/>
            <w:hideMark/>
          </w:tcPr>
          <w:p w:rsidR="00DC71C1" w:rsidRPr="00894E26" w:rsidRDefault="00DC71C1" w:rsidP="00A425E5">
            <w:pPr>
              <w:rPr>
                <w:rFonts w:ascii="SWISS" w:hAnsi="SWISS" w:cs="Arial"/>
                <w:b/>
                <w:bCs/>
                <w:color w:val="000000"/>
                <w:sz w:val="20"/>
                <w:szCs w:val="20"/>
              </w:rPr>
            </w:pPr>
            <w:r w:rsidRPr="00894E26">
              <w:rPr>
                <w:rFonts w:ascii="SWISS" w:hAnsi="SWISS" w:cs="Arial"/>
                <w:b/>
                <w:bCs/>
                <w:color w:val="000000"/>
                <w:sz w:val="20"/>
                <w:szCs w:val="20"/>
              </w:rPr>
              <w:t>CAPITAL COMPONENT</w:t>
            </w:r>
          </w:p>
        </w:tc>
        <w:tc>
          <w:tcPr>
            <w:tcW w:w="1414" w:type="dxa"/>
            <w:tcBorders>
              <w:top w:val="nil"/>
              <w:left w:val="nil"/>
              <w:bottom w:val="single" w:sz="8" w:space="0" w:color="auto"/>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Pr>
                <w:rFonts w:ascii="SWISS" w:hAnsi="SWISS" w:cs="Arial"/>
                <w:b/>
                <w:bCs/>
                <w:color w:val="000000"/>
                <w:sz w:val="20"/>
                <w:szCs w:val="20"/>
              </w:rPr>
              <w:t>COMM.</w:t>
            </w:r>
          </w:p>
        </w:tc>
        <w:tc>
          <w:tcPr>
            <w:tcW w:w="1061" w:type="dxa"/>
            <w:tcBorders>
              <w:top w:val="nil"/>
              <w:left w:val="nil"/>
              <w:bottom w:val="single" w:sz="8" w:space="0" w:color="auto"/>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sidRPr="00894E26">
              <w:rPr>
                <w:rFonts w:ascii="SWISS" w:hAnsi="SWISS" w:cs="Arial"/>
                <w:b/>
                <w:bCs/>
                <w:color w:val="000000"/>
                <w:sz w:val="20"/>
                <w:szCs w:val="20"/>
              </w:rPr>
              <w:t>MENTS</w:t>
            </w:r>
          </w:p>
        </w:tc>
        <w:tc>
          <w:tcPr>
            <w:tcW w:w="1510" w:type="dxa"/>
            <w:tcBorders>
              <w:top w:val="nil"/>
              <w:left w:val="nil"/>
              <w:bottom w:val="single" w:sz="8" w:space="0" w:color="auto"/>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Pr>
                <w:rFonts w:ascii="SWISS" w:hAnsi="SWISS" w:cs="Arial"/>
                <w:b/>
                <w:bCs/>
                <w:color w:val="000000"/>
                <w:sz w:val="20"/>
                <w:szCs w:val="20"/>
              </w:rPr>
              <w:t>STAFF</w:t>
            </w:r>
          </w:p>
        </w:tc>
        <w:tc>
          <w:tcPr>
            <w:tcW w:w="1756" w:type="dxa"/>
            <w:tcBorders>
              <w:top w:val="nil"/>
              <w:left w:val="nil"/>
              <w:bottom w:val="single" w:sz="8" w:space="0" w:color="auto"/>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Pr>
                <w:rFonts w:ascii="SWISS" w:hAnsi="SWISS" w:cs="Arial"/>
                <w:b/>
                <w:bCs/>
                <w:color w:val="000000"/>
                <w:sz w:val="20"/>
                <w:szCs w:val="20"/>
              </w:rPr>
              <w:t>RATE BASE</w:t>
            </w:r>
          </w:p>
        </w:tc>
        <w:tc>
          <w:tcPr>
            <w:tcW w:w="1622" w:type="dxa"/>
            <w:tcBorders>
              <w:top w:val="nil"/>
              <w:left w:val="nil"/>
              <w:bottom w:val="single" w:sz="8" w:space="0" w:color="auto"/>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Pr>
                <w:rFonts w:ascii="SWISS" w:hAnsi="SWISS" w:cs="Arial"/>
                <w:b/>
                <w:bCs/>
                <w:color w:val="000000"/>
                <w:sz w:val="20"/>
                <w:szCs w:val="20"/>
              </w:rPr>
              <w:t xml:space="preserve">PER </w:t>
            </w:r>
            <w:r w:rsidRPr="00894E26">
              <w:rPr>
                <w:rFonts w:ascii="SWISS" w:hAnsi="SWISS" w:cs="Arial"/>
                <w:b/>
                <w:bCs/>
                <w:color w:val="000000"/>
                <w:sz w:val="20"/>
                <w:szCs w:val="20"/>
              </w:rPr>
              <w:t>STAFF</w:t>
            </w:r>
          </w:p>
        </w:tc>
        <w:tc>
          <w:tcPr>
            <w:tcW w:w="1192" w:type="dxa"/>
            <w:tcBorders>
              <w:top w:val="nil"/>
              <w:left w:val="nil"/>
              <w:bottom w:val="single" w:sz="8" w:space="0" w:color="auto"/>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sidRPr="00894E26">
              <w:rPr>
                <w:rFonts w:ascii="SWISS" w:hAnsi="SWISS" w:cs="Arial"/>
                <w:b/>
                <w:bCs/>
                <w:color w:val="000000"/>
                <w:sz w:val="20"/>
                <w:szCs w:val="20"/>
              </w:rPr>
              <w:t>TOTAL</w:t>
            </w:r>
          </w:p>
        </w:tc>
        <w:tc>
          <w:tcPr>
            <w:tcW w:w="833" w:type="dxa"/>
            <w:tcBorders>
              <w:top w:val="nil"/>
              <w:left w:val="nil"/>
              <w:bottom w:val="single" w:sz="8" w:space="0" w:color="auto"/>
              <w:right w:val="nil"/>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sidRPr="00894E26">
              <w:rPr>
                <w:rFonts w:ascii="SWISS" w:hAnsi="SWISS" w:cs="Arial"/>
                <w:b/>
                <w:bCs/>
                <w:color w:val="000000"/>
                <w:sz w:val="20"/>
                <w:szCs w:val="20"/>
              </w:rPr>
              <w:t>COST</w:t>
            </w:r>
          </w:p>
        </w:tc>
        <w:tc>
          <w:tcPr>
            <w:tcW w:w="1350" w:type="dxa"/>
            <w:tcBorders>
              <w:top w:val="nil"/>
              <w:left w:val="nil"/>
              <w:bottom w:val="single" w:sz="8" w:space="0" w:color="auto"/>
              <w:right w:val="single" w:sz="8" w:space="0" w:color="auto"/>
            </w:tcBorders>
            <w:shd w:val="clear" w:color="auto" w:fill="auto"/>
            <w:noWrap/>
            <w:vAlign w:val="bottom"/>
            <w:hideMark/>
          </w:tcPr>
          <w:p w:rsidR="00DC71C1" w:rsidRPr="00894E26" w:rsidRDefault="00DC71C1" w:rsidP="00A425E5">
            <w:pPr>
              <w:jc w:val="center"/>
              <w:rPr>
                <w:rFonts w:ascii="SWISS" w:hAnsi="SWISS" w:cs="Arial"/>
                <w:b/>
                <w:bCs/>
                <w:color w:val="000000"/>
                <w:sz w:val="20"/>
                <w:szCs w:val="20"/>
              </w:rPr>
            </w:pPr>
            <w:r w:rsidRPr="00894E26">
              <w:rPr>
                <w:rFonts w:ascii="SWISS" w:hAnsi="SWISS" w:cs="Arial"/>
                <w:b/>
                <w:bCs/>
                <w:color w:val="000000"/>
                <w:sz w:val="20"/>
                <w:szCs w:val="20"/>
              </w:rPr>
              <w:t>COST</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jc w:val="right"/>
              <w:rPr>
                <w:rFonts w:ascii="SWISS" w:hAnsi="SWISS" w:cs="Arial"/>
                <w:color w:val="000000"/>
                <w:sz w:val="20"/>
                <w:szCs w:val="20"/>
              </w:rPr>
            </w:pPr>
            <w:r w:rsidRPr="00894E26">
              <w:rPr>
                <w:rFonts w:ascii="SWISS" w:hAnsi="SWISS" w:cs="Arial"/>
                <w:color w:val="000000"/>
                <w:sz w:val="20"/>
                <w:szCs w:val="20"/>
              </w:rPr>
              <w:t>1.</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COMMON STOCK</w:t>
            </w: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$1,000 </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$0 </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$1,000 </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622"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192"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833"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rPr>
                <w:rFonts w:ascii="SWISS" w:hAnsi="SWISS" w:cs="Arial"/>
                <w:sz w:val="20"/>
                <w:szCs w:val="20"/>
              </w:rPr>
            </w:pPr>
            <w:r w:rsidRPr="00894E26">
              <w:rPr>
                <w:rFonts w:ascii="SWISS" w:hAnsi="SWISS" w:cs="Arial"/>
                <w:sz w:val="20"/>
                <w:szCs w:val="20"/>
              </w:rPr>
              <w:t> </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jc w:val="right"/>
              <w:rPr>
                <w:rFonts w:ascii="SWISS" w:hAnsi="SWISS" w:cs="Arial"/>
                <w:color w:val="000000"/>
                <w:sz w:val="20"/>
                <w:szCs w:val="20"/>
              </w:rPr>
            </w:pPr>
            <w:r>
              <w:rPr>
                <w:rFonts w:ascii="SWISS" w:hAnsi="SWISS" w:cs="Arial"/>
                <w:color w:val="000000"/>
                <w:sz w:val="20"/>
                <w:szCs w:val="20"/>
              </w:rPr>
              <w:t>2</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OTHER COMMON EQUITY</w:t>
            </w: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single"/>
              </w:rPr>
            </w:pPr>
            <w:r w:rsidRPr="00894E26">
              <w:rPr>
                <w:rFonts w:ascii="SWISS" w:hAnsi="SWISS" w:cs="Arial"/>
                <w:sz w:val="20"/>
                <w:szCs w:val="20"/>
                <w:u w:val="single"/>
              </w:rPr>
              <w:t xml:space="preserve">81,000 </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single"/>
              </w:rPr>
            </w:pPr>
            <w:r w:rsidRPr="00894E26">
              <w:rPr>
                <w:rFonts w:ascii="SWISS" w:hAnsi="SWISS" w:cs="Arial"/>
                <w:sz w:val="20"/>
                <w:szCs w:val="20"/>
                <w:u w:val="single"/>
              </w:rPr>
              <w:t xml:space="preserve">120,884 </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single"/>
              </w:rPr>
            </w:pPr>
            <w:r w:rsidRPr="00894E26">
              <w:rPr>
                <w:rFonts w:ascii="SWISS" w:hAnsi="SWISS" w:cs="Arial"/>
                <w:sz w:val="20"/>
                <w:szCs w:val="20"/>
                <w:u w:val="single"/>
              </w:rPr>
              <w:t xml:space="preserve">201,884 </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622"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192"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833"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rPr>
                <w:rFonts w:ascii="SWISS" w:hAnsi="SWISS" w:cs="Arial"/>
                <w:sz w:val="20"/>
                <w:szCs w:val="20"/>
              </w:rPr>
            </w:pPr>
            <w:r w:rsidRPr="00894E26">
              <w:rPr>
                <w:rFonts w:ascii="SWISS" w:hAnsi="SWISS" w:cs="Arial"/>
                <w:sz w:val="20"/>
                <w:szCs w:val="20"/>
              </w:rPr>
              <w:t> </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jc w:val="right"/>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xml:space="preserve">  TOTAL COMMON EQUITY</w:t>
            </w: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$82,000 </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$120,884 </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$202,884 </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($103,655)</w:t>
            </w:r>
          </w:p>
        </w:tc>
        <w:tc>
          <w:tcPr>
            <w:tcW w:w="162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$99,230 </w:t>
            </w:r>
          </w:p>
        </w:tc>
        <w:tc>
          <w:tcPr>
            <w:tcW w:w="119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10.13%</w:t>
            </w:r>
          </w:p>
        </w:tc>
        <w:tc>
          <w:tcPr>
            <w:tcW w:w="833"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11.16%</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1.13%</w:t>
            </w:r>
          </w:p>
        </w:tc>
      </w:tr>
      <w:tr w:rsidR="00DC71C1" w:rsidRPr="00894E26" w:rsidTr="00A425E5">
        <w:trPr>
          <w:trHeight w:val="153"/>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414"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061"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510"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756"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622"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192"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833"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rPr>
                <w:rFonts w:ascii="SWISS" w:hAnsi="SWISS" w:cs="Arial"/>
                <w:sz w:val="20"/>
                <w:szCs w:val="20"/>
              </w:rPr>
            </w:pPr>
            <w:r w:rsidRPr="00894E26">
              <w:rPr>
                <w:rFonts w:ascii="SWISS" w:hAnsi="SWISS" w:cs="Arial"/>
                <w:sz w:val="20"/>
                <w:szCs w:val="20"/>
              </w:rPr>
              <w:t> </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jc w:val="right"/>
              <w:rPr>
                <w:rFonts w:ascii="SWISS" w:hAnsi="SWISS" w:cs="Arial"/>
                <w:color w:val="000000"/>
                <w:sz w:val="20"/>
                <w:szCs w:val="20"/>
              </w:rPr>
            </w:pPr>
            <w:r>
              <w:rPr>
                <w:rFonts w:ascii="SWISS" w:hAnsi="SWISS" w:cs="Arial"/>
                <w:color w:val="000000"/>
                <w:sz w:val="20"/>
                <w:szCs w:val="20"/>
              </w:rPr>
              <w:t>3</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LONG TERM DEBT - BB&amp;T</w:t>
            </w: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$54,460 </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($54,460)</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$0 </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$0 </w:t>
            </w:r>
          </w:p>
        </w:tc>
        <w:tc>
          <w:tcPr>
            <w:tcW w:w="162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$0 </w:t>
            </w:r>
          </w:p>
        </w:tc>
        <w:tc>
          <w:tcPr>
            <w:tcW w:w="119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0.00%</w:t>
            </w:r>
          </w:p>
        </w:tc>
        <w:tc>
          <w:tcPr>
            <w:tcW w:w="833"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6.75%</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0.00%</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jc w:val="right"/>
              <w:rPr>
                <w:rFonts w:ascii="SWISS" w:hAnsi="SWISS" w:cs="Arial"/>
                <w:color w:val="000000"/>
                <w:sz w:val="20"/>
                <w:szCs w:val="20"/>
              </w:rPr>
            </w:pPr>
            <w:r>
              <w:rPr>
                <w:rFonts w:ascii="SWISS" w:hAnsi="SWISS" w:cs="Arial"/>
                <w:color w:val="000000"/>
                <w:sz w:val="20"/>
                <w:szCs w:val="20"/>
              </w:rPr>
              <w:t>4</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LONG TERM DEBT - Promissory Notes</w:t>
            </w: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$608,775 </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0 </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608,775 </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(311,026)</w:t>
            </w:r>
          </w:p>
        </w:tc>
        <w:tc>
          <w:tcPr>
            <w:tcW w:w="162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297,749 </w:t>
            </w:r>
          </w:p>
        </w:tc>
        <w:tc>
          <w:tcPr>
            <w:tcW w:w="119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30.40%</w:t>
            </w:r>
          </w:p>
        </w:tc>
        <w:tc>
          <w:tcPr>
            <w:tcW w:w="833"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8.00%</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2.43%</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jc w:val="right"/>
              <w:rPr>
                <w:rFonts w:ascii="SWISS" w:hAnsi="SWISS" w:cs="Arial"/>
                <w:color w:val="000000"/>
                <w:sz w:val="20"/>
                <w:szCs w:val="20"/>
              </w:rPr>
            </w:pPr>
            <w:r>
              <w:rPr>
                <w:rFonts w:ascii="SWISS" w:hAnsi="SWISS" w:cs="Arial"/>
                <w:color w:val="000000"/>
                <w:sz w:val="20"/>
                <w:szCs w:val="20"/>
              </w:rPr>
              <w:t>5</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LONG TERM DEBT - Stonegate Bank</w:t>
            </w: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$405,000 </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46,025 </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451,025 </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(230,431)</w:t>
            </w:r>
          </w:p>
        </w:tc>
        <w:tc>
          <w:tcPr>
            <w:tcW w:w="162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220,594 </w:t>
            </w:r>
          </w:p>
        </w:tc>
        <w:tc>
          <w:tcPr>
            <w:tcW w:w="119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22.52%</w:t>
            </w:r>
          </w:p>
        </w:tc>
        <w:tc>
          <w:tcPr>
            <w:tcW w:w="833"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4.75%</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1.07%</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jc w:val="right"/>
              <w:rPr>
                <w:rFonts w:ascii="SWISS" w:hAnsi="SWISS" w:cs="Arial"/>
                <w:color w:val="000000"/>
                <w:sz w:val="20"/>
                <w:szCs w:val="20"/>
              </w:rPr>
            </w:pPr>
            <w:r>
              <w:rPr>
                <w:rFonts w:ascii="SWISS" w:hAnsi="SWISS" w:cs="Arial"/>
                <w:color w:val="000000"/>
                <w:sz w:val="20"/>
                <w:szCs w:val="20"/>
              </w:rPr>
              <w:t>6</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xml:space="preserve">LONG TERM DEBT - Stonegate/SBA </w:t>
            </w: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$324,000 </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1,600 </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325,600 </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(166,351)</w:t>
            </w:r>
          </w:p>
        </w:tc>
        <w:tc>
          <w:tcPr>
            <w:tcW w:w="162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159,249 </w:t>
            </w:r>
          </w:p>
        </w:tc>
        <w:tc>
          <w:tcPr>
            <w:tcW w:w="119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16.26%</w:t>
            </w:r>
          </w:p>
        </w:tc>
        <w:tc>
          <w:tcPr>
            <w:tcW w:w="833"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4.75%</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0.77%</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jc w:val="right"/>
              <w:rPr>
                <w:rFonts w:ascii="SWISS" w:hAnsi="SWISS" w:cs="Arial"/>
                <w:color w:val="000000"/>
                <w:sz w:val="20"/>
                <w:szCs w:val="20"/>
              </w:rPr>
            </w:pPr>
            <w:r>
              <w:rPr>
                <w:rFonts w:ascii="SWISS" w:hAnsi="SWISS" w:cs="Arial"/>
                <w:color w:val="000000"/>
                <w:sz w:val="20"/>
                <w:szCs w:val="20"/>
              </w:rPr>
              <w:t>7</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LONG TERM DEBT - John Deere</w:t>
            </w: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$30,503 </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0 </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30,503 </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(15,584)</w:t>
            </w:r>
          </w:p>
        </w:tc>
        <w:tc>
          <w:tcPr>
            <w:tcW w:w="162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14,919 </w:t>
            </w:r>
          </w:p>
        </w:tc>
        <w:tc>
          <w:tcPr>
            <w:tcW w:w="119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1.52%</w:t>
            </w:r>
          </w:p>
        </w:tc>
        <w:tc>
          <w:tcPr>
            <w:tcW w:w="833"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2.31%</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0.04%</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jc w:val="right"/>
              <w:rPr>
                <w:rFonts w:ascii="SWISS" w:hAnsi="SWISS" w:cs="Arial"/>
                <w:color w:val="000000"/>
                <w:sz w:val="20"/>
                <w:szCs w:val="20"/>
              </w:rPr>
            </w:pPr>
            <w:r>
              <w:rPr>
                <w:rFonts w:ascii="SWISS" w:hAnsi="SWISS" w:cs="Arial"/>
                <w:color w:val="000000"/>
                <w:sz w:val="20"/>
                <w:szCs w:val="20"/>
              </w:rPr>
              <w:t>8</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LONG TERM DEBT - Stonegate Bank</w:t>
            </w: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$0 </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25,150 </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25,150 </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(12,849)</w:t>
            </w:r>
          </w:p>
        </w:tc>
        <w:tc>
          <w:tcPr>
            <w:tcW w:w="162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12,301 </w:t>
            </w:r>
          </w:p>
        </w:tc>
        <w:tc>
          <w:tcPr>
            <w:tcW w:w="119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1.26%</w:t>
            </w:r>
          </w:p>
        </w:tc>
        <w:tc>
          <w:tcPr>
            <w:tcW w:w="833"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4.00%</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0.05%</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jc w:val="right"/>
              <w:rPr>
                <w:rFonts w:ascii="SWISS" w:hAnsi="SWISS" w:cs="Arial"/>
                <w:color w:val="000000"/>
                <w:sz w:val="20"/>
                <w:szCs w:val="20"/>
              </w:rPr>
            </w:pPr>
            <w:r>
              <w:rPr>
                <w:rFonts w:ascii="SWISS" w:hAnsi="SWISS" w:cs="Arial"/>
                <w:color w:val="000000"/>
                <w:sz w:val="20"/>
                <w:szCs w:val="20"/>
              </w:rPr>
              <w:t>9</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LONG TERM DEBT - Stonegate Bank</w:t>
            </w: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$0 </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138,358 </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138,358 </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(70,688)</w:t>
            </w:r>
          </w:p>
        </w:tc>
        <w:tc>
          <w:tcPr>
            <w:tcW w:w="162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67,670 </w:t>
            </w:r>
          </w:p>
        </w:tc>
        <w:tc>
          <w:tcPr>
            <w:tcW w:w="119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6.91%</w:t>
            </w:r>
          </w:p>
        </w:tc>
        <w:tc>
          <w:tcPr>
            <w:tcW w:w="833"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4.75%</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0.33%</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0</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LONG TERM DEBT - Stonegate/SBA</w:t>
            </w: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$0 </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109,000 </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109,000 </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(55,689)</w:t>
            </w:r>
          </w:p>
        </w:tc>
        <w:tc>
          <w:tcPr>
            <w:tcW w:w="162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53,311 </w:t>
            </w:r>
          </w:p>
        </w:tc>
        <w:tc>
          <w:tcPr>
            <w:tcW w:w="119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5.44%</w:t>
            </w:r>
          </w:p>
        </w:tc>
        <w:tc>
          <w:tcPr>
            <w:tcW w:w="833"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5.64%</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0.31%</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1</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LONG TERM DEBT - Stonegate Bank</w:t>
            </w: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$0 </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62,400 </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62,400 </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(31,880)</w:t>
            </w:r>
          </w:p>
        </w:tc>
        <w:tc>
          <w:tcPr>
            <w:tcW w:w="162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30,520 </w:t>
            </w:r>
          </w:p>
        </w:tc>
        <w:tc>
          <w:tcPr>
            <w:tcW w:w="119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3.12%</w:t>
            </w:r>
          </w:p>
        </w:tc>
        <w:tc>
          <w:tcPr>
            <w:tcW w:w="833"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5.94%</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0.19%</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2</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SHORT-TERM DEBT - Promissory Note</w:t>
            </w: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single"/>
              </w:rPr>
            </w:pPr>
            <w:r w:rsidRPr="00894E26">
              <w:rPr>
                <w:rFonts w:ascii="SWISS" w:hAnsi="SWISS" w:cs="Arial"/>
                <w:sz w:val="20"/>
                <w:szCs w:val="20"/>
                <w:u w:val="single"/>
              </w:rPr>
              <w:t xml:space="preserve">$0 </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single"/>
              </w:rPr>
            </w:pPr>
            <w:r w:rsidRPr="00894E26">
              <w:rPr>
                <w:rFonts w:ascii="SWISS" w:hAnsi="SWISS" w:cs="Arial"/>
                <w:sz w:val="20"/>
                <w:szCs w:val="20"/>
                <w:u w:val="single"/>
              </w:rPr>
              <w:t xml:space="preserve">49,000 </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single"/>
              </w:rPr>
            </w:pPr>
            <w:r w:rsidRPr="00894E26">
              <w:rPr>
                <w:rFonts w:ascii="SWISS" w:hAnsi="SWISS" w:cs="Arial"/>
                <w:sz w:val="20"/>
                <w:szCs w:val="20"/>
                <w:u w:val="single"/>
              </w:rPr>
              <w:t xml:space="preserve">49,000 </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single"/>
              </w:rPr>
            </w:pPr>
            <w:r w:rsidRPr="00894E26">
              <w:rPr>
                <w:rFonts w:ascii="SWISS" w:hAnsi="SWISS" w:cs="Arial"/>
                <w:sz w:val="20"/>
                <w:szCs w:val="20"/>
                <w:u w:val="single"/>
              </w:rPr>
              <w:t>(25,034)</w:t>
            </w:r>
          </w:p>
        </w:tc>
        <w:tc>
          <w:tcPr>
            <w:tcW w:w="162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single"/>
              </w:rPr>
            </w:pPr>
            <w:r w:rsidRPr="00894E26">
              <w:rPr>
                <w:rFonts w:ascii="SWISS" w:hAnsi="SWISS" w:cs="Arial"/>
                <w:sz w:val="20"/>
                <w:szCs w:val="20"/>
                <w:u w:val="single"/>
              </w:rPr>
              <w:t xml:space="preserve">23,966 </w:t>
            </w:r>
          </w:p>
        </w:tc>
        <w:tc>
          <w:tcPr>
            <w:tcW w:w="119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single"/>
              </w:rPr>
            </w:pPr>
            <w:r w:rsidRPr="00894E26">
              <w:rPr>
                <w:rFonts w:ascii="SWISS" w:hAnsi="SWISS" w:cs="Arial"/>
                <w:sz w:val="20"/>
                <w:szCs w:val="20"/>
                <w:u w:val="single"/>
              </w:rPr>
              <w:t>2.45%</w:t>
            </w:r>
          </w:p>
        </w:tc>
        <w:tc>
          <w:tcPr>
            <w:tcW w:w="833"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10.00%</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0.24%</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jc w:val="right"/>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TOTAL LONG TERM DEBT</w:t>
            </w: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1,422,738 </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$377,073 </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$1,799,810 </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($919,532)</w:t>
            </w:r>
          </w:p>
        </w:tc>
        <w:tc>
          <w:tcPr>
            <w:tcW w:w="162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 xml:space="preserve">$880,278 </w:t>
            </w:r>
          </w:p>
        </w:tc>
        <w:tc>
          <w:tcPr>
            <w:tcW w:w="119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89.87%</w:t>
            </w:r>
          </w:p>
        </w:tc>
        <w:tc>
          <w:tcPr>
            <w:tcW w:w="833"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rPr>
                <w:rFonts w:ascii="SWISS" w:hAnsi="SWISS" w:cs="Arial"/>
                <w:sz w:val="20"/>
                <w:szCs w:val="20"/>
              </w:rPr>
            </w:pPr>
            <w:r w:rsidRPr="00894E26">
              <w:rPr>
                <w:rFonts w:ascii="SWISS" w:hAnsi="SWISS" w:cs="Arial"/>
                <w:sz w:val="20"/>
                <w:szCs w:val="20"/>
              </w:rPr>
              <w:t> </w:t>
            </w:r>
          </w:p>
        </w:tc>
      </w:tr>
      <w:tr w:rsidR="00DC71C1" w:rsidRPr="00894E26" w:rsidTr="00A425E5">
        <w:trPr>
          <w:trHeight w:val="216"/>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jc w:val="right"/>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p>
        </w:tc>
        <w:tc>
          <w:tcPr>
            <w:tcW w:w="1414"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061"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510"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756"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622"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192"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833"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rPr>
                <w:rFonts w:ascii="SWISS" w:hAnsi="SWISS" w:cs="Arial"/>
                <w:sz w:val="20"/>
                <w:szCs w:val="20"/>
              </w:rPr>
            </w:pPr>
            <w:r w:rsidRPr="00894E26">
              <w:rPr>
                <w:rFonts w:ascii="SWISS" w:hAnsi="SWISS" w:cs="Arial"/>
                <w:sz w:val="20"/>
                <w:szCs w:val="20"/>
              </w:rPr>
              <w:t> </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3</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CUSTOMER DEPOSITS</w:t>
            </w: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single"/>
              </w:rPr>
            </w:pPr>
            <w:r w:rsidRPr="00894E26">
              <w:rPr>
                <w:rFonts w:ascii="SWISS" w:hAnsi="SWISS" w:cs="Arial"/>
                <w:sz w:val="20"/>
                <w:szCs w:val="20"/>
                <w:u w:val="single"/>
              </w:rPr>
              <w:t xml:space="preserve">$0 </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single"/>
              </w:rPr>
            </w:pPr>
            <w:r w:rsidRPr="00894E26">
              <w:rPr>
                <w:rFonts w:ascii="SWISS" w:hAnsi="SWISS" w:cs="Arial"/>
                <w:sz w:val="20"/>
                <w:szCs w:val="20"/>
                <w:u w:val="single"/>
              </w:rPr>
              <w:t xml:space="preserve">$0 </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single"/>
              </w:rPr>
            </w:pPr>
            <w:r w:rsidRPr="00894E26">
              <w:rPr>
                <w:rFonts w:ascii="SWISS" w:hAnsi="SWISS" w:cs="Arial"/>
                <w:sz w:val="20"/>
                <w:szCs w:val="20"/>
                <w:u w:val="single"/>
              </w:rPr>
              <w:t xml:space="preserve">$0 </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single"/>
              </w:rPr>
            </w:pPr>
            <w:r w:rsidRPr="00894E26">
              <w:rPr>
                <w:rFonts w:ascii="SWISS" w:hAnsi="SWISS" w:cs="Arial"/>
                <w:sz w:val="20"/>
                <w:szCs w:val="20"/>
                <w:u w:val="single"/>
              </w:rPr>
              <w:t xml:space="preserve">$0 </w:t>
            </w:r>
          </w:p>
        </w:tc>
        <w:tc>
          <w:tcPr>
            <w:tcW w:w="162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single"/>
              </w:rPr>
            </w:pPr>
            <w:r w:rsidRPr="00894E26">
              <w:rPr>
                <w:rFonts w:ascii="SWISS" w:hAnsi="SWISS" w:cs="Arial"/>
                <w:sz w:val="20"/>
                <w:szCs w:val="20"/>
                <w:u w:val="single"/>
              </w:rPr>
              <w:t xml:space="preserve">$0 </w:t>
            </w:r>
          </w:p>
        </w:tc>
        <w:tc>
          <w:tcPr>
            <w:tcW w:w="119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single"/>
              </w:rPr>
            </w:pPr>
            <w:r w:rsidRPr="00894E26">
              <w:rPr>
                <w:rFonts w:ascii="SWISS" w:hAnsi="SWISS" w:cs="Arial"/>
                <w:sz w:val="20"/>
                <w:szCs w:val="20"/>
                <w:u w:val="single"/>
              </w:rPr>
              <w:t>0.00%</w:t>
            </w:r>
          </w:p>
        </w:tc>
        <w:tc>
          <w:tcPr>
            <w:tcW w:w="833"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rPr>
            </w:pPr>
            <w:r w:rsidRPr="00894E26">
              <w:rPr>
                <w:rFonts w:ascii="SWISS" w:hAnsi="SWISS" w:cs="Arial"/>
                <w:sz w:val="20"/>
                <w:szCs w:val="20"/>
              </w:rPr>
              <w:t>2.00%</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jc w:val="right"/>
              <w:rPr>
                <w:rFonts w:ascii="SWISS" w:hAnsi="SWISS" w:cs="Arial"/>
                <w:sz w:val="20"/>
                <w:szCs w:val="20"/>
                <w:u w:val="single"/>
              </w:rPr>
            </w:pPr>
            <w:r w:rsidRPr="00894E26">
              <w:rPr>
                <w:rFonts w:ascii="SWISS" w:hAnsi="SWISS" w:cs="Arial"/>
                <w:sz w:val="20"/>
                <w:szCs w:val="20"/>
                <w:u w:val="single"/>
              </w:rPr>
              <w:t>0.00%</w:t>
            </w:r>
          </w:p>
        </w:tc>
      </w:tr>
      <w:tr w:rsidR="00DC71C1" w:rsidRPr="00894E26" w:rsidTr="00A425E5">
        <w:trPr>
          <w:trHeight w:val="126"/>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p>
        </w:tc>
        <w:tc>
          <w:tcPr>
            <w:tcW w:w="1414"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061"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510"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756"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622"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192"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833"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rPr>
                <w:rFonts w:ascii="SWISS" w:hAnsi="SWISS" w:cs="Arial"/>
                <w:sz w:val="20"/>
                <w:szCs w:val="20"/>
              </w:rPr>
            </w:pPr>
            <w:r w:rsidRPr="00894E26">
              <w:rPr>
                <w:rFonts w:ascii="SWISS" w:hAnsi="SWISS" w:cs="Arial"/>
                <w:sz w:val="20"/>
                <w:szCs w:val="20"/>
              </w:rPr>
              <w:t> </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jc w:val="right"/>
              <w:rPr>
                <w:rFonts w:ascii="SWISS" w:hAnsi="SWISS" w:cs="Arial"/>
                <w:color w:val="000000"/>
                <w:sz w:val="20"/>
                <w:szCs w:val="20"/>
              </w:rPr>
            </w:pPr>
            <w:r w:rsidRPr="00894E26">
              <w:rPr>
                <w:rFonts w:ascii="SWISS" w:hAnsi="SWISS" w:cs="Arial"/>
                <w:color w:val="000000"/>
                <w:sz w:val="20"/>
                <w:szCs w:val="20"/>
              </w:rPr>
              <w:t>1</w:t>
            </w:r>
            <w:r>
              <w:rPr>
                <w:rFonts w:ascii="SWISS" w:hAnsi="SWISS" w:cs="Arial"/>
                <w:color w:val="000000"/>
                <w:sz w:val="20"/>
                <w:szCs w:val="20"/>
              </w:rPr>
              <w:t>4</w:t>
            </w:r>
            <w:r w:rsidRPr="00894E26">
              <w:rPr>
                <w:rFonts w:ascii="SWISS" w:hAnsi="SWISS" w:cs="Arial"/>
                <w:color w:val="000000"/>
                <w:sz w:val="20"/>
                <w:szCs w:val="20"/>
              </w:rPr>
              <w:t>.</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TOTAL</w:t>
            </w:r>
          </w:p>
        </w:tc>
        <w:tc>
          <w:tcPr>
            <w:tcW w:w="1414"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double"/>
              </w:rPr>
            </w:pPr>
            <w:r w:rsidRPr="00894E26">
              <w:rPr>
                <w:rFonts w:ascii="SWISS" w:hAnsi="SWISS" w:cs="Arial"/>
                <w:sz w:val="20"/>
                <w:szCs w:val="20"/>
                <w:u w:val="double"/>
              </w:rPr>
              <w:t xml:space="preserve">$1,504,738 </w:t>
            </w:r>
          </w:p>
        </w:tc>
        <w:tc>
          <w:tcPr>
            <w:tcW w:w="1061"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double"/>
              </w:rPr>
            </w:pPr>
            <w:r w:rsidRPr="00894E26">
              <w:rPr>
                <w:rFonts w:ascii="SWISS" w:hAnsi="SWISS" w:cs="Arial"/>
                <w:sz w:val="20"/>
                <w:szCs w:val="20"/>
                <w:u w:val="double"/>
              </w:rPr>
              <w:t xml:space="preserve">$497,957 </w:t>
            </w:r>
          </w:p>
        </w:tc>
        <w:tc>
          <w:tcPr>
            <w:tcW w:w="1510"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double"/>
              </w:rPr>
            </w:pPr>
            <w:r w:rsidRPr="00894E26">
              <w:rPr>
                <w:rFonts w:ascii="SWISS" w:hAnsi="SWISS" w:cs="Arial"/>
                <w:sz w:val="20"/>
                <w:szCs w:val="20"/>
                <w:u w:val="double"/>
              </w:rPr>
              <w:t xml:space="preserve">$2,002,694 </w:t>
            </w:r>
          </w:p>
        </w:tc>
        <w:tc>
          <w:tcPr>
            <w:tcW w:w="1756"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double"/>
              </w:rPr>
            </w:pPr>
            <w:r w:rsidRPr="00894E26">
              <w:rPr>
                <w:rFonts w:ascii="SWISS" w:hAnsi="SWISS" w:cs="Arial"/>
                <w:sz w:val="20"/>
                <w:szCs w:val="20"/>
                <w:u w:val="double"/>
              </w:rPr>
              <w:t>($1,023,186)</w:t>
            </w:r>
          </w:p>
        </w:tc>
        <w:tc>
          <w:tcPr>
            <w:tcW w:w="162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double"/>
              </w:rPr>
            </w:pPr>
            <w:r w:rsidRPr="00894E26">
              <w:rPr>
                <w:rFonts w:ascii="SWISS" w:hAnsi="SWISS" w:cs="Arial"/>
                <w:sz w:val="20"/>
                <w:szCs w:val="20"/>
                <w:u w:val="double"/>
              </w:rPr>
              <w:t xml:space="preserve">$979,508 </w:t>
            </w:r>
          </w:p>
        </w:tc>
        <w:tc>
          <w:tcPr>
            <w:tcW w:w="1192" w:type="dxa"/>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double"/>
              </w:rPr>
            </w:pPr>
            <w:r w:rsidRPr="00894E26">
              <w:rPr>
                <w:rFonts w:ascii="SWISS" w:hAnsi="SWISS" w:cs="Arial"/>
                <w:sz w:val="20"/>
                <w:szCs w:val="20"/>
                <w:u w:val="double"/>
              </w:rPr>
              <w:t>100.00%</w:t>
            </w:r>
          </w:p>
        </w:tc>
        <w:tc>
          <w:tcPr>
            <w:tcW w:w="833"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jc w:val="right"/>
              <w:rPr>
                <w:rFonts w:ascii="SWISS" w:hAnsi="SWISS" w:cs="Arial"/>
                <w:sz w:val="20"/>
                <w:szCs w:val="20"/>
                <w:u w:val="double"/>
              </w:rPr>
            </w:pPr>
            <w:r w:rsidRPr="00894E26">
              <w:rPr>
                <w:rFonts w:ascii="SWISS" w:hAnsi="SWISS" w:cs="Arial"/>
                <w:sz w:val="20"/>
                <w:szCs w:val="20"/>
                <w:u w:val="double"/>
              </w:rPr>
              <w:t>6.55%</w:t>
            </w:r>
          </w:p>
        </w:tc>
      </w:tr>
      <w:tr w:rsidR="00DC71C1" w:rsidRPr="00894E26" w:rsidTr="00A425E5">
        <w:trPr>
          <w:trHeight w:val="216"/>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p>
        </w:tc>
        <w:tc>
          <w:tcPr>
            <w:tcW w:w="1414"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061"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510"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756"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622"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192"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833"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rPr>
                <w:rFonts w:ascii="SWISS" w:hAnsi="SWISS" w:cs="Arial"/>
                <w:sz w:val="20"/>
                <w:szCs w:val="20"/>
              </w:rPr>
            </w:pPr>
            <w:r w:rsidRPr="00894E26">
              <w:rPr>
                <w:rFonts w:ascii="SWISS" w:hAnsi="SWISS" w:cs="Arial"/>
                <w:sz w:val="20"/>
                <w:szCs w:val="20"/>
              </w:rPr>
              <w:t> </w:t>
            </w:r>
          </w:p>
        </w:tc>
      </w:tr>
      <w:tr w:rsidR="00DC71C1" w:rsidRPr="00894E26" w:rsidTr="00A425E5">
        <w:trPr>
          <w:trHeight w:val="300"/>
          <w:jc w:val="center"/>
        </w:trPr>
        <w:tc>
          <w:tcPr>
            <w:tcW w:w="471" w:type="dxa"/>
            <w:tcBorders>
              <w:top w:val="nil"/>
              <w:left w:val="single" w:sz="8" w:space="0" w:color="auto"/>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p>
        </w:tc>
        <w:tc>
          <w:tcPr>
            <w:tcW w:w="1414"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4327" w:type="dxa"/>
            <w:gridSpan w:val="3"/>
            <w:tcBorders>
              <w:top w:val="nil"/>
              <w:left w:val="nil"/>
              <w:bottom w:val="nil"/>
              <w:right w:val="nil"/>
            </w:tcBorders>
            <w:shd w:val="clear" w:color="auto" w:fill="auto"/>
            <w:noWrap/>
            <w:vAlign w:val="bottom"/>
            <w:hideMark/>
          </w:tcPr>
          <w:p w:rsidR="00DC71C1" w:rsidRPr="00894E26" w:rsidRDefault="00DC71C1" w:rsidP="00A425E5">
            <w:pPr>
              <w:jc w:val="right"/>
              <w:rPr>
                <w:rFonts w:ascii="SWISS" w:hAnsi="SWISS" w:cs="Arial"/>
                <w:b/>
                <w:bCs/>
                <w:sz w:val="20"/>
                <w:szCs w:val="20"/>
              </w:rPr>
            </w:pPr>
            <w:r w:rsidRPr="00894E26">
              <w:rPr>
                <w:rFonts w:ascii="SWISS" w:hAnsi="SWISS" w:cs="Arial"/>
                <w:b/>
                <w:bCs/>
                <w:sz w:val="20"/>
                <w:szCs w:val="20"/>
              </w:rPr>
              <w:t>RANGE OF REASONABLENESS</w:t>
            </w:r>
          </w:p>
        </w:tc>
        <w:tc>
          <w:tcPr>
            <w:tcW w:w="1622" w:type="dxa"/>
            <w:tcBorders>
              <w:top w:val="nil"/>
              <w:left w:val="nil"/>
              <w:bottom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192" w:type="dxa"/>
            <w:tcBorders>
              <w:top w:val="nil"/>
              <w:left w:val="nil"/>
              <w:bottom w:val="nil"/>
              <w:right w:val="nil"/>
            </w:tcBorders>
            <w:shd w:val="clear" w:color="auto" w:fill="auto"/>
            <w:noWrap/>
            <w:vAlign w:val="bottom"/>
            <w:hideMark/>
          </w:tcPr>
          <w:p w:rsidR="00DC71C1" w:rsidRPr="00894E26" w:rsidRDefault="00DC71C1" w:rsidP="00A425E5">
            <w:pPr>
              <w:jc w:val="center"/>
              <w:rPr>
                <w:rFonts w:ascii="SWISS" w:hAnsi="SWISS" w:cs="Arial"/>
                <w:b/>
                <w:bCs/>
                <w:sz w:val="20"/>
                <w:szCs w:val="20"/>
                <w:u w:val="single"/>
              </w:rPr>
            </w:pPr>
            <w:r w:rsidRPr="00894E26">
              <w:rPr>
                <w:rFonts w:ascii="SWISS" w:hAnsi="SWISS" w:cs="Arial"/>
                <w:b/>
                <w:bCs/>
                <w:sz w:val="20"/>
                <w:szCs w:val="20"/>
                <w:u w:val="single"/>
              </w:rPr>
              <w:t>LOW</w:t>
            </w:r>
          </w:p>
        </w:tc>
        <w:tc>
          <w:tcPr>
            <w:tcW w:w="833" w:type="dxa"/>
            <w:tcBorders>
              <w:top w:val="nil"/>
              <w:left w:val="nil"/>
              <w:bottom w:val="nil"/>
              <w:right w:val="nil"/>
            </w:tcBorders>
            <w:shd w:val="clear" w:color="auto" w:fill="auto"/>
            <w:noWrap/>
            <w:vAlign w:val="bottom"/>
            <w:hideMark/>
          </w:tcPr>
          <w:p w:rsidR="00DC71C1" w:rsidRPr="00894E26" w:rsidRDefault="00DC71C1" w:rsidP="00A425E5">
            <w:pPr>
              <w:jc w:val="center"/>
              <w:rPr>
                <w:rFonts w:ascii="SWISS" w:hAnsi="SWISS" w:cs="Arial"/>
                <w:b/>
                <w:bCs/>
                <w:sz w:val="20"/>
                <w:szCs w:val="20"/>
                <w:u w:val="single"/>
              </w:rPr>
            </w:pPr>
            <w:r w:rsidRPr="00894E26">
              <w:rPr>
                <w:rFonts w:ascii="SWISS" w:hAnsi="SWISS" w:cs="Arial"/>
                <w:b/>
                <w:bCs/>
                <w:sz w:val="20"/>
                <w:szCs w:val="20"/>
                <w:u w:val="single"/>
              </w:rPr>
              <w:t>HIGH</w:t>
            </w:r>
          </w:p>
        </w:tc>
        <w:tc>
          <w:tcPr>
            <w:tcW w:w="1350" w:type="dxa"/>
            <w:tcBorders>
              <w:top w:val="nil"/>
              <w:left w:val="nil"/>
              <w:bottom w:val="nil"/>
              <w:right w:val="single" w:sz="8" w:space="0" w:color="auto"/>
            </w:tcBorders>
            <w:shd w:val="clear" w:color="auto" w:fill="auto"/>
            <w:noWrap/>
            <w:vAlign w:val="bottom"/>
            <w:hideMark/>
          </w:tcPr>
          <w:p w:rsidR="00DC71C1" w:rsidRPr="00894E26" w:rsidRDefault="00DC71C1" w:rsidP="00A425E5">
            <w:pPr>
              <w:rPr>
                <w:rFonts w:ascii="SWISS" w:hAnsi="SWISS" w:cs="Arial"/>
                <w:sz w:val="20"/>
                <w:szCs w:val="20"/>
              </w:rPr>
            </w:pPr>
            <w:r w:rsidRPr="00894E26">
              <w:rPr>
                <w:rFonts w:ascii="SWISS" w:hAnsi="SWISS" w:cs="Arial"/>
                <w:sz w:val="20"/>
                <w:szCs w:val="20"/>
              </w:rPr>
              <w:t> </w:t>
            </w:r>
          </w:p>
        </w:tc>
      </w:tr>
      <w:tr w:rsidR="00DC71C1" w:rsidRPr="00894E26" w:rsidTr="00A425E5">
        <w:trPr>
          <w:trHeight w:val="300"/>
          <w:jc w:val="center"/>
        </w:trPr>
        <w:tc>
          <w:tcPr>
            <w:tcW w:w="471" w:type="dxa"/>
            <w:tcBorders>
              <w:top w:val="nil"/>
              <w:left w:val="single" w:sz="8" w:space="0" w:color="auto"/>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p>
        </w:tc>
        <w:tc>
          <w:tcPr>
            <w:tcW w:w="1414" w:type="dxa"/>
            <w:tcBorders>
              <w:top w:val="nil"/>
              <w:left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061" w:type="dxa"/>
            <w:tcBorders>
              <w:top w:val="nil"/>
              <w:left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3266" w:type="dxa"/>
            <w:gridSpan w:val="2"/>
            <w:tcBorders>
              <w:top w:val="nil"/>
              <w:left w:val="nil"/>
              <w:right w:val="nil"/>
            </w:tcBorders>
            <w:shd w:val="clear" w:color="auto" w:fill="auto"/>
            <w:noWrap/>
            <w:vAlign w:val="bottom"/>
            <w:hideMark/>
          </w:tcPr>
          <w:p w:rsidR="00DC71C1" w:rsidRPr="00894E26" w:rsidRDefault="00DC71C1" w:rsidP="00A425E5">
            <w:pPr>
              <w:rPr>
                <w:rFonts w:ascii="SWISS" w:hAnsi="SWISS" w:cs="Arial"/>
                <w:sz w:val="20"/>
                <w:szCs w:val="20"/>
              </w:rPr>
            </w:pPr>
            <w:r w:rsidRPr="00894E26">
              <w:rPr>
                <w:rFonts w:ascii="SWISS" w:hAnsi="SWISS" w:cs="Arial"/>
                <w:sz w:val="20"/>
                <w:szCs w:val="20"/>
              </w:rPr>
              <w:t xml:space="preserve">    RETURN ON EQUITY</w:t>
            </w:r>
          </w:p>
        </w:tc>
        <w:tc>
          <w:tcPr>
            <w:tcW w:w="1622" w:type="dxa"/>
            <w:tcBorders>
              <w:top w:val="nil"/>
              <w:left w:val="nil"/>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192" w:type="dxa"/>
            <w:tcBorders>
              <w:top w:val="nil"/>
              <w:left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double"/>
              </w:rPr>
            </w:pPr>
            <w:r w:rsidRPr="00894E26">
              <w:rPr>
                <w:rFonts w:ascii="SWISS" w:hAnsi="SWISS" w:cs="Arial"/>
                <w:sz w:val="20"/>
                <w:szCs w:val="20"/>
                <w:u w:val="double"/>
              </w:rPr>
              <w:t>10.16%</w:t>
            </w:r>
          </w:p>
        </w:tc>
        <w:tc>
          <w:tcPr>
            <w:tcW w:w="833" w:type="dxa"/>
            <w:tcBorders>
              <w:top w:val="nil"/>
              <w:left w:val="nil"/>
              <w:right w:val="nil"/>
            </w:tcBorders>
            <w:shd w:val="clear" w:color="auto" w:fill="auto"/>
            <w:noWrap/>
            <w:vAlign w:val="bottom"/>
            <w:hideMark/>
          </w:tcPr>
          <w:p w:rsidR="00DC71C1" w:rsidRPr="00894E26" w:rsidRDefault="00DC71C1" w:rsidP="00A425E5">
            <w:pPr>
              <w:jc w:val="right"/>
              <w:rPr>
                <w:rFonts w:ascii="SWISS" w:hAnsi="SWISS" w:cs="Arial"/>
                <w:sz w:val="20"/>
                <w:szCs w:val="20"/>
                <w:u w:val="double"/>
              </w:rPr>
            </w:pPr>
            <w:r w:rsidRPr="00894E26">
              <w:rPr>
                <w:rFonts w:ascii="SWISS" w:hAnsi="SWISS" w:cs="Arial"/>
                <w:sz w:val="20"/>
                <w:szCs w:val="20"/>
                <w:u w:val="double"/>
              </w:rPr>
              <w:t>12.16%</w:t>
            </w:r>
          </w:p>
        </w:tc>
        <w:tc>
          <w:tcPr>
            <w:tcW w:w="1350" w:type="dxa"/>
            <w:tcBorders>
              <w:top w:val="nil"/>
              <w:left w:val="nil"/>
              <w:right w:val="single" w:sz="8" w:space="0" w:color="auto"/>
            </w:tcBorders>
            <w:shd w:val="clear" w:color="auto" w:fill="auto"/>
            <w:noWrap/>
            <w:vAlign w:val="bottom"/>
            <w:hideMark/>
          </w:tcPr>
          <w:p w:rsidR="00DC71C1" w:rsidRPr="00894E26" w:rsidRDefault="00DC71C1" w:rsidP="00A425E5">
            <w:pPr>
              <w:rPr>
                <w:rFonts w:ascii="SWISS" w:hAnsi="SWISS" w:cs="Arial"/>
                <w:sz w:val="20"/>
                <w:szCs w:val="20"/>
              </w:rPr>
            </w:pPr>
            <w:r w:rsidRPr="00894E26">
              <w:rPr>
                <w:rFonts w:ascii="SWISS" w:hAnsi="SWISS" w:cs="Arial"/>
                <w:sz w:val="20"/>
                <w:szCs w:val="20"/>
              </w:rPr>
              <w:t> </w:t>
            </w:r>
          </w:p>
        </w:tc>
      </w:tr>
      <w:tr w:rsidR="00DC71C1" w:rsidRPr="00894E26" w:rsidTr="00A425E5">
        <w:trPr>
          <w:trHeight w:val="336"/>
          <w:jc w:val="center"/>
        </w:trPr>
        <w:tc>
          <w:tcPr>
            <w:tcW w:w="471" w:type="dxa"/>
            <w:tcBorders>
              <w:top w:val="nil"/>
              <w:left w:val="single" w:sz="8" w:space="0" w:color="auto"/>
              <w:bottom w:val="single" w:sz="4" w:space="0" w:color="auto"/>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r w:rsidRPr="00894E26">
              <w:rPr>
                <w:rFonts w:ascii="SWISS" w:hAnsi="SWISS" w:cs="Arial"/>
                <w:color w:val="000000"/>
                <w:sz w:val="20"/>
                <w:szCs w:val="20"/>
              </w:rPr>
              <w:t> </w:t>
            </w:r>
          </w:p>
        </w:tc>
        <w:tc>
          <w:tcPr>
            <w:tcW w:w="3655" w:type="dxa"/>
            <w:tcBorders>
              <w:top w:val="nil"/>
              <w:left w:val="nil"/>
              <w:bottom w:val="single" w:sz="4" w:space="0" w:color="auto"/>
              <w:right w:val="nil"/>
            </w:tcBorders>
            <w:shd w:val="clear" w:color="auto" w:fill="auto"/>
            <w:noWrap/>
            <w:vAlign w:val="bottom"/>
            <w:hideMark/>
          </w:tcPr>
          <w:p w:rsidR="00DC71C1" w:rsidRPr="00894E26" w:rsidRDefault="00DC71C1" w:rsidP="00A425E5">
            <w:pPr>
              <w:rPr>
                <w:rFonts w:ascii="SWISS" w:hAnsi="SWISS" w:cs="Arial"/>
                <w:color w:val="000000"/>
                <w:sz w:val="20"/>
                <w:szCs w:val="20"/>
              </w:rPr>
            </w:pPr>
          </w:p>
        </w:tc>
        <w:tc>
          <w:tcPr>
            <w:tcW w:w="1414" w:type="dxa"/>
            <w:tcBorders>
              <w:top w:val="nil"/>
              <w:left w:val="nil"/>
              <w:bottom w:val="single" w:sz="4" w:space="0" w:color="auto"/>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1061" w:type="dxa"/>
            <w:tcBorders>
              <w:top w:val="nil"/>
              <w:left w:val="nil"/>
              <w:bottom w:val="single" w:sz="4" w:space="0" w:color="auto"/>
              <w:right w:val="nil"/>
            </w:tcBorders>
            <w:shd w:val="clear" w:color="auto" w:fill="auto"/>
            <w:noWrap/>
            <w:vAlign w:val="bottom"/>
            <w:hideMark/>
          </w:tcPr>
          <w:p w:rsidR="00DC71C1" w:rsidRPr="00894E26" w:rsidRDefault="00DC71C1" w:rsidP="00A425E5">
            <w:pPr>
              <w:rPr>
                <w:rFonts w:ascii="SWISS" w:hAnsi="SWISS" w:cs="Arial"/>
                <w:sz w:val="20"/>
                <w:szCs w:val="20"/>
              </w:rPr>
            </w:pPr>
          </w:p>
        </w:tc>
        <w:tc>
          <w:tcPr>
            <w:tcW w:w="3266" w:type="dxa"/>
            <w:gridSpan w:val="2"/>
            <w:tcBorders>
              <w:top w:val="nil"/>
              <w:left w:val="nil"/>
              <w:bottom w:val="single" w:sz="4" w:space="0" w:color="auto"/>
              <w:right w:val="nil"/>
            </w:tcBorders>
            <w:shd w:val="clear" w:color="auto" w:fill="auto"/>
            <w:noWrap/>
            <w:hideMark/>
          </w:tcPr>
          <w:p w:rsidR="00DC71C1" w:rsidRPr="00894E26" w:rsidRDefault="00DC71C1" w:rsidP="00A425E5">
            <w:pPr>
              <w:rPr>
                <w:rFonts w:ascii="SWISS" w:hAnsi="SWISS" w:cs="Arial"/>
                <w:sz w:val="20"/>
                <w:szCs w:val="20"/>
              </w:rPr>
            </w:pPr>
            <w:r w:rsidRPr="00894E26">
              <w:rPr>
                <w:rFonts w:ascii="SWISS" w:hAnsi="SWISS" w:cs="Arial"/>
                <w:sz w:val="20"/>
                <w:szCs w:val="20"/>
              </w:rPr>
              <w:t xml:space="preserve">    OVERALL RATE OF RETURN</w:t>
            </w:r>
          </w:p>
        </w:tc>
        <w:tc>
          <w:tcPr>
            <w:tcW w:w="1622" w:type="dxa"/>
            <w:tcBorders>
              <w:top w:val="nil"/>
              <w:left w:val="nil"/>
              <w:bottom w:val="single" w:sz="4" w:space="0" w:color="auto"/>
              <w:right w:val="nil"/>
            </w:tcBorders>
            <w:shd w:val="clear" w:color="auto" w:fill="auto"/>
            <w:noWrap/>
            <w:hideMark/>
          </w:tcPr>
          <w:p w:rsidR="00DC71C1" w:rsidRPr="00894E26" w:rsidRDefault="00DC71C1" w:rsidP="00A425E5">
            <w:pPr>
              <w:rPr>
                <w:rFonts w:ascii="SWISS" w:hAnsi="SWISS" w:cs="Arial"/>
                <w:sz w:val="20"/>
                <w:szCs w:val="20"/>
              </w:rPr>
            </w:pPr>
          </w:p>
        </w:tc>
        <w:tc>
          <w:tcPr>
            <w:tcW w:w="1192" w:type="dxa"/>
            <w:tcBorders>
              <w:top w:val="nil"/>
              <w:left w:val="nil"/>
              <w:bottom w:val="single" w:sz="4" w:space="0" w:color="auto"/>
              <w:right w:val="nil"/>
            </w:tcBorders>
            <w:shd w:val="clear" w:color="auto" w:fill="auto"/>
            <w:noWrap/>
            <w:hideMark/>
          </w:tcPr>
          <w:p w:rsidR="00DC71C1" w:rsidRPr="00894E26" w:rsidRDefault="00DC71C1" w:rsidP="00A425E5">
            <w:pPr>
              <w:jc w:val="right"/>
              <w:rPr>
                <w:rFonts w:ascii="SWISS" w:hAnsi="SWISS" w:cs="Arial"/>
                <w:sz w:val="20"/>
                <w:szCs w:val="20"/>
                <w:u w:val="double"/>
              </w:rPr>
            </w:pPr>
            <w:r w:rsidRPr="00894E26">
              <w:rPr>
                <w:rFonts w:ascii="SWISS" w:hAnsi="SWISS" w:cs="Arial"/>
                <w:sz w:val="20"/>
                <w:szCs w:val="20"/>
                <w:u w:val="double"/>
              </w:rPr>
              <w:t>6.45%</w:t>
            </w:r>
          </w:p>
        </w:tc>
        <w:tc>
          <w:tcPr>
            <w:tcW w:w="833" w:type="dxa"/>
            <w:tcBorders>
              <w:top w:val="nil"/>
              <w:left w:val="nil"/>
              <w:bottom w:val="single" w:sz="4" w:space="0" w:color="auto"/>
              <w:right w:val="nil"/>
            </w:tcBorders>
            <w:shd w:val="clear" w:color="auto" w:fill="auto"/>
            <w:noWrap/>
            <w:hideMark/>
          </w:tcPr>
          <w:p w:rsidR="00DC71C1" w:rsidRPr="00894E26" w:rsidRDefault="00DC71C1" w:rsidP="00A425E5">
            <w:pPr>
              <w:jc w:val="right"/>
              <w:rPr>
                <w:rFonts w:ascii="SWISS" w:hAnsi="SWISS" w:cs="Arial"/>
                <w:sz w:val="20"/>
                <w:szCs w:val="20"/>
                <w:u w:val="double"/>
              </w:rPr>
            </w:pPr>
            <w:r w:rsidRPr="00894E26">
              <w:rPr>
                <w:rFonts w:ascii="SWISS" w:hAnsi="SWISS" w:cs="Arial"/>
                <w:sz w:val="20"/>
                <w:szCs w:val="20"/>
                <w:u w:val="double"/>
              </w:rPr>
              <w:t>6.67%</w:t>
            </w:r>
          </w:p>
        </w:tc>
        <w:tc>
          <w:tcPr>
            <w:tcW w:w="1350" w:type="dxa"/>
            <w:tcBorders>
              <w:top w:val="nil"/>
              <w:left w:val="nil"/>
              <w:bottom w:val="single" w:sz="4" w:space="0" w:color="auto"/>
              <w:right w:val="single" w:sz="8" w:space="0" w:color="auto"/>
            </w:tcBorders>
            <w:shd w:val="clear" w:color="auto" w:fill="auto"/>
            <w:noWrap/>
            <w:vAlign w:val="bottom"/>
            <w:hideMark/>
          </w:tcPr>
          <w:p w:rsidR="00DC71C1" w:rsidRPr="00894E26" w:rsidRDefault="00DC71C1" w:rsidP="00A425E5">
            <w:pPr>
              <w:rPr>
                <w:rFonts w:ascii="SWISS" w:hAnsi="SWISS" w:cs="Arial"/>
                <w:sz w:val="20"/>
                <w:szCs w:val="20"/>
              </w:rPr>
            </w:pPr>
            <w:r w:rsidRPr="00894E26">
              <w:rPr>
                <w:rFonts w:ascii="SWISS" w:hAnsi="SWISS" w:cs="Arial"/>
                <w:sz w:val="20"/>
                <w:szCs w:val="20"/>
              </w:rPr>
              <w:t> </w:t>
            </w:r>
          </w:p>
        </w:tc>
      </w:tr>
    </w:tbl>
    <w:p w:rsidR="00866604" w:rsidRDefault="00866604" w:rsidP="00E275D8">
      <w:pPr>
        <w:pStyle w:val="BodyText"/>
        <w:sectPr w:rsidR="00866604" w:rsidSect="00866604">
          <w:headerReference w:type="default" r:id="rId17"/>
          <w:pgSz w:w="15840" w:h="12240" w:orient="landscape" w:code="1"/>
          <w:pgMar w:top="1440" w:right="1584" w:bottom="1440" w:left="1440" w:header="720" w:footer="720" w:gutter="0"/>
          <w:cols w:space="720"/>
          <w:formProt w:val="0"/>
          <w:docGrid w:linePitch="360"/>
        </w:sectPr>
      </w:pPr>
    </w:p>
    <w:tbl>
      <w:tblPr>
        <w:tblW w:w="14068" w:type="dxa"/>
        <w:jc w:val="center"/>
        <w:tblInd w:w="98" w:type="dxa"/>
        <w:tblCellMar>
          <w:left w:w="0" w:type="dxa"/>
          <w:right w:w="0" w:type="dxa"/>
        </w:tblCellMar>
        <w:tblLook w:val="04A0" w:firstRow="1" w:lastRow="0" w:firstColumn="1" w:lastColumn="0" w:noHBand="0" w:noVBand="1"/>
      </w:tblPr>
      <w:tblGrid>
        <w:gridCol w:w="806"/>
        <w:gridCol w:w="3689"/>
        <w:gridCol w:w="1937"/>
        <w:gridCol w:w="1937"/>
        <w:gridCol w:w="1937"/>
        <w:gridCol w:w="1937"/>
        <w:gridCol w:w="1937"/>
      </w:tblGrid>
      <w:tr w:rsidR="00DC71C1" w:rsidRPr="00BC5498" w:rsidTr="00A425E5">
        <w:trPr>
          <w:trHeight w:val="294"/>
          <w:jc w:val="center"/>
        </w:trPr>
        <w:tc>
          <w:tcPr>
            <w:tcW w:w="790" w:type="dxa"/>
            <w:tcBorders>
              <w:top w:val="single" w:sz="8" w:space="0" w:color="auto"/>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lastRenderedPageBreak/>
              <w:br w:type="page"/>
            </w:r>
            <w:r w:rsidRPr="00BC5498">
              <w:rPr>
                <w:rFonts w:ascii="SWISS" w:hAnsi="SWISS" w:cs="Arial"/>
                <w:sz w:val="20"/>
                <w:szCs w:val="20"/>
              </w:rPr>
              <w:t> </w:t>
            </w:r>
          </w:p>
        </w:tc>
        <w:tc>
          <w:tcPr>
            <w:tcW w:w="5594" w:type="dxa"/>
            <w:gridSpan w:val="2"/>
            <w:tcBorders>
              <w:top w:val="single" w:sz="8" w:space="0" w:color="auto"/>
              <w:left w:val="nil"/>
              <w:bottom w:val="nil"/>
              <w:right w:val="nil"/>
            </w:tcBorders>
            <w:noWrap/>
            <w:vAlign w:val="bottom"/>
            <w:hideMark/>
          </w:tcPr>
          <w:p w:rsidR="00DC71C1" w:rsidRPr="00BC5498" w:rsidRDefault="00DC71C1" w:rsidP="00A425E5">
            <w:pPr>
              <w:rPr>
                <w:rFonts w:ascii="SWISS" w:hAnsi="SWISS" w:cs="Arial"/>
                <w:color w:val="000000"/>
                <w:sz w:val="20"/>
                <w:szCs w:val="20"/>
              </w:rPr>
            </w:pPr>
            <w:r>
              <w:rPr>
                <w:rFonts w:ascii="SWISS" w:hAnsi="SWISS" w:cs="Arial"/>
                <w:b/>
                <w:bCs/>
                <w:color w:val="000000"/>
                <w:sz w:val="20"/>
                <w:szCs w:val="20"/>
              </w:rPr>
              <w:t>LITTLE GASPARILLA WATER UTILITY, INC.</w:t>
            </w:r>
          </w:p>
        </w:tc>
        <w:tc>
          <w:tcPr>
            <w:tcW w:w="1921" w:type="dxa"/>
            <w:tcBorders>
              <w:top w:val="single" w:sz="8" w:space="0" w:color="auto"/>
              <w:left w:val="nil"/>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 </w:t>
            </w:r>
          </w:p>
        </w:tc>
        <w:tc>
          <w:tcPr>
            <w:tcW w:w="1921" w:type="dxa"/>
            <w:tcBorders>
              <w:top w:val="single" w:sz="8" w:space="0" w:color="auto"/>
              <w:left w:val="nil"/>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 </w:t>
            </w:r>
          </w:p>
        </w:tc>
        <w:tc>
          <w:tcPr>
            <w:tcW w:w="3842" w:type="dxa"/>
            <w:gridSpan w:val="2"/>
            <w:tcBorders>
              <w:top w:val="single" w:sz="8" w:space="0" w:color="auto"/>
              <w:left w:val="nil"/>
              <w:bottom w:val="nil"/>
              <w:right w:val="single" w:sz="8" w:space="0" w:color="auto"/>
            </w:tcBorders>
            <w:noWrap/>
            <w:vAlign w:val="bottom"/>
            <w:hideMark/>
          </w:tcPr>
          <w:p w:rsidR="00DC71C1" w:rsidRPr="00BC5498" w:rsidRDefault="00DC71C1" w:rsidP="00A425E5">
            <w:pPr>
              <w:rPr>
                <w:rFonts w:ascii="SWISS" w:hAnsi="SWISS" w:cs="Arial"/>
                <w:b/>
                <w:bCs/>
                <w:sz w:val="20"/>
                <w:szCs w:val="20"/>
              </w:rPr>
            </w:pPr>
            <w:r w:rsidRPr="00BC5498">
              <w:rPr>
                <w:rFonts w:ascii="SWISS" w:hAnsi="SWISS" w:cs="Arial"/>
                <w:b/>
                <w:bCs/>
                <w:sz w:val="20"/>
                <w:szCs w:val="20"/>
              </w:rPr>
              <w:t xml:space="preserve">                                     SCHEDULE NO. 3-A</w:t>
            </w:r>
            <w:r w:rsidRPr="00BC5498">
              <w:rPr>
                <w:sz w:val="20"/>
                <w:szCs w:val="20"/>
              </w:rPr>
              <w:fldChar w:fldCharType="begin"/>
            </w:r>
            <w:r w:rsidRPr="00BC5498">
              <w:rPr>
                <w:sz w:val="20"/>
                <w:szCs w:val="20"/>
              </w:rPr>
              <w:instrText xml:space="preserve"> TC "</w:instrText>
            </w:r>
            <w:bookmarkStart w:id="39" w:name="_Toc399147319"/>
            <w:r w:rsidRPr="00BC5498">
              <w:rPr>
                <w:sz w:val="20"/>
                <w:szCs w:val="20"/>
              </w:rPr>
              <w:instrText xml:space="preserve"> </w:instrText>
            </w:r>
            <w:bookmarkStart w:id="40" w:name="_Toc478581579"/>
            <w:bookmarkStart w:id="41" w:name="_Toc451937574"/>
            <w:bookmarkStart w:id="42" w:name="_Toc422220889"/>
            <w:bookmarkStart w:id="43" w:name="_Toc441233996"/>
            <w:bookmarkStart w:id="44" w:name="_Toc443384731"/>
            <w:bookmarkStart w:id="45" w:name="_Toc481571383"/>
            <w:bookmarkStart w:id="46" w:name="_Toc484800704"/>
            <w:bookmarkStart w:id="47" w:name="_Toc496733047"/>
            <w:bookmarkStart w:id="48" w:name="_Toc499901220"/>
            <w:r w:rsidRPr="00BC5498">
              <w:rPr>
                <w:sz w:val="20"/>
                <w:szCs w:val="20"/>
              </w:rPr>
              <w:instrText>Schedule No. 3-A Water Operating Income</w:instrText>
            </w:r>
            <w:bookmarkEnd w:id="39"/>
            <w:bookmarkEnd w:id="40"/>
            <w:bookmarkEnd w:id="41"/>
            <w:bookmarkEnd w:id="42"/>
            <w:bookmarkEnd w:id="43"/>
            <w:bookmarkEnd w:id="44"/>
            <w:bookmarkEnd w:id="45"/>
            <w:bookmarkEnd w:id="46"/>
            <w:bookmarkEnd w:id="47"/>
            <w:r>
              <w:rPr>
                <w:sz w:val="20"/>
                <w:szCs w:val="20"/>
              </w:rPr>
              <w:instrText xml:space="preserve"> – Phase II</w:instrText>
            </w:r>
            <w:bookmarkEnd w:id="48"/>
            <w:r w:rsidRPr="00BC5498">
              <w:rPr>
                <w:sz w:val="20"/>
                <w:szCs w:val="20"/>
              </w:rPr>
              <w:instrText xml:space="preserve">”\l 1 </w:instrText>
            </w:r>
            <w:r w:rsidRPr="00BC5498">
              <w:rPr>
                <w:sz w:val="20"/>
                <w:szCs w:val="20"/>
              </w:rPr>
              <w:fldChar w:fldCharType="end"/>
            </w:r>
          </w:p>
        </w:tc>
      </w:tr>
      <w:tr w:rsidR="00DC71C1" w:rsidRPr="00BC5498" w:rsidTr="00A425E5">
        <w:trPr>
          <w:trHeight w:val="294"/>
          <w:jc w:val="center"/>
        </w:trPr>
        <w:tc>
          <w:tcPr>
            <w:tcW w:w="790"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3673" w:type="dxa"/>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 xml:space="preserve">TEST YEAR ENDED </w:t>
            </w:r>
            <w:r>
              <w:rPr>
                <w:rFonts w:ascii="SWISS" w:hAnsi="SWISS" w:cs="Arial"/>
                <w:b/>
                <w:bCs/>
                <w:color w:val="000000"/>
                <w:sz w:val="20"/>
                <w:szCs w:val="20"/>
              </w:rPr>
              <w:t>9</w:t>
            </w:r>
            <w:r w:rsidRPr="00BC5498">
              <w:rPr>
                <w:rFonts w:ascii="SWISS" w:hAnsi="SWISS" w:cs="Arial"/>
                <w:b/>
                <w:bCs/>
                <w:color w:val="000000"/>
                <w:sz w:val="20"/>
                <w:szCs w:val="20"/>
              </w:rPr>
              <w:t>/</w:t>
            </w:r>
            <w:r>
              <w:rPr>
                <w:rFonts w:ascii="SWISS" w:hAnsi="SWISS" w:cs="Arial"/>
                <w:b/>
                <w:bCs/>
                <w:color w:val="000000"/>
                <w:sz w:val="20"/>
                <w:szCs w:val="20"/>
              </w:rPr>
              <w:t>30</w:t>
            </w:r>
            <w:r w:rsidRPr="00BC5498">
              <w:rPr>
                <w:rFonts w:ascii="SWISS" w:hAnsi="SWISS" w:cs="Arial"/>
                <w:b/>
                <w:bCs/>
                <w:color w:val="000000"/>
                <w:sz w:val="20"/>
                <w:szCs w:val="20"/>
              </w:rPr>
              <w:t>/201</w:t>
            </w:r>
            <w:r>
              <w:rPr>
                <w:rFonts w:ascii="SWISS" w:hAnsi="SWISS" w:cs="Arial"/>
                <w:b/>
                <w:bCs/>
                <w:color w:val="000000"/>
                <w:sz w:val="20"/>
                <w:szCs w:val="20"/>
              </w:rPr>
              <w:t>3</w:t>
            </w:r>
          </w:p>
        </w:tc>
        <w:tc>
          <w:tcPr>
            <w:tcW w:w="1921" w:type="dxa"/>
            <w:noWrap/>
            <w:vAlign w:val="bottom"/>
          </w:tcPr>
          <w:p w:rsidR="00DC71C1" w:rsidRPr="00BC5498" w:rsidRDefault="00DC71C1" w:rsidP="00A425E5">
            <w:pPr>
              <w:rPr>
                <w:rFonts w:ascii="SWISS" w:hAnsi="SWISS" w:cs="Arial"/>
                <w:color w:val="000000"/>
                <w:sz w:val="20"/>
                <w:szCs w:val="20"/>
              </w:rPr>
            </w:pPr>
          </w:p>
        </w:tc>
        <w:tc>
          <w:tcPr>
            <w:tcW w:w="1921" w:type="dxa"/>
            <w:noWrap/>
            <w:vAlign w:val="bottom"/>
          </w:tcPr>
          <w:p w:rsidR="00DC71C1" w:rsidRPr="00BC5498" w:rsidRDefault="00DC71C1" w:rsidP="00A425E5">
            <w:pPr>
              <w:rPr>
                <w:rFonts w:ascii="SWISS" w:hAnsi="SWISS" w:cs="Arial"/>
                <w:color w:val="000000"/>
                <w:sz w:val="20"/>
                <w:szCs w:val="20"/>
              </w:rPr>
            </w:pPr>
          </w:p>
        </w:tc>
        <w:tc>
          <w:tcPr>
            <w:tcW w:w="1921" w:type="dxa"/>
            <w:noWrap/>
            <w:vAlign w:val="bottom"/>
          </w:tcPr>
          <w:p w:rsidR="00DC71C1" w:rsidRPr="00BC5498" w:rsidRDefault="00DC71C1" w:rsidP="00A425E5">
            <w:pPr>
              <w:rPr>
                <w:rFonts w:ascii="SWISS" w:hAnsi="SWISS" w:cs="Arial"/>
                <w:color w:val="000000"/>
                <w:sz w:val="20"/>
                <w:szCs w:val="20"/>
              </w:rPr>
            </w:pPr>
          </w:p>
        </w:tc>
        <w:tc>
          <w:tcPr>
            <w:tcW w:w="3842" w:type="dxa"/>
            <w:gridSpan w:val="2"/>
            <w:tcBorders>
              <w:top w:val="nil"/>
              <w:left w:val="nil"/>
              <w:bottom w:val="nil"/>
              <w:right w:val="single" w:sz="8" w:space="0" w:color="auto"/>
            </w:tcBorders>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 xml:space="preserve">                        DOCKET NO. 20</w:t>
            </w:r>
            <w:r>
              <w:rPr>
                <w:rFonts w:ascii="SWISS" w:hAnsi="SWISS" w:cs="Arial"/>
                <w:b/>
                <w:bCs/>
                <w:color w:val="000000"/>
                <w:sz w:val="20"/>
                <w:szCs w:val="20"/>
              </w:rPr>
              <w:t>130265</w:t>
            </w:r>
            <w:r w:rsidRPr="00BC5498">
              <w:rPr>
                <w:rFonts w:ascii="SWISS" w:hAnsi="SWISS" w:cs="Arial"/>
                <w:b/>
                <w:bCs/>
                <w:color w:val="000000"/>
                <w:sz w:val="20"/>
                <w:szCs w:val="20"/>
              </w:rPr>
              <w:t>-W</w:t>
            </w:r>
            <w:r>
              <w:rPr>
                <w:rFonts w:ascii="SWISS" w:hAnsi="SWISS" w:cs="Arial"/>
                <w:b/>
                <w:bCs/>
                <w:color w:val="000000"/>
                <w:sz w:val="20"/>
                <w:szCs w:val="20"/>
              </w:rPr>
              <w:t>U</w:t>
            </w:r>
            <w:r w:rsidRPr="00BC5498">
              <w:rPr>
                <w:rFonts w:ascii="SWISS" w:hAnsi="SWISS" w:cs="Arial"/>
                <w:b/>
                <w:bCs/>
                <w:color w:val="000000"/>
                <w:sz w:val="20"/>
                <w:szCs w:val="20"/>
              </w:rPr>
              <w:t xml:space="preserve"> </w:t>
            </w:r>
          </w:p>
        </w:tc>
      </w:tr>
      <w:tr w:rsidR="00DC71C1" w:rsidRPr="00BC5498" w:rsidTr="00A425E5">
        <w:trPr>
          <w:trHeight w:val="306"/>
          <w:jc w:val="center"/>
        </w:trPr>
        <w:tc>
          <w:tcPr>
            <w:tcW w:w="790" w:type="dxa"/>
            <w:tcBorders>
              <w:top w:val="nil"/>
              <w:left w:val="single" w:sz="8" w:space="0" w:color="auto"/>
              <w:bottom w:val="single" w:sz="8" w:space="0" w:color="auto"/>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7515" w:type="dxa"/>
            <w:gridSpan w:val="3"/>
            <w:tcBorders>
              <w:top w:val="nil"/>
              <w:left w:val="nil"/>
              <w:bottom w:val="single" w:sz="8" w:space="0" w:color="auto"/>
              <w:right w:val="nil"/>
            </w:tcBorders>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SCHEDULE OF WATER OPERATING INCOME</w:t>
            </w:r>
            <w:r>
              <w:rPr>
                <w:rFonts w:ascii="SWISS" w:hAnsi="SWISS" w:cs="Arial"/>
                <w:b/>
                <w:bCs/>
                <w:color w:val="000000"/>
                <w:sz w:val="20"/>
                <w:szCs w:val="20"/>
              </w:rPr>
              <w:t xml:space="preserve"> (PHASE II)</w:t>
            </w:r>
          </w:p>
        </w:tc>
        <w:tc>
          <w:tcPr>
            <w:tcW w:w="1921" w:type="dxa"/>
            <w:tcBorders>
              <w:top w:val="nil"/>
              <w:left w:val="nil"/>
              <w:bottom w:val="single" w:sz="8" w:space="0" w:color="auto"/>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921" w:type="dxa"/>
            <w:tcBorders>
              <w:top w:val="nil"/>
              <w:left w:val="nil"/>
              <w:bottom w:val="single" w:sz="8" w:space="0" w:color="auto"/>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921" w:type="dxa"/>
            <w:tcBorders>
              <w:top w:val="nil"/>
              <w:left w:val="nil"/>
              <w:bottom w:val="single" w:sz="8" w:space="0" w:color="auto"/>
              <w:right w:val="single" w:sz="8" w:space="0" w:color="auto"/>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r>
      <w:tr w:rsidR="00DC71C1" w:rsidRPr="00BC5498" w:rsidTr="00A425E5">
        <w:trPr>
          <w:trHeight w:val="294"/>
          <w:jc w:val="center"/>
        </w:trPr>
        <w:tc>
          <w:tcPr>
            <w:tcW w:w="790" w:type="dxa"/>
            <w:tcBorders>
              <w:top w:val="single" w:sz="8" w:space="0" w:color="auto"/>
              <w:left w:val="single" w:sz="8" w:space="0" w:color="auto"/>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3673" w:type="dxa"/>
            <w:tcBorders>
              <w:top w:val="single" w:sz="8" w:space="0" w:color="auto"/>
              <w:left w:val="nil"/>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921" w:type="dxa"/>
            <w:tcBorders>
              <w:top w:val="single" w:sz="8" w:space="0" w:color="auto"/>
              <w:left w:val="nil"/>
              <w:bottom w:val="nil"/>
              <w:right w:val="nil"/>
            </w:tcBorders>
            <w:noWrap/>
            <w:vAlign w:val="bottom"/>
            <w:hideMark/>
          </w:tcPr>
          <w:p w:rsidR="00DC71C1" w:rsidRPr="00BC5498" w:rsidRDefault="00DC71C1" w:rsidP="00A425E5">
            <w:pPr>
              <w:jc w:val="center"/>
              <w:rPr>
                <w:rFonts w:ascii="SWISS" w:hAnsi="SWISS" w:cs="Arial"/>
                <w:b/>
                <w:bCs/>
                <w:color w:val="000000"/>
                <w:sz w:val="20"/>
                <w:szCs w:val="20"/>
              </w:rPr>
            </w:pPr>
            <w:r>
              <w:rPr>
                <w:rFonts w:ascii="SWISS" w:hAnsi="SWISS" w:cs="Arial"/>
                <w:b/>
                <w:bCs/>
                <w:color w:val="000000"/>
                <w:sz w:val="20"/>
                <w:szCs w:val="20"/>
              </w:rPr>
              <w:t>PHASE I</w:t>
            </w:r>
          </w:p>
        </w:tc>
        <w:tc>
          <w:tcPr>
            <w:tcW w:w="1921" w:type="dxa"/>
            <w:tcBorders>
              <w:top w:val="single" w:sz="8" w:space="0" w:color="auto"/>
              <w:left w:val="nil"/>
              <w:bottom w:val="nil"/>
              <w:right w:val="nil"/>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 </w:t>
            </w:r>
          </w:p>
        </w:tc>
        <w:tc>
          <w:tcPr>
            <w:tcW w:w="1921" w:type="dxa"/>
            <w:tcBorders>
              <w:top w:val="single" w:sz="8" w:space="0" w:color="auto"/>
              <w:left w:val="nil"/>
              <w:bottom w:val="nil"/>
              <w:right w:val="nil"/>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STAFF</w:t>
            </w:r>
          </w:p>
        </w:tc>
        <w:tc>
          <w:tcPr>
            <w:tcW w:w="1921" w:type="dxa"/>
            <w:tcBorders>
              <w:top w:val="single" w:sz="8" w:space="0" w:color="auto"/>
              <w:left w:val="nil"/>
              <w:bottom w:val="nil"/>
              <w:right w:val="nil"/>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ADJUST.</w:t>
            </w:r>
          </w:p>
        </w:tc>
        <w:tc>
          <w:tcPr>
            <w:tcW w:w="1921" w:type="dxa"/>
            <w:tcBorders>
              <w:top w:val="single" w:sz="8" w:space="0" w:color="auto"/>
              <w:left w:val="nil"/>
              <w:bottom w:val="nil"/>
              <w:right w:val="single" w:sz="8" w:space="0" w:color="auto"/>
            </w:tcBorders>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 </w:t>
            </w:r>
          </w:p>
        </w:tc>
      </w:tr>
      <w:tr w:rsidR="00DC71C1" w:rsidRPr="00BC5498" w:rsidTr="00A425E5">
        <w:trPr>
          <w:trHeight w:val="294"/>
          <w:jc w:val="center"/>
        </w:trPr>
        <w:tc>
          <w:tcPr>
            <w:tcW w:w="790"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3673" w:type="dxa"/>
            <w:noWrap/>
            <w:vAlign w:val="bottom"/>
          </w:tcPr>
          <w:p w:rsidR="00DC71C1" w:rsidRPr="00BC5498" w:rsidRDefault="00DC71C1" w:rsidP="00A425E5">
            <w:pPr>
              <w:rPr>
                <w:rFonts w:ascii="SWISS" w:hAnsi="SWISS" w:cs="Arial"/>
                <w:color w:val="000000"/>
                <w:sz w:val="20"/>
                <w:szCs w:val="20"/>
              </w:rPr>
            </w:pPr>
          </w:p>
        </w:tc>
        <w:tc>
          <w:tcPr>
            <w:tcW w:w="1921" w:type="dxa"/>
            <w:noWrap/>
            <w:vAlign w:val="bottom"/>
            <w:hideMark/>
          </w:tcPr>
          <w:p w:rsidR="00DC71C1" w:rsidRPr="00BC5498" w:rsidRDefault="00DC71C1" w:rsidP="00A425E5">
            <w:pPr>
              <w:jc w:val="center"/>
              <w:rPr>
                <w:rFonts w:ascii="SWISS" w:hAnsi="SWISS" w:cs="Arial"/>
                <w:b/>
                <w:bCs/>
                <w:color w:val="000000"/>
                <w:sz w:val="20"/>
                <w:szCs w:val="20"/>
              </w:rPr>
            </w:pPr>
            <w:r>
              <w:rPr>
                <w:rFonts w:ascii="SWISS" w:hAnsi="SWISS" w:cs="Arial"/>
                <w:b/>
                <w:bCs/>
                <w:color w:val="000000"/>
                <w:sz w:val="20"/>
                <w:szCs w:val="20"/>
              </w:rPr>
              <w:t>APPROVED BY</w:t>
            </w:r>
          </w:p>
        </w:tc>
        <w:tc>
          <w:tcPr>
            <w:tcW w:w="1921" w:type="dxa"/>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 xml:space="preserve">STAFF </w:t>
            </w:r>
          </w:p>
        </w:tc>
        <w:tc>
          <w:tcPr>
            <w:tcW w:w="1921" w:type="dxa"/>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ADJUSTED</w:t>
            </w:r>
          </w:p>
        </w:tc>
        <w:tc>
          <w:tcPr>
            <w:tcW w:w="1921" w:type="dxa"/>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FOR</w:t>
            </w:r>
          </w:p>
        </w:tc>
        <w:tc>
          <w:tcPr>
            <w:tcW w:w="1921" w:type="dxa"/>
            <w:tcBorders>
              <w:top w:val="nil"/>
              <w:left w:val="nil"/>
              <w:bottom w:val="nil"/>
              <w:right w:val="single" w:sz="8" w:space="0" w:color="auto"/>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REVENUE</w:t>
            </w:r>
          </w:p>
        </w:tc>
      </w:tr>
      <w:tr w:rsidR="00DC71C1" w:rsidRPr="00BC5498" w:rsidTr="00A425E5">
        <w:trPr>
          <w:trHeight w:val="306"/>
          <w:jc w:val="center"/>
        </w:trPr>
        <w:tc>
          <w:tcPr>
            <w:tcW w:w="790" w:type="dxa"/>
            <w:tcBorders>
              <w:top w:val="nil"/>
              <w:left w:val="single" w:sz="8" w:space="0" w:color="auto"/>
              <w:bottom w:val="single" w:sz="8" w:space="0" w:color="auto"/>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3673" w:type="dxa"/>
            <w:tcBorders>
              <w:top w:val="nil"/>
              <w:left w:val="nil"/>
              <w:bottom w:val="single" w:sz="8" w:space="0" w:color="auto"/>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921" w:type="dxa"/>
            <w:tcBorders>
              <w:top w:val="nil"/>
              <w:left w:val="nil"/>
              <w:bottom w:val="single" w:sz="8" w:space="0" w:color="auto"/>
              <w:right w:val="nil"/>
            </w:tcBorders>
            <w:noWrap/>
            <w:vAlign w:val="bottom"/>
            <w:hideMark/>
          </w:tcPr>
          <w:p w:rsidR="00DC71C1" w:rsidRPr="00BC5498" w:rsidRDefault="00DC71C1" w:rsidP="00A425E5">
            <w:pPr>
              <w:jc w:val="center"/>
              <w:rPr>
                <w:rFonts w:ascii="SWISS" w:hAnsi="SWISS" w:cs="Arial"/>
                <w:b/>
                <w:bCs/>
                <w:color w:val="000000"/>
                <w:sz w:val="20"/>
                <w:szCs w:val="20"/>
              </w:rPr>
            </w:pPr>
            <w:r>
              <w:rPr>
                <w:rFonts w:ascii="SWISS" w:hAnsi="SWISS" w:cs="Arial"/>
                <w:b/>
                <w:bCs/>
                <w:color w:val="000000"/>
                <w:sz w:val="20"/>
                <w:szCs w:val="20"/>
              </w:rPr>
              <w:t>COMMISSION</w:t>
            </w:r>
          </w:p>
        </w:tc>
        <w:tc>
          <w:tcPr>
            <w:tcW w:w="1921" w:type="dxa"/>
            <w:tcBorders>
              <w:top w:val="nil"/>
              <w:left w:val="nil"/>
              <w:bottom w:val="single" w:sz="8" w:space="0" w:color="auto"/>
              <w:right w:val="nil"/>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ADJUSTMENTS</w:t>
            </w:r>
          </w:p>
        </w:tc>
        <w:tc>
          <w:tcPr>
            <w:tcW w:w="1921" w:type="dxa"/>
            <w:tcBorders>
              <w:top w:val="nil"/>
              <w:left w:val="nil"/>
              <w:bottom w:val="single" w:sz="8" w:space="0" w:color="auto"/>
              <w:right w:val="nil"/>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TEST YEAR</w:t>
            </w:r>
          </w:p>
        </w:tc>
        <w:tc>
          <w:tcPr>
            <w:tcW w:w="1921" w:type="dxa"/>
            <w:tcBorders>
              <w:top w:val="nil"/>
              <w:left w:val="nil"/>
              <w:bottom w:val="single" w:sz="8" w:space="0" w:color="auto"/>
              <w:right w:val="nil"/>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INCREASE</w:t>
            </w:r>
          </w:p>
        </w:tc>
        <w:tc>
          <w:tcPr>
            <w:tcW w:w="1921" w:type="dxa"/>
            <w:tcBorders>
              <w:top w:val="nil"/>
              <w:left w:val="nil"/>
              <w:bottom w:val="single" w:sz="8" w:space="0" w:color="auto"/>
              <w:right w:val="single" w:sz="8" w:space="0" w:color="auto"/>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REQUIREMENT</w:t>
            </w:r>
          </w:p>
        </w:tc>
      </w:tr>
      <w:tr w:rsidR="00DC71C1" w:rsidRPr="00BC5498" w:rsidTr="00A425E5">
        <w:trPr>
          <w:trHeight w:val="294"/>
          <w:jc w:val="center"/>
        </w:trPr>
        <w:tc>
          <w:tcPr>
            <w:tcW w:w="790"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3673" w:type="dxa"/>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921" w:type="dxa"/>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921" w:type="dxa"/>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921" w:type="dxa"/>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921" w:type="dxa"/>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921" w:type="dxa"/>
            <w:tcBorders>
              <w:top w:val="nil"/>
              <w:left w:val="nil"/>
              <w:bottom w:val="nil"/>
              <w:right w:val="single" w:sz="8" w:space="0" w:color="auto"/>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r>
      <w:tr w:rsidR="00DC71C1" w:rsidRPr="00BC5498" w:rsidTr="00A425E5">
        <w:trPr>
          <w:trHeight w:val="294"/>
          <w:jc w:val="center"/>
        </w:trPr>
        <w:tc>
          <w:tcPr>
            <w:tcW w:w="790" w:type="dxa"/>
            <w:tcBorders>
              <w:top w:val="nil"/>
              <w:left w:val="single" w:sz="8" w:space="0" w:color="auto"/>
              <w:bottom w:val="nil"/>
              <w:right w:val="nil"/>
            </w:tcBorders>
            <w:noWrap/>
            <w:vAlign w:val="bottom"/>
            <w:hideMark/>
          </w:tcPr>
          <w:p w:rsidR="00DC71C1" w:rsidRPr="00BC5498" w:rsidRDefault="00DC71C1" w:rsidP="00A425E5">
            <w:pPr>
              <w:jc w:val="center"/>
              <w:rPr>
                <w:rFonts w:ascii="SWISS" w:hAnsi="SWISS" w:cs="Arial"/>
                <w:color w:val="000000"/>
                <w:sz w:val="20"/>
                <w:szCs w:val="20"/>
              </w:rPr>
            </w:pPr>
            <w:r w:rsidRPr="00BC5498">
              <w:rPr>
                <w:rFonts w:ascii="SWISS" w:hAnsi="SWISS" w:cs="Arial"/>
                <w:color w:val="000000"/>
                <w:sz w:val="20"/>
                <w:szCs w:val="20"/>
              </w:rPr>
              <w:t xml:space="preserve">  1.</w:t>
            </w:r>
          </w:p>
        </w:tc>
        <w:tc>
          <w:tcPr>
            <w:tcW w:w="3673" w:type="dxa"/>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 xml:space="preserve">OPERATING REVENUES               </w:t>
            </w:r>
          </w:p>
        </w:tc>
        <w:tc>
          <w:tcPr>
            <w:tcW w:w="1921" w:type="dxa"/>
            <w:noWrap/>
            <w:vAlign w:val="bottom"/>
            <w:hideMark/>
          </w:tcPr>
          <w:p w:rsidR="00DC71C1" w:rsidRPr="00BC5498" w:rsidRDefault="00DC71C1" w:rsidP="00A425E5">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331</w:t>
            </w:r>
            <w:r w:rsidRPr="00BC5498">
              <w:rPr>
                <w:rFonts w:ascii="SWISS" w:hAnsi="SWISS" w:cs="Arial"/>
                <w:sz w:val="20"/>
                <w:szCs w:val="20"/>
                <w:u w:val="single"/>
              </w:rPr>
              <w:t>,</w:t>
            </w:r>
            <w:r>
              <w:rPr>
                <w:rFonts w:ascii="SWISS" w:hAnsi="SWISS" w:cs="Arial"/>
                <w:sz w:val="20"/>
                <w:szCs w:val="20"/>
                <w:u w:val="single"/>
              </w:rPr>
              <w:t>416</w:t>
            </w:r>
          </w:p>
        </w:tc>
        <w:tc>
          <w:tcPr>
            <w:tcW w:w="1921" w:type="dxa"/>
            <w:noWrap/>
            <w:vAlign w:val="bottom"/>
            <w:hideMark/>
          </w:tcPr>
          <w:p w:rsidR="00DC71C1" w:rsidRPr="00BC5498" w:rsidRDefault="00DC71C1" w:rsidP="00A425E5">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12,984</w:t>
            </w:r>
          </w:p>
        </w:tc>
        <w:tc>
          <w:tcPr>
            <w:tcW w:w="1921" w:type="dxa"/>
            <w:noWrap/>
            <w:vAlign w:val="bottom"/>
            <w:hideMark/>
          </w:tcPr>
          <w:p w:rsidR="00DC71C1" w:rsidRPr="00BC5498" w:rsidRDefault="00DC71C1" w:rsidP="00A425E5">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344</w:t>
            </w:r>
            <w:r w:rsidRPr="00BC5498">
              <w:rPr>
                <w:rFonts w:ascii="SWISS" w:hAnsi="SWISS" w:cs="Arial"/>
                <w:sz w:val="20"/>
                <w:szCs w:val="20"/>
                <w:u w:val="single"/>
              </w:rPr>
              <w:t>,</w:t>
            </w:r>
            <w:r>
              <w:rPr>
                <w:rFonts w:ascii="SWISS" w:hAnsi="SWISS" w:cs="Arial"/>
                <w:sz w:val="20"/>
                <w:szCs w:val="20"/>
                <w:u w:val="single"/>
              </w:rPr>
              <w:t>400</w:t>
            </w:r>
          </w:p>
        </w:tc>
        <w:tc>
          <w:tcPr>
            <w:tcW w:w="1921" w:type="dxa"/>
            <w:noWrap/>
            <w:vAlign w:val="bottom"/>
            <w:hideMark/>
          </w:tcPr>
          <w:p w:rsidR="00DC71C1" w:rsidRPr="00BC5498" w:rsidRDefault="00DC71C1" w:rsidP="00A425E5">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69</w:t>
            </w:r>
            <w:r w:rsidRPr="00BC5498">
              <w:rPr>
                <w:rFonts w:ascii="SWISS" w:hAnsi="SWISS" w:cs="Arial"/>
                <w:sz w:val="20"/>
                <w:szCs w:val="20"/>
                <w:u w:val="single"/>
              </w:rPr>
              <w:t>,</w:t>
            </w:r>
            <w:r>
              <w:rPr>
                <w:rFonts w:ascii="SWISS" w:hAnsi="SWISS" w:cs="Arial"/>
                <w:sz w:val="20"/>
                <w:szCs w:val="20"/>
                <w:u w:val="single"/>
              </w:rPr>
              <w:t>252</w:t>
            </w:r>
            <w:r w:rsidRPr="00BC5498">
              <w:rPr>
                <w:rFonts w:ascii="SWISS" w:hAnsi="SWISS" w:cs="Arial"/>
                <w:sz w:val="20"/>
                <w:szCs w:val="20"/>
                <w:u w:val="single"/>
              </w:rPr>
              <w:t xml:space="preserve"> </w:t>
            </w:r>
          </w:p>
        </w:tc>
        <w:tc>
          <w:tcPr>
            <w:tcW w:w="1921" w:type="dxa"/>
            <w:tcBorders>
              <w:top w:val="nil"/>
              <w:left w:val="nil"/>
              <w:bottom w:val="nil"/>
              <w:right w:val="single" w:sz="8" w:space="0" w:color="auto"/>
            </w:tcBorders>
            <w:noWrap/>
            <w:vAlign w:val="bottom"/>
            <w:hideMark/>
          </w:tcPr>
          <w:p w:rsidR="00DC71C1" w:rsidRPr="00BC5498" w:rsidRDefault="00DC71C1" w:rsidP="00A425E5">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413</w:t>
            </w:r>
            <w:r w:rsidRPr="00BC5498">
              <w:rPr>
                <w:rFonts w:ascii="SWISS" w:hAnsi="SWISS" w:cs="Arial"/>
                <w:sz w:val="20"/>
                <w:szCs w:val="20"/>
                <w:u w:val="single"/>
              </w:rPr>
              <w:t>,</w:t>
            </w:r>
            <w:r>
              <w:rPr>
                <w:rFonts w:ascii="SWISS" w:hAnsi="SWISS" w:cs="Arial"/>
                <w:sz w:val="20"/>
                <w:szCs w:val="20"/>
                <w:u w:val="single"/>
              </w:rPr>
              <w:t>652</w:t>
            </w:r>
          </w:p>
        </w:tc>
      </w:tr>
      <w:tr w:rsidR="00DC71C1" w:rsidRPr="00BC5498" w:rsidTr="00A425E5">
        <w:trPr>
          <w:trHeight w:val="294"/>
          <w:jc w:val="center"/>
        </w:trPr>
        <w:tc>
          <w:tcPr>
            <w:tcW w:w="790" w:type="dxa"/>
            <w:tcBorders>
              <w:top w:val="nil"/>
              <w:left w:val="single" w:sz="8" w:space="0" w:color="auto"/>
              <w:bottom w:val="nil"/>
              <w:right w:val="nil"/>
            </w:tcBorders>
            <w:noWrap/>
            <w:vAlign w:val="bottom"/>
          </w:tcPr>
          <w:p w:rsidR="00DC71C1" w:rsidRPr="00BC5498" w:rsidRDefault="00DC71C1" w:rsidP="00A425E5">
            <w:pPr>
              <w:jc w:val="center"/>
              <w:rPr>
                <w:rFonts w:ascii="SWISS" w:hAnsi="SWISS" w:cs="Arial"/>
                <w:color w:val="000000"/>
                <w:sz w:val="20"/>
                <w:szCs w:val="20"/>
              </w:rPr>
            </w:pPr>
          </w:p>
        </w:tc>
        <w:tc>
          <w:tcPr>
            <w:tcW w:w="3673" w:type="dxa"/>
            <w:noWrap/>
            <w:vAlign w:val="bottom"/>
          </w:tcPr>
          <w:p w:rsidR="00DC71C1" w:rsidRPr="00BC5498" w:rsidRDefault="00DC71C1" w:rsidP="00A425E5">
            <w:pPr>
              <w:rPr>
                <w:rFonts w:ascii="SWISS" w:hAnsi="SWISS" w:cs="Arial"/>
                <w:color w:val="000000"/>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hideMark/>
          </w:tcPr>
          <w:p w:rsidR="00DC71C1" w:rsidRPr="00BC5498" w:rsidRDefault="00DC71C1" w:rsidP="00A425E5">
            <w:pPr>
              <w:jc w:val="right"/>
              <w:rPr>
                <w:rFonts w:ascii="SWISS" w:hAnsi="SWISS" w:cs="Arial"/>
                <w:sz w:val="20"/>
                <w:szCs w:val="20"/>
              </w:rPr>
            </w:pPr>
            <w:r>
              <w:rPr>
                <w:rFonts w:ascii="SWISS" w:hAnsi="SWISS" w:cs="Arial"/>
                <w:sz w:val="20"/>
                <w:szCs w:val="20"/>
              </w:rPr>
              <w:t>20</w:t>
            </w:r>
            <w:r w:rsidRPr="00BC5498">
              <w:rPr>
                <w:rFonts w:ascii="SWISS" w:hAnsi="SWISS" w:cs="Arial"/>
                <w:sz w:val="20"/>
                <w:szCs w:val="20"/>
              </w:rPr>
              <w:t>.</w:t>
            </w:r>
            <w:r>
              <w:rPr>
                <w:rFonts w:ascii="SWISS" w:hAnsi="SWISS" w:cs="Arial"/>
                <w:sz w:val="20"/>
                <w:szCs w:val="20"/>
              </w:rPr>
              <w:t>11</w:t>
            </w:r>
            <w:r w:rsidRPr="00BC5498">
              <w:rPr>
                <w:rFonts w:ascii="SWISS" w:hAnsi="SWISS" w:cs="Arial"/>
                <w:sz w:val="20"/>
                <w:szCs w:val="20"/>
              </w:rPr>
              <w:t>%</w:t>
            </w:r>
          </w:p>
        </w:tc>
        <w:tc>
          <w:tcPr>
            <w:tcW w:w="1921" w:type="dxa"/>
            <w:tcBorders>
              <w:top w:val="nil"/>
              <w:left w:val="nil"/>
              <w:bottom w:val="nil"/>
              <w:right w:val="single" w:sz="8" w:space="0" w:color="auto"/>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 </w:t>
            </w:r>
          </w:p>
        </w:tc>
      </w:tr>
      <w:tr w:rsidR="00DC71C1" w:rsidRPr="00BC5498" w:rsidTr="00A425E5">
        <w:trPr>
          <w:trHeight w:val="294"/>
          <w:jc w:val="center"/>
        </w:trPr>
        <w:tc>
          <w:tcPr>
            <w:tcW w:w="790" w:type="dxa"/>
            <w:tcBorders>
              <w:top w:val="nil"/>
              <w:left w:val="single" w:sz="8" w:space="0" w:color="auto"/>
              <w:bottom w:val="nil"/>
              <w:right w:val="nil"/>
            </w:tcBorders>
            <w:noWrap/>
            <w:vAlign w:val="bottom"/>
          </w:tcPr>
          <w:p w:rsidR="00DC71C1" w:rsidRPr="00BC5498" w:rsidRDefault="00DC71C1" w:rsidP="00A425E5">
            <w:pPr>
              <w:jc w:val="center"/>
              <w:rPr>
                <w:rFonts w:ascii="SWISS" w:hAnsi="SWISS" w:cs="Arial"/>
                <w:color w:val="000000"/>
                <w:sz w:val="20"/>
                <w:szCs w:val="20"/>
              </w:rPr>
            </w:pPr>
          </w:p>
        </w:tc>
        <w:tc>
          <w:tcPr>
            <w:tcW w:w="3673" w:type="dxa"/>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OPERATING EXPENSES:</w:t>
            </w: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tcBorders>
              <w:top w:val="nil"/>
              <w:left w:val="nil"/>
              <w:bottom w:val="nil"/>
              <w:right w:val="single" w:sz="8" w:space="0" w:color="auto"/>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 </w:t>
            </w:r>
          </w:p>
        </w:tc>
      </w:tr>
      <w:tr w:rsidR="00DC71C1" w:rsidRPr="00BC5498" w:rsidTr="00A425E5">
        <w:trPr>
          <w:trHeight w:val="294"/>
          <w:jc w:val="center"/>
        </w:trPr>
        <w:tc>
          <w:tcPr>
            <w:tcW w:w="790" w:type="dxa"/>
            <w:tcBorders>
              <w:top w:val="nil"/>
              <w:left w:val="single" w:sz="8" w:space="0" w:color="auto"/>
              <w:bottom w:val="nil"/>
              <w:right w:val="nil"/>
            </w:tcBorders>
            <w:noWrap/>
            <w:vAlign w:val="bottom"/>
            <w:hideMark/>
          </w:tcPr>
          <w:p w:rsidR="00DC71C1" w:rsidRPr="00BC5498" w:rsidRDefault="00DC71C1" w:rsidP="00A425E5">
            <w:pPr>
              <w:jc w:val="center"/>
              <w:rPr>
                <w:rFonts w:ascii="SWISS" w:hAnsi="SWISS" w:cs="Arial"/>
                <w:color w:val="000000"/>
                <w:sz w:val="20"/>
                <w:szCs w:val="20"/>
              </w:rPr>
            </w:pPr>
            <w:r w:rsidRPr="00BC5498">
              <w:rPr>
                <w:rFonts w:ascii="SWISS" w:hAnsi="SWISS" w:cs="Arial"/>
                <w:color w:val="000000"/>
                <w:sz w:val="20"/>
                <w:szCs w:val="20"/>
              </w:rPr>
              <w:t xml:space="preserve">  2.</w:t>
            </w:r>
          </w:p>
        </w:tc>
        <w:tc>
          <w:tcPr>
            <w:tcW w:w="3673" w:type="dxa"/>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xml:space="preserve">  OPERATION &amp; MAINTENANCE</w:t>
            </w:r>
          </w:p>
        </w:tc>
        <w:tc>
          <w:tcPr>
            <w:tcW w:w="1921" w:type="dxa"/>
            <w:noWrap/>
            <w:vAlign w:val="bottom"/>
            <w:hideMark/>
          </w:tcPr>
          <w:p w:rsidR="00DC71C1" w:rsidRPr="00BC5498" w:rsidRDefault="00DC71C1" w:rsidP="00A425E5">
            <w:pPr>
              <w:jc w:val="right"/>
              <w:rPr>
                <w:rFonts w:ascii="SWISS" w:hAnsi="SWISS" w:cs="Arial"/>
                <w:sz w:val="20"/>
                <w:szCs w:val="20"/>
              </w:rPr>
            </w:pPr>
            <w:r w:rsidRPr="00BC5498">
              <w:rPr>
                <w:rFonts w:ascii="SWISS" w:hAnsi="SWISS" w:cs="Arial"/>
                <w:sz w:val="20"/>
                <w:szCs w:val="20"/>
              </w:rPr>
              <w:t>$</w:t>
            </w:r>
            <w:r>
              <w:rPr>
                <w:rFonts w:ascii="SWISS" w:hAnsi="SWISS" w:cs="Arial"/>
                <w:sz w:val="20"/>
                <w:szCs w:val="20"/>
              </w:rPr>
              <w:t>209</w:t>
            </w:r>
            <w:r w:rsidRPr="00BC5498">
              <w:rPr>
                <w:rFonts w:ascii="SWISS" w:hAnsi="SWISS" w:cs="Arial"/>
                <w:sz w:val="20"/>
                <w:szCs w:val="20"/>
              </w:rPr>
              <w:t>,</w:t>
            </w:r>
            <w:r>
              <w:rPr>
                <w:rFonts w:ascii="SWISS" w:hAnsi="SWISS" w:cs="Arial"/>
                <w:sz w:val="20"/>
                <w:szCs w:val="20"/>
              </w:rPr>
              <w:t>637</w:t>
            </w:r>
            <w:r w:rsidRPr="00BC5498">
              <w:rPr>
                <w:rFonts w:ascii="SWISS" w:hAnsi="SWISS" w:cs="Arial"/>
                <w:sz w:val="20"/>
                <w:szCs w:val="20"/>
              </w:rPr>
              <w:t xml:space="preserve"> </w:t>
            </w:r>
          </w:p>
        </w:tc>
        <w:tc>
          <w:tcPr>
            <w:tcW w:w="1921" w:type="dxa"/>
            <w:noWrap/>
            <w:vAlign w:val="bottom"/>
            <w:hideMark/>
          </w:tcPr>
          <w:p w:rsidR="00DC71C1" w:rsidRPr="00BC5498" w:rsidRDefault="00DC71C1" w:rsidP="00A425E5">
            <w:pPr>
              <w:jc w:val="right"/>
              <w:rPr>
                <w:rFonts w:ascii="SWISS" w:hAnsi="SWISS" w:cs="Arial"/>
                <w:sz w:val="20"/>
                <w:szCs w:val="20"/>
              </w:rPr>
            </w:pPr>
            <w:r w:rsidRPr="00BC5498">
              <w:rPr>
                <w:rFonts w:ascii="SWISS" w:hAnsi="SWISS" w:cs="Arial"/>
                <w:sz w:val="20"/>
                <w:szCs w:val="20"/>
              </w:rPr>
              <w:t>$</w:t>
            </w:r>
            <w:r>
              <w:rPr>
                <w:rFonts w:ascii="SWISS" w:hAnsi="SWISS" w:cs="Arial"/>
                <w:sz w:val="20"/>
                <w:szCs w:val="20"/>
              </w:rPr>
              <w:t>27</w:t>
            </w:r>
            <w:r w:rsidRPr="00BC5498">
              <w:rPr>
                <w:rFonts w:ascii="SWISS" w:hAnsi="SWISS" w:cs="Arial"/>
                <w:sz w:val="20"/>
                <w:szCs w:val="20"/>
              </w:rPr>
              <w:t>,</w:t>
            </w:r>
            <w:r>
              <w:rPr>
                <w:rFonts w:ascii="SWISS" w:hAnsi="SWISS" w:cs="Arial"/>
                <w:sz w:val="20"/>
                <w:szCs w:val="20"/>
              </w:rPr>
              <w:t>786</w:t>
            </w:r>
            <w:r w:rsidRPr="00BC5498">
              <w:rPr>
                <w:rFonts w:ascii="SWISS" w:hAnsi="SWISS" w:cs="Arial"/>
                <w:sz w:val="20"/>
                <w:szCs w:val="20"/>
              </w:rPr>
              <w:t xml:space="preserve"> </w:t>
            </w:r>
          </w:p>
        </w:tc>
        <w:tc>
          <w:tcPr>
            <w:tcW w:w="1921" w:type="dxa"/>
            <w:noWrap/>
            <w:vAlign w:val="bottom"/>
            <w:hideMark/>
          </w:tcPr>
          <w:p w:rsidR="00DC71C1" w:rsidRPr="00BC5498" w:rsidRDefault="00DC71C1" w:rsidP="00A425E5">
            <w:pPr>
              <w:jc w:val="right"/>
              <w:rPr>
                <w:rFonts w:ascii="SWISS" w:hAnsi="SWISS" w:cs="Arial"/>
                <w:sz w:val="20"/>
                <w:szCs w:val="20"/>
              </w:rPr>
            </w:pPr>
            <w:r w:rsidRPr="00BC5498">
              <w:rPr>
                <w:rFonts w:ascii="SWISS" w:hAnsi="SWISS" w:cs="Arial"/>
                <w:sz w:val="20"/>
                <w:szCs w:val="20"/>
              </w:rPr>
              <w:t>$</w:t>
            </w:r>
            <w:r>
              <w:rPr>
                <w:rFonts w:ascii="SWISS" w:hAnsi="SWISS" w:cs="Arial"/>
                <w:sz w:val="20"/>
                <w:szCs w:val="20"/>
              </w:rPr>
              <w:t>237</w:t>
            </w:r>
            <w:r w:rsidRPr="00BC5498">
              <w:rPr>
                <w:rFonts w:ascii="SWISS" w:hAnsi="SWISS" w:cs="Arial"/>
                <w:sz w:val="20"/>
                <w:szCs w:val="20"/>
              </w:rPr>
              <w:t>,</w:t>
            </w:r>
            <w:r>
              <w:rPr>
                <w:rFonts w:ascii="SWISS" w:hAnsi="SWISS" w:cs="Arial"/>
                <w:sz w:val="20"/>
                <w:szCs w:val="20"/>
              </w:rPr>
              <w:t>408</w:t>
            </w:r>
            <w:r w:rsidRPr="00BC5498">
              <w:rPr>
                <w:rFonts w:ascii="SWISS" w:hAnsi="SWISS" w:cs="Arial"/>
                <w:sz w:val="20"/>
                <w:szCs w:val="20"/>
              </w:rPr>
              <w:t xml:space="preserve"> </w:t>
            </w:r>
          </w:p>
        </w:tc>
        <w:tc>
          <w:tcPr>
            <w:tcW w:w="1921" w:type="dxa"/>
            <w:noWrap/>
            <w:vAlign w:val="bottom"/>
            <w:hideMark/>
          </w:tcPr>
          <w:p w:rsidR="00DC71C1" w:rsidRPr="00BC5498" w:rsidRDefault="00DC71C1" w:rsidP="00A425E5">
            <w:pPr>
              <w:jc w:val="right"/>
              <w:rPr>
                <w:rFonts w:ascii="SWISS" w:hAnsi="SWISS" w:cs="Arial"/>
                <w:sz w:val="20"/>
                <w:szCs w:val="20"/>
              </w:rPr>
            </w:pPr>
            <w:r w:rsidRPr="00BC5498">
              <w:rPr>
                <w:rFonts w:ascii="SWISS" w:hAnsi="SWISS" w:cs="Arial"/>
                <w:sz w:val="20"/>
                <w:szCs w:val="20"/>
              </w:rPr>
              <w:t xml:space="preserve">$0 </w:t>
            </w:r>
          </w:p>
        </w:tc>
        <w:tc>
          <w:tcPr>
            <w:tcW w:w="1921" w:type="dxa"/>
            <w:tcBorders>
              <w:top w:val="nil"/>
              <w:left w:val="nil"/>
              <w:bottom w:val="nil"/>
              <w:right w:val="single" w:sz="8" w:space="0" w:color="auto"/>
            </w:tcBorders>
            <w:noWrap/>
            <w:vAlign w:val="bottom"/>
            <w:hideMark/>
          </w:tcPr>
          <w:p w:rsidR="00DC71C1" w:rsidRPr="00BC5498" w:rsidRDefault="00DC71C1" w:rsidP="00A425E5">
            <w:pPr>
              <w:jc w:val="right"/>
              <w:rPr>
                <w:rFonts w:ascii="SWISS" w:hAnsi="SWISS" w:cs="Arial"/>
                <w:sz w:val="20"/>
                <w:szCs w:val="20"/>
              </w:rPr>
            </w:pPr>
            <w:r w:rsidRPr="00BC5498">
              <w:rPr>
                <w:rFonts w:ascii="SWISS" w:hAnsi="SWISS" w:cs="Arial"/>
                <w:sz w:val="20"/>
                <w:szCs w:val="20"/>
              </w:rPr>
              <w:t>$</w:t>
            </w:r>
            <w:r>
              <w:rPr>
                <w:rFonts w:ascii="SWISS" w:hAnsi="SWISS" w:cs="Arial"/>
                <w:sz w:val="20"/>
                <w:szCs w:val="20"/>
              </w:rPr>
              <w:t>237</w:t>
            </w:r>
            <w:r w:rsidRPr="00BC5498">
              <w:rPr>
                <w:rFonts w:ascii="SWISS" w:hAnsi="SWISS" w:cs="Arial"/>
                <w:sz w:val="20"/>
                <w:szCs w:val="20"/>
              </w:rPr>
              <w:t>,</w:t>
            </w:r>
            <w:r>
              <w:rPr>
                <w:rFonts w:ascii="SWISS" w:hAnsi="SWISS" w:cs="Arial"/>
                <w:sz w:val="20"/>
                <w:szCs w:val="20"/>
              </w:rPr>
              <w:t>423</w:t>
            </w:r>
            <w:r w:rsidRPr="00BC5498">
              <w:rPr>
                <w:rFonts w:ascii="SWISS" w:hAnsi="SWISS" w:cs="Arial"/>
                <w:sz w:val="20"/>
                <w:szCs w:val="20"/>
              </w:rPr>
              <w:t xml:space="preserve"> </w:t>
            </w:r>
          </w:p>
        </w:tc>
      </w:tr>
      <w:tr w:rsidR="00DC71C1" w:rsidRPr="00BC5498" w:rsidTr="00A425E5">
        <w:trPr>
          <w:trHeight w:val="306"/>
          <w:jc w:val="center"/>
        </w:trPr>
        <w:tc>
          <w:tcPr>
            <w:tcW w:w="790" w:type="dxa"/>
            <w:tcBorders>
              <w:top w:val="nil"/>
              <w:left w:val="single" w:sz="8" w:space="0" w:color="auto"/>
              <w:bottom w:val="nil"/>
              <w:right w:val="nil"/>
            </w:tcBorders>
            <w:noWrap/>
            <w:vAlign w:val="bottom"/>
          </w:tcPr>
          <w:p w:rsidR="00DC71C1" w:rsidRPr="00BC5498" w:rsidRDefault="00DC71C1" w:rsidP="00A425E5">
            <w:pPr>
              <w:jc w:val="center"/>
              <w:rPr>
                <w:rFonts w:ascii="SWISS" w:hAnsi="SWISS" w:cs="Arial"/>
                <w:color w:val="000000"/>
                <w:sz w:val="20"/>
                <w:szCs w:val="20"/>
              </w:rPr>
            </w:pPr>
          </w:p>
        </w:tc>
        <w:tc>
          <w:tcPr>
            <w:tcW w:w="3673" w:type="dxa"/>
            <w:noWrap/>
            <w:vAlign w:val="bottom"/>
          </w:tcPr>
          <w:p w:rsidR="00DC71C1" w:rsidRPr="00BC5498" w:rsidRDefault="00DC71C1" w:rsidP="00A425E5">
            <w:pPr>
              <w:rPr>
                <w:rFonts w:ascii="SWISS" w:hAnsi="SWISS" w:cs="Arial"/>
                <w:color w:val="000000"/>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tcBorders>
              <w:top w:val="nil"/>
              <w:left w:val="nil"/>
              <w:bottom w:val="nil"/>
              <w:right w:val="single" w:sz="8" w:space="0" w:color="auto"/>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 </w:t>
            </w:r>
          </w:p>
        </w:tc>
      </w:tr>
      <w:tr w:rsidR="00DC71C1" w:rsidRPr="00BC5498" w:rsidTr="00A425E5">
        <w:trPr>
          <w:trHeight w:val="306"/>
          <w:jc w:val="center"/>
        </w:trPr>
        <w:tc>
          <w:tcPr>
            <w:tcW w:w="790" w:type="dxa"/>
            <w:tcBorders>
              <w:top w:val="nil"/>
              <w:left w:val="single" w:sz="8" w:space="0" w:color="auto"/>
              <w:bottom w:val="nil"/>
              <w:right w:val="nil"/>
            </w:tcBorders>
            <w:noWrap/>
            <w:vAlign w:val="bottom"/>
            <w:hideMark/>
          </w:tcPr>
          <w:p w:rsidR="00DC71C1" w:rsidRPr="00BC5498" w:rsidRDefault="00DC71C1" w:rsidP="00A425E5">
            <w:pPr>
              <w:jc w:val="center"/>
              <w:rPr>
                <w:rFonts w:ascii="SWISS" w:hAnsi="SWISS" w:cs="Arial"/>
                <w:color w:val="000000"/>
                <w:sz w:val="20"/>
                <w:szCs w:val="20"/>
              </w:rPr>
            </w:pPr>
            <w:r w:rsidRPr="00BC5498">
              <w:rPr>
                <w:rFonts w:ascii="SWISS" w:hAnsi="SWISS" w:cs="Arial"/>
                <w:color w:val="000000"/>
                <w:sz w:val="20"/>
                <w:szCs w:val="20"/>
              </w:rPr>
              <w:t xml:space="preserve">  3.</w:t>
            </w:r>
          </w:p>
        </w:tc>
        <w:tc>
          <w:tcPr>
            <w:tcW w:w="3673" w:type="dxa"/>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xml:space="preserve">  DEPRECIATION (NET)</w:t>
            </w:r>
          </w:p>
        </w:tc>
        <w:tc>
          <w:tcPr>
            <w:tcW w:w="1921" w:type="dxa"/>
            <w:noWrap/>
            <w:vAlign w:val="bottom"/>
            <w:hideMark/>
          </w:tcPr>
          <w:p w:rsidR="00DC71C1" w:rsidRPr="00BC5498" w:rsidRDefault="00DC71C1" w:rsidP="00A425E5">
            <w:pPr>
              <w:jc w:val="right"/>
              <w:rPr>
                <w:rFonts w:ascii="SWISS" w:hAnsi="SWISS" w:cs="Arial"/>
                <w:sz w:val="20"/>
                <w:szCs w:val="20"/>
              </w:rPr>
            </w:pPr>
            <w:r>
              <w:rPr>
                <w:rFonts w:ascii="SWISS" w:hAnsi="SWISS" w:cs="Arial"/>
                <w:sz w:val="20"/>
                <w:szCs w:val="20"/>
              </w:rPr>
              <w:t>41,943</w:t>
            </w:r>
          </w:p>
        </w:tc>
        <w:tc>
          <w:tcPr>
            <w:tcW w:w="1921" w:type="dxa"/>
            <w:noWrap/>
            <w:vAlign w:val="bottom"/>
            <w:hideMark/>
          </w:tcPr>
          <w:p w:rsidR="00DC71C1" w:rsidRPr="00BC5498" w:rsidRDefault="00DC71C1" w:rsidP="00A425E5">
            <w:pPr>
              <w:jc w:val="right"/>
              <w:rPr>
                <w:rFonts w:ascii="SWISS" w:hAnsi="SWISS" w:cs="Arial"/>
                <w:sz w:val="20"/>
                <w:szCs w:val="20"/>
              </w:rPr>
            </w:pPr>
            <w:r w:rsidRPr="00BC5498">
              <w:rPr>
                <w:rFonts w:ascii="SWISS" w:hAnsi="SWISS" w:cs="Arial"/>
                <w:sz w:val="20"/>
                <w:szCs w:val="20"/>
              </w:rPr>
              <w:t>1</w:t>
            </w:r>
            <w:r>
              <w:rPr>
                <w:rFonts w:ascii="SWISS" w:hAnsi="SWISS" w:cs="Arial"/>
                <w:sz w:val="20"/>
                <w:szCs w:val="20"/>
              </w:rPr>
              <w:t>5</w:t>
            </w:r>
            <w:r w:rsidRPr="00BC5498">
              <w:rPr>
                <w:rFonts w:ascii="SWISS" w:hAnsi="SWISS" w:cs="Arial"/>
                <w:sz w:val="20"/>
                <w:szCs w:val="20"/>
              </w:rPr>
              <w:t>,</w:t>
            </w:r>
            <w:r>
              <w:rPr>
                <w:rFonts w:ascii="SWISS" w:hAnsi="SWISS" w:cs="Arial"/>
                <w:sz w:val="20"/>
                <w:szCs w:val="20"/>
              </w:rPr>
              <w:t>061</w:t>
            </w:r>
            <w:r w:rsidRPr="00BC5498">
              <w:rPr>
                <w:rFonts w:ascii="SWISS" w:hAnsi="SWISS" w:cs="Arial"/>
                <w:sz w:val="20"/>
                <w:szCs w:val="20"/>
              </w:rPr>
              <w:t xml:space="preserve"> </w:t>
            </w:r>
          </w:p>
        </w:tc>
        <w:tc>
          <w:tcPr>
            <w:tcW w:w="1921" w:type="dxa"/>
            <w:noWrap/>
            <w:vAlign w:val="bottom"/>
            <w:hideMark/>
          </w:tcPr>
          <w:p w:rsidR="00DC71C1" w:rsidRPr="00BC5498" w:rsidRDefault="00DC71C1" w:rsidP="00A425E5">
            <w:pPr>
              <w:jc w:val="right"/>
              <w:rPr>
                <w:rFonts w:ascii="SWISS" w:hAnsi="SWISS" w:cs="Arial"/>
                <w:sz w:val="20"/>
                <w:szCs w:val="20"/>
              </w:rPr>
            </w:pPr>
            <w:r>
              <w:rPr>
                <w:rFonts w:ascii="SWISS" w:hAnsi="SWISS" w:cs="Arial"/>
                <w:sz w:val="20"/>
                <w:szCs w:val="20"/>
              </w:rPr>
              <w:t>57</w:t>
            </w:r>
            <w:r w:rsidRPr="00BC5498">
              <w:rPr>
                <w:rFonts w:ascii="SWISS" w:hAnsi="SWISS" w:cs="Arial"/>
                <w:sz w:val="20"/>
                <w:szCs w:val="20"/>
              </w:rPr>
              <w:t>,</w:t>
            </w:r>
            <w:r>
              <w:rPr>
                <w:rFonts w:ascii="SWISS" w:hAnsi="SWISS" w:cs="Arial"/>
                <w:sz w:val="20"/>
                <w:szCs w:val="20"/>
              </w:rPr>
              <w:t>004</w:t>
            </w:r>
            <w:r w:rsidRPr="00BC5498">
              <w:rPr>
                <w:rFonts w:ascii="SWISS" w:hAnsi="SWISS" w:cs="Arial"/>
                <w:sz w:val="20"/>
                <w:szCs w:val="20"/>
              </w:rPr>
              <w:t xml:space="preserve"> </w:t>
            </w:r>
          </w:p>
        </w:tc>
        <w:tc>
          <w:tcPr>
            <w:tcW w:w="1921" w:type="dxa"/>
            <w:noWrap/>
            <w:vAlign w:val="bottom"/>
            <w:hideMark/>
          </w:tcPr>
          <w:p w:rsidR="00DC71C1" w:rsidRPr="00BC5498" w:rsidRDefault="00DC71C1" w:rsidP="00A425E5">
            <w:pPr>
              <w:jc w:val="right"/>
              <w:rPr>
                <w:rFonts w:ascii="SWISS" w:hAnsi="SWISS" w:cs="Arial"/>
                <w:sz w:val="20"/>
                <w:szCs w:val="20"/>
              </w:rPr>
            </w:pPr>
            <w:r w:rsidRPr="00BC5498">
              <w:rPr>
                <w:rFonts w:ascii="SWISS" w:hAnsi="SWISS" w:cs="Arial"/>
                <w:sz w:val="20"/>
                <w:szCs w:val="20"/>
              </w:rPr>
              <w:t xml:space="preserve">0 </w:t>
            </w:r>
          </w:p>
        </w:tc>
        <w:tc>
          <w:tcPr>
            <w:tcW w:w="1921" w:type="dxa"/>
            <w:tcBorders>
              <w:top w:val="nil"/>
              <w:left w:val="nil"/>
              <w:bottom w:val="nil"/>
              <w:right w:val="single" w:sz="8" w:space="0" w:color="auto"/>
            </w:tcBorders>
            <w:noWrap/>
            <w:vAlign w:val="bottom"/>
            <w:hideMark/>
          </w:tcPr>
          <w:p w:rsidR="00DC71C1" w:rsidRPr="00BC5498" w:rsidRDefault="00DC71C1" w:rsidP="00A425E5">
            <w:pPr>
              <w:jc w:val="right"/>
              <w:rPr>
                <w:rFonts w:ascii="SWISS" w:hAnsi="SWISS" w:cs="Arial"/>
                <w:sz w:val="20"/>
                <w:szCs w:val="20"/>
              </w:rPr>
            </w:pPr>
            <w:r>
              <w:rPr>
                <w:rFonts w:ascii="SWISS" w:hAnsi="SWISS" w:cs="Arial"/>
                <w:sz w:val="20"/>
                <w:szCs w:val="20"/>
              </w:rPr>
              <w:t>57</w:t>
            </w:r>
            <w:r w:rsidRPr="00BC5498">
              <w:rPr>
                <w:rFonts w:ascii="SWISS" w:hAnsi="SWISS" w:cs="Arial"/>
                <w:sz w:val="20"/>
                <w:szCs w:val="20"/>
              </w:rPr>
              <w:t>,</w:t>
            </w:r>
            <w:r>
              <w:rPr>
                <w:rFonts w:ascii="SWISS" w:hAnsi="SWISS" w:cs="Arial"/>
                <w:sz w:val="20"/>
                <w:szCs w:val="20"/>
              </w:rPr>
              <w:t>004</w:t>
            </w:r>
          </w:p>
        </w:tc>
      </w:tr>
      <w:tr w:rsidR="00DC71C1" w:rsidRPr="00BC5498" w:rsidTr="00A425E5">
        <w:trPr>
          <w:trHeight w:val="294"/>
          <w:jc w:val="center"/>
        </w:trPr>
        <w:tc>
          <w:tcPr>
            <w:tcW w:w="790" w:type="dxa"/>
            <w:tcBorders>
              <w:top w:val="nil"/>
              <w:left w:val="single" w:sz="8" w:space="0" w:color="auto"/>
              <w:bottom w:val="nil"/>
              <w:right w:val="nil"/>
            </w:tcBorders>
            <w:noWrap/>
            <w:vAlign w:val="bottom"/>
          </w:tcPr>
          <w:p w:rsidR="00DC71C1" w:rsidRPr="00BC5498" w:rsidRDefault="00DC71C1" w:rsidP="00A425E5">
            <w:pPr>
              <w:jc w:val="center"/>
              <w:rPr>
                <w:rFonts w:ascii="SWISS" w:hAnsi="SWISS" w:cs="Arial"/>
                <w:color w:val="000000"/>
                <w:sz w:val="20"/>
                <w:szCs w:val="20"/>
              </w:rPr>
            </w:pPr>
          </w:p>
        </w:tc>
        <w:tc>
          <w:tcPr>
            <w:tcW w:w="3673" w:type="dxa"/>
            <w:noWrap/>
            <w:vAlign w:val="bottom"/>
          </w:tcPr>
          <w:p w:rsidR="00DC71C1" w:rsidRPr="00BC5498" w:rsidRDefault="00DC71C1" w:rsidP="00A425E5">
            <w:pPr>
              <w:rPr>
                <w:rFonts w:ascii="SWISS" w:hAnsi="SWISS" w:cs="Arial"/>
                <w:color w:val="000000"/>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tcBorders>
              <w:top w:val="nil"/>
              <w:left w:val="nil"/>
              <w:bottom w:val="nil"/>
              <w:right w:val="single" w:sz="8" w:space="0" w:color="auto"/>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 </w:t>
            </w:r>
          </w:p>
        </w:tc>
      </w:tr>
      <w:tr w:rsidR="00DC71C1" w:rsidRPr="00BC5498" w:rsidTr="00A425E5">
        <w:trPr>
          <w:trHeight w:val="294"/>
          <w:jc w:val="center"/>
        </w:trPr>
        <w:tc>
          <w:tcPr>
            <w:tcW w:w="790" w:type="dxa"/>
            <w:tcBorders>
              <w:top w:val="nil"/>
              <w:left w:val="single" w:sz="8" w:space="0" w:color="auto"/>
              <w:bottom w:val="nil"/>
              <w:right w:val="nil"/>
            </w:tcBorders>
            <w:noWrap/>
            <w:vAlign w:val="bottom"/>
            <w:hideMark/>
          </w:tcPr>
          <w:p w:rsidR="00DC71C1" w:rsidRPr="00BC5498" w:rsidRDefault="00DC71C1" w:rsidP="00A425E5">
            <w:pPr>
              <w:jc w:val="center"/>
              <w:rPr>
                <w:rFonts w:ascii="SWISS" w:hAnsi="SWISS" w:cs="Arial"/>
                <w:color w:val="000000"/>
                <w:sz w:val="20"/>
                <w:szCs w:val="20"/>
              </w:rPr>
            </w:pPr>
            <w:r w:rsidRPr="00BC5498">
              <w:rPr>
                <w:rFonts w:ascii="SWISS" w:hAnsi="SWISS" w:cs="Arial"/>
                <w:color w:val="000000"/>
                <w:sz w:val="20"/>
                <w:szCs w:val="20"/>
              </w:rPr>
              <w:t xml:space="preserve">  4.</w:t>
            </w:r>
          </w:p>
        </w:tc>
        <w:tc>
          <w:tcPr>
            <w:tcW w:w="3673" w:type="dxa"/>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xml:space="preserve">  AMORTIZATION</w:t>
            </w:r>
          </w:p>
        </w:tc>
        <w:tc>
          <w:tcPr>
            <w:tcW w:w="1921" w:type="dxa"/>
            <w:noWrap/>
            <w:vAlign w:val="bottom"/>
            <w:hideMark/>
          </w:tcPr>
          <w:p w:rsidR="00DC71C1" w:rsidRPr="00BC5498" w:rsidRDefault="00DC71C1" w:rsidP="00A425E5">
            <w:pPr>
              <w:jc w:val="right"/>
              <w:rPr>
                <w:rFonts w:ascii="SWISS" w:hAnsi="SWISS" w:cs="Arial"/>
                <w:sz w:val="20"/>
                <w:szCs w:val="20"/>
              </w:rPr>
            </w:pPr>
            <w:r w:rsidRPr="00BC5498">
              <w:rPr>
                <w:rFonts w:ascii="SWISS" w:hAnsi="SWISS" w:cs="Arial"/>
                <w:sz w:val="20"/>
                <w:szCs w:val="20"/>
              </w:rPr>
              <w:t>0</w:t>
            </w:r>
          </w:p>
        </w:tc>
        <w:tc>
          <w:tcPr>
            <w:tcW w:w="1921" w:type="dxa"/>
            <w:noWrap/>
            <w:vAlign w:val="bottom"/>
            <w:hideMark/>
          </w:tcPr>
          <w:p w:rsidR="00DC71C1" w:rsidRPr="00BC5498" w:rsidRDefault="00DC71C1" w:rsidP="00A425E5">
            <w:pPr>
              <w:jc w:val="right"/>
              <w:rPr>
                <w:rFonts w:ascii="SWISS" w:hAnsi="SWISS" w:cs="Arial"/>
                <w:sz w:val="20"/>
                <w:szCs w:val="20"/>
              </w:rPr>
            </w:pPr>
            <w:r w:rsidRPr="00BC5498">
              <w:rPr>
                <w:rFonts w:ascii="SWISS" w:hAnsi="SWISS" w:cs="Arial"/>
                <w:sz w:val="20"/>
                <w:szCs w:val="20"/>
              </w:rPr>
              <w:t>0</w:t>
            </w:r>
          </w:p>
        </w:tc>
        <w:tc>
          <w:tcPr>
            <w:tcW w:w="1921" w:type="dxa"/>
            <w:noWrap/>
            <w:vAlign w:val="bottom"/>
            <w:hideMark/>
          </w:tcPr>
          <w:p w:rsidR="00DC71C1" w:rsidRPr="00BC5498" w:rsidRDefault="00DC71C1" w:rsidP="00A425E5">
            <w:pPr>
              <w:jc w:val="right"/>
              <w:rPr>
                <w:rFonts w:ascii="SWISS" w:hAnsi="SWISS" w:cs="Arial"/>
                <w:sz w:val="20"/>
                <w:szCs w:val="20"/>
              </w:rPr>
            </w:pPr>
            <w:r w:rsidRPr="00BC5498">
              <w:rPr>
                <w:rFonts w:ascii="SWISS" w:hAnsi="SWISS" w:cs="Arial"/>
                <w:sz w:val="20"/>
                <w:szCs w:val="20"/>
              </w:rPr>
              <w:t>0</w:t>
            </w:r>
          </w:p>
        </w:tc>
        <w:tc>
          <w:tcPr>
            <w:tcW w:w="1921" w:type="dxa"/>
            <w:noWrap/>
            <w:vAlign w:val="bottom"/>
            <w:hideMark/>
          </w:tcPr>
          <w:p w:rsidR="00DC71C1" w:rsidRPr="00BC5498" w:rsidRDefault="00DC71C1" w:rsidP="00A425E5">
            <w:pPr>
              <w:jc w:val="right"/>
              <w:rPr>
                <w:rFonts w:ascii="SWISS" w:hAnsi="SWISS" w:cs="Arial"/>
                <w:sz w:val="20"/>
                <w:szCs w:val="20"/>
              </w:rPr>
            </w:pPr>
            <w:r w:rsidRPr="00BC5498">
              <w:rPr>
                <w:rFonts w:ascii="SWISS" w:hAnsi="SWISS" w:cs="Arial"/>
                <w:sz w:val="20"/>
                <w:szCs w:val="20"/>
              </w:rPr>
              <w:t>0</w:t>
            </w:r>
          </w:p>
        </w:tc>
        <w:tc>
          <w:tcPr>
            <w:tcW w:w="1921" w:type="dxa"/>
            <w:tcBorders>
              <w:top w:val="nil"/>
              <w:left w:val="nil"/>
              <w:bottom w:val="nil"/>
              <w:right w:val="single" w:sz="8" w:space="0" w:color="auto"/>
            </w:tcBorders>
            <w:noWrap/>
            <w:vAlign w:val="bottom"/>
            <w:hideMark/>
          </w:tcPr>
          <w:p w:rsidR="00DC71C1" w:rsidRPr="00BC5498" w:rsidRDefault="00DC71C1" w:rsidP="00A425E5">
            <w:pPr>
              <w:jc w:val="right"/>
              <w:rPr>
                <w:rFonts w:ascii="SWISS" w:hAnsi="SWISS" w:cs="Arial"/>
                <w:sz w:val="20"/>
                <w:szCs w:val="20"/>
              </w:rPr>
            </w:pPr>
            <w:r w:rsidRPr="00BC5498">
              <w:rPr>
                <w:rFonts w:ascii="SWISS" w:hAnsi="SWISS" w:cs="Arial"/>
                <w:sz w:val="20"/>
                <w:szCs w:val="20"/>
              </w:rPr>
              <w:t>0</w:t>
            </w:r>
          </w:p>
        </w:tc>
      </w:tr>
      <w:tr w:rsidR="00DC71C1" w:rsidRPr="00BC5498" w:rsidTr="00A425E5">
        <w:trPr>
          <w:trHeight w:val="294"/>
          <w:jc w:val="center"/>
        </w:trPr>
        <w:tc>
          <w:tcPr>
            <w:tcW w:w="790" w:type="dxa"/>
            <w:tcBorders>
              <w:top w:val="nil"/>
              <w:left w:val="single" w:sz="8" w:space="0" w:color="auto"/>
              <w:bottom w:val="nil"/>
              <w:right w:val="nil"/>
            </w:tcBorders>
            <w:noWrap/>
            <w:vAlign w:val="bottom"/>
          </w:tcPr>
          <w:p w:rsidR="00DC71C1" w:rsidRPr="00BC5498" w:rsidRDefault="00DC71C1" w:rsidP="00A425E5">
            <w:pPr>
              <w:jc w:val="center"/>
              <w:rPr>
                <w:rFonts w:ascii="SWISS" w:hAnsi="SWISS" w:cs="Arial"/>
                <w:color w:val="000000"/>
                <w:sz w:val="20"/>
                <w:szCs w:val="20"/>
              </w:rPr>
            </w:pPr>
          </w:p>
        </w:tc>
        <w:tc>
          <w:tcPr>
            <w:tcW w:w="3673" w:type="dxa"/>
            <w:noWrap/>
            <w:vAlign w:val="bottom"/>
          </w:tcPr>
          <w:p w:rsidR="00DC71C1" w:rsidRPr="00BC5498" w:rsidRDefault="00DC71C1" w:rsidP="00A425E5">
            <w:pPr>
              <w:rPr>
                <w:rFonts w:ascii="SWISS" w:hAnsi="SWISS" w:cs="Arial"/>
                <w:color w:val="000000"/>
                <w:sz w:val="20"/>
                <w:szCs w:val="20"/>
              </w:rPr>
            </w:pPr>
          </w:p>
        </w:tc>
        <w:tc>
          <w:tcPr>
            <w:tcW w:w="1921" w:type="dxa"/>
            <w:noWrap/>
            <w:vAlign w:val="bottom"/>
          </w:tcPr>
          <w:p w:rsidR="00DC71C1" w:rsidRPr="00BC5498" w:rsidRDefault="00DC71C1" w:rsidP="00A425E5">
            <w:pPr>
              <w:jc w:val="right"/>
              <w:rPr>
                <w:rFonts w:ascii="SWISS" w:hAnsi="SWISS" w:cs="Arial"/>
                <w:sz w:val="20"/>
                <w:szCs w:val="20"/>
              </w:rPr>
            </w:pPr>
          </w:p>
        </w:tc>
        <w:tc>
          <w:tcPr>
            <w:tcW w:w="1921" w:type="dxa"/>
            <w:noWrap/>
            <w:vAlign w:val="bottom"/>
          </w:tcPr>
          <w:p w:rsidR="00DC71C1" w:rsidRPr="00BC5498" w:rsidRDefault="00DC71C1" w:rsidP="00A425E5">
            <w:pPr>
              <w:jc w:val="right"/>
              <w:rPr>
                <w:rFonts w:ascii="SWISS" w:hAnsi="SWISS" w:cs="Arial"/>
                <w:sz w:val="20"/>
                <w:szCs w:val="20"/>
              </w:rPr>
            </w:pPr>
          </w:p>
        </w:tc>
        <w:tc>
          <w:tcPr>
            <w:tcW w:w="1921" w:type="dxa"/>
            <w:noWrap/>
            <w:vAlign w:val="bottom"/>
          </w:tcPr>
          <w:p w:rsidR="00DC71C1" w:rsidRPr="00BC5498" w:rsidRDefault="00DC71C1" w:rsidP="00A425E5">
            <w:pPr>
              <w:jc w:val="right"/>
              <w:rPr>
                <w:rFonts w:ascii="SWISS" w:hAnsi="SWISS" w:cs="Arial"/>
                <w:sz w:val="20"/>
                <w:szCs w:val="20"/>
              </w:rPr>
            </w:pPr>
          </w:p>
        </w:tc>
        <w:tc>
          <w:tcPr>
            <w:tcW w:w="1921" w:type="dxa"/>
            <w:noWrap/>
            <w:vAlign w:val="bottom"/>
          </w:tcPr>
          <w:p w:rsidR="00DC71C1" w:rsidRPr="00BC5498" w:rsidRDefault="00DC71C1" w:rsidP="00A425E5">
            <w:pPr>
              <w:jc w:val="right"/>
              <w:rPr>
                <w:rFonts w:ascii="SWISS" w:hAnsi="SWISS" w:cs="Arial"/>
                <w:sz w:val="20"/>
                <w:szCs w:val="20"/>
              </w:rPr>
            </w:pPr>
          </w:p>
        </w:tc>
        <w:tc>
          <w:tcPr>
            <w:tcW w:w="1921" w:type="dxa"/>
            <w:tcBorders>
              <w:top w:val="nil"/>
              <w:left w:val="nil"/>
              <w:bottom w:val="nil"/>
              <w:right w:val="single" w:sz="8" w:space="0" w:color="auto"/>
            </w:tcBorders>
            <w:noWrap/>
            <w:vAlign w:val="bottom"/>
          </w:tcPr>
          <w:p w:rsidR="00DC71C1" w:rsidRPr="00BC5498" w:rsidRDefault="00DC71C1" w:rsidP="00A425E5">
            <w:pPr>
              <w:jc w:val="right"/>
              <w:rPr>
                <w:rFonts w:ascii="SWISS" w:hAnsi="SWISS" w:cs="Arial"/>
                <w:sz w:val="20"/>
                <w:szCs w:val="20"/>
              </w:rPr>
            </w:pPr>
          </w:p>
        </w:tc>
      </w:tr>
      <w:tr w:rsidR="00DC71C1" w:rsidRPr="00BC5498" w:rsidTr="00A425E5">
        <w:trPr>
          <w:trHeight w:val="294"/>
          <w:jc w:val="center"/>
        </w:trPr>
        <w:tc>
          <w:tcPr>
            <w:tcW w:w="790" w:type="dxa"/>
            <w:tcBorders>
              <w:top w:val="nil"/>
              <w:left w:val="single" w:sz="8" w:space="0" w:color="auto"/>
              <w:bottom w:val="nil"/>
              <w:right w:val="nil"/>
            </w:tcBorders>
            <w:noWrap/>
            <w:vAlign w:val="bottom"/>
            <w:hideMark/>
          </w:tcPr>
          <w:p w:rsidR="00DC71C1" w:rsidRPr="00BC5498" w:rsidRDefault="00DC71C1" w:rsidP="00A425E5">
            <w:pPr>
              <w:jc w:val="center"/>
              <w:rPr>
                <w:rFonts w:ascii="SWISS" w:hAnsi="SWISS" w:cs="Arial"/>
                <w:color w:val="000000"/>
                <w:sz w:val="20"/>
                <w:szCs w:val="20"/>
              </w:rPr>
            </w:pPr>
            <w:r w:rsidRPr="00BC5498">
              <w:rPr>
                <w:rFonts w:ascii="SWISS" w:hAnsi="SWISS" w:cs="Arial"/>
                <w:color w:val="000000"/>
                <w:sz w:val="20"/>
                <w:szCs w:val="20"/>
              </w:rPr>
              <w:t xml:space="preserve">  5.</w:t>
            </w:r>
          </w:p>
        </w:tc>
        <w:tc>
          <w:tcPr>
            <w:tcW w:w="3673" w:type="dxa"/>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xml:space="preserve">  TAXES OTHER THAN INCOME</w:t>
            </w:r>
          </w:p>
        </w:tc>
        <w:tc>
          <w:tcPr>
            <w:tcW w:w="1921" w:type="dxa"/>
            <w:noWrap/>
            <w:vAlign w:val="bottom"/>
            <w:hideMark/>
          </w:tcPr>
          <w:p w:rsidR="00DC71C1" w:rsidRPr="00BC5498" w:rsidRDefault="00DC71C1" w:rsidP="00A425E5">
            <w:pPr>
              <w:jc w:val="right"/>
              <w:rPr>
                <w:rFonts w:ascii="SWISS" w:hAnsi="SWISS" w:cs="Arial"/>
                <w:sz w:val="20"/>
                <w:szCs w:val="20"/>
              </w:rPr>
            </w:pPr>
            <w:r>
              <w:rPr>
                <w:rFonts w:ascii="SWISS" w:hAnsi="SWISS" w:cs="Arial"/>
                <w:sz w:val="20"/>
                <w:szCs w:val="20"/>
              </w:rPr>
              <w:t>46</w:t>
            </w:r>
            <w:r w:rsidRPr="00BC5498">
              <w:rPr>
                <w:rFonts w:ascii="SWISS" w:hAnsi="SWISS" w:cs="Arial"/>
                <w:sz w:val="20"/>
                <w:szCs w:val="20"/>
              </w:rPr>
              <w:t>,</w:t>
            </w:r>
            <w:r>
              <w:rPr>
                <w:rFonts w:ascii="SWISS" w:hAnsi="SWISS" w:cs="Arial"/>
                <w:sz w:val="20"/>
                <w:szCs w:val="20"/>
              </w:rPr>
              <w:t>023</w:t>
            </w:r>
          </w:p>
        </w:tc>
        <w:tc>
          <w:tcPr>
            <w:tcW w:w="1921" w:type="dxa"/>
            <w:noWrap/>
            <w:vAlign w:val="bottom"/>
            <w:hideMark/>
          </w:tcPr>
          <w:p w:rsidR="00DC71C1" w:rsidRPr="00BC5498" w:rsidRDefault="00DC71C1" w:rsidP="00A425E5">
            <w:pPr>
              <w:jc w:val="right"/>
              <w:rPr>
                <w:rFonts w:ascii="SWISS" w:hAnsi="SWISS" w:cs="Arial"/>
                <w:sz w:val="20"/>
                <w:szCs w:val="20"/>
              </w:rPr>
            </w:pPr>
            <w:r>
              <w:rPr>
                <w:rFonts w:ascii="SWISS" w:hAnsi="SWISS" w:cs="Arial"/>
                <w:sz w:val="20"/>
                <w:szCs w:val="20"/>
              </w:rPr>
              <w:t>5</w:t>
            </w:r>
            <w:r w:rsidRPr="00BC5498">
              <w:rPr>
                <w:rFonts w:ascii="SWISS" w:hAnsi="SWISS" w:cs="Arial"/>
                <w:sz w:val="20"/>
                <w:szCs w:val="20"/>
              </w:rPr>
              <w:t>,</w:t>
            </w:r>
            <w:r>
              <w:rPr>
                <w:rFonts w:ascii="SWISS" w:hAnsi="SWISS" w:cs="Arial"/>
                <w:sz w:val="20"/>
                <w:szCs w:val="20"/>
              </w:rPr>
              <w:t>928</w:t>
            </w:r>
            <w:r w:rsidRPr="00BC5498">
              <w:rPr>
                <w:rFonts w:ascii="SWISS" w:hAnsi="SWISS" w:cs="Arial"/>
                <w:sz w:val="20"/>
                <w:szCs w:val="20"/>
              </w:rPr>
              <w:t xml:space="preserve">   </w:t>
            </w:r>
          </w:p>
        </w:tc>
        <w:tc>
          <w:tcPr>
            <w:tcW w:w="1921" w:type="dxa"/>
            <w:noWrap/>
            <w:vAlign w:val="bottom"/>
            <w:hideMark/>
          </w:tcPr>
          <w:p w:rsidR="00DC71C1" w:rsidRPr="00BC5498" w:rsidRDefault="00DC71C1" w:rsidP="00A425E5">
            <w:pPr>
              <w:jc w:val="right"/>
              <w:rPr>
                <w:rFonts w:ascii="SWISS" w:hAnsi="SWISS" w:cs="Arial"/>
                <w:sz w:val="20"/>
                <w:szCs w:val="20"/>
              </w:rPr>
            </w:pPr>
            <w:r>
              <w:rPr>
                <w:rFonts w:ascii="SWISS" w:hAnsi="SWISS" w:cs="Arial"/>
                <w:sz w:val="20"/>
                <w:szCs w:val="20"/>
              </w:rPr>
              <w:t>51</w:t>
            </w:r>
            <w:r w:rsidRPr="00BC5498">
              <w:rPr>
                <w:rFonts w:ascii="SWISS" w:hAnsi="SWISS" w:cs="Arial"/>
                <w:sz w:val="20"/>
                <w:szCs w:val="20"/>
              </w:rPr>
              <w:t>,</w:t>
            </w:r>
            <w:r>
              <w:rPr>
                <w:rFonts w:ascii="SWISS" w:hAnsi="SWISS" w:cs="Arial"/>
                <w:sz w:val="20"/>
                <w:szCs w:val="20"/>
              </w:rPr>
              <w:t>951</w:t>
            </w:r>
            <w:r w:rsidRPr="00BC5498">
              <w:rPr>
                <w:rFonts w:ascii="SWISS" w:hAnsi="SWISS" w:cs="Arial"/>
                <w:sz w:val="20"/>
                <w:szCs w:val="20"/>
              </w:rPr>
              <w:t xml:space="preserve"> </w:t>
            </w:r>
          </w:p>
        </w:tc>
        <w:tc>
          <w:tcPr>
            <w:tcW w:w="1921" w:type="dxa"/>
            <w:noWrap/>
            <w:vAlign w:val="bottom"/>
            <w:hideMark/>
          </w:tcPr>
          <w:p w:rsidR="00DC71C1" w:rsidRPr="00BC5498" w:rsidRDefault="00DC71C1" w:rsidP="00A425E5">
            <w:pPr>
              <w:jc w:val="right"/>
              <w:rPr>
                <w:rFonts w:ascii="SWISS" w:hAnsi="SWISS" w:cs="Arial"/>
                <w:sz w:val="20"/>
                <w:szCs w:val="20"/>
              </w:rPr>
            </w:pPr>
            <w:r>
              <w:rPr>
                <w:rFonts w:ascii="SWISS" w:hAnsi="SWISS" w:cs="Arial"/>
                <w:sz w:val="20"/>
                <w:szCs w:val="20"/>
              </w:rPr>
              <w:t>3</w:t>
            </w:r>
            <w:r w:rsidRPr="00BC5498">
              <w:rPr>
                <w:rFonts w:ascii="SWISS" w:hAnsi="SWISS" w:cs="Arial"/>
                <w:sz w:val="20"/>
                <w:szCs w:val="20"/>
              </w:rPr>
              <w:t>,</w:t>
            </w:r>
            <w:r>
              <w:rPr>
                <w:rFonts w:ascii="SWISS" w:hAnsi="SWISS" w:cs="Arial"/>
                <w:sz w:val="20"/>
                <w:szCs w:val="20"/>
              </w:rPr>
              <w:t>116</w:t>
            </w:r>
            <w:r w:rsidRPr="00BC5498">
              <w:rPr>
                <w:rFonts w:ascii="SWISS" w:hAnsi="SWISS" w:cs="Arial"/>
                <w:sz w:val="20"/>
                <w:szCs w:val="20"/>
              </w:rPr>
              <w:t xml:space="preserve"> </w:t>
            </w:r>
          </w:p>
        </w:tc>
        <w:tc>
          <w:tcPr>
            <w:tcW w:w="1921" w:type="dxa"/>
            <w:tcBorders>
              <w:top w:val="nil"/>
              <w:left w:val="nil"/>
              <w:bottom w:val="nil"/>
              <w:right w:val="single" w:sz="8" w:space="0" w:color="auto"/>
            </w:tcBorders>
            <w:noWrap/>
            <w:vAlign w:val="bottom"/>
            <w:hideMark/>
          </w:tcPr>
          <w:p w:rsidR="00DC71C1" w:rsidRPr="00BC5498" w:rsidRDefault="00DC71C1" w:rsidP="00A425E5">
            <w:pPr>
              <w:jc w:val="right"/>
              <w:rPr>
                <w:rFonts w:ascii="SWISS" w:hAnsi="SWISS" w:cs="Arial"/>
                <w:sz w:val="20"/>
                <w:szCs w:val="20"/>
              </w:rPr>
            </w:pPr>
            <w:r>
              <w:rPr>
                <w:rFonts w:ascii="SWISS" w:hAnsi="SWISS" w:cs="Arial"/>
                <w:sz w:val="20"/>
                <w:szCs w:val="20"/>
              </w:rPr>
              <w:t>55</w:t>
            </w:r>
            <w:r w:rsidRPr="00BC5498">
              <w:rPr>
                <w:rFonts w:ascii="SWISS" w:hAnsi="SWISS" w:cs="Arial"/>
                <w:sz w:val="20"/>
                <w:szCs w:val="20"/>
              </w:rPr>
              <w:t>,</w:t>
            </w:r>
            <w:r>
              <w:rPr>
                <w:rFonts w:ascii="SWISS" w:hAnsi="SWISS" w:cs="Arial"/>
                <w:sz w:val="20"/>
                <w:szCs w:val="20"/>
              </w:rPr>
              <w:t>067</w:t>
            </w:r>
          </w:p>
        </w:tc>
      </w:tr>
      <w:tr w:rsidR="00DC71C1" w:rsidRPr="00BC5498" w:rsidTr="00A425E5">
        <w:trPr>
          <w:trHeight w:val="294"/>
          <w:jc w:val="center"/>
        </w:trPr>
        <w:tc>
          <w:tcPr>
            <w:tcW w:w="790" w:type="dxa"/>
            <w:tcBorders>
              <w:top w:val="nil"/>
              <w:left w:val="single" w:sz="8" w:space="0" w:color="auto"/>
              <w:bottom w:val="nil"/>
              <w:right w:val="nil"/>
            </w:tcBorders>
            <w:noWrap/>
            <w:vAlign w:val="bottom"/>
          </w:tcPr>
          <w:p w:rsidR="00DC71C1" w:rsidRPr="00BC5498" w:rsidRDefault="00DC71C1" w:rsidP="00A425E5">
            <w:pPr>
              <w:jc w:val="center"/>
              <w:rPr>
                <w:rFonts w:ascii="SWISS" w:hAnsi="SWISS" w:cs="Arial"/>
                <w:color w:val="000000"/>
                <w:sz w:val="20"/>
                <w:szCs w:val="20"/>
              </w:rPr>
            </w:pPr>
          </w:p>
        </w:tc>
        <w:tc>
          <w:tcPr>
            <w:tcW w:w="3673" w:type="dxa"/>
            <w:noWrap/>
            <w:vAlign w:val="bottom"/>
          </w:tcPr>
          <w:p w:rsidR="00DC71C1" w:rsidRPr="00BC5498" w:rsidRDefault="00DC71C1" w:rsidP="00A425E5">
            <w:pPr>
              <w:rPr>
                <w:rFonts w:ascii="SWISS" w:hAnsi="SWISS" w:cs="Arial"/>
                <w:color w:val="000000"/>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tcBorders>
              <w:top w:val="nil"/>
              <w:left w:val="nil"/>
              <w:bottom w:val="nil"/>
              <w:right w:val="single" w:sz="8" w:space="0" w:color="auto"/>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 </w:t>
            </w:r>
          </w:p>
        </w:tc>
      </w:tr>
      <w:tr w:rsidR="00DC71C1" w:rsidRPr="00BC5498" w:rsidTr="00A425E5">
        <w:trPr>
          <w:trHeight w:val="294"/>
          <w:jc w:val="center"/>
        </w:trPr>
        <w:tc>
          <w:tcPr>
            <w:tcW w:w="790" w:type="dxa"/>
            <w:tcBorders>
              <w:top w:val="nil"/>
              <w:left w:val="single" w:sz="8" w:space="0" w:color="auto"/>
              <w:bottom w:val="nil"/>
              <w:right w:val="nil"/>
            </w:tcBorders>
            <w:noWrap/>
            <w:vAlign w:val="bottom"/>
            <w:hideMark/>
          </w:tcPr>
          <w:p w:rsidR="00DC71C1" w:rsidRPr="00BC5498" w:rsidRDefault="00DC71C1" w:rsidP="00A425E5">
            <w:pPr>
              <w:jc w:val="center"/>
              <w:rPr>
                <w:rFonts w:ascii="SWISS" w:hAnsi="SWISS" w:cs="Arial"/>
                <w:color w:val="000000"/>
                <w:sz w:val="20"/>
                <w:szCs w:val="20"/>
              </w:rPr>
            </w:pPr>
            <w:r w:rsidRPr="00BC5498">
              <w:rPr>
                <w:rFonts w:ascii="SWISS" w:hAnsi="SWISS" w:cs="Arial"/>
                <w:color w:val="000000"/>
                <w:sz w:val="20"/>
                <w:szCs w:val="20"/>
              </w:rPr>
              <w:t xml:space="preserve">  6.</w:t>
            </w:r>
          </w:p>
        </w:tc>
        <w:tc>
          <w:tcPr>
            <w:tcW w:w="3673" w:type="dxa"/>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xml:space="preserve">  INCOME TAXES</w:t>
            </w:r>
          </w:p>
        </w:tc>
        <w:tc>
          <w:tcPr>
            <w:tcW w:w="1921" w:type="dxa"/>
            <w:noWrap/>
            <w:vAlign w:val="bottom"/>
            <w:hideMark/>
          </w:tcPr>
          <w:p w:rsidR="00DC71C1" w:rsidRPr="00BC5498" w:rsidRDefault="00DC71C1" w:rsidP="00A425E5">
            <w:pPr>
              <w:jc w:val="right"/>
              <w:rPr>
                <w:rFonts w:ascii="SWISS" w:hAnsi="SWISS" w:cs="Arial"/>
                <w:sz w:val="20"/>
                <w:szCs w:val="20"/>
                <w:u w:val="single"/>
              </w:rPr>
            </w:pPr>
            <w:r w:rsidRPr="00BC5498">
              <w:rPr>
                <w:rFonts w:ascii="SWISS" w:hAnsi="SWISS" w:cs="Arial"/>
                <w:sz w:val="20"/>
                <w:szCs w:val="20"/>
                <w:u w:val="single"/>
              </w:rPr>
              <w:t>0</w:t>
            </w:r>
          </w:p>
        </w:tc>
        <w:tc>
          <w:tcPr>
            <w:tcW w:w="1921" w:type="dxa"/>
            <w:noWrap/>
            <w:vAlign w:val="bottom"/>
            <w:hideMark/>
          </w:tcPr>
          <w:p w:rsidR="00DC71C1" w:rsidRPr="00BC5498" w:rsidRDefault="00DC71C1" w:rsidP="00A425E5">
            <w:pPr>
              <w:jc w:val="right"/>
              <w:rPr>
                <w:rFonts w:ascii="SWISS" w:hAnsi="SWISS" w:cs="Arial"/>
                <w:sz w:val="20"/>
                <w:szCs w:val="20"/>
                <w:u w:val="single"/>
              </w:rPr>
            </w:pPr>
            <w:r w:rsidRPr="00BC5498">
              <w:rPr>
                <w:rFonts w:ascii="SWISS" w:hAnsi="SWISS" w:cs="Arial"/>
                <w:sz w:val="20"/>
                <w:szCs w:val="20"/>
                <w:u w:val="single"/>
              </w:rPr>
              <w:t>0</w:t>
            </w:r>
          </w:p>
        </w:tc>
        <w:tc>
          <w:tcPr>
            <w:tcW w:w="1921" w:type="dxa"/>
            <w:noWrap/>
            <w:vAlign w:val="bottom"/>
            <w:hideMark/>
          </w:tcPr>
          <w:p w:rsidR="00DC71C1" w:rsidRPr="00BC5498" w:rsidRDefault="00DC71C1" w:rsidP="00A425E5">
            <w:pPr>
              <w:jc w:val="right"/>
              <w:rPr>
                <w:rFonts w:ascii="SWISS" w:hAnsi="SWISS" w:cs="Arial"/>
                <w:sz w:val="20"/>
                <w:szCs w:val="20"/>
                <w:u w:val="single"/>
              </w:rPr>
            </w:pPr>
            <w:r w:rsidRPr="00BC5498">
              <w:rPr>
                <w:rFonts w:ascii="SWISS" w:hAnsi="SWISS" w:cs="Arial"/>
                <w:sz w:val="20"/>
                <w:szCs w:val="20"/>
                <w:u w:val="single"/>
              </w:rPr>
              <w:t>0</w:t>
            </w:r>
          </w:p>
        </w:tc>
        <w:tc>
          <w:tcPr>
            <w:tcW w:w="1921" w:type="dxa"/>
            <w:noWrap/>
            <w:vAlign w:val="bottom"/>
            <w:hideMark/>
          </w:tcPr>
          <w:p w:rsidR="00DC71C1" w:rsidRPr="00BC5498" w:rsidRDefault="00DC71C1" w:rsidP="00A425E5">
            <w:pPr>
              <w:jc w:val="right"/>
              <w:rPr>
                <w:rFonts w:ascii="SWISS" w:hAnsi="SWISS" w:cs="Arial"/>
                <w:sz w:val="20"/>
                <w:szCs w:val="20"/>
                <w:u w:val="single"/>
              </w:rPr>
            </w:pPr>
            <w:r w:rsidRPr="00BC5498">
              <w:rPr>
                <w:rFonts w:ascii="SWISS" w:hAnsi="SWISS" w:cs="Arial"/>
                <w:sz w:val="20"/>
                <w:szCs w:val="20"/>
                <w:u w:val="single"/>
              </w:rPr>
              <w:t xml:space="preserve">0 </w:t>
            </w:r>
          </w:p>
        </w:tc>
        <w:tc>
          <w:tcPr>
            <w:tcW w:w="1921" w:type="dxa"/>
            <w:tcBorders>
              <w:top w:val="nil"/>
              <w:left w:val="nil"/>
              <w:bottom w:val="nil"/>
              <w:right w:val="single" w:sz="8" w:space="0" w:color="auto"/>
            </w:tcBorders>
            <w:noWrap/>
            <w:vAlign w:val="bottom"/>
            <w:hideMark/>
          </w:tcPr>
          <w:p w:rsidR="00DC71C1" w:rsidRPr="00BC5498" w:rsidRDefault="00DC71C1" w:rsidP="00A425E5">
            <w:pPr>
              <w:jc w:val="right"/>
              <w:rPr>
                <w:rFonts w:ascii="SWISS" w:hAnsi="SWISS" w:cs="Arial"/>
                <w:sz w:val="20"/>
                <w:szCs w:val="20"/>
                <w:u w:val="single"/>
              </w:rPr>
            </w:pPr>
            <w:r w:rsidRPr="00BC5498">
              <w:rPr>
                <w:rFonts w:ascii="SWISS" w:hAnsi="SWISS" w:cs="Arial"/>
                <w:sz w:val="20"/>
                <w:szCs w:val="20"/>
                <w:u w:val="single"/>
              </w:rPr>
              <w:t xml:space="preserve">0 </w:t>
            </w:r>
          </w:p>
        </w:tc>
      </w:tr>
      <w:tr w:rsidR="00DC71C1" w:rsidRPr="00BC5498" w:rsidTr="00A425E5">
        <w:trPr>
          <w:trHeight w:val="294"/>
          <w:jc w:val="center"/>
        </w:trPr>
        <w:tc>
          <w:tcPr>
            <w:tcW w:w="790" w:type="dxa"/>
            <w:tcBorders>
              <w:top w:val="nil"/>
              <w:left w:val="single" w:sz="8" w:space="0" w:color="auto"/>
              <w:bottom w:val="nil"/>
              <w:right w:val="nil"/>
            </w:tcBorders>
            <w:noWrap/>
            <w:vAlign w:val="bottom"/>
          </w:tcPr>
          <w:p w:rsidR="00DC71C1" w:rsidRPr="00BC5498" w:rsidRDefault="00DC71C1" w:rsidP="00A425E5">
            <w:pPr>
              <w:jc w:val="center"/>
              <w:rPr>
                <w:rFonts w:ascii="SWISS" w:hAnsi="SWISS" w:cs="Arial"/>
                <w:color w:val="000000"/>
                <w:sz w:val="20"/>
                <w:szCs w:val="20"/>
              </w:rPr>
            </w:pPr>
          </w:p>
        </w:tc>
        <w:tc>
          <w:tcPr>
            <w:tcW w:w="3673" w:type="dxa"/>
            <w:noWrap/>
            <w:vAlign w:val="bottom"/>
          </w:tcPr>
          <w:p w:rsidR="00DC71C1" w:rsidRPr="00BC5498" w:rsidRDefault="00DC71C1" w:rsidP="00A425E5">
            <w:pPr>
              <w:rPr>
                <w:rFonts w:ascii="SWISS" w:hAnsi="SWISS" w:cs="Arial"/>
                <w:color w:val="000000"/>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tcBorders>
              <w:top w:val="nil"/>
              <w:left w:val="nil"/>
              <w:bottom w:val="nil"/>
              <w:right w:val="single" w:sz="8" w:space="0" w:color="auto"/>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 </w:t>
            </w:r>
          </w:p>
        </w:tc>
      </w:tr>
      <w:tr w:rsidR="00DC71C1" w:rsidRPr="00BC5498" w:rsidTr="00A425E5">
        <w:trPr>
          <w:trHeight w:val="294"/>
          <w:jc w:val="center"/>
        </w:trPr>
        <w:tc>
          <w:tcPr>
            <w:tcW w:w="790" w:type="dxa"/>
            <w:tcBorders>
              <w:top w:val="nil"/>
              <w:left w:val="single" w:sz="8" w:space="0" w:color="auto"/>
              <w:bottom w:val="nil"/>
              <w:right w:val="nil"/>
            </w:tcBorders>
            <w:noWrap/>
            <w:vAlign w:val="bottom"/>
            <w:hideMark/>
          </w:tcPr>
          <w:p w:rsidR="00DC71C1" w:rsidRPr="00BC5498" w:rsidRDefault="00DC71C1" w:rsidP="00A425E5">
            <w:pPr>
              <w:jc w:val="center"/>
              <w:rPr>
                <w:rFonts w:ascii="SWISS" w:hAnsi="SWISS" w:cs="Arial"/>
                <w:color w:val="000000"/>
                <w:sz w:val="20"/>
                <w:szCs w:val="20"/>
              </w:rPr>
            </w:pPr>
            <w:r w:rsidRPr="00BC5498">
              <w:rPr>
                <w:rFonts w:ascii="SWISS" w:hAnsi="SWISS" w:cs="Arial"/>
                <w:color w:val="000000"/>
                <w:sz w:val="20"/>
                <w:szCs w:val="20"/>
              </w:rPr>
              <w:t xml:space="preserve">  7.</w:t>
            </w:r>
          </w:p>
        </w:tc>
        <w:tc>
          <w:tcPr>
            <w:tcW w:w="3673" w:type="dxa"/>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 xml:space="preserve">TOTAL OPERATING EXPENSES    </w:t>
            </w:r>
          </w:p>
        </w:tc>
        <w:tc>
          <w:tcPr>
            <w:tcW w:w="1921" w:type="dxa"/>
            <w:noWrap/>
            <w:vAlign w:val="bottom"/>
            <w:hideMark/>
          </w:tcPr>
          <w:p w:rsidR="00DC71C1" w:rsidRPr="00BC5498" w:rsidRDefault="00DC71C1" w:rsidP="00A425E5">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297</w:t>
            </w:r>
            <w:r w:rsidRPr="00BC5498">
              <w:rPr>
                <w:rFonts w:ascii="SWISS" w:hAnsi="SWISS" w:cs="Arial"/>
                <w:sz w:val="20"/>
                <w:szCs w:val="20"/>
                <w:u w:val="single"/>
              </w:rPr>
              <w:t>,</w:t>
            </w:r>
            <w:r>
              <w:rPr>
                <w:rFonts w:ascii="SWISS" w:hAnsi="SWISS" w:cs="Arial"/>
                <w:sz w:val="20"/>
                <w:szCs w:val="20"/>
                <w:u w:val="single"/>
              </w:rPr>
              <w:t>602</w:t>
            </w:r>
          </w:p>
        </w:tc>
        <w:tc>
          <w:tcPr>
            <w:tcW w:w="1921" w:type="dxa"/>
            <w:noWrap/>
            <w:vAlign w:val="bottom"/>
            <w:hideMark/>
          </w:tcPr>
          <w:p w:rsidR="00DC71C1" w:rsidRPr="00BC5498" w:rsidRDefault="00DC71C1" w:rsidP="00A425E5">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48</w:t>
            </w:r>
            <w:r w:rsidRPr="00BC5498">
              <w:rPr>
                <w:rFonts w:ascii="SWISS" w:hAnsi="SWISS" w:cs="Arial"/>
                <w:sz w:val="20"/>
                <w:szCs w:val="20"/>
                <w:u w:val="single"/>
              </w:rPr>
              <w:t>,</w:t>
            </w:r>
            <w:r>
              <w:rPr>
                <w:rFonts w:ascii="SWISS" w:hAnsi="SWISS" w:cs="Arial"/>
                <w:sz w:val="20"/>
                <w:szCs w:val="20"/>
                <w:u w:val="single"/>
              </w:rPr>
              <w:t>775</w:t>
            </w:r>
            <w:r w:rsidRPr="00BC5498">
              <w:rPr>
                <w:rFonts w:ascii="SWISS" w:hAnsi="SWISS" w:cs="Arial"/>
                <w:sz w:val="20"/>
                <w:szCs w:val="20"/>
                <w:u w:val="single"/>
              </w:rPr>
              <w:t xml:space="preserve">  </w:t>
            </w:r>
          </w:p>
        </w:tc>
        <w:tc>
          <w:tcPr>
            <w:tcW w:w="1921" w:type="dxa"/>
            <w:noWrap/>
            <w:vAlign w:val="bottom"/>
            <w:hideMark/>
          </w:tcPr>
          <w:p w:rsidR="00DC71C1" w:rsidRPr="00BC5498" w:rsidRDefault="00DC71C1" w:rsidP="00A425E5">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346</w:t>
            </w:r>
            <w:r w:rsidRPr="00BC5498">
              <w:rPr>
                <w:rFonts w:ascii="SWISS" w:hAnsi="SWISS" w:cs="Arial"/>
                <w:sz w:val="20"/>
                <w:szCs w:val="20"/>
                <w:u w:val="single"/>
              </w:rPr>
              <w:t>,</w:t>
            </w:r>
            <w:r>
              <w:rPr>
                <w:rFonts w:ascii="SWISS" w:hAnsi="SWISS" w:cs="Arial"/>
                <w:sz w:val="20"/>
                <w:szCs w:val="20"/>
                <w:u w:val="single"/>
              </w:rPr>
              <w:t>378</w:t>
            </w:r>
          </w:p>
        </w:tc>
        <w:tc>
          <w:tcPr>
            <w:tcW w:w="1921" w:type="dxa"/>
            <w:noWrap/>
            <w:vAlign w:val="bottom"/>
            <w:hideMark/>
          </w:tcPr>
          <w:p w:rsidR="00DC71C1" w:rsidRPr="00BC5498" w:rsidRDefault="00DC71C1" w:rsidP="00A425E5">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3</w:t>
            </w:r>
            <w:r w:rsidRPr="00BC5498">
              <w:rPr>
                <w:rFonts w:ascii="SWISS" w:hAnsi="SWISS" w:cs="Arial"/>
                <w:sz w:val="20"/>
                <w:szCs w:val="20"/>
                <w:u w:val="single"/>
              </w:rPr>
              <w:t>,</w:t>
            </w:r>
            <w:r>
              <w:rPr>
                <w:rFonts w:ascii="SWISS" w:hAnsi="SWISS" w:cs="Arial"/>
                <w:sz w:val="20"/>
                <w:szCs w:val="20"/>
                <w:u w:val="single"/>
              </w:rPr>
              <w:t>116</w:t>
            </w:r>
            <w:r w:rsidRPr="00BC5498">
              <w:rPr>
                <w:rFonts w:ascii="SWISS" w:hAnsi="SWISS" w:cs="Arial"/>
                <w:sz w:val="20"/>
                <w:szCs w:val="20"/>
                <w:u w:val="single"/>
              </w:rPr>
              <w:t xml:space="preserve"> </w:t>
            </w:r>
          </w:p>
        </w:tc>
        <w:tc>
          <w:tcPr>
            <w:tcW w:w="1921" w:type="dxa"/>
            <w:tcBorders>
              <w:top w:val="nil"/>
              <w:left w:val="nil"/>
              <w:bottom w:val="nil"/>
              <w:right w:val="single" w:sz="8" w:space="0" w:color="auto"/>
            </w:tcBorders>
            <w:noWrap/>
            <w:vAlign w:val="bottom"/>
            <w:hideMark/>
          </w:tcPr>
          <w:p w:rsidR="00DC71C1" w:rsidRPr="00BC5498" w:rsidRDefault="00DC71C1" w:rsidP="00A425E5">
            <w:pPr>
              <w:jc w:val="right"/>
              <w:rPr>
                <w:rFonts w:ascii="SWISS" w:hAnsi="SWISS" w:cs="Arial"/>
                <w:sz w:val="20"/>
                <w:szCs w:val="20"/>
                <w:u w:val="single"/>
              </w:rPr>
            </w:pPr>
            <w:r w:rsidRPr="00BC5498">
              <w:rPr>
                <w:rFonts w:ascii="SWISS" w:hAnsi="SWISS" w:cs="Arial"/>
                <w:sz w:val="20"/>
                <w:szCs w:val="20"/>
                <w:u w:val="single"/>
              </w:rPr>
              <w:t>$</w:t>
            </w:r>
            <w:r>
              <w:rPr>
                <w:rFonts w:ascii="SWISS" w:hAnsi="SWISS" w:cs="Arial"/>
                <w:sz w:val="20"/>
                <w:szCs w:val="20"/>
                <w:u w:val="single"/>
              </w:rPr>
              <w:t>349</w:t>
            </w:r>
            <w:r w:rsidRPr="00BC5498">
              <w:rPr>
                <w:rFonts w:ascii="SWISS" w:hAnsi="SWISS" w:cs="Arial"/>
                <w:sz w:val="20"/>
                <w:szCs w:val="20"/>
                <w:u w:val="single"/>
              </w:rPr>
              <w:t>,</w:t>
            </w:r>
            <w:r>
              <w:rPr>
                <w:rFonts w:ascii="SWISS" w:hAnsi="SWISS" w:cs="Arial"/>
                <w:sz w:val="20"/>
                <w:szCs w:val="20"/>
                <w:u w:val="single"/>
              </w:rPr>
              <w:t>494</w:t>
            </w:r>
          </w:p>
        </w:tc>
      </w:tr>
      <w:tr w:rsidR="00DC71C1" w:rsidRPr="00BC5498" w:rsidTr="00A425E5">
        <w:trPr>
          <w:trHeight w:val="294"/>
          <w:jc w:val="center"/>
        </w:trPr>
        <w:tc>
          <w:tcPr>
            <w:tcW w:w="790" w:type="dxa"/>
            <w:tcBorders>
              <w:top w:val="nil"/>
              <w:left w:val="single" w:sz="8" w:space="0" w:color="auto"/>
              <w:bottom w:val="nil"/>
              <w:right w:val="nil"/>
            </w:tcBorders>
            <w:noWrap/>
            <w:vAlign w:val="bottom"/>
          </w:tcPr>
          <w:p w:rsidR="00DC71C1" w:rsidRPr="00BC5498" w:rsidRDefault="00DC71C1" w:rsidP="00A425E5">
            <w:pPr>
              <w:jc w:val="center"/>
              <w:rPr>
                <w:rFonts w:ascii="SWISS" w:hAnsi="SWISS" w:cs="Arial"/>
                <w:color w:val="000000"/>
                <w:sz w:val="20"/>
                <w:szCs w:val="20"/>
              </w:rPr>
            </w:pPr>
          </w:p>
        </w:tc>
        <w:tc>
          <w:tcPr>
            <w:tcW w:w="3673" w:type="dxa"/>
            <w:noWrap/>
            <w:vAlign w:val="bottom"/>
          </w:tcPr>
          <w:p w:rsidR="00DC71C1" w:rsidRPr="00BC5498" w:rsidRDefault="00DC71C1" w:rsidP="00A425E5">
            <w:pPr>
              <w:rPr>
                <w:rFonts w:ascii="SWISS" w:hAnsi="SWISS" w:cs="Arial"/>
                <w:color w:val="000000"/>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tcBorders>
              <w:top w:val="nil"/>
              <w:left w:val="nil"/>
              <w:bottom w:val="nil"/>
              <w:right w:val="single" w:sz="8" w:space="0" w:color="auto"/>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 </w:t>
            </w:r>
          </w:p>
        </w:tc>
      </w:tr>
      <w:tr w:rsidR="00DC71C1" w:rsidRPr="00BC5498" w:rsidTr="00A425E5">
        <w:trPr>
          <w:trHeight w:val="294"/>
          <w:jc w:val="center"/>
        </w:trPr>
        <w:tc>
          <w:tcPr>
            <w:tcW w:w="790" w:type="dxa"/>
            <w:tcBorders>
              <w:top w:val="nil"/>
              <w:left w:val="single" w:sz="8" w:space="0" w:color="auto"/>
              <w:bottom w:val="nil"/>
              <w:right w:val="nil"/>
            </w:tcBorders>
            <w:noWrap/>
            <w:vAlign w:val="bottom"/>
            <w:hideMark/>
          </w:tcPr>
          <w:p w:rsidR="00DC71C1" w:rsidRPr="00BC5498" w:rsidRDefault="00DC71C1" w:rsidP="00A425E5">
            <w:pPr>
              <w:jc w:val="center"/>
              <w:rPr>
                <w:rFonts w:ascii="SWISS" w:hAnsi="SWISS" w:cs="Arial"/>
                <w:color w:val="000000"/>
                <w:sz w:val="20"/>
                <w:szCs w:val="20"/>
              </w:rPr>
            </w:pPr>
            <w:r w:rsidRPr="00BC5498">
              <w:rPr>
                <w:rFonts w:ascii="SWISS" w:hAnsi="SWISS" w:cs="Arial"/>
                <w:color w:val="000000"/>
                <w:sz w:val="20"/>
                <w:szCs w:val="20"/>
              </w:rPr>
              <w:t xml:space="preserve">  8.</w:t>
            </w:r>
          </w:p>
        </w:tc>
        <w:tc>
          <w:tcPr>
            <w:tcW w:w="3673" w:type="dxa"/>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 xml:space="preserve">OPERATING INCOME/(LOSS)        </w:t>
            </w:r>
          </w:p>
        </w:tc>
        <w:tc>
          <w:tcPr>
            <w:tcW w:w="1921" w:type="dxa"/>
            <w:noWrap/>
            <w:vAlign w:val="bottom"/>
            <w:hideMark/>
          </w:tcPr>
          <w:p w:rsidR="00DC71C1" w:rsidRPr="00BC5498" w:rsidRDefault="00DC71C1" w:rsidP="00A425E5">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33</w:t>
            </w:r>
            <w:r w:rsidRPr="00BC5498">
              <w:rPr>
                <w:rFonts w:ascii="SWISS" w:hAnsi="SWISS" w:cs="Arial"/>
                <w:sz w:val="20"/>
                <w:szCs w:val="20"/>
                <w:u w:val="double"/>
              </w:rPr>
              <w:t>,</w:t>
            </w:r>
            <w:r>
              <w:rPr>
                <w:rFonts w:ascii="SWISS" w:hAnsi="SWISS" w:cs="Arial"/>
                <w:sz w:val="20"/>
                <w:szCs w:val="20"/>
                <w:u w:val="double"/>
              </w:rPr>
              <w:t>814</w:t>
            </w:r>
            <w:r w:rsidRPr="00BC5498">
              <w:rPr>
                <w:rFonts w:ascii="SWISS" w:hAnsi="SWISS" w:cs="Arial"/>
                <w:sz w:val="20"/>
                <w:szCs w:val="20"/>
                <w:u w:val="double"/>
              </w:rPr>
              <w:t xml:space="preserve"> </w:t>
            </w:r>
          </w:p>
        </w:tc>
        <w:tc>
          <w:tcPr>
            <w:tcW w:w="1921" w:type="dxa"/>
            <w:noWrap/>
            <w:vAlign w:val="bottom"/>
          </w:tcPr>
          <w:p w:rsidR="00DC71C1" w:rsidRPr="00BC5498" w:rsidRDefault="00DC71C1" w:rsidP="00A425E5">
            <w:pPr>
              <w:rPr>
                <w:rFonts w:ascii="SWISS" w:hAnsi="SWISS" w:cs="Arial"/>
                <w:sz w:val="20"/>
                <w:szCs w:val="20"/>
                <w:u w:val="double"/>
              </w:rPr>
            </w:pPr>
          </w:p>
        </w:tc>
        <w:tc>
          <w:tcPr>
            <w:tcW w:w="1921" w:type="dxa"/>
            <w:noWrap/>
            <w:vAlign w:val="bottom"/>
            <w:hideMark/>
          </w:tcPr>
          <w:p w:rsidR="00DC71C1" w:rsidRPr="00BC5498" w:rsidRDefault="00DC71C1" w:rsidP="00A425E5">
            <w:pPr>
              <w:jc w:val="right"/>
              <w:rPr>
                <w:rFonts w:ascii="SWISS" w:hAnsi="SWISS" w:cs="Arial"/>
                <w:sz w:val="20"/>
                <w:szCs w:val="20"/>
                <w:u w:val="double"/>
              </w:rPr>
            </w:pPr>
            <w:r>
              <w:rPr>
                <w:rFonts w:ascii="SWISS" w:hAnsi="SWISS" w:cs="Arial"/>
                <w:sz w:val="20"/>
                <w:szCs w:val="20"/>
                <w:u w:val="double"/>
              </w:rPr>
              <w:t>($1,978)</w:t>
            </w:r>
          </w:p>
        </w:tc>
        <w:tc>
          <w:tcPr>
            <w:tcW w:w="1921" w:type="dxa"/>
            <w:noWrap/>
            <w:vAlign w:val="bottom"/>
          </w:tcPr>
          <w:p w:rsidR="00DC71C1" w:rsidRPr="00BC5498" w:rsidRDefault="00DC71C1" w:rsidP="00A425E5">
            <w:pPr>
              <w:rPr>
                <w:rFonts w:ascii="SWISS" w:hAnsi="SWISS" w:cs="Arial"/>
                <w:sz w:val="20"/>
                <w:szCs w:val="20"/>
                <w:u w:val="double"/>
              </w:rPr>
            </w:pPr>
          </w:p>
        </w:tc>
        <w:tc>
          <w:tcPr>
            <w:tcW w:w="1921" w:type="dxa"/>
            <w:tcBorders>
              <w:top w:val="nil"/>
              <w:left w:val="nil"/>
              <w:bottom w:val="nil"/>
              <w:right w:val="single" w:sz="8" w:space="0" w:color="auto"/>
            </w:tcBorders>
            <w:noWrap/>
            <w:vAlign w:val="bottom"/>
            <w:hideMark/>
          </w:tcPr>
          <w:p w:rsidR="00DC71C1" w:rsidRPr="00BC5498" w:rsidRDefault="00DC71C1" w:rsidP="00A425E5">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64</w:t>
            </w:r>
            <w:r w:rsidRPr="00BC5498">
              <w:rPr>
                <w:rFonts w:ascii="SWISS" w:hAnsi="SWISS" w:cs="Arial"/>
                <w:sz w:val="20"/>
                <w:szCs w:val="20"/>
                <w:u w:val="double"/>
              </w:rPr>
              <w:t>,</w:t>
            </w:r>
            <w:r>
              <w:rPr>
                <w:rFonts w:ascii="SWISS" w:hAnsi="SWISS" w:cs="Arial"/>
                <w:sz w:val="20"/>
                <w:szCs w:val="20"/>
                <w:u w:val="double"/>
              </w:rPr>
              <w:t>158</w:t>
            </w:r>
            <w:r w:rsidRPr="00BC5498">
              <w:rPr>
                <w:rFonts w:ascii="SWISS" w:hAnsi="SWISS" w:cs="Arial"/>
                <w:sz w:val="20"/>
                <w:szCs w:val="20"/>
                <w:u w:val="double"/>
              </w:rPr>
              <w:t xml:space="preserve"> </w:t>
            </w:r>
          </w:p>
        </w:tc>
      </w:tr>
      <w:tr w:rsidR="00DC71C1" w:rsidRPr="00BC5498" w:rsidTr="00A425E5">
        <w:trPr>
          <w:trHeight w:val="294"/>
          <w:jc w:val="center"/>
        </w:trPr>
        <w:tc>
          <w:tcPr>
            <w:tcW w:w="790" w:type="dxa"/>
            <w:tcBorders>
              <w:top w:val="nil"/>
              <w:left w:val="single" w:sz="8" w:space="0" w:color="auto"/>
              <w:bottom w:val="nil"/>
              <w:right w:val="nil"/>
            </w:tcBorders>
            <w:noWrap/>
            <w:vAlign w:val="bottom"/>
          </w:tcPr>
          <w:p w:rsidR="00DC71C1" w:rsidRPr="00BC5498" w:rsidRDefault="00DC71C1" w:rsidP="00A425E5">
            <w:pPr>
              <w:jc w:val="center"/>
              <w:rPr>
                <w:rFonts w:ascii="SWISS" w:hAnsi="SWISS" w:cs="Arial"/>
                <w:color w:val="000000"/>
                <w:sz w:val="20"/>
                <w:szCs w:val="20"/>
              </w:rPr>
            </w:pPr>
          </w:p>
        </w:tc>
        <w:tc>
          <w:tcPr>
            <w:tcW w:w="3673" w:type="dxa"/>
            <w:noWrap/>
            <w:vAlign w:val="bottom"/>
          </w:tcPr>
          <w:p w:rsidR="00DC71C1" w:rsidRPr="00BC5498" w:rsidRDefault="00DC71C1" w:rsidP="00A425E5">
            <w:pPr>
              <w:rPr>
                <w:rFonts w:ascii="SWISS" w:hAnsi="SWISS" w:cs="Arial"/>
                <w:color w:val="000000"/>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tcBorders>
              <w:top w:val="nil"/>
              <w:left w:val="nil"/>
              <w:bottom w:val="nil"/>
              <w:right w:val="single" w:sz="8" w:space="0" w:color="auto"/>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 </w:t>
            </w:r>
          </w:p>
        </w:tc>
      </w:tr>
      <w:tr w:rsidR="00DC71C1" w:rsidRPr="00BC5498" w:rsidTr="00A425E5">
        <w:trPr>
          <w:trHeight w:val="294"/>
          <w:jc w:val="center"/>
        </w:trPr>
        <w:tc>
          <w:tcPr>
            <w:tcW w:w="790" w:type="dxa"/>
            <w:tcBorders>
              <w:top w:val="nil"/>
              <w:left w:val="single" w:sz="8" w:space="0" w:color="auto"/>
              <w:bottom w:val="nil"/>
              <w:right w:val="nil"/>
            </w:tcBorders>
            <w:noWrap/>
            <w:vAlign w:val="bottom"/>
            <w:hideMark/>
          </w:tcPr>
          <w:p w:rsidR="00DC71C1" w:rsidRPr="00BC5498" w:rsidRDefault="00DC71C1" w:rsidP="00A425E5">
            <w:pPr>
              <w:jc w:val="center"/>
              <w:rPr>
                <w:rFonts w:ascii="SWISS" w:hAnsi="SWISS" w:cs="Arial"/>
                <w:color w:val="000000"/>
                <w:sz w:val="20"/>
                <w:szCs w:val="20"/>
              </w:rPr>
            </w:pPr>
            <w:r w:rsidRPr="00BC5498">
              <w:rPr>
                <w:rFonts w:ascii="SWISS" w:hAnsi="SWISS" w:cs="Arial"/>
                <w:color w:val="000000"/>
                <w:sz w:val="20"/>
                <w:szCs w:val="20"/>
              </w:rPr>
              <w:t xml:space="preserve">  9.</w:t>
            </w:r>
          </w:p>
        </w:tc>
        <w:tc>
          <w:tcPr>
            <w:tcW w:w="3673" w:type="dxa"/>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 xml:space="preserve">WATER RATE BASE           </w:t>
            </w:r>
          </w:p>
        </w:tc>
        <w:tc>
          <w:tcPr>
            <w:tcW w:w="1921" w:type="dxa"/>
            <w:noWrap/>
            <w:vAlign w:val="bottom"/>
            <w:hideMark/>
          </w:tcPr>
          <w:p w:rsidR="00DC71C1" w:rsidRPr="00BC5498" w:rsidRDefault="00DC71C1" w:rsidP="00A425E5">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538</w:t>
            </w:r>
            <w:r w:rsidRPr="00BC5498">
              <w:rPr>
                <w:rFonts w:ascii="SWISS" w:hAnsi="SWISS" w:cs="Arial"/>
                <w:sz w:val="20"/>
                <w:szCs w:val="20"/>
                <w:u w:val="double"/>
              </w:rPr>
              <w:t>,</w:t>
            </w:r>
            <w:r>
              <w:rPr>
                <w:rFonts w:ascii="SWISS" w:hAnsi="SWISS" w:cs="Arial"/>
                <w:sz w:val="20"/>
                <w:szCs w:val="20"/>
                <w:u w:val="double"/>
              </w:rPr>
              <w:t>123</w:t>
            </w:r>
            <w:r w:rsidRPr="00BC5498">
              <w:rPr>
                <w:rFonts w:ascii="SWISS" w:hAnsi="SWISS" w:cs="Arial"/>
                <w:sz w:val="20"/>
                <w:szCs w:val="20"/>
                <w:u w:val="double"/>
              </w:rPr>
              <w:t xml:space="preserve"> </w:t>
            </w:r>
          </w:p>
        </w:tc>
        <w:tc>
          <w:tcPr>
            <w:tcW w:w="1921" w:type="dxa"/>
            <w:noWrap/>
            <w:vAlign w:val="bottom"/>
          </w:tcPr>
          <w:p w:rsidR="00DC71C1" w:rsidRPr="00BC5498" w:rsidRDefault="00DC71C1" w:rsidP="00A425E5">
            <w:pPr>
              <w:rPr>
                <w:rFonts w:ascii="SWISS" w:hAnsi="SWISS" w:cs="Arial"/>
                <w:sz w:val="20"/>
                <w:szCs w:val="20"/>
                <w:u w:val="double"/>
              </w:rPr>
            </w:pPr>
          </w:p>
        </w:tc>
        <w:tc>
          <w:tcPr>
            <w:tcW w:w="1921" w:type="dxa"/>
            <w:noWrap/>
            <w:vAlign w:val="bottom"/>
            <w:hideMark/>
          </w:tcPr>
          <w:p w:rsidR="00DC71C1" w:rsidRPr="00BC5498" w:rsidRDefault="00DC71C1" w:rsidP="00A425E5">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979</w:t>
            </w:r>
            <w:r w:rsidRPr="00BC5498">
              <w:rPr>
                <w:rFonts w:ascii="SWISS" w:hAnsi="SWISS" w:cs="Arial"/>
                <w:sz w:val="20"/>
                <w:szCs w:val="20"/>
                <w:u w:val="double"/>
              </w:rPr>
              <w:t>,</w:t>
            </w:r>
            <w:r>
              <w:rPr>
                <w:rFonts w:ascii="SWISS" w:hAnsi="SWISS" w:cs="Arial"/>
                <w:sz w:val="20"/>
                <w:szCs w:val="20"/>
                <w:u w:val="double"/>
              </w:rPr>
              <w:t>508</w:t>
            </w:r>
            <w:r w:rsidRPr="00BC5498">
              <w:rPr>
                <w:rFonts w:ascii="SWISS" w:hAnsi="SWISS" w:cs="Arial"/>
                <w:sz w:val="20"/>
                <w:szCs w:val="20"/>
                <w:u w:val="double"/>
              </w:rPr>
              <w:t xml:space="preserve"> </w:t>
            </w:r>
          </w:p>
        </w:tc>
        <w:tc>
          <w:tcPr>
            <w:tcW w:w="1921" w:type="dxa"/>
            <w:noWrap/>
            <w:vAlign w:val="bottom"/>
          </w:tcPr>
          <w:p w:rsidR="00DC71C1" w:rsidRPr="00BC5498" w:rsidRDefault="00DC71C1" w:rsidP="00A425E5">
            <w:pPr>
              <w:rPr>
                <w:rFonts w:ascii="SWISS" w:hAnsi="SWISS" w:cs="Arial"/>
                <w:sz w:val="20"/>
                <w:szCs w:val="20"/>
                <w:u w:val="double"/>
              </w:rPr>
            </w:pPr>
          </w:p>
        </w:tc>
        <w:tc>
          <w:tcPr>
            <w:tcW w:w="1921" w:type="dxa"/>
            <w:tcBorders>
              <w:top w:val="nil"/>
              <w:left w:val="nil"/>
              <w:bottom w:val="nil"/>
              <w:right w:val="single" w:sz="8" w:space="0" w:color="auto"/>
            </w:tcBorders>
            <w:noWrap/>
            <w:vAlign w:val="bottom"/>
            <w:hideMark/>
          </w:tcPr>
          <w:p w:rsidR="00DC71C1" w:rsidRPr="00BC5498" w:rsidRDefault="00DC71C1" w:rsidP="00A425E5">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979</w:t>
            </w:r>
            <w:r w:rsidRPr="00BC5498">
              <w:rPr>
                <w:rFonts w:ascii="SWISS" w:hAnsi="SWISS" w:cs="Arial"/>
                <w:sz w:val="20"/>
                <w:szCs w:val="20"/>
                <w:u w:val="double"/>
              </w:rPr>
              <w:t>,</w:t>
            </w:r>
            <w:r>
              <w:rPr>
                <w:rFonts w:ascii="SWISS" w:hAnsi="SWISS" w:cs="Arial"/>
                <w:sz w:val="20"/>
                <w:szCs w:val="20"/>
                <w:u w:val="double"/>
              </w:rPr>
              <w:t>508</w:t>
            </w:r>
          </w:p>
        </w:tc>
      </w:tr>
      <w:tr w:rsidR="00DC71C1" w:rsidRPr="00BC5498" w:rsidTr="00A425E5">
        <w:trPr>
          <w:trHeight w:val="294"/>
          <w:jc w:val="center"/>
        </w:trPr>
        <w:tc>
          <w:tcPr>
            <w:tcW w:w="790" w:type="dxa"/>
            <w:tcBorders>
              <w:top w:val="nil"/>
              <w:left w:val="single" w:sz="8" w:space="0" w:color="auto"/>
              <w:bottom w:val="nil"/>
              <w:right w:val="nil"/>
            </w:tcBorders>
            <w:noWrap/>
            <w:vAlign w:val="bottom"/>
          </w:tcPr>
          <w:p w:rsidR="00DC71C1" w:rsidRPr="00BC5498" w:rsidRDefault="00DC71C1" w:rsidP="00A425E5">
            <w:pPr>
              <w:jc w:val="center"/>
              <w:rPr>
                <w:rFonts w:ascii="SWISS" w:hAnsi="SWISS" w:cs="Arial"/>
                <w:color w:val="000000"/>
                <w:sz w:val="20"/>
                <w:szCs w:val="20"/>
              </w:rPr>
            </w:pPr>
          </w:p>
        </w:tc>
        <w:tc>
          <w:tcPr>
            <w:tcW w:w="3673" w:type="dxa"/>
            <w:noWrap/>
            <w:vAlign w:val="bottom"/>
          </w:tcPr>
          <w:p w:rsidR="00DC71C1" w:rsidRPr="00BC5498" w:rsidRDefault="00DC71C1" w:rsidP="00A425E5">
            <w:pPr>
              <w:rPr>
                <w:rFonts w:ascii="SWISS" w:hAnsi="SWISS" w:cs="Arial"/>
                <w:color w:val="000000"/>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noWrap/>
            <w:vAlign w:val="bottom"/>
          </w:tcPr>
          <w:p w:rsidR="00DC71C1" w:rsidRPr="00BC5498" w:rsidRDefault="00DC71C1" w:rsidP="00A425E5">
            <w:pPr>
              <w:rPr>
                <w:rFonts w:ascii="SWISS" w:hAnsi="SWISS" w:cs="Arial"/>
                <w:sz w:val="20"/>
                <w:szCs w:val="20"/>
              </w:rPr>
            </w:pPr>
          </w:p>
        </w:tc>
        <w:tc>
          <w:tcPr>
            <w:tcW w:w="1921" w:type="dxa"/>
            <w:tcBorders>
              <w:top w:val="nil"/>
              <w:left w:val="nil"/>
              <w:bottom w:val="nil"/>
              <w:right w:val="single" w:sz="8" w:space="0" w:color="auto"/>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 </w:t>
            </w:r>
          </w:p>
        </w:tc>
      </w:tr>
      <w:tr w:rsidR="00DC71C1" w:rsidRPr="00BC5498" w:rsidTr="00A425E5">
        <w:trPr>
          <w:trHeight w:val="294"/>
          <w:jc w:val="center"/>
        </w:trPr>
        <w:tc>
          <w:tcPr>
            <w:tcW w:w="790" w:type="dxa"/>
            <w:tcBorders>
              <w:top w:val="nil"/>
              <w:left w:val="single" w:sz="8" w:space="0" w:color="auto"/>
              <w:bottom w:val="nil"/>
              <w:right w:val="nil"/>
            </w:tcBorders>
            <w:noWrap/>
            <w:vAlign w:val="bottom"/>
            <w:hideMark/>
          </w:tcPr>
          <w:p w:rsidR="00DC71C1" w:rsidRPr="00BC5498" w:rsidRDefault="00DC71C1" w:rsidP="00A425E5">
            <w:pPr>
              <w:jc w:val="center"/>
              <w:rPr>
                <w:rFonts w:ascii="SWISS" w:hAnsi="SWISS" w:cs="Arial"/>
                <w:color w:val="000000"/>
                <w:sz w:val="20"/>
                <w:szCs w:val="20"/>
              </w:rPr>
            </w:pPr>
            <w:r w:rsidRPr="00BC5498">
              <w:rPr>
                <w:rFonts w:ascii="SWISS" w:hAnsi="SWISS" w:cs="Arial"/>
                <w:color w:val="000000"/>
                <w:sz w:val="20"/>
                <w:szCs w:val="20"/>
              </w:rPr>
              <w:t xml:space="preserve">  10.</w:t>
            </w:r>
          </w:p>
        </w:tc>
        <w:tc>
          <w:tcPr>
            <w:tcW w:w="3673" w:type="dxa"/>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RATE OF RETURN</w:t>
            </w:r>
          </w:p>
        </w:tc>
        <w:tc>
          <w:tcPr>
            <w:tcW w:w="1921" w:type="dxa"/>
            <w:noWrap/>
            <w:vAlign w:val="bottom"/>
            <w:hideMark/>
          </w:tcPr>
          <w:p w:rsidR="00DC71C1" w:rsidRPr="00BC5498" w:rsidRDefault="00DC71C1" w:rsidP="00A425E5">
            <w:pPr>
              <w:rPr>
                <w:rFonts w:ascii="SWISS" w:hAnsi="SWISS" w:cs="Arial"/>
                <w:sz w:val="20"/>
                <w:szCs w:val="20"/>
                <w:u w:val="double"/>
              </w:rPr>
            </w:pPr>
            <w:r w:rsidRPr="00BC5498">
              <w:rPr>
                <w:rFonts w:ascii="SWISS" w:hAnsi="SWISS" w:cs="Arial"/>
                <w:sz w:val="20"/>
                <w:szCs w:val="20"/>
              </w:rPr>
              <w:t xml:space="preserve">                       </w:t>
            </w:r>
            <w:r>
              <w:rPr>
                <w:rFonts w:ascii="SWISS" w:hAnsi="SWISS" w:cs="Arial"/>
                <w:sz w:val="20"/>
                <w:szCs w:val="20"/>
              </w:rPr>
              <w:t xml:space="preserve">   </w:t>
            </w:r>
            <w:r>
              <w:rPr>
                <w:rFonts w:ascii="SWISS" w:hAnsi="SWISS" w:cs="Arial"/>
                <w:sz w:val="20"/>
                <w:szCs w:val="20"/>
                <w:u w:val="double"/>
              </w:rPr>
              <w:t>6.28</w:t>
            </w:r>
            <w:r w:rsidRPr="00BC5498">
              <w:rPr>
                <w:rFonts w:ascii="SWISS" w:hAnsi="SWISS" w:cs="Arial"/>
                <w:sz w:val="20"/>
                <w:szCs w:val="20"/>
                <w:u w:val="double"/>
              </w:rPr>
              <w:t>%</w:t>
            </w:r>
          </w:p>
        </w:tc>
        <w:tc>
          <w:tcPr>
            <w:tcW w:w="1921" w:type="dxa"/>
            <w:noWrap/>
            <w:vAlign w:val="bottom"/>
          </w:tcPr>
          <w:p w:rsidR="00DC71C1" w:rsidRPr="00BC5498" w:rsidRDefault="00DC71C1" w:rsidP="00A425E5">
            <w:pPr>
              <w:rPr>
                <w:rFonts w:ascii="SWISS" w:hAnsi="SWISS" w:cs="Arial"/>
                <w:sz w:val="20"/>
                <w:szCs w:val="20"/>
                <w:u w:val="double"/>
              </w:rPr>
            </w:pPr>
          </w:p>
        </w:tc>
        <w:tc>
          <w:tcPr>
            <w:tcW w:w="1921" w:type="dxa"/>
            <w:noWrap/>
            <w:vAlign w:val="bottom"/>
            <w:hideMark/>
          </w:tcPr>
          <w:p w:rsidR="00DC71C1" w:rsidRPr="00BC5498" w:rsidRDefault="00DC71C1" w:rsidP="00A425E5">
            <w:pPr>
              <w:jc w:val="right"/>
              <w:rPr>
                <w:rFonts w:ascii="SWISS" w:hAnsi="SWISS" w:cs="Arial"/>
                <w:sz w:val="20"/>
                <w:szCs w:val="20"/>
                <w:u w:val="double"/>
              </w:rPr>
            </w:pPr>
            <w:r>
              <w:rPr>
                <w:rFonts w:ascii="SWISS" w:hAnsi="SWISS" w:cs="Arial"/>
                <w:sz w:val="20"/>
                <w:szCs w:val="20"/>
                <w:u w:val="double"/>
              </w:rPr>
              <w:t>(0.20</w:t>
            </w:r>
            <w:r w:rsidRPr="00BC5498">
              <w:rPr>
                <w:rFonts w:ascii="SWISS" w:hAnsi="SWISS" w:cs="Arial"/>
                <w:sz w:val="20"/>
                <w:szCs w:val="20"/>
                <w:u w:val="double"/>
              </w:rPr>
              <w:t>%</w:t>
            </w:r>
            <w:r>
              <w:rPr>
                <w:rFonts w:ascii="SWISS" w:hAnsi="SWISS" w:cs="Arial"/>
                <w:sz w:val="20"/>
                <w:szCs w:val="20"/>
                <w:u w:val="double"/>
              </w:rPr>
              <w:t>)</w:t>
            </w:r>
          </w:p>
        </w:tc>
        <w:tc>
          <w:tcPr>
            <w:tcW w:w="1921" w:type="dxa"/>
            <w:noWrap/>
            <w:vAlign w:val="bottom"/>
          </w:tcPr>
          <w:p w:rsidR="00DC71C1" w:rsidRPr="00BC5498" w:rsidRDefault="00DC71C1" w:rsidP="00A425E5">
            <w:pPr>
              <w:rPr>
                <w:rFonts w:ascii="SWISS" w:hAnsi="SWISS" w:cs="Arial"/>
                <w:sz w:val="20"/>
                <w:szCs w:val="20"/>
                <w:u w:val="double"/>
              </w:rPr>
            </w:pPr>
          </w:p>
        </w:tc>
        <w:tc>
          <w:tcPr>
            <w:tcW w:w="1921" w:type="dxa"/>
            <w:tcBorders>
              <w:top w:val="nil"/>
              <w:left w:val="nil"/>
              <w:bottom w:val="nil"/>
              <w:right w:val="single" w:sz="8" w:space="0" w:color="auto"/>
            </w:tcBorders>
            <w:noWrap/>
            <w:vAlign w:val="bottom"/>
            <w:hideMark/>
          </w:tcPr>
          <w:p w:rsidR="00DC71C1" w:rsidRPr="00BC5498" w:rsidRDefault="00DC71C1" w:rsidP="00A425E5">
            <w:pPr>
              <w:jc w:val="right"/>
              <w:rPr>
                <w:rFonts w:ascii="SWISS" w:hAnsi="SWISS" w:cs="Arial"/>
                <w:sz w:val="20"/>
                <w:szCs w:val="20"/>
                <w:u w:val="double"/>
              </w:rPr>
            </w:pPr>
            <w:r>
              <w:rPr>
                <w:rFonts w:ascii="SWISS" w:hAnsi="SWISS" w:cs="Arial"/>
                <w:sz w:val="20"/>
                <w:szCs w:val="20"/>
                <w:u w:val="double"/>
              </w:rPr>
              <w:t>6</w:t>
            </w:r>
            <w:r w:rsidRPr="00BC5498">
              <w:rPr>
                <w:rFonts w:ascii="SWISS" w:hAnsi="SWISS" w:cs="Arial"/>
                <w:sz w:val="20"/>
                <w:szCs w:val="20"/>
                <w:u w:val="double"/>
              </w:rPr>
              <w:t>.</w:t>
            </w:r>
            <w:r>
              <w:rPr>
                <w:rFonts w:ascii="SWISS" w:hAnsi="SWISS" w:cs="Arial"/>
                <w:sz w:val="20"/>
                <w:szCs w:val="20"/>
                <w:u w:val="double"/>
              </w:rPr>
              <w:t>55</w:t>
            </w:r>
            <w:r w:rsidRPr="00BC5498">
              <w:rPr>
                <w:rFonts w:ascii="SWISS" w:hAnsi="SWISS" w:cs="Arial"/>
                <w:sz w:val="20"/>
                <w:szCs w:val="20"/>
                <w:u w:val="double"/>
              </w:rPr>
              <w:t>%</w:t>
            </w:r>
          </w:p>
        </w:tc>
      </w:tr>
      <w:tr w:rsidR="00DC71C1" w:rsidRPr="00BC5498" w:rsidTr="00A425E5">
        <w:trPr>
          <w:trHeight w:val="306"/>
          <w:jc w:val="center"/>
        </w:trPr>
        <w:tc>
          <w:tcPr>
            <w:tcW w:w="790" w:type="dxa"/>
            <w:tcBorders>
              <w:top w:val="nil"/>
              <w:left w:val="single" w:sz="8" w:space="0" w:color="auto"/>
              <w:bottom w:val="single" w:sz="8" w:space="0" w:color="auto"/>
              <w:right w:val="nil"/>
            </w:tcBorders>
            <w:noWrap/>
            <w:vAlign w:val="bottom"/>
          </w:tcPr>
          <w:p w:rsidR="00DC71C1" w:rsidRPr="00BC5498" w:rsidRDefault="00DC71C1" w:rsidP="00A425E5">
            <w:pPr>
              <w:jc w:val="center"/>
              <w:rPr>
                <w:rFonts w:ascii="SWISS" w:hAnsi="SWISS" w:cs="Arial"/>
                <w:color w:val="000000"/>
                <w:sz w:val="20"/>
                <w:szCs w:val="20"/>
              </w:rPr>
            </w:pPr>
          </w:p>
        </w:tc>
        <w:tc>
          <w:tcPr>
            <w:tcW w:w="3673" w:type="dxa"/>
            <w:tcBorders>
              <w:top w:val="nil"/>
              <w:left w:val="nil"/>
              <w:bottom w:val="single" w:sz="8" w:space="0" w:color="auto"/>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921" w:type="dxa"/>
            <w:tcBorders>
              <w:top w:val="nil"/>
              <w:left w:val="nil"/>
              <w:bottom w:val="single" w:sz="8" w:space="0" w:color="auto"/>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921" w:type="dxa"/>
            <w:tcBorders>
              <w:top w:val="nil"/>
              <w:left w:val="nil"/>
              <w:bottom w:val="single" w:sz="8" w:space="0" w:color="auto"/>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921" w:type="dxa"/>
            <w:tcBorders>
              <w:top w:val="nil"/>
              <w:left w:val="nil"/>
              <w:bottom w:val="single" w:sz="8" w:space="0" w:color="auto"/>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921" w:type="dxa"/>
            <w:tcBorders>
              <w:top w:val="nil"/>
              <w:left w:val="nil"/>
              <w:bottom w:val="single" w:sz="8" w:space="0" w:color="auto"/>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921" w:type="dxa"/>
            <w:tcBorders>
              <w:top w:val="nil"/>
              <w:left w:val="nil"/>
              <w:bottom w:val="single" w:sz="8" w:space="0" w:color="auto"/>
              <w:right w:val="single" w:sz="8" w:space="0" w:color="auto"/>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r>
    </w:tbl>
    <w:p w:rsidR="00B127B2" w:rsidRDefault="00B127B2" w:rsidP="00E275D8">
      <w:pPr>
        <w:pStyle w:val="BodyText"/>
        <w:sectPr w:rsidR="00B127B2" w:rsidSect="00866604">
          <w:headerReference w:type="default" r:id="rId18"/>
          <w:pgSz w:w="15840" w:h="12240" w:orient="landscape" w:code="1"/>
          <w:pgMar w:top="1440" w:right="1584" w:bottom="1440" w:left="1440" w:header="720" w:footer="720" w:gutter="0"/>
          <w:cols w:space="720"/>
          <w:formProt w:val="0"/>
          <w:docGrid w:linePitch="360"/>
        </w:sectPr>
      </w:pPr>
    </w:p>
    <w:tbl>
      <w:tblPr>
        <w:tblW w:w="984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141"/>
        <w:gridCol w:w="20"/>
        <w:gridCol w:w="7198"/>
        <w:gridCol w:w="45"/>
        <w:gridCol w:w="1480"/>
      </w:tblGrid>
      <w:tr w:rsidR="00DC71C1" w:rsidRPr="00BC5498" w:rsidTr="00A425E5">
        <w:trPr>
          <w:trHeight w:val="33"/>
        </w:trPr>
        <w:tc>
          <w:tcPr>
            <w:tcW w:w="1125" w:type="dxa"/>
            <w:tcBorders>
              <w:top w:val="single" w:sz="4" w:space="0" w:color="auto"/>
            </w:tcBorders>
            <w:noWrap/>
            <w:vAlign w:val="bottom"/>
            <w:hideMark/>
          </w:tcPr>
          <w:p w:rsidR="00DC71C1" w:rsidRPr="00BC5498" w:rsidRDefault="00DC71C1" w:rsidP="00A425E5">
            <w:pPr>
              <w:jc w:val="right"/>
              <w:rPr>
                <w:rFonts w:ascii="SWISS" w:hAnsi="SWISS" w:cs="Arial"/>
                <w:sz w:val="20"/>
                <w:szCs w:val="20"/>
              </w:rPr>
            </w:pPr>
            <w:bookmarkStart w:id="49" w:name="RANGE!A1:C80"/>
            <w:r w:rsidRPr="00BC5498">
              <w:rPr>
                <w:rFonts w:ascii="SWISS" w:hAnsi="SWISS" w:cs="Arial"/>
                <w:sz w:val="20"/>
                <w:szCs w:val="20"/>
              </w:rPr>
              <w:lastRenderedPageBreak/>
              <w:t> </w:t>
            </w:r>
            <w:bookmarkEnd w:id="49"/>
          </w:p>
        </w:tc>
        <w:tc>
          <w:tcPr>
            <w:tcW w:w="20" w:type="dxa"/>
            <w:tcBorders>
              <w:top w:val="single" w:sz="4" w:space="0" w:color="auto"/>
            </w:tcBorders>
          </w:tcPr>
          <w:p w:rsidR="00DC71C1" w:rsidRPr="00BC5498" w:rsidRDefault="00DC71C1" w:rsidP="00A425E5">
            <w:pPr>
              <w:rPr>
                <w:rFonts w:ascii="SWISS" w:hAnsi="SWISS" w:cs="Arial"/>
                <w:b/>
                <w:bCs/>
                <w:color w:val="000000"/>
                <w:sz w:val="20"/>
                <w:szCs w:val="20"/>
              </w:rPr>
            </w:pPr>
          </w:p>
        </w:tc>
        <w:tc>
          <w:tcPr>
            <w:tcW w:w="8700" w:type="dxa"/>
            <w:gridSpan w:val="3"/>
            <w:tcBorders>
              <w:top w:val="single" w:sz="4" w:space="0" w:color="auto"/>
            </w:tcBorders>
            <w:noWrap/>
            <w:vAlign w:val="bottom"/>
            <w:hideMark/>
          </w:tcPr>
          <w:p w:rsidR="00DC71C1" w:rsidRPr="00BC5498" w:rsidRDefault="00DC71C1" w:rsidP="00A425E5">
            <w:pPr>
              <w:rPr>
                <w:rFonts w:ascii="SWISS" w:hAnsi="SWISS" w:cs="Arial"/>
                <w:b/>
                <w:bCs/>
                <w:color w:val="000000"/>
                <w:sz w:val="20"/>
                <w:szCs w:val="20"/>
              </w:rPr>
            </w:pPr>
            <w:r>
              <w:rPr>
                <w:rFonts w:ascii="SWISS" w:hAnsi="SWISS" w:cs="Arial"/>
                <w:b/>
                <w:bCs/>
                <w:color w:val="000000"/>
                <w:sz w:val="20"/>
                <w:szCs w:val="20"/>
              </w:rPr>
              <w:t>LITTLE GASPARILLA WATER UTILITY, INC.</w:t>
            </w:r>
            <w:r w:rsidRPr="00BC5498">
              <w:rPr>
                <w:rFonts w:ascii="SWISS" w:hAnsi="SWISS" w:cs="Arial"/>
                <w:b/>
                <w:bCs/>
                <w:color w:val="000000"/>
                <w:sz w:val="20"/>
                <w:szCs w:val="20"/>
              </w:rPr>
              <w:t xml:space="preserve">                                             SCHEDULE NO. 3-</w:t>
            </w:r>
            <w:r>
              <w:rPr>
                <w:rFonts w:ascii="SWISS" w:hAnsi="SWISS" w:cs="Arial"/>
                <w:b/>
                <w:bCs/>
                <w:color w:val="000000"/>
                <w:sz w:val="20"/>
                <w:szCs w:val="20"/>
              </w:rPr>
              <w:t>B</w:t>
            </w:r>
            <w:r w:rsidRPr="00BC5498">
              <w:rPr>
                <w:sz w:val="20"/>
                <w:szCs w:val="20"/>
              </w:rPr>
              <w:fldChar w:fldCharType="begin"/>
            </w:r>
            <w:r w:rsidRPr="00BC5498">
              <w:rPr>
                <w:sz w:val="20"/>
                <w:szCs w:val="20"/>
              </w:rPr>
              <w:instrText xml:space="preserve"> TC "</w:instrText>
            </w:r>
            <w:bookmarkStart w:id="50" w:name="_Toc381963579"/>
            <w:bookmarkStart w:id="51" w:name="_Toc358798424"/>
            <w:bookmarkStart w:id="52" w:name="_Toc478581581"/>
            <w:bookmarkStart w:id="53" w:name="_Toc388461687"/>
            <w:r w:rsidRPr="00BC5498">
              <w:rPr>
                <w:sz w:val="20"/>
                <w:szCs w:val="20"/>
              </w:rPr>
              <w:instrText xml:space="preserve"> </w:instrText>
            </w:r>
            <w:bookmarkStart w:id="54" w:name="_Toc481571385"/>
            <w:bookmarkStart w:id="55" w:name="_Toc484800706"/>
            <w:bookmarkStart w:id="56" w:name="_Toc496733049"/>
            <w:bookmarkStart w:id="57" w:name="_Toc499901221"/>
            <w:r w:rsidRPr="00BC5498">
              <w:rPr>
                <w:sz w:val="20"/>
                <w:szCs w:val="20"/>
              </w:rPr>
              <w:instrText>Schedule No. 3-</w:instrText>
            </w:r>
            <w:r>
              <w:rPr>
                <w:sz w:val="20"/>
                <w:szCs w:val="20"/>
              </w:rPr>
              <w:instrText>B</w:instrText>
            </w:r>
            <w:r w:rsidRPr="00BC5498">
              <w:rPr>
                <w:sz w:val="20"/>
                <w:szCs w:val="20"/>
              </w:rPr>
              <w:instrText xml:space="preserve"> Adjustments to </w:instrText>
            </w:r>
            <w:bookmarkEnd w:id="50"/>
            <w:bookmarkEnd w:id="51"/>
            <w:r w:rsidRPr="00BC5498">
              <w:rPr>
                <w:sz w:val="20"/>
                <w:szCs w:val="20"/>
              </w:rPr>
              <w:instrText>Operating Income</w:instrText>
            </w:r>
            <w:bookmarkEnd w:id="52"/>
            <w:bookmarkEnd w:id="53"/>
            <w:bookmarkEnd w:id="54"/>
            <w:bookmarkEnd w:id="55"/>
            <w:bookmarkEnd w:id="56"/>
            <w:r>
              <w:rPr>
                <w:sz w:val="20"/>
                <w:szCs w:val="20"/>
              </w:rPr>
              <w:instrText xml:space="preserve"> – Phase II</w:instrText>
            </w:r>
            <w:bookmarkEnd w:id="57"/>
            <w:r w:rsidRPr="00BC5498">
              <w:rPr>
                <w:sz w:val="20"/>
                <w:szCs w:val="20"/>
              </w:rPr>
              <w:instrText xml:space="preserve">" \l 1 </w:instrText>
            </w:r>
            <w:r w:rsidRPr="00BC5498">
              <w:rPr>
                <w:sz w:val="20"/>
                <w:szCs w:val="20"/>
              </w:rPr>
              <w:fldChar w:fldCharType="end"/>
            </w:r>
          </w:p>
        </w:tc>
      </w:tr>
      <w:tr w:rsidR="00DC71C1" w:rsidRPr="00BC5498" w:rsidTr="00A425E5">
        <w:trPr>
          <w:trHeight w:val="33"/>
        </w:trPr>
        <w:tc>
          <w:tcPr>
            <w:tcW w:w="1125" w:type="dxa"/>
            <w:tcBorders>
              <w:bottom w:val="nil"/>
            </w:tcBorders>
            <w:noWrap/>
            <w:vAlign w:val="bottom"/>
            <w:hideMark/>
          </w:tcPr>
          <w:p w:rsidR="00DC71C1" w:rsidRPr="00BC5498" w:rsidRDefault="00DC71C1" w:rsidP="00A425E5">
            <w:pPr>
              <w:jc w:val="right"/>
              <w:rPr>
                <w:rFonts w:ascii="SWISS" w:hAnsi="SWISS" w:cs="Arial"/>
                <w:sz w:val="20"/>
                <w:szCs w:val="20"/>
              </w:rPr>
            </w:pPr>
            <w:r w:rsidRPr="00BC5498">
              <w:rPr>
                <w:rFonts w:ascii="SWISS" w:hAnsi="SWISS" w:cs="Arial"/>
                <w:sz w:val="20"/>
                <w:szCs w:val="20"/>
              </w:rPr>
              <w:t> </w:t>
            </w:r>
          </w:p>
        </w:tc>
        <w:tc>
          <w:tcPr>
            <w:tcW w:w="20" w:type="dxa"/>
            <w:tcBorders>
              <w:bottom w:val="nil"/>
            </w:tcBorders>
          </w:tcPr>
          <w:p w:rsidR="00DC71C1" w:rsidRPr="00BC5498" w:rsidRDefault="00DC71C1" w:rsidP="00A425E5">
            <w:pPr>
              <w:rPr>
                <w:rFonts w:ascii="SWISS" w:hAnsi="SWISS" w:cs="Arial"/>
                <w:b/>
                <w:bCs/>
                <w:color w:val="000000"/>
                <w:sz w:val="20"/>
                <w:szCs w:val="20"/>
              </w:rPr>
            </w:pPr>
          </w:p>
        </w:tc>
        <w:tc>
          <w:tcPr>
            <w:tcW w:w="8700" w:type="dxa"/>
            <w:gridSpan w:val="3"/>
            <w:tcBorders>
              <w:bottom w:val="nil"/>
            </w:tcBorders>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 xml:space="preserve">TEST YEAR ENDED </w:t>
            </w:r>
            <w:r>
              <w:rPr>
                <w:rFonts w:ascii="SWISS" w:hAnsi="SWISS" w:cs="Arial"/>
                <w:b/>
                <w:bCs/>
                <w:color w:val="000000"/>
                <w:sz w:val="20"/>
                <w:szCs w:val="20"/>
              </w:rPr>
              <w:t>9</w:t>
            </w:r>
            <w:r w:rsidRPr="00BC5498">
              <w:rPr>
                <w:rFonts w:ascii="SWISS" w:hAnsi="SWISS" w:cs="Arial"/>
                <w:b/>
                <w:bCs/>
                <w:color w:val="000000"/>
                <w:sz w:val="20"/>
                <w:szCs w:val="20"/>
              </w:rPr>
              <w:t>/</w:t>
            </w:r>
            <w:r>
              <w:rPr>
                <w:rFonts w:ascii="SWISS" w:hAnsi="SWISS" w:cs="Arial"/>
                <w:b/>
                <w:bCs/>
                <w:color w:val="000000"/>
                <w:sz w:val="20"/>
                <w:szCs w:val="20"/>
              </w:rPr>
              <w:t>30</w:t>
            </w:r>
            <w:r w:rsidRPr="00BC5498">
              <w:rPr>
                <w:rFonts w:ascii="SWISS" w:hAnsi="SWISS" w:cs="Arial"/>
                <w:b/>
                <w:bCs/>
                <w:color w:val="000000"/>
                <w:sz w:val="20"/>
                <w:szCs w:val="20"/>
              </w:rPr>
              <w:t>/201</w:t>
            </w:r>
            <w:r>
              <w:rPr>
                <w:rFonts w:ascii="SWISS" w:hAnsi="SWISS" w:cs="Arial"/>
                <w:b/>
                <w:bCs/>
                <w:color w:val="000000"/>
                <w:sz w:val="20"/>
                <w:szCs w:val="20"/>
              </w:rPr>
              <w:t>3</w:t>
            </w:r>
            <w:r w:rsidRPr="00BC5498">
              <w:rPr>
                <w:rFonts w:ascii="SWISS" w:hAnsi="SWISS" w:cs="Arial"/>
                <w:b/>
                <w:bCs/>
                <w:color w:val="000000"/>
                <w:sz w:val="20"/>
                <w:szCs w:val="20"/>
              </w:rPr>
              <w:t xml:space="preserve">                                              </w:t>
            </w:r>
            <w:r>
              <w:rPr>
                <w:rFonts w:ascii="SWISS" w:hAnsi="SWISS" w:cs="Arial"/>
                <w:b/>
                <w:bCs/>
                <w:color w:val="000000"/>
                <w:sz w:val="20"/>
                <w:szCs w:val="20"/>
              </w:rPr>
              <w:t xml:space="preserve">   </w:t>
            </w:r>
            <w:r w:rsidRPr="00BC5498">
              <w:rPr>
                <w:rFonts w:ascii="SWISS" w:hAnsi="SWISS" w:cs="Arial"/>
                <w:b/>
                <w:bCs/>
                <w:color w:val="000000"/>
                <w:sz w:val="20"/>
                <w:szCs w:val="20"/>
              </w:rPr>
              <w:t xml:space="preserve">              DOCKET NO. 20</w:t>
            </w:r>
            <w:r>
              <w:rPr>
                <w:rFonts w:ascii="SWISS" w:hAnsi="SWISS" w:cs="Arial"/>
                <w:b/>
                <w:bCs/>
                <w:color w:val="000000"/>
                <w:sz w:val="20"/>
                <w:szCs w:val="20"/>
              </w:rPr>
              <w:t>130265</w:t>
            </w:r>
            <w:r w:rsidRPr="00BC5498">
              <w:rPr>
                <w:rFonts w:ascii="SWISS" w:hAnsi="SWISS" w:cs="Arial"/>
                <w:b/>
                <w:bCs/>
                <w:color w:val="000000"/>
                <w:sz w:val="20"/>
                <w:szCs w:val="20"/>
              </w:rPr>
              <w:t>-W</w:t>
            </w:r>
            <w:r>
              <w:rPr>
                <w:rFonts w:ascii="SWISS" w:hAnsi="SWISS" w:cs="Arial"/>
                <w:b/>
                <w:bCs/>
                <w:color w:val="000000"/>
                <w:sz w:val="20"/>
                <w:szCs w:val="20"/>
              </w:rPr>
              <w:t>U</w:t>
            </w:r>
          </w:p>
        </w:tc>
      </w:tr>
      <w:tr w:rsidR="00DC71C1" w:rsidRPr="00BC5498" w:rsidTr="00A425E5">
        <w:trPr>
          <w:trHeight w:val="35"/>
        </w:trPr>
        <w:tc>
          <w:tcPr>
            <w:tcW w:w="1125" w:type="dxa"/>
            <w:tcBorders>
              <w:top w:val="nil"/>
              <w:bottom w:val="single" w:sz="4" w:space="0" w:color="auto"/>
            </w:tcBorders>
            <w:noWrap/>
            <w:vAlign w:val="bottom"/>
            <w:hideMark/>
          </w:tcPr>
          <w:p w:rsidR="00DC71C1" w:rsidRPr="00BC5498" w:rsidRDefault="00DC71C1" w:rsidP="00A425E5">
            <w:pPr>
              <w:jc w:val="right"/>
              <w:rPr>
                <w:rFonts w:ascii="SWISS" w:hAnsi="SWISS" w:cs="Arial"/>
                <w:sz w:val="20"/>
                <w:szCs w:val="20"/>
              </w:rPr>
            </w:pPr>
            <w:r w:rsidRPr="00BC5498">
              <w:rPr>
                <w:rFonts w:ascii="SWISS" w:hAnsi="SWISS" w:cs="Arial"/>
                <w:sz w:val="20"/>
                <w:szCs w:val="20"/>
              </w:rPr>
              <w:t> </w:t>
            </w:r>
          </w:p>
        </w:tc>
        <w:tc>
          <w:tcPr>
            <w:tcW w:w="20" w:type="dxa"/>
            <w:tcBorders>
              <w:top w:val="nil"/>
              <w:bottom w:val="single" w:sz="4" w:space="0" w:color="auto"/>
            </w:tcBorders>
          </w:tcPr>
          <w:p w:rsidR="00DC71C1" w:rsidRPr="00BC5498" w:rsidRDefault="00DC71C1" w:rsidP="00A425E5">
            <w:pPr>
              <w:rPr>
                <w:rFonts w:ascii="SWISS" w:hAnsi="SWISS" w:cs="Arial"/>
                <w:b/>
                <w:bCs/>
                <w:sz w:val="20"/>
                <w:szCs w:val="20"/>
              </w:rPr>
            </w:pPr>
          </w:p>
        </w:tc>
        <w:tc>
          <w:tcPr>
            <w:tcW w:w="8700" w:type="dxa"/>
            <w:gridSpan w:val="3"/>
            <w:tcBorders>
              <w:top w:val="nil"/>
              <w:bottom w:val="single" w:sz="4" w:space="0" w:color="auto"/>
            </w:tcBorders>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sz w:val="20"/>
                <w:szCs w:val="20"/>
              </w:rPr>
              <w:t>ADJUSTMENTS TO OPERATING INCOME</w:t>
            </w:r>
            <w:r>
              <w:rPr>
                <w:rFonts w:ascii="SWISS" w:hAnsi="SWISS" w:cs="Arial"/>
                <w:b/>
                <w:bCs/>
                <w:color w:val="000000"/>
                <w:sz w:val="20"/>
                <w:szCs w:val="20"/>
              </w:rPr>
              <w:t xml:space="preserve"> (PHASE II)</w:t>
            </w:r>
            <w:r w:rsidRPr="00BC5498">
              <w:rPr>
                <w:rFonts w:ascii="SWISS" w:hAnsi="SWISS" w:cs="Arial"/>
                <w:b/>
                <w:bCs/>
                <w:sz w:val="20"/>
                <w:szCs w:val="20"/>
              </w:rPr>
              <w:t xml:space="preserve">                                  </w:t>
            </w:r>
            <w:r>
              <w:rPr>
                <w:rFonts w:ascii="SWISS" w:hAnsi="SWISS" w:cs="Arial"/>
                <w:b/>
                <w:bCs/>
                <w:sz w:val="20"/>
                <w:szCs w:val="20"/>
              </w:rPr>
              <w:t xml:space="preserve"> </w:t>
            </w:r>
            <w:r w:rsidRPr="00BC5498">
              <w:rPr>
                <w:rFonts w:ascii="SWISS" w:hAnsi="SWISS" w:cs="Arial"/>
                <w:b/>
                <w:bCs/>
                <w:sz w:val="20"/>
                <w:szCs w:val="20"/>
              </w:rPr>
              <w:t xml:space="preserve">              </w:t>
            </w:r>
          </w:p>
        </w:tc>
      </w:tr>
      <w:tr w:rsidR="00DC71C1" w:rsidRPr="00BC5498" w:rsidTr="00A425E5">
        <w:trPr>
          <w:trHeight w:val="33"/>
        </w:trPr>
        <w:tc>
          <w:tcPr>
            <w:tcW w:w="1125" w:type="dxa"/>
            <w:tcBorders>
              <w:top w:val="single" w:sz="4" w:space="0" w:color="auto"/>
            </w:tcBorders>
            <w:noWrap/>
            <w:vAlign w:val="bottom"/>
            <w:hideMark/>
          </w:tcPr>
          <w:p w:rsidR="00DC71C1" w:rsidRPr="00BC5498" w:rsidRDefault="00DC71C1" w:rsidP="00A425E5">
            <w:pPr>
              <w:jc w:val="right"/>
              <w:rPr>
                <w:rFonts w:ascii="SWISS" w:hAnsi="SWISS" w:cs="Arial"/>
                <w:sz w:val="20"/>
                <w:szCs w:val="20"/>
              </w:rPr>
            </w:pPr>
            <w:r w:rsidRPr="00BC5498">
              <w:rPr>
                <w:rFonts w:ascii="SWISS" w:hAnsi="SWISS" w:cs="Arial"/>
                <w:sz w:val="20"/>
                <w:szCs w:val="20"/>
              </w:rPr>
              <w:t> </w:t>
            </w:r>
          </w:p>
        </w:tc>
        <w:tc>
          <w:tcPr>
            <w:tcW w:w="7203" w:type="dxa"/>
            <w:gridSpan w:val="2"/>
            <w:tcBorders>
              <w:top w:val="single" w:sz="4" w:space="0" w:color="auto"/>
            </w:tcBorders>
            <w:noWrap/>
            <w:vAlign w:val="bottom"/>
          </w:tcPr>
          <w:p w:rsidR="00DC71C1" w:rsidRPr="00BC5498" w:rsidRDefault="00DC71C1" w:rsidP="00A425E5">
            <w:pPr>
              <w:rPr>
                <w:rFonts w:ascii="SWISS" w:hAnsi="SWISS" w:cs="Arial"/>
                <w:sz w:val="20"/>
                <w:szCs w:val="20"/>
              </w:rPr>
            </w:pPr>
          </w:p>
        </w:tc>
        <w:tc>
          <w:tcPr>
            <w:tcW w:w="53" w:type="dxa"/>
            <w:tcBorders>
              <w:top w:val="single" w:sz="4" w:space="0" w:color="auto"/>
            </w:tcBorders>
          </w:tcPr>
          <w:p w:rsidR="00DC71C1" w:rsidRPr="00BC5498" w:rsidRDefault="00DC71C1" w:rsidP="00A425E5">
            <w:pPr>
              <w:jc w:val="right"/>
              <w:rPr>
                <w:rFonts w:ascii="SWISS" w:hAnsi="SWISS" w:cs="Arial"/>
                <w:b/>
                <w:bCs/>
                <w:color w:val="000000"/>
                <w:sz w:val="20"/>
                <w:szCs w:val="20"/>
                <w:u w:val="single"/>
              </w:rPr>
            </w:pPr>
          </w:p>
        </w:tc>
        <w:tc>
          <w:tcPr>
            <w:tcW w:w="1464" w:type="dxa"/>
            <w:tcBorders>
              <w:top w:val="single" w:sz="4" w:space="0" w:color="auto"/>
            </w:tcBorders>
            <w:noWrap/>
            <w:vAlign w:val="bottom"/>
          </w:tcPr>
          <w:p w:rsidR="00DC71C1" w:rsidRPr="00BC5498" w:rsidRDefault="00DC71C1" w:rsidP="00A425E5">
            <w:pPr>
              <w:jc w:val="right"/>
              <w:rPr>
                <w:rFonts w:ascii="SWISS" w:hAnsi="SWISS" w:cs="Arial"/>
                <w:b/>
                <w:bCs/>
                <w:color w:val="000000"/>
                <w:sz w:val="20"/>
                <w:szCs w:val="20"/>
                <w:u w:val="single"/>
              </w:rPr>
            </w:pPr>
          </w:p>
        </w:tc>
      </w:tr>
      <w:tr w:rsidR="00DC71C1" w:rsidRPr="00BC5498" w:rsidTr="00A425E5">
        <w:trPr>
          <w:trHeight w:val="33"/>
        </w:trPr>
        <w:tc>
          <w:tcPr>
            <w:tcW w:w="1125" w:type="dxa"/>
            <w:noWrap/>
            <w:vAlign w:val="bottom"/>
          </w:tcPr>
          <w:p w:rsidR="00DC71C1" w:rsidRPr="00BC5498" w:rsidRDefault="00DC71C1" w:rsidP="00A425E5">
            <w:pPr>
              <w:jc w:val="right"/>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b/>
                <w:bCs/>
                <w:sz w:val="20"/>
                <w:szCs w:val="20"/>
              </w:rPr>
            </w:pPr>
          </w:p>
        </w:tc>
        <w:tc>
          <w:tcPr>
            <w:tcW w:w="53" w:type="dxa"/>
            <w:vAlign w:val="bottom"/>
          </w:tcPr>
          <w:p w:rsidR="00DC71C1" w:rsidRPr="00BC5498" w:rsidRDefault="00DC71C1" w:rsidP="00A425E5">
            <w:pPr>
              <w:jc w:val="center"/>
              <w:rPr>
                <w:rFonts w:ascii="SWISS" w:hAnsi="SWISS" w:cs="Arial"/>
                <w:b/>
                <w:bCs/>
                <w:color w:val="000000"/>
                <w:sz w:val="20"/>
                <w:szCs w:val="20"/>
                <w:u w:val="single"/>
              </w:rPr>
            </w:pPr>
          </w:p>
        </w:tc>
        <w:tc>
          <w:tcPr>
            <w:tcW w:w="1464" w:type="dxa"/>
            <w:noWrap/>
            <w:vAlign w:val="bottom"/>
          </w:tcPr>
          <w:p w:rsidR="00DC71C1" w:rsidRPr="00BC5498" w:rsidRDefault="00DC71C1" w:rsidP="00A425E5">
            <w:pPr>
              <w:jc w:val="center"/>
              <w:rPr>
                <w:rFonts w:ascii="SWISS" w:hAnsi="SWISS" w:cs="Arial"/>
                <w:b/>
                <w:bCs/>
                <w:color w:val="000000"/>
                <w:sz w:val="20"/>
                <w:szCs w:val="20"/>
                <w:u w:val="single"/>
              </w:rPr>
            </w:pPr>
            <w:r w:rsidRPr="00BC5498">
              <w:rPr>
                <w:rFonts w:ascii="SWISS" w:hAnsi="SWISS" w:cs="Arial"/>
                <w:b/>
                <w:bCs/>
                <w:color w:val="000000"/>
                <w:sz w:val="20"/>
                <w:szCs w:val="20"/>
                <w:u w:val="single"/>
              </w:rPr>
              <w:t>WATER</w:t>
            </w:r>
          </w:p>
        </w:tc>
      </w:tr>
      <w:tr w:rsidR="00DC71C1" w:rsidRPr="00BC5498" w:rsidTr="00A425E5">
        <w:trPr>
          <w:trHeight w:val="33"/>
        </w:trPr>
        <w:tc>
          <w:tcPr>
            <w:tcW w:w="1125" w:type="dxa"/>
            <w:noWrap/>
            <w:vAlign w:val="bottom"/>
            <w:hideMark/>
          </w:tcPr>
          <w:p w:rsidR="00DC71C1" w:rsidRPr="00BC5498" w:rsidRDefault="00DC71C1" w:rsidP="00A425E5">
            <w:pPr>
              <w:jc w:val="right"/>
              <w:rPr>
                <w:rFonts w:ascii="SWISS" w:hAnsi="SWISS" w:cs="Arial"/>
                <w:sz w:val="20"/>
                <w:szCs w:val="20"/>
              </w:rPr>
            </w:pPr>
            <w:r w:rsidRPr="00BC5498">
              <w:rPr>
                <w:rFonts w:ascii="SWISS" w:hAnsi="SWISS" w:cs="Arial"/>
                <w:sz w:val="20"/>
                <w:szCs w:val="20"/>
              </w:rPr>
              <w:t> </w:t>
            </w:r>
          </w:p>
        </w:tc>
        <w:tc>
          <w:tcPr>
            <w:tcW w:w="7203" w:type="dxa"/>
            <w:gridSpan w:val="2"/>
            <w:noWrap/>
            <w:vAlign w:val="bottom"/>
            <w:hideMark/>
          </w:tcPr>
          <w:p w:rsidR="00DC71C1" w:rsidRPr="00BC5498" w:rsidRDefault="00DC71C1" w:rsidP="00A425E5">
            <w:pPr>
              <w:rPr>
                <w:rFonts w:ascii="SWISS" w:hAnsi="SWISS" w:cs="Arial"/>
                <w:b/>
                <w:bCs/>
                <w:sz w:val="20"/>
                <w:szCs w:val="20"/>
              </w:rPr>
            </w:pPr>
            <w:r w:rsidRPr="00BC5498">
              <w:rPr>
                <w:rFonts w:ascii="SWISS" w:hAnsi="SWISS" w:cs="Arial"/>
                <w:b/>
                <w:bCs/>
                <w:sz w:val="20"/>
                <w:szCs w:val="20"/>
              </w:rPr>
              <w:t>OPERATING REVENUES</w:t>
            </w:r>
          </w:p>
        </w:tc>
        <w:tc>
          <w:tcPr>
            <w:tcW w:w="53" w:type="dxa"/>
          </w:tcPr>
          <w:p w:rsidR="00DC71C1" w:rsidRPr="00BC5498" w:rsidRDefault="00DC71C1" w:rsidP="00A425E5">
            <w:pPr>
              <w:rPr>
                <w:rFonts w:ascii="SWISS" w:hAnsi="SWISS" w:cs="Arial"/>
                <w:color w:val="000000"/>
                <w:sz w:val="20"/>
                <w:szCs w:val="20"/>
              </w:rPr>
            </w:pPr>
          </w:p>
        </w:tc>
        <w:tc>
          <w:tcPr>
            <w:tcW w:w="1464" w:type="dxa"/>
            <w:noWrap/>
          </w:tcPr>
          <w:p w:rsidR="00DC71C1" w:rsidRPr="00BC5498" w:rsidRDefault="00DC71C1" w:rsidP="00A425E5">
            <w:pPr>
              <w:rPr>
                <w:rFonts w:ascii="SWISS" w:hAnsi="SWISS" w:cs="Arial"/>
                <w:color w:val="000000"/>
                <w:sz w:val="20"/>
                <w:szCs w:val="20"/>
              </w:rPr>
            </w:pPr>
          </w:p>
        </w:tc>
      </w:tr>
      <w:tr w:rsidR="00DC71C1" w:rsidRPr="00BC5498" w:rsidTr="00A425E5">
        <w:trPr>
          <w:trHeight w:val="33"/>
        </w:trPr>
        <w:tc>
          <w:tcPr>
            <w:tcW w:w="1125" w:type="dxa"/>
            <w:noWrap/>
            <w:hideMark/>
          </w:tcPr>
          <w:p w:rsidR="00DC71C1" w:rsidRPr="00BC5498" w:rsidRDefault="00DC71C1" w:rsidP="00A425E5">
            <w:pPr>
              <w:jc w:val="center"/>
            </w:pPr>
          </w:p>
        </w:tc>
        <w:tc>
          <w:tcPr>
            <w:tcW w:w="7203" w:type="dxa"/>
            <w:gridSpan w:val="2"/>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 xml:space="preserve">To reflect </w:t>
            </w:r>
            <w:r>
              <w:rPr>
                <w:rFonts w:ascii="SWISS" w:hAnsi="SWISS" w:cs="Arial"/>
                <w:sz w:val="20"/>
                <w:szCs w:val="20"/>
              </w:rPr>
              <w:t xml:space="preserve">annualized </w:t>
            </w:r>
            <w:r w:rsidRPr="00BC5498">
              <w:rPr>
                <w:rFonts w:ascii="SWISS" w:hAnsi="SWISS" w:cs="Arial"/>
                <w:sz w:val="20"/>
                <w:szCs w:val="20"/>
              </w:rPr>
              <w:t>service revenues.</w:t>
            </w:r>
          </w:p>
        </w:tc>
        <w:tc>
          <w:tcPr>
            <w:tcW w:w="53" w:type="dxa"/>
            <w:vAlign w:val="bottom"/>
          </w:tcPr>
          <w:p w:rsidR="00DC71C1" w:rsidRPr="00BC5498" w:rsidRDefault="00DC71C1" w:rsidP="00A425E5">
            <w:pPr>
              <w:jc w:val="right"/>
              <w:rPr>
                <w:rFonts w:ascii="SWISS" w:hAnsi="SWISS" w:cs="Arial"/>
                <w:sz w:val="20"/>
                <w:szCs w:val="20"/>
                <w:u w:val="double"/>
              </w:rPr>
            </w:pPr>
          </w:p>
        </w:tc>
        <w:tc>
          <w:tcPr>
            <w:tcW w:w="1464" w:type="dxa"/>
            <w:noWrap/>
            <w:vAlign w:val="bottom"/>
          </w:tcPr>
          <w:p w:rsidR="00DC71C1" w:rsidRPr="00BC5498" w:rsidRDefault="00DC71C1" w:rsidP="00A425E5">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12,984</w:t>
            </w:r>
          </w:p>
        </w:tc>
      </w:tr>
      <w:tr w:rsidR="00DC71C1" w:rsidRPr="00BC5498" w:rsidTr="00A425E5">
        <w:trPr>
          <w:trHeight w:val="33"/>
        </w:trPr>
        <w:tc>
          <w:tcPr>
            <w:tcW w:w="1125" w:type="dxa"/>
            <w:noWrap/>
            <w:vAlign w:val="bottom"/>
          </w:tcPr>
          <w:p w:rsidR="00DC71C1" w:rsidRPr="00BC5498" w:rsidRDefault="00DC71C1" w:rsidP="00A425E5">
            <w:pPr>
              <w:jc w:val="center"/>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sz w:val="20"/>
                <w:szCs w:val="20"/>
              </w:rPr>
            </w:pPr>
          </w:p>
        </w:tc>
        <w:tc>
          <w:tcPr>
            <w:tcW w:w="53" w:type="dxa"/>
          </w:tcPr>
          <w:p w:rsidR="00DC71C1" w:rsidRPr="00BC5498" w:rsidRDefault="00DC71C1" w:rsidP="00A425E5">
            <w:pPr>
              <w:rPr>
                <w:rFonts w:ascii="SWISS" w:hAnsi="SWISS" w:cs="Arial"/>
                <w:color w:val="000000"/>
                <w:sz w:val="20"/>
                <w:szCs w:val="20"/>
              </w:rPr>
            </w:pPr>
          </w:p>
        </w:tc>
        <w:tc>
          <w:tcPr>
            <w:tcW w:w="1464" w:type="dxa"/>
            <w:noWrap/>
          </w:tcPr>
          <w:p w:rsidR="00DC71C1" w:rsidRPr="00BC5498" w:rsidRDefault="00DC71C1" w:rsidP="00A425E5">
            <w:pPr>
              <w:rPr>
                <w:rFonts w:ascii="SWISS" w:hAnsi="SWISS" w:cs="Arial"/>
                <w:color w:val="000000"/>
                <w:sz w:val="20"/>
                <w:szCs w:val="20"/>
              </w:rPr>
            </w:pPr>
          </w:p>
        </w:tc>
      </w:tr>
      <w:tr w:rsidR="00DC71C1" w:rsidRPr="00BC5498" w:rsidTr="00A425E5">
        <w:trPr>
          <w:trHeight w:val="33"/>
        </w:trPr>
        <w:tc>
          <w:tcPr>
            <w:tcW w:w="1125" w:type="dxa"/>
            <w:noWrap/>
            <w:vAlign w:val="bottom"/>
          </w:tcPr>
          <w:p w:rsidR="00DC71C1" w:rsidRPr="00BC5498" w:rsidRDefault="00DC71C1" w:rsidP="00A425E5">
            <w:pPr>
              <w:jc w:val="center"/>
              <w:rPr>
                <w:rFonts w:ascii="SWISS" w:hAnsi="SWISS" w:cs="Arial"/>
                <w:sz w:val="20"/>
                <w:szCs w:val="20"/>
              </w:rPr>
            </w:pPr>
          </w:p>
        </w:tc>
        <w:tc>
          <w:tcPr>
            <w:tcW w:w="7203" w:type="dxa"/>
            <w:gridSpan w:val="2"/>
            <w:noWrap/>
            <w:vAlign w:val="bottom"/>
            <w:hideMark/>
          </w:tcPr>
          <w:p w:rsidR="00DC71C1" w:rsidRPr="00BC5498" w:rsidRDefault="00DC71C1" w:rsidP="00A425E5">
            <w:pPr>
              <w:rPr>
                <w:rFonts w:ascii="SWISS" w:hAnsi="SWISS" w:cs="Arial"/>
                <w:b/>
                <w:bCs/>
                <w:sz w:val="20"/>
                <w:szCs w:val="20"/>
              </w:rPr>
            </w:pPr>
            <w:r w:rsidRPr="00BC5498">
              <w:rPr>
                <w:rFonts w:ascii="SWISS" w:hAnsi="SWISS" w:cs="Arial"/>
                <w:b/>
                <w:bCs/>
                <w:sz w:val="20"/>
                <w:szCs w:val="20"/>
              </w:rPr>
              <w:t>OPERATION AND MAINTENANCE EXPENSES</w:t>
            </w:r>
          </w:p>
        </w:tc>
        <w:tc>
          <w:tcPr>
            <w:tcW w:w="53" w:type="dxa"/>
          </w:tcPr>
          <w:p w:rsidR="00DC71C1" w:rsidRPr="00BC5498" w:rsidRDefault="00DC71C1" w:rsidP="00A425E5">
            <w:pPr>
              <w:rPr>
                <w:rFonts w:ascii="SWISS" w:hAnsi="SWISS" w:cs="Arial"/>
                <w:color w:val="000000"/>
                <w:sz w:val="20"/>
                <w:szCs w:val="20"/>
              </w:rPr>
            </w:pPr>
          </w:p>
        </w:tc>
        <w:tc>
          <w:tcPr>
            <w:tcW w:w="1464" w:type="dxa"/>
            <w:noWrap/>
          </w:tcPr>
          <w:p w:rsidR="00DC71C1" w:rsidRPr="00BC5498" w:rsidRDefault="00DC71C1" w:rsidP="00A425E5">
            <w:pPr>
              <w:rPr>
                <w:rFonts w:ascii="SWISS" w:hAnsi="SWISS" w:cs="Arial"/>
                <w:color w:val="000000"/>
                <w:sz w:val="20"/>
                <w:szCs w:val="20"/>
              </w:rPr>
            </w:pPr>
          </w:p>
        </w:tc>
      </w:tr>
      <w:tr w:rsidR="00DC71C1" w:rsidRPr="00BC5498" w:rsidTr="00A425E5">
        <w:trPr>
          <w:trHeight w:val="33"/>
        </w:trPr>
        <w:tc>
          <w:tcPr>
            <w:tcW w:w="1125" w:type="dxa"/>
            <w:noWrap/>
            <w:vAlign w:val="bottom"/>
          </w:tcPr>
          <w:p w:rsidR="00DC71C1" w:rsidRPr="00BC5498" w:rsidRDefault="00DC71C1" w:rsidP="00A425E5">
            <w:pPr>
              <w:jc w:val="center"/>
              <w:rPr>
                <w:rFonts w:ascii="SWISS" w:hAnsi="SWISS" w:cs="Arial"/>
                <w:sz w:val="20"/>
                <w:szCs w:val="20"/>
              </w:rPr>
            </w:pPr>
            <w:r w:rsidRPr="00BC5498">
              <w:rPr>
                <w:rFonts w:ascii="SWISS" w:hAnsi="SWISS" w:cs="Arial"/>
                <w:sz w:val="20"/>
                <w:szCs w:val="20"/>
              </w:rPr>
              <w:t>1.</w:t>
            </w:r>
          </w:p>
        </w:tc>
        <w:tc>
          <w:tcPr>
            <w:tcW w:w="7203" w:type="dxa"/>
            <w:gridSpan w:val="2"/>
            <w:noWrap/>
            <w:vAlign w:val="bottom"/>
          </w:tcPr>
          <w:p w:rsidR="00DC71C1" w:rsidRPr="00BC5498" w:rsidRDefault="00DC71C1" w:rsidP="00A425E5">
            <w:pPr>
              <w:rPr>
                <w:rFonts w:ascii="SWISS" w:hAnsi="SWISS" w:cs="Arial"/>
                <w:sz w:val="20"/>
                <w:szCs w:val="20"/>
              </w:rPr>
            </w:pPr>
            <w:r>
              <w:rPr>
                <w:rFonts w:ascii="SWISS" w:hAnsi="SWISS" w:cs="Arial"/>
                <w:sz w:val="20"/>
                <w:szCs w:val="20"/>
              </w:rPr>
              <w:t>Purchased Water (610)</w:t>
            </w:r>
          </w:p>
        </w:tc>
        <w:tc>
          <w:tcPr>
            <w:tcW w:w="53" w:type="dxa"/>
            <w:vAlign w:val="bottom"/>
          </w:tcPr>
          <w:p w:rsidR="00DC71C1" w:rsidRPr="00BC5498" w:rsidRDefault="00DC71C1" w:rsidP="00A425E5">
            <w:pPr>
              <w:rPr>
                <w:rFonts w:ascii="SWISS" w:hAnsi="SWISS" w:cs="Arial"/>
                <w:sz w:val="20"/>
                <w:szCs w:val="20"/>
              </w:rPr>
            </w:pPr>
          </w:p>
        </w:tc>
        <w:tc>
          <w:tcPr>
            <w:tcW w:w="1464" w:type="dxa"/>
            <w:noWrap/>
            <w:vAlign w:val="bottom"/>
          </w:tcPr>
          <w:p w:rsidR="00DC71C1" w:rsidRPr="00BC5498" w:rsidRDefault="00DC71C1" w:rsidP="00A425E5">
            <w:pPr>
              <w:rPr>
                <w:rFonts w:ascii="SWISS" w:hAnsi="SWISS" w:cs="Arial"/>
                <w:sz w:val="20"/>
                <w:szCs w:val="20"/>
              </w:rPr>
            </w:pPr>
          </w:p>
        </w:tc>
      </w:tr>
      <w:tr w:rsidR="00DC71C1" w:rsidRPr="00BC5498" w:rsidTr="00A425E5">
        <w:trPr>
          <w:trHeight w:val="33"/>
        </w:trPr>
        <w:tc>
          <w:tcPr>
            <w:tcW w:w="1125" w:type="dxa"/>
            <w:noWrap/>
            <w:vAlign w:val="bottom"/>
          </w:tcPr>
          <w:p w:rsidR="00DC71C1" w:rsidRPr="00BC5498" w:rsidRDefault="00DC71C1" w:rsidP="00A425E5">
            <w:pPr>
              <w:jc w:val="right"/>
              <w:rPr>
                <w:rFonts w:ascii="SWISS" w:hAnsi="SWISS" w:cs="Arial"/>
                <w:sz w:val="20"/>
                <w:szCs w:val="20"/>
              </w:rPr>
            </w:pPr>
            <w:r w:rsidRPr="00BC5498">
              <w:rPr>
                <w:rFonts w:ascii="SWISS" w:hAnsi="SWISS" w:cs="Arial"/>
                <w:sz w:val="20"/>
                <w:szCs w:val="20"/>
              </w:rPr>
              <w:t> </w:t>
            </w:r>
          </w:p>
        </w:tc>
        <w:tc>
          <w:tcPr>
            <w:tcW w:w="7203" w:type="dxa"/>
            <w:gridSpan w:val="2"/>
            <w:noWrap/>
            <w:vAlign w:val="bottom"/>
          </w:tcPr>
          <w:p w:rsidR="00DC71C1" w:rsidRPr="00BC5498" w:rsidRDefault="00DC71C1" w:rsidP="00A425E5">
            <w:pPr>
              <w:rPr>
                <w:rFonts w:ascii="SWISS" w:hAnsi="SWISS" w:cs="Arial"/>
                <w:sz w:val="20"/>
                <w:szCs w:val="20"/>
              </w:rPr>
            </w:pPr>
            <w:r>
              <w:rPr>
                <w:rFonts w:ascii="SWISS" w:hAnsi="SWISS" w:cs="Arial"/>
                <w:sz w:val="20"/>
                <w:szCs w:val="20"/>
              </w:rPr>
              <w:t xml:space="preserve">   </w:t>
            </w:r>
            <w:r w:rsidRPr="00BC5498">
              <w:rPr>
                <w:rFonts w:ascii="SWISS" w:hAnsi="SWISS" w:cs="Arial"/>
                <w:sz w:val="20"/>
                <w:szCs w:val="20"/>
              </w:rPr>
              <w:t xml:space="preserve">To </w:t>
            </w:r>
            <w:r>
              <w:rPr>
                <w:rFonts w:ascii="SWISS" w:hAnsi="SWISS" w:cs="Arial"/>
                <w:sz w:val="20"/>
                <w:szCs w:val="20"/>
              </w:rPr>
              <w:t>reverse 7% EUW adjustment approved by Order No. PSC-14-0626-PAA-WU</w:t>
            </w:r>
            <w:r w:rsidRPr="00BC5498">
              <w:rPr>
                <w:rFonts w:ascii="SWISS" w:hAnsi="SWISS" w:cs="Arial"/>
                <w:sz w:val="20"/>
                <w:szCs w:val="20"/>
              </w:rPr>
              <w:t>.</w:t>
            </w:r>
          </w:p>
        </w:tc>
        <w:tc>
          <w:tcPr>
            <w:tcW w:w="53" w:type="dxa"/>
            <w:vAlign w:val="bottom"/>
          </w:tcPr>
          <w:p w:rsidR="00DC71C1" w:rsidRPr="00BC5498" w:rsidRDefault="00DC71C1" w:rsidP="00A425E5">
            <w:pPr>
              <w:jc w:val="right"/>
              <w:rPr>
                <w:rFonts w:ascii="SWISS" w:hAnsi="SWISS" w:cs="Arial"/>
                <w:sz w:val="20"/>
                <w:szCs w:val="20"/>
              </w:rPr>
            </w:pPr>
          </w:p>
        </w:tc>
        <w:tc>
          <w:tcPr>
            <w:tcW w:w="1464" w:type="dxa"/>
            <w:noWrap/>
            <w:vAlign w:val="bottom"/>
          </w:tcPr>
          <w:p w:rsidR="00DC71C1" w:rsidRPr="003105BA" w:rsidRDefault="00DC71C1" w:rsidP="00A425E5">
            <w:pPr>
              <w:jc w:val="right"/>
              <w:rPr>
                <w:rFonts w:ascii="SWISS" w:hAnsi="SWISS" w:cs="Arial"/>
                <w:sz w:val="20"/>
                <w:szCs w:val="20"/>
                <w:u w:val="double"/>
              </w:rPr>
            </w:pPr>
            <w:r w:rsidRPr="003105BA">
              <w:rPr>
                <w:rFonts w:ascii="SWISS" w:hAnsi="SWISS" w:cs="Arial"/>
                <w:sz w:val="20"/>
                <w:szCs w:val="20"/>
                <w:u w:val="double"/>
              </w:rPr>
              <w:t>$3,803</w:t>
            </w:r>
          </w:p>
        </w:tc>
      </w:tr>
      <w:tr w:rsidR="00DC71C1" w:rsidRPr="00BC5498" w:rsidTr="00A425E5">
        <w:trPr>
          <w:trHeight w:val="33"/>
        </w:trPr>
        <w:tc>
          <w:tcPr>
            <w:tcW w:w="1125" w:type="dxa"/>
            <w:noWrap/>
            <w:vAlign w:val="bottom"/>
          </w:tcPr>
          <w:p w:rsidR="00DC71C1" w:rsidRPr="00BC5498" w:rsidRDefault="00DC71C1" w:rsidP="00A425E5">
            <w:pPr>
              <w:jc w:val="right"/>
              <w:rPr>
                <w:rFonts w:ascii="SWISS" w:hAnsi="SWISS" w:cs="Arial"/>
                <w:sz w:val="20"/>
                <w:szCs w:val="20"/>
              </w:rPr>
            </w:pPr>
            <w:r w:rsidRPr="00BC5498">
              <w:rPr>
                <w:rFonts w:ascii="SWISS" w:hAnsi="SWISS" w:cs="Arial"/>
                <w:sz w:val="20"/>
                <w:szCs w:val="20"/>
              </w:rPr>
              <w:t> </w:t>
            </w:r>
          </w:p>
        </w:tc>
        <w:tc>
          <w:tcPr>
            <w:tcW w:w="7203" w:type="dxa"/>
            <w:gridSpan w:val="2"/>
            <w:noWrap/>
            <w:vAlign w:val="bottom"/>
          </w:tcPr>
          <w:p w:rsidR="00DC71C1" w:rsidRPr="00BC5498" w:rsidRDefault="00DC71C1" w:rsidP="00A425E5">
            <w:pPr>
              <w:rPr>
                <w:rFonts w:ascii="SWISS" w:hAnsi="SWISS" w:cs="Arial"/>
                <w:sz w:val="20"/>
                <w:szCs w:val="20"/>
              </w:rPr>
            </w:pPr>
          </w:p>
        </w:tc>
        <w:tc>
          <w:tcPr>
            <w:tcW w:w="53" w:type="dxa"/>
            <w:vAlign w:val="bottom"/>
          </w:tcPr>
          <w:p w:rsidR="00DC71C1" w:rsidRPr="00BC5498" w:rsidRDefault="00DC71C1" w:rsidP="00A425E5">
            <w:pPr>
              <w:rPr>
                <w:rFonts w:ascii="SWISS" w:hAnsi="SWISS" w:cs="Arial"/>
                <w:sz w:val="20"/>
                <w:szCs w:val="20"/>
                <w:u w:val="double"/>
              </w:rPr>
            </w:pPr>
          </w:p>
        </w:tc>
        <w:tc>
          <w:tcPr>
            <w:tcW w:w="1464" w:type="dxa"/>
            <w:noWrap/>
            <w:vAlign w:val="bottom"/>
          </w:tcPr>
          <w:p w:rsidR="00DC71C1" w:rsidRPr="00BC5498" w:rsidRDefault="00DC71C1" w:rsidP="00A425E5">
            <w:pPr>
              <w:rPr>
                <w:rFonts w:ascii="SWISS" w:hAnsi="SWISS" w:cs="Arial"/>
                <w:sz w:val="20"/>
                <w:szCs w:val="20"/>
                <w:u w:val="double"/>
              </w:rPr>
            </w:pPr>
          </w:p>
        </w:tc>
      </w:tr>
      <w:tr w:rsidR="00DC71C1" w:rsidRPr="00BC5498" w:rsidTr="00A425E5">
        <w:trPr>
          <w:trHeight w:val="33"/>
        </w:trPr>
        <w:tc>
          <w:tcPr>
            <w:tcW w:w="1125" w:type="dxa"/>
            <w:noWrap/>
            <w:vAlign w:val="bottom"/>
            <w:hideMark/>
          </w:tcPr>
          <w:p w:rsidR="00DC71C1" w:rsidRPr="00BC5498" w:rsidRDefault="00DC71C1" w:rsidP="00A425E5">
            <w:pPr>
              <w:jc w:val="center"/>
              <w:rPr>
                <w:rFonts w:ascii="SWISS" w:hAnsi="SWISS" w:cs="Arial"/>
                <w:sz w:val="20"/>
                <w:szCs w:val="20"/>
              </w:rPr>
            </w:pPr>
            <w:r w:rsidRPr="00BC5498">
              <w:rPr>
                <w:rFonts w:ascii="SWISS" w:hAnsi="SWISS" w:cs="Arial"/>
                <w:sz w:val="20"/>
                <w:szCs w:val="20"/>
              </w:rPr>
              <w:t>2.</w:t>
            </w:r>
          </w:p>
        </w:tc>
        <w:tc>
          <w:tcPr>
            <w:tcW w:w="7203" w:type="dxa"/>
            <w:gridSpan w:val="2"/>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Purchased Power (615)</w:t>
            </w:r>
          </w:p>
        </w:tc>
        <w:tc>
          <w:tcPr>
            <w:tcW w:w="53" w:type="dxa"/>
          </w:tcPr>
          <w:p w:rsidR="00DC71C1" w:rsidRPr="00BC5498" w:rsidRDefault="00DC71C1" w:rsidP="00A425E5">
            <w:pPr>
              <w:rPr>
                <w:rFonts w:ascii="SWISS" w:hAnsi="SWISS" w:cs="Arial"/>
                <w:sz w:val="20"/>
                <w:szCs w:val="20"/>
                <w:u w:val="double"/>
              </w:rPr>
            </w:pPr>
          </w:p>
        </w:tc>
        <w:tc>
          <w:tcPr>
            <w:tcW w:w="1464" w:type="dxa"/>
            <w:noWrap/>
          </w:tcPr>
          <w:p w:rsidR="00DC71C1" w:rsidRPr="00BC5498" w:rsidRDefault="00DC71C1" w:rsidP="00A425E5">
            <w:pPr>
              <w:rPr>
                <w:rFonts w:ascii="SWISS" w:hAnsi="SWISS" w:cs="Arial"/>
                <w:sz w:val="20"/>
                <w:szCs w:val="20"/>
                <w:u w:val="double"/>
              </w:rPr>
            </w:pPr>
          </w:p>
        </w:tc>
      </w:tr>
      <w:tr w:rsidR="00DC71C1" w:rsidRPr="00BC5498" w:rsidTr="00A425E5">
        <w:trPr>
          <w:trHeight w:val="33"/>
        </w:trPr>
        <w:tc>
          <w:tcPr>
            <w:tcW w:w="1125" w:type="dxa"/>
            <w:noWrap/>
            <w:vAlign w:val="bottom"/>
          </w:tcPr>
          <w:p w:rsidR="00DC71C1" w:rsidRPr="00BC5498" w:rsidRDefault="00DC71C1" w:rsidP="00A425E5">
            <w:pPr>
              <w:jc w:val="center"/>
              <w:rPr>
                <w:rFonts w:ascii="SWISS" w:hAnsi="SWISS" w:cs="Arial"/>
                <w:sz w:val="20"/>
                <w:szCs w:val="20"/>
              </w:rPr>
            </w:pPr>
          </w:p>
        </w:tc>
        <w:tc>
          <w:tcPr>
            <w:tcW w:w="7203" w:type="dxa"/>
            <w:gridSpan w:val="2"/>
            <w:noWrap/>
            <w:vAlign w:val="bottom"/>
            <w:hideMark/>
          </w:tcPr>
          <w:p w:rsidR="00DC71C1" w:rsidRPr="00BC5498" w:rsidRDefault="00DC71C1" w:rsidP="00A425E5">
            <w:pPr>
              <w:rPr>
                <w:rFonts w:ascii="SWISS" w:hAnsi="SWISS" w:cs="Arial"/>
                <w:sz w:val="20"/>
                <w:szCs w:val="20"/>
              </w:rPr>
            </w:pPr>
            <w:r>
              <w:rPr>
                <w:rFonts w:ascii="SWISS" w:hAnsi="SWISS" w:cs="Arial"/>
                <w:sz w:val="20"/>
                <w:szCs w:val="20"/>
              </w:rPr>
              <w:t xml:space="preserve">   </w:t>
            </w:r>
            <w:r w:rsidRPr="00BC5498">
              <w:rPr>
                <w:rFonts w:ascii="SWISS" w:hAnsi="SWISS" w:cs="Arial"/>
                <w:sz w:val="20"/>
                <w:szCs w:val="20"/>
              </w:rPr>
              <w:t xml:space="preserve">To </w:t>
            </w:r>
            <w:r>
              <w:rPr>
                <w:rFonts w:ascii="SWISS" w:hAnsi="SWISS" w:cs="Arial"/>
                <w:sz w:val="20"/>
                <w:szCs w:val="20"/>
              </w:rPr>
              <w:t>reverse 7% EUW adjustment approved by Order No. PSC-14-0626-PAA-WU</w:t>
            </w:r>
            <w:r w:rsidRPr="00BC5498">
              <w:rPr>
                <w:rFonts w:ascii="SWISS" w:hAnsi="SWISS" w:cs="Arial"/>
                <w:sz w:val="20"/>
                <w:szCs w:val="20"/>
              </w:rPr>
              <w:t>.</w:t>
            </w:r>
          </w:p>
        </w:tc>
        <w:tc>
          <w:tcPr>
            <w:tcW w:w="53" w:type="dxa"/>
            <w:vAlign w:val="bottom"/>
          </w:tcPr>
          <w:p w:rsidR="00DC71C1" w:rsidRPr="00BC5498" w:rsidRDefault="00DC71C1" w:rsidP="00A425E5">
            <w:pPr>
              <w:jc w:val="right"/>
              <w:rPr>
                <w:rFonts w:ascii="SWISS" w:hAnsi="SWISS" w:cs="Arial"/>
                <w:sz w:val="20"/>
                <w:szCs w:val="20"/>
              </w:rPr>
            </w:pPr>
          </w:p>
        </w:tc>
        <w:tc>
          <w:tcPr>
            <w:tcW w:w="1464" w:type="dxa"/>
            <w:noWrap/>
            <w:vAlign w:val="bottom"/>
          </w:tcPr>
          <w:p w:rsidR="00DC71C1" w:rsidRPr="003105BA" w:rsidRDefault="00DC71C1" w:rsidP="00A425E5">
            <w:pPr>
              <w:jc w:val="right"/>
              <w:rPr>
                <w:rFonts w:ascii="SWISS" w:hAnsi="SWISS" w:cs="Arial"/>
                <w:sz w:val="20"/>
                <w:szCs w:val="20"/>
                <w:u w:val="double"/>
              </w:rPr>
            </w:pPr>
            <w:r w:rsidRPr="003105BA">
              <w:rPr>
                <w:rFonts w:ascii="SWISS" w:hAnsi="SWISS" w:cs="Arial"/>
                <w:sz w:val="20"/>
                <w:szCs w:val="20"/>
                <w:u w:val="double"/>
              </w:rPr>
              <w:t>$</w:t>
            </w:r>
            <w:r>
              <w:rPr>
                <w:rFonts w:ascii="SWISS" w:hAnsi="SWISS" w:cs="Arial"/>
                <w:sz w:val="20"/>
                <w:szCs w:val="20"/>
                <w:u w:val="double"/>
              </w:rPr>
              <w:t>280</w:t>
            </w:r>
          </w:p>
        </w:tc>
      </w:tr>
      <w:tr w:rsidR="00DC71C1" w:rsidRPr="00BC5498" w:rsidTr="00A425E5">
        <w:trPr>
          <w:trHeight w:val="38"/>
        </w:trPr>
        <w:tc>
          <w:tcPr>
            <w:tcW w:w="1125" w:type="dxa"/>
            <w:noWrap/>
            <w:vAlign w:val="bottom"/>
          </w:tcPr>
          <w:p w:rsidR="00DC71C1" w:rsidRPr="00BC5498" w:rsidRDefault="00DC71C1" w:rsidP="00A425E5">
            <w:pPr>
              <w:jc w:val="center"/>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sz w:val="20"/>
                <w:szCs w:val="20"/>
              </w:rPr>
            </w:pPr>
          </w:p>
        </w:tc>
        <w:tc>
          <w:tcPr>
            <w:tcW w:w="53" w:type="dxa"/>
          </w:tcPr>
          <w:p w:rsidR="00DC71C1" w:rsidRPr="00BC5498" w:rsidRDefault="00DC71C1" w:rsidP="00A425E5">
            <w:pPr>
              <w:jc w:val="right"/>
              <w:rPr>
                <w:rFonts w:ascii="SWISS" w:hAnsi="SWISS" w:cs="Arial"/>
                <w:sz w:val="20"/>
                <w:szCs w:val="20"/>
                <w:u w:val="single"/>
              </w:rPr>
            </w:pPr>
          </w:p>
        </w:tc>
        <w:tc>
          <w:tcPr>
            <w:tcW w:w="1464" w:type="dxa"/>
            <w:noWrap/>
          </w:tcPr>
          <w:p w:rsidR="00DC71C1" w:rsidRPr="00BC5498" w:rsidRDefault="00DC71C1" w:rsidP="00A425E5">
            <w:pPr>
              <w:jc w:val="right"/>
              <w:rPr>
                <w:rFonts w:ascii="SWISS" w:hAnsi="SWISS" w:cs="Arial"/>
                <w:sz w:val="20"/>
                <w:szCs w:val="20"/>
                <w:u w:val="single"/>
              </w:rPr>
            </w:pPr>
          </w:p>
        </w:tc>
      </w:tr>
      <w:tr w:rsidR="00DC71C1" w:rsidRPr="00BC5498" w:rsidTr="00A425E5">
        <w:trPr>
          <w:trHeight w:val="38"/>
        </w:trPr>
        <w:tc>
          <w:tcPr>
            <w:tcW w:w="1125" w:type="dxa"/>
            <w:noWrap/>
            <w:vAlign w:val="bottom"/>
          </w:tcPr>
          <w:p w:rsidR="00DC71C1" w:rsidRPr="00BC5498" w:rsidRDefault="00DC71C1" w:rsidP="00A425E5">
            <w:pPr>
              <w:jc w:val="center"/>
              <w:rPr>
                <w:rFonts w:ascii="SWISS" w:hAnsi="SWISS" w:cs="Arial"/>
                <w:sz w:val="20"/>
                <w:szCs w:val="20"/>
              </w:rPr>
            </w:pPr>
            <w:r w:rsidRPr="00BC5498">
              <w:rPr>
                <w:rFonts w:ascii="SWISS" w:hAnsi="SWISS" w:cs="Arial"/>
                <w:sz w:val="20"/>
                <w:szCs w:val="20"/>
              </w:rPr>
              <w:t>3.</w:t>
            </w:r>
          </w:p>
        </w:tc>
        <w:tc>
          <w:tcPr>
            <w:tcW w:w="7203" w:type="dxa"/>
            <w:gridSpan w:val="2"/>
            <w:noWrap/>
            <w:vAlign w:val="bottom"/>
          </w:tcPr>
          <w:p w:rsidR="00DC71C1" w:rsidRPr="00BC5498" w:rsidRDefault="00DC71C1" w:rsidP="00A425E5">
            <w:pPr>
              <w:rPr>
                <w:rFonts w:ascii="SWISS" w:hAnsi="SWISS" w:cs="Arial"/>
                <w:sz w:val="20"/>
                <w:szCs w:val="20"/>
              </w:rPr>
            </w:pPr>
            <w:r w:rsidRPr="00BC5498">
              <w:rPr>
                <w:rFonts w:ascii="SWISS" w:hAnsi="SWISS" w:cs="Arial"/>
                <w:sz w:val="20"/>
                <w:szCs w:val="20"/>
              </w:rPr>
              <w:t xml:space="preserve">Chemicals (618) </w:t>
            </w:r>
          </w:p>
        </w:tc>
        <w:tc>
          <w:tcPr>
            <w:tcW w:w="53" w:type="dxa"/>
            <w:vAlign w:val="bottom"/>
          </w:tcPr>
          <w:p w:rsidR="00DC71C1" w:rsidRPr="00BC5498" w:rsidRDefault="00DC71C1" w:rsidP="00A425E5">
            <w:pPr>
              <w:rPr>
                <w:rFonts w:ascii="SWISS" w:hAnsi="SWISS" w:cs="Arial"/>
                <w:sz w:val="20"/>
                <w:szCs w:val="20"/>
                <w:u w:val="double"/>
              </w:rPr>
            </w:pPr>
          </w:p>
        </w:tc>
        <w:tc>
          <w:tcPr>
            <w:tcW w:w="1464" w:type="dxa"/>
            <w:noWrap/>
            <w:vAlign w:val="bottom"/>
          </w:tcPr>
          <w:p w:rsidR="00DC71C1" w:rsidRPr="00BC5498" w:rsidRDefault="00DC71C1" w:rsidP="00A425E5">
            <w:pPr>
              <w:rPr>
                <w:rFonts w:ascii="SWISS" w:hAnsi="SWISS" w:cs="Arial"/>
                <w:sz w:val="20"/>
                <w:szCs w:val="20"/>
                <w:u w:val="double"/>
              </w:rPr>
            </w:pPr>
          </w:p>
        </w:tc>
      </w:tr>
      <w:tr w:rsidR="00DC71C1" w:rsidRPr="00BC5498" w:rsidTr="00A425E5">
        <w:trPr>
          <w:trHeight w:val="38"/>
        </w:trPr>
        <w:tc>
          <w:tcPr>
            <w:tcW w:w="1125" w:type="dxa"/>
            <w:noWrap/>
            <w:vAlign w:val="bottom"/>
          </w:tcPr>
          <w:p w:rsidR="00DC71C1" w:rsidRPr="00BC5498" w:rsidRDefault="00DC71C1" w:rsidP="00A425E5">
            <w:pPr>
              <w:jc w:val="right"/>
              <w:rPr>
                <w:rFonts w:ascii="SWISS" w:hAnsi="SWISS" w:cs="Arial"/>
                <w:sz w:val="20"/>
                <w:szCs w:val="20"/>
              </w:rPr>
            </w:pPr>
            <w:r w:rsidRPr="00BC5498">
              <w:rPr>
                <w:rFonts w:ascii="SWISS" w:hAnsi="SWISS" w:cs="Arial"/>
                <w:sz w:val="20"/>
                <w:szCs w:val="20"/>
              </w:rPr>
              <w:t> </w:t>
            </w:r>
          </w:p>
        </w:tc>
        <w:tc>
          <w:tcPr>
            <w:tcW w:w="7203" w:type="dxa"/>
            <w:gridSpan w:val="2"/>
            <w:noWrap/>
            <w:vAlign w:val="bottom"/>
          </w:tcPr>
          <w:p w:rsidR="00DC71C1" w:rsidRPr="00BC5498" w:rsidRDefault="00DC71C1" w:rsidP="00A425E5">
            <w:pPr>
              <w:rPr>
                <w:rFonts w:ascii="SWISS" w:hAnsi="SWISS" w:cs="Arial"/>
                <w:sz w:val="20"/>
                <w:szCs w:val="20"/>
              </w:rPr>
            </w:pPr>
            <w:r>
              <w:rPr>
                <w:rFonts w:ascii="SWISS" w:hAnsi="SWISS" w:cs="Arial"/>
                <w:sz w:val="20"/>
                <w:szCs w:val="20"/>
              </w:rPr>
              <w:t xml:space="preserve">   </w:t>
            </w:r>
            <w:r w:rsidRPr="00BC5498">
              <w:rPr>
                <w:rFonts w:ascii="SWISS" w:hAnsi="SWISS" w:cs="Arial"/>
                <w:sz w:val="20"/>
                <w:szCs w:val="20"/>
              </w:rPr>
              <w:t xml:space="preserve">To </w:t>
            </w:r>
            <w:r>
              <w:rPr>
                <w:rFonts w:ascii="SWISS" w:hAnsi="SWISS" w:cs="Arial"/>
                <w:sz w:val="20"/>
                <w:szCs w:val="20"/>
              </w:rPr>
              <w:t>reverse 7% EUW adjustment approved by Order No. PSC-14-0626-PAA-WU</w:t>
            </w:r>
            <w:r w:rsidRPr="00BC5498">
              <w:rPr>
                <w:rFonts w:ascii="SWISS" w:hAnsi="SWISS" w:cs="Arial"/>
                <w:sz w:val="20"/>
                <w:szCs w:val="20"/>
              </w:rPr>
              <w:t>.</w:t>
            </w:r>
          </w:p>
        </w:tc>
        <w:tc>
          <w:tcPr>
            <w:tcW w:w="53" w:type="dxa"/>
            <w:vAlign w:val="bottom"/>
          </w:tcPr>
          <w:p w:rsidR="00DC71C1" w:rsidRPr="00BC5498" w:rsidRDefault="00DC71C1" w:rsidP="00A425E5">
            <w:pPr>
              <w:jc w:val="right"/>
              <w:rPr>
                <w:rFonts w:ascii="SWISS" w:hAnsi="SWISS" w:cs="Arial"/>
                <w:sz w:val="20"/>
                <w:szCs w:val="20"/>
              </w:rPr>
            </w:pPr>
          </w:p>
        </w:tc>
        <w:tc>
          <w:tcPr>
            <w:tcW w:w="1464" w:type="dxa"/>
            <w:noWrap/>
            <w:vAlign w:val="bottom"/>
          </w:tcPr>
          <w:p w:rsidR="00DC71C1" w:rsidRPr="003105BA" w:rsidRDefault="00DC71C1" w:rsidP="00A425E5">
            <w:pPr>
              <w:jc w:val="right"/>
              <w:rPr>
                <w:rFonts w:ascii="SWISS" w:hAnsi="SWISS" w:cs="Arial"/>
                <w:sz w:val="20"/>
                <w:szCs w:val="20"/>
                <w:u w:val="double"/>
              </w:rPr>
            </w:pPr>
            <w:r w:rsidRPr="003105BA">
              <w:rPr>
                <w:rFonts w:ascii="SWISS" w:hAnsi="SWISS" w:cs="Arial"/>
                <w:sz w:val="20"/>
                <w:szCs w:val="20"/>
                <w:u w:val="double"/>
              </w:rPr>
              <w:t>$</w:t>
            </w:r>
            <w:r>
              <w:rPr>
                <w:rFonts w:ascii="SWISS" w:hAnsi="SWISS" w:cs="Arial"/>
                <w:sz w:val="20"/>
                <w:szCs w:val="20"/>
                <w:u w:val="double"/>
              </w:rPr>
              <w:t>38</w:t>
            </w:r>
          </w:p>
        </w:tc>
      </w:tr>
      <w:tr w:rsidR="00DC71C1" w:rsidRPr="00BC5498" w:rsidTr="00A425E5">
        <w:trPr>
          <w:trHeight w:val="38"/>
        </w:trPr>
        <w:tc>
          <w:tcPr>
            <w:tcW w:w="1125" w:type="dxa"/>
            <w:noWrap/>
            <w:vAlign w:val="bottom"/>
          </w:tcPr>
          <w:p w:rsidR="00DC71C1" w:rsidRPr="00BC5498" w:rsidRDefault="00DC71C1" w:rsidP="00A425E5">
            <w:pPr>
              <w:jc w:val="right"/>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sz w:val="20"/>
                <w:szCs w:val="20"/>
              </w:rPr>
            </w:pPr>
          </w:p>
        </w:tc>
        <w:tc>
          <w:tcPr>
            <w:tcW w:w="53" w:type="dxa"/>
            <w:vAlign w:val="bottom"/>
          </w:tcPr>
          <w:p w:rsidR="00DC71C1" w:rsidRPr="00BC5498" w:rsidRDefault="00DC71C1" w:rsidP="00A425E5">
            <w:pPr>
              <w:rPr>
                <w:rFonts w:ascii="SWISS" w:hAnsi="SWISS" w:cs="Arial"/>
                <w:sz w:val="20"/>
                <w:szCs w:val="20"/>
                <w:u w:val="double"/>
              </w:rPr>
            </w:pPr>
          </w:p>
        </w:tc>
        <w:tc>
          <w:tcPr>
            <w:tcW w:w="1464" w:type="dxa"/>
            <w:noWrap/>
            <w:vAlign w:val="bottom"/>
          </w:tcPr>
          <w:p w:rsidR="00DC71C1" w:rsidRPr="00BC5498" w:rsidRDefault="00DC71C1" w:rsidP="00A425E5">
            <w:pPr>
              <w:rPr>
                <w:rFonts w:ascii="SWISS" w:hAnsi="SWISS" w:cs="Arial"/>
                <w:sz w:val="20"/>
                <w:szCs w:val="20"/>
                <w:u w:val="double"/>
              </w:rPr>
            </w:pPr>
          </w:p>
        </w:tc>
      </w:tr>
      <w:tr w:rsidR="00DC71C1" w:rsidRPr="00BC5498" w:rsidTr="00A425E5">
        <w:trPr>
          <w:trHeight w:val="38"/>
        </w:trPr>
        <w:tc>
          <w:tcPr>
            <w:tcW w:w="1125" w:type="dxa"/>
            <w:noWrap/>
            <w:vAlign w:val="bottom"/>
          </w:tcPr>
          <w:p w:rsidR="00DC71C1" w:rsidRPr="00BC5498" w:rsidRDefault="00DC71C1" w:rsidP="00A425E5">
            <w:pPr>
              <w:jc w:val="center"/>
              <w:rPr>
                <w:rFonts w:ascii="SWISS" w:hAnsi="SWISS" w:cs="Arial"/>
                <w:sz w:val="20"/>
                <w:szCs w:val="20"/>
              </w:rPr>
            </w:pPr>
            <w:r w:rsidRPr="00BC5498">
              <w:rPr>
                <w:rFonts w:ascii="SWISS" w:hAnsi="SWISS" w:cs="Arial"/>
                <w:sz w:val="20"/>
                <w:szCs w:val="20"/>
              </w:rPr>
              <w:t>4.</w:t>
            </w:r>
          </w:p>
        </w:tc>
        <w:tc>
          <w:tcPr>
            <w:tcW w:w="7203" w:type="dxa"/>
            <w:gridSpan w:val="2"/>
            <w:noWrap/>
            <w:vAlign w:val="bottom"/>
          </w:tcPr>
          <w:p w:rsidR="00DC71C1" w:rsidRPr="00BC5498" w:rsidRDefault="00DC71C1" w:rsidP="00A425E5">
            <w:pPr>
              <w:rPr>
                <w:rFonts w:ascii="SWISS" w:hAnsi="SWISS" w:cs="Arial"/>
                <w:sz w:val="20"/>
                <w:szCs w:val="20"/>
              </w:rPr>
            </w:pPr>
            <w:r>
              <w:rPr>
                <w:rFonts w:ascii="SWISS" w:hAnsi="SWISS" w:cs="Arial"/>
                <w:sz w:val="20"/>
                <w:szCs w:val="20"/>
              </w:rPr>
              <w:t>Rents</w:t>
            </w:r>
            <w:r w:rsidRPr="00BC5498">
              <w:rPr>
                <w:rFonts w:ascii="SWISS" w:hAnsi="SWISS" w:cs="Arial"/>
                <w:sz w:val="20"/>
                <w:szCs w:val="20"/>
              </w:rPr>
              <w:t xml:space="preserve"> (</w:t>
            </w:r>
            <w:r>
              <w:rPr>
                <w:rFonts w:ascii="SWISS" w:hAnsi="SWISS" w:cs="Arial"/>
                <w:sz w:val="20"/>
                <w:szCs w:val="20"/>
              </w:rPr>
              <w:t>640</w:t>
            </w:r>
            <w:r w:rsidRPr="00BC5498">
              <w:rPr>
                <w:rFonts w:ascii="SWISS" w:hAnsi="SWISS" w:cs="Arial"/>
                <w:sz w:val="20"/>
                <w:szCs w:val="20"/>
              </w:rPr>
              <w:t>)</w:t>
            </w:r>
          </w:p>
        </w:tc>
        <w:tc>
          <w:tcPr>
            <w:tcW w:w="53" w:type="dxa"/>
            <w:vAlign w:val="bottom"/>
          </w:tcPr>
          <w:p w:rsidR="00DC71C1" w:rsidRPr="00BC5498" w:rsidRDefault="00DC71C1" w:rsidP="00A425E5">
            <w:pPr>
              <w:rPr>
                <w:rFonts w:ascii="SWISS" w:hAnsi="SWISS" w:cs="Arial"/>
                <w:sz w:val="20"/>
                <w:szCs w:val="20"/>
                <w:u w:val="double"/>
              </w:rPr>
            </w:pPr>
          </w:p>
        </w:tc>
        <w:tc>
          <w:tcPr>
            <w:tcW w:w="1464" w:type="dxa"/>
            <w:noWrap/>
            <w:vAlign w:val="bottom"/>
          </w:tcPr>
          <w:p w:rsidR="00DC71C1" w:rsidRPr="00BC5498" w:rsidRDefault="00DC71C1" w:rsidP="00A425E5">
            <w:pPr>
              <w:rPr>
                <w:rFonts w:ascii="SWISS" w:hAnsi="SWISS" w:cs="Arial"/>
                <w:sz w:val="20"/>
                <w:szCs w:val="20"/>
                <w:u w:val="double"/>
              </w:rPr>
            </w:pPr>
          </w:p>
        </w:tc>
      </w:tr>
      <w:tr w:rsidR="00DC71C1" w:rsidRPr="00BC5498" w:rsidTr="00A425E5">
        <w:trPr>
          <w:trHeight w:val="38"/>
        </w:trPr>
        <w:tc>
          <w:tcPr>
            <w:tcW w:w="1125" w:type="dxa"/>
            <w:noWrap/>
            <w:vAlign w:val="bottom"/>
          </w:tcPr>
          <w:p w:rsidR="00DC71C1" w:rsidRPr="00BC5498" w:rsidRDefault="00DC71C1" w:rsidP="00A425E5">
            <w:pPr>
              <w:jc w:val="center"/>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sz w:val="20"/>
                <w:szCs w:val="20"/>
              </w:rPr>
            </w:pPr>
            <w:r>
              <w:rPr>
                <w:rFonts w:ascii="SWISS" w:hAnsi="SWISS" w:cs="Arial"/>
                <w:sz w:val="20"/>
                <w:szCs w:val="20"/>
              </w:rPr>
              <w:t xml:space="preserve">   </w:t>
            </w:r>
            <w:r w:rsidRPr="00BC5498">
              <w:rPr>
                <w:rFonts w:ascii="SWISS" w:hAnsi="SWISS" w:cs="Arial"/>
                <w:sz w:val="20"/>
                <w:szCs w:val="20"/>
              </w:rPr>
              <w:t xml:space="preserve">To </w:t>
            </w:r>
            <w:r>
              <w:rPr>
                <w:rFonts w:ascii="SWISS" w:hAnsi="SWISS" w:cs="Arial"/>
                <w:sz w:val="20"/>
                <w:szCs w:val="20"/>
              </w:rPr>
              <w:t>reflect reduction in office rent after construction of new utility building.</w:t>
            </w:r>
          </w:p>
        </w:tc>
        <w:tc>
          <w:tcPr>
            <w:tcW w:w="53" w:type="dxa"/>
            <w:vAlign w:val="bottom"/>
          </w:tcPr>
          <w:p w:rsidR="00DC71C1" w:rsidRPr="00BC5498" w:rsidRDefault="00DC71C1" w:rsidP="00A425E5">
            <w:pPr>
              <w:jc w:val="right"/>
              <w:rPr>
                <w:rFonts w:ascii="SWISS" w:hAnsi="SWISS" w:cs="Arial"/>
                <w:sz w:val="20"/>
                <w:szCs w:val="20"/>
              </w:rPr>
            </w:pPr>
          </w:p>
        </w:tc>
        <w:tc>
          <w:tcPr>
            <w:tcW w:w="1464" w:type="dxa"/>
            <w:noWrap/>
            <w:vAlign w:val="bottom"/>
          </w:tcPr>
          <w:p w:rsidR="00DC71C1" w:rsidRPr="00525A53" w:rsidRDefault="00DC71C1" w:rsidP="00A425E5">
            <w:pPr>
              <w:jc w:val="right"/>
              <w:rPr>
                <w:rFonts w:ascii="SWISS" w:hAnsi="SWISS" w:cs="Arial"/>
                <w:sz w:val="20"/>
                <w:szCs w:val="20"/>
                <w:u w:val="double"/>
              </w:rPr>
            </w:pPr>
            <w:r w:rsidRPr="00525A53">
              <w:rPr>
                <w:rFonts w:ascii="SWISS" w:hAnsi="SWISS" w:cs="Arial"/>
                <w:sz w:val="20"/>
                <w:szCs w:val="20"/>
                <w:u w:val="double"/>
              </w:rPr>
              <w:t>($3,510)</w:t>
            </w:r>
          </w:p>
        </w:tc>
      </w:tr>
      <w:tr w:rsidR="00DC71C1" w:rsidRPr="00BC5498" w:rsidTr="00A425E5">
        <w:trPr>
          <w:trHeight w:val="38"/>
        </w:trPr>
        <w:tc>
          <w:tcPr>
            <w:tcW w:w="1125" w:type="dxa"/>
            <w:noWrap/>
            <w:vAlign w:val="bottom"/>
          </w:tcPr>
          <w:p w:rsidR="00DC71C1" w:rsidRPr="00BC5498" w:rsidRDefault="00DC71C1" w:rsidP="00A425E5">
            <w:pPr>
              <w:jc w:val="center"/>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sz w:val="20"/>
                <w:szCs w:val="20"/>
              </w:rPr>
            </w:pPr>
          </w:p>
        </w:tc>
        <w:tc>
          <w:tcPr>
            <w:tcW w:w="53" w:type="dxa"/>
            <w:vAlign w:val="bottom"/>
          </w:tcPr>
          <w:p w:rsidR="00DC71C1" w:rsidRPr="00BC5498" w:rsidRDefault="00DC71C1" w:rsidP="00A425E5">
            <w:pPr>
              <w:rPr>
                <w:rFonts w:ascii="SWISS" w:hAnsi="SWISS" w:cs="Arial"/>
              </w:rPr>
            </w:pPr>
          </w:p>
        </w:tc>
        <w:tc>
          <w:tcPr>
            <w:tcW w:w="1464" w:type="dxa"/>
            <w:noWrap/>
            <w:vAlign w:val="bottom"/>
          </w:tcPr>
          <w:p w:rsidR="00DC71C1" w:rsidRPr="00BC5498" w:rsidRDefault="00DC71C1" w:rsidP="00A425E5">
            <w:pPr>
              <w:rPr>
                <w:rFonts w:ascii="SWISS" w:hAnsi="SWISS" w:cs="Arial"/>
              </w:rPr>
            </w:pPr>
          </w:p>
        </w:tc>
      </w:tr>
      <w:tr w:rsidR="00DC71C1" w:rsidRPr="00BC5498" w:rsidTr="00A425E5">
        <w:trPr>
          <w:trHeight w:val="38"/>
        </w:trPr>
        <w:tc>
          <w:tcPr>
            <w:tcW w:w="1125" w:type="dxa"/>
            <w:noWrap/>
            <w:vAlign w:val="bottom"/>
          </w:tcPr>
          <w:p w:rsidR="00DC71C1" w:rsidRPr="00BC5498" w:rsidRDefault="00DC71C1" w:rsidP="00A425E5">
            <w:pPr>
              <w:jc w:val="center"/>
              <w:rPr>
                <w:rFonts w:ascii="SWISS" w:hAnsi="SWISS" w:cs="Arial"/>
                <w:sz w:val="20"/>
                <w:szCs w:val="20"/>
              </w:rPr>
            </w:pPr>
            <w:r w:rsidRPr="00BC5498">
              <w:rPr>
                <w:rFonts w:ascii="SWISS" w:hAnsi="SWISS" w:cs="Arial"/>
                <w:sz w:val="20"/>
                <w:szCs w:val="20"/>
              </w:rPr>
              <w:t>5.</w:t>
            </w:r>
          </w:p>
        </w:tc>
        <w:tc>
          <w:tcPr>
            <w:tcW w:w="7203" w:type="dxa"/>
            <w:gridSpan w:val="2"/>
            <w:noWrap/>
            <w:vAlign w:val="bottom"/>
          </w:tcPr>
          <w:p w:rsidR="00DC71C1" w:rsidRPr="00BC5498" w:rsidRDefault="00DC71C1" w:rsidP="00A425E5">
            <w:pPr>
              <w:rPr>
                <w:rFonts w:ascii="SWISS" w:hAnsi="SWISS" w:cs="Arial"/>
                <w:sz w:val="20"/>
                <w:szCs w:val="20"/>
              </w:rPr>
            </w:pPr>
            <w:r w:rsidRPr="00BC5498">
              <w:rPr>
                <w:rFonts w:ascii="SWISS" w:hAnsi="SWISS" w:cs="Arial"/>
                <w:sz w:val="20"/>
                <w:szCs w:val="20"/>
              </w:rPr>
              <w:t>Insurance Expense (655)</w:t>
            </w:r>
          </w:p>
        </w:tc>
        <w:tc>
          <w:tcPr>
            <w:tcW w:w="53" w:type="dxa"/>
          </w:tcPr>
          <w:p w:rsidR="00DC71C1" w:rsidRPr="00BC5498" w:rsidRDefault="00DC71C1" w:rsidP="00A425E5">
            <w:pPr>
              <w:rPr>
                <w:rFonts w:ascii="SWISS" w:hAnsi="SWISS" w:cs="Arial"/>
                <w:color w:val="000000"/>
                <w:sz w:val="20"/>
                <w:szCs w:val="20"/>
                <w:u w:val="double"/>
              </w:rPr>
            </w:pPr>
          </w:p>
        </w:tc>
        <w:tc>
          <w:tcPr>
            <w:tcW w:w="1464" w:type="dxa"/>
            <w:noWrap/>
            <w:vAlign w:val="bottom"/>
          </w:tcPr>
          <w:p w:rsidR="00DC71C1" w:rsidRPr="00BC5498" w:rsidRDefault="00DC71C1" w:rsidP="00A425E5">
            <w:pPr>
              <w:rPr>
                <w:rFonts w:ascii="SWISS" w:hAnsi="SWISS" w:cs="Arial"/>
              </w:rPr>
            </w:pPr>
          </w:p>
        </w:tc>
      </w:tr>
      <w:tr w:rsidR="00DC71C1" w:rsidRPr="00BC5498" w:rsidTr="00A425E5">
        <w:trPr>
          <w:trHeight w:val="38"/>
        </w:trPr>
        <w:tc>
          <w:tcPr>
            <w:tcW w:w="1125" w:type="dxa"/>
            <w:noWrap/>
            <w:vAlign w:val="bottom"/>
          </w:tcPr>
          <w:p w:rsidR="00DC71C1" w:rsidRPr="00BC5498" w:rsidRDefault="00DC71C1" w:rsidP="00A425E5">
            <w:pPr>
              <w:jc w:val="right"/>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sz w:val="20"/>
                <w:szCs w:val="20"/>
              </w:rPr>
            </w:pPr>
            <w:r>
              <w:rPr>
                <w:rFonts w:ascii="SWISS" w:hAnsi="SWISS" w:cs="Arial"/>
                <w:sz w:val="20"/>
                <w:szCs w:val="20"/>
              </w:rPr>
              <w:t xml:space="preserve">   </w:t>
            </w:r>
            <w:r w:rsidRPr="00BC5498">
              <w:rPr>
                <w:rFonts w:ascii="SWISS" w:hAnsi="SWISS" w:cs="Arial"/>
                <w:sz w:val="20"/>
                <w:szCs w:val="20"/>
              </w:rPr>
              <w:t xml:space="preserve">To reflect </w:t>
            </w:r>
            <w:r>
              <w:rPr>
                <w:rFonts w:ascii="SWISS" w:hAnsi="SWISS" w:cs="Arial"/>
                <w:sz w:val="20"/>
                <w:szCs w:val="20"/>
              </w:rPr>
              <w:t>pro forma increase in insurance expense for new utility building.</w:t>
            </w:r>
          </w:p>
        </w:tc>
        <w:tc>
          <w:tcPr>
            <w:tcW w:w="53" w:type="dxa"/>
            <w:vAlign w:val="bottom"/>
          </w:tcPr>
          <w:p w:rsidR="00DC71C1" w:rsidRPr="00BC5498" w:rsidRDefault="00DC71C1" w:rsidP="00A425E5">
            <w:pPr>
              <w:jc w:val="right"/>
              <w:rPr>
                <w:rFonts w:ascii="SWISS" w:hAnsi="SWISS" w:cs="Arial"/>
                <w:sz w:val="20"/>
                <w:szCs w:val="20"/>
              </w:rPr>
            </w:pPr>
          </w:p>
        </w:tc>
        <w:tc>
          <w:tcPr>
            <w:tcW w:w="1464" w:type="dxa"/>
            <w:noWrap/>
            <w:vAlign w:val="bottom"/>
          </w:tcPr>
          <w:p w:rsidR="00DC71C1" w:rsidRPr="00525A53" w:rsidRDefault="00DC71C1" w:rsidP="00A425E5">
            <w:pPr>
              <w:jc w:val="right"/>
              <w:rPr>
                <w:rFonts w:ascii="SWISS" w:hAnsi="SWISS" w:cs="Arial"/>
                <w:sz w:val="20"/>
                <w:szCs w:val="20"/>
                <w:u w:val="double"/>
              </w:rPr>
            </w:pPr>
            <w:r w:rsidRPr="00525A53">
              <w:rPr>
                <w:rFonts w:ascii="SWISS" w:hAnsi="SWISS" w:cs="Arial"/>
                <w:sz w:val="20"/>
                <w:szCs w:val="20"/>
                <w:u w:val="double"/>
              </w:rPr>
              <w:t xml:space="preserve">$10,944 </w:t>
            </w:r>
          </w:p>
        </w:tc>
      </w:tr>
      <w:tr w:rsidR="00DC71C1" w:rsidRPr="00BC5498" w:rsidTr="00A425E5">
        <w:trPr>
          <w:trHeight w:val="38"/>
        </w:trPr>
        <w:tc>
          <w:tcPr>
            <w:tcW w:w="1125" w:type="dxa"/>
            <w:noWrap/>
            <w:vAlign w:val="bottom"/>
          </w:tcPr>
          <w:p w:rsidR="00DC71C1" w:rsidRPr="00BC5498" w:rsidRDefault="00DC71C1" w:rsidP="00A425E5">
            <w:pPr>
              <w:jc w:val="right"/>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sz w:val="20"/>
                <w:szCs w:val="20"/>
              </w:rPr>
            </w:pPr>
          </w:p>
        </w:tc>
        <w:tc>
          <w:tcPr>
            <w:tcW w:w="53" w:type="dxa"/>
            <w:vAlign w:val="bottom"/>
          </w:tcPr>
          <w:p w:rsidR="00DC71C1" w:rsidRPr="00BC5498" w:rsidRDefault="00DC71C1" w:rsidP="00A425E5">
            <w:pPr>
              <w:rPr>
                <w:rFonts w:ascii="SWISS" w:hAnsi="SWISS" w:cs="Arial"/>
                <w:sz w:val="20"/>
                <w:szCs w:val="20"/>
                <w:u w:val="double"/>
              </w:rPr>
            </w:pPr>
          </w:p>
        </w:tc>
        <w:tc>
          <w:tcPr>
            <w:tcW w:w="1464" w:type="dxa"/>
            <w:noWrap/>
            <w:vAlign w:val="bottom"/>
          </w:tcPr>
          <w:p w:rsidR="00DC71C1" w:rsidRPr="00BC5498" w:rsidRDefault="00DC71C1" w:rsidP="00A425E5">
            <w:pPr>
              <w:rPr>
                <w:rFonts w:ascii="SWISS" w:hAnsi="SWISS" w:cs="Arial"/>
                <w:sz w:val="20"/>
                <w:szCs w:val="20"/>
                <w:u w:val="double"/>
              </w:rPr>
            </w:pPr>
          </w:p>
        </w:tc>
      </w:tr>
      <w:tr w:rsidR="00DC71C1" w:rsidRPr="00BC5498" w:rsidTr="00A425E5">
        <w:trPr>
          <w:trHeight w:val="33"/>
        </w:trPr>
        <w:tc>
          <w:tcPr>
            <w:tcW w:w="1125" w:type="dxa"/>
            <w:noWrap/>
            <w:vAlign w:val="bottom"/>
            <w:hideMark/>
          </w:tcPr>
          <w:p w:rsidR="00DC71C1" w:rsidRPr="00BC5498" w:rsidRDefault="00DC71C1" w:rsidP="00A425E5">
            <w:pPr>
              <w:jc w:val="center"/>
              <w:rPr>
                <w:rFonts w:ascii="SWISS" w:hAnsi="SWISS" w:cs="Arial"/>
                <w:sz w:val="20"/>
                <w:szCs w:val="20"/>
              </w:rPr>
            </w:pPr>
            <w:r w:rsidRPr="00BC5498">
              <w:rPr>
                <w:rFonts w:ascii="SWISS" w:hAnsi="SWISS" w:cs="Arial"/>
                <w:sz w:val="20"/>
                <w:szCs w:val="20"/>
              </w:rPr>
              <w:t>6.</w:t>
            </w:r>
          </w:p>
        </w:tc>
        <w:tc>
          <w:tcPr>
            <w:tcW w:w="7203" w:type="dxa"/>
            <w:gridSpan w:val="2"/>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Regulatory Commission Expense (665)</w:t>
            </w:r>
          </w:p>
        </w:tc>
        <w:tc>
          <w:tcPr>
            <w:tcW w:w="53" w:type="dxa"/>
          </w:tcPr>
          <w:p w:rsidR="00DC71C1" w:rsidRPr="00BC5498" w:rsidRDefault="00DC71C1" w:rsidP="00A425E5">
            <w:pPr>
              <w:rPr>
                <w:rFonts w:ascii="SWISS" w:hAnsi="SWISS" w:cs="Arial"/>
                <w:sz w:val="20"/>
                <w:szCs w:val="20"/>
                <w:u w:val="double"/>
              </w:rPr>
            </w:pPr>
          </w:p>
        </w:tc>
        <w:tc>
          <w:tcPr>
            <w:tcW w:w="1464" w:type="dxa"/>
            <w:noWrap/>
          </w:tcPr>
          <w:p w:rsidR="00DC71C1" w:rsidRPr="00BC5498" w:rsidRDefault="00DC71C1" w:rsidP="00A425E5">
            <w:pPr>
              <w:rPr>
                <w:rFonts w:ascii="SWISS" w:hAnsi="SWISS" w:cs="Arial"/>
                <w:sz w:val="20"/>
                <w:szCs w:val="20"/>
                <w:u w:val="double"/>
              </w:rPr>
            </w:pPr>
          </w:p>
        </w:tc>
      </w:tr>
      <w:tr w:rsidR="00DC71C1" w:rsidRPr="00BC5498" w:rsidTr="00A425E5">
        <w:trPr>
          <w:trHeight w:val="33"/>
        </w:trPr>
        <w:tc>
          <w:tcPr>
            <w:tcW w:w="1125" w:type="dxa"/>
            <w:noWrap/>
            <w:vAlign w:val="bottom"/>
          </w:tcPr>
          <w:p w:rsidR="00DC71C1" w:rsidRPr="00BC5498" w:rsidRDefault="00DC71C1" w:rsidP="00A425E5">
            <w:pPr>
              <w:jc w:val="center"/>
              <w:rPr>
                <w:rFonts w:ascii="SWISS" w:hAnsi="SWISS" w:cs="Arial"/>
                <w:sz w:val="20"/>
                <w:szCs w:val="20"/>
              </w:rPr>
            </w:pPr>
          </w:p>
        </w:tc>
        <w:tc>
          <w:tcPr>
            <w:tcW w:w="7203" w:type="dxa"/>
            <w:gridSpan w:val="2"/>
            <w:noWrap/>
            <w:vAlign w:val="bottom"/>
            <w:hideMark/>
          </w:tcPr>
          <w:p w:rsidR="00DC71C1" w:rsidRPr="00BC5498" w:rsidRDefault="00DC71C1" w:rsidP="00A425E5">
            <w:pPr>
              <w:rPr>
                <w:rFonts w:ascii="SWISS" w:hAnsi="SWISS" w:cs="Arial"/>
                <w:sz w:val="20"/>
                <w:szCs w:val="20"/>
              </w:rPr>
            </w:pPr>
            <w:r>
              <w:rPr>
                <w:rFonts w:ascii="SWISS" w:hAnsi="SWISS" w:cs="Arial"/>
                <w:sz w:val="20"/>
                <w:szCs w:val="20"/>
              </w:rPr>
              <w:t xml:space="preserve">   </w:t>
            </w:r>
            <w:r w:rsidRPr="00BC5498">
              <w:rPr>
                <w:rFonts w:ascii="SWISS" w:hAnsi="SWISS" w:cs="Arial"/>
                <w:sz w:val="20"/>
                <w:szCs w:val="20"/>
              </w:rPr>
              <w:t xml:space="preserve">To reflect 4-year amortization of </w:t>
            </w:r>
            <w:r>
              <w:rPr>
                <w:rFonts w:ascii="SWISS" w:hAnsi="SWISS" w:cs="Arial"/>
                <w:sz w:val="20"/>
                <w:szCs w:val="20"/>
              </w:rPr>
              <w:t xml:space="preserve">Phase II </w:t>
            </w:r>
            <w:r w:rsidRPr="00BC5498">
              <w:rPr>
                <w:rFonts w:ascii="SWISS" w:hAnsi="SWISS" w:cs="Arial"/>
                <w:sz w:val="20"/>
                <w:szCs w:val="20"/>
              </w:rPr>
              <w:t>rate case expense ($</w:t>
            </w:r>
            <w:r>
              <w:rPr>
                <w:rFonts w:ascii="SWISS" w:hAnsi="SWISS" w:cs="Arial"/>
                <w:sz w:val="20"/>
                <w:szCs w:val="20"/>
              </w:rPr>
              <w:t>3</w:t>
            </w:r>
            <w:r w:rsidRPr="00BC5498">
              <w:rPr>
                <w:rFonts w:ascii="SWISS" w:hAnsi="SWISS" w:cs="Arial"/>
                <w:sz w:val="20"/>
                <w:szCs w:val="20"/>
              </w:rPr>
              <w:t>,</w:t>
            </w:r>
            <w:r>
              <w:rPr>
                <w:rFonts w:ascii="SWISS" w:hAnsi="SWISS" w:cs="Arial"/>
                <w:sz w:val="20"/>
                <w:szCs w:val="20"/>
              </w:rPr>
              <w:t>837/4).</w:t>
            </w:r>
          </w:p>
        </w:tc>
        <w:tc>
          <w:tcPr>
            <w:tcW w:w="53" w:type="dxa"/>
            <w:vAlign w:val="bottom"/>
          </w:tcPr>
          <w:p w:rsidR="00DC71C1" w:rsidRPr="00BC5498" w:rsidRDefault="00DC71C1" w:rsidP="00A425E5">
            <w:pPr>
              <w:jc w:val="right"/>
              <w:rPr>
                <w:rFonts w:ascii="SWISS" w:hAnsi="SWISS" w:cs="Arial"/>
                <w:sz w:val="20"/>
                <w:szCs w:val="20"/>
                <w:u w:val="double"/>
              </w:rPr>
            </w:pPr>
          </w:p>
        </w:tc>
        <w:tc>
          <w:tcPr>
            <w:tcW w:w="1464" w:type="dxa"/>
            <w:noWrap/>
            <w:vAlign w:val="bottom"/>
          </w:tcPr>
          <w:p w:rsidR="00DC71C1" w:rsidRPr="00BC5498" w:rsidRDefault="00DC71C1" w:rsidP="00A425E5">
            <w:pPr>
              <w:jc w:val="right"/>
              <w:rPr>
                <w:rFonts w:ascii="SWISS" w:hAnsi="SWISS" w:cs="Arial"/>
                <w:sz w:val="20"/>
                <w:szCs w:val="20"/>
                <w:u w:val="double"/>
              </w:rPr>
            </w:pPr>
            <w:r w:rsidRPr="00BC5498">
              <w:rPr>
                <w:rFonts w:ascii="SWISS" w:hAnsi="SWISS" w:cs="Arial"/>
                <w:sz w:val="20"/>
                <w:szCs w:val="20"/>
                <w:u w:val="double"/>
              </w:rPr>
              <w:t>$</w:t>
            </w:r>
            <w:r>
              <w:rPr>
                <w:rFonts w:ascii="SWISS" w:hAnsi="SWISS" w:cs="Arial"/>
                <w:sz w:val="20"/>
                <w:szCs w:val="20"/>
                <w:u w:val="double"/>
              </w:rPr>
              <w:t>959</w:t>
            </w:r>
            <w:r w:rsidRPr="00BC5498">
              <w:rPr>
                <w:rFonts w:ascii="SWISS" w:hAnsi="SWISS" w:cs="Arial"/>
                <w:sz w:val="20"/>
                <w:szCs w:val="20"/>
                <w:u w:val="double"/>
              </w:rPr>
              <w:t xml:space="preserve"> </w:t>
            </w:r>
          </w:p>
        </w:tc>
      </w:tr>
      <w:tr w:rsidR="00DC71C1" w:rsidRPr="00BC5498" w:rsidTr="00A425E5">
        <w:trPr>
          <w:trHeight w:val="33"/>
        </w:trPr>
        <w:tc>
          <w:tcPr>
            <w:tcW w:w="1125" w:type="dxa"/>
            <w:noWrap/>
            <w:vAlign w:val="bottom"/>
          </w:tcPr>
          <w:p w:rsidR="00DC71C1" w:rsidRPr="00BC5498" w:rsidRDefault="00DC71C1" w:rsidP="00A425E5">
            <w:pPr>
              <w:jc w:val="center"/>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sz w:val="20"/>
                <w:szCs w:val="20"/>
              </w:rPr>
            </w:pPr>
          </w:p>
        </w:tc>
        <w:tc>
          <w:tcPr>
            <w:tcW w:w="53" w:type="dxa"/>
          </w:tcPr>
          <w:p w:rsidR="00DC71C1" w:rsidRPr="00BC5498" w:rsidRDefault="00DC71C1" w:rsidP="00A425E5">
            <w:pPr>
              <w:rPr>
                <w:rFonts w:ascii="SWISS" w:hAnsi="SWISS" w:cs="Arial"/>
                <w:sz w:val="20"/>
                <w:szCs w:val="20"/>
                <w:u w:val="double"/>
              </w:rPr>
            </w:pPr>
          </w:p>
        </w:tc>
        <w:tc>
          <w:tcPr>
            <w:tcW w:w="1464" w:type="dxa"/>
            <w:noWrap/>
          </w:tcPr>
          <w:p w:rsidR="00DC71C1" w:rsidRPr="00BC5498" w:rsidRDefault="00DC71C1" w:rsidP="00A425E5">
            <w:pPr>
              <w:rPr>
                <w:rFonts w:ascii="SWISS" w:hAnsi="SWISS" w:cs="Arial"/>
                <w:sz w:val="20"/>
                <w:szCs w:val="20"/>
                <w:u w:val="double"/>
              </w:rPr>
            </w:pPr>
          </w:p>
        </w:tc>
      </w:tr>
      <w:tr w:rsidR="00DC71C1" w:rsidRPr="00BC5498" w:rsidTr="00A425E5">
        <w:trPr>
          <w:trHeight w:val="33"/>
        </w:trPr>
        <w:tc>
          <w:tcPr>
            <w:tcW w:w="1125" w:type="dxa"/>
            <w:noWrap/>
            <w:vAlign w:val="bottom"/>
          </w:tcPr>
          <w:p w:rsidR="00DC71C1" w:rsidRDefault="00DC71C1" w:rsidP="00A425E5">
            <w:pPr>
              <w:jc w:val="center"/>
              <w:rPr>
                <w:rFonts w:ascii="SWISS" w:hAnsi="SWISS" w:cs="Arial"/>
                <w:sz w:val="20"/>
                <w:szCs w:val="20"/>
              </w:rPr>
            </w:pPr>
            <w:r>
              <w:rPr>
                <w:rFonts w:ascii="SWISS" w:hAnsi="SWISS" w:cs="Arial"/>
                <w:sz w:val="20"/>
                <w:szCs w:val="20"/>
              </w:rPr>
              <w:t>7</w:t>
            </w:r>
            <w:r w:rsidRPr="00BC5498">
              <w:rPr>
                <w:rFonts w:ascii="SWISS" w:hAnsi="SWISS" w:cs="Arial"/>
                <w:sz w:val="20"/>
                <w:szCs w:val="20"/>
              </w:rPr>
              <w:t>.</w:t>
            </w:r>
          </w:p>
        </w:tc>
        <w:tc>
          <w:tcPr>
            <w:tcW w:w="7203" w:type="dxa"/>
            <w:gridSpan w:val="2"/>
            <w:noWrap/>
            <w:vAlign w:val="bottom"/>
          </w:tcPr>
          <w:p w:rsidR="00DC71C1" w:rsidRDefault="00DC71C1" w:rsidP="00A425E5">
            <w:pPr>
              <w:rPr>
                <w:rFonts w:ascii="SWISS" w:hAnsi="SWISS" w:cs="Arial"/>
                <w:sz w:val="20"/>
                <w:szCs w:val="20"/>
              </w:rPr>
            </w:pPr>
            <w:r>
              <w:rPr>
                <w:rFonts w:ascii="SWISS" w:hAnsi="SWISS" w:cs="Arial"/>
                <w:sz w:val="20"/>
                <w:szCs w:val="20"/>
              </w:rPr>
              <w:t>Post Phase I Price Index and Pass Through Rate Adjustments</w:t>
            </w:r>
          </w:p>
        </w:tc>
        <w:tc>
          <w:tcPr>
            <w:tcW w:w="53" w:type="dxa"/>
            <w:vAlign w:val="bottom"/>
          </w:tcPr>
          <w:p w:rsidR="00DC71C1" w:rsidRPr="00BC5498" w:rsidRDefault="00DC71C1" w:rsidP="00A425E5">
            <w:pPr>
              <w:rPr>
                <w:rFonts w:ascii="SWISS" w:hAnsi="SWISS" w:cs="Arial"/>
                <w:sz w:val="20"/>
                <w:szCs w:val="20"/>
                <w:u w:val="double"/>
              </w:rPr>
            </w:pPr>
          </w:p>
        </w:tc>
        <w:tc>
          <w:tcPr>
            <w:tcW w:w="1464" w:type="dxa"/>
            <w:noWrap/>
            <w:vAlign w:val="bottom"/>
          </w:tcPr>
          <w:p w:rsidR="00DC71C1" w:rsidRPr="00BC5498" w:rsidRDefault="00DC71C1" w:rsidP="00A425E5">
            <w:pPr>
              <w:rPr>
                <w:rFonts w:ascii="SWISS" w:hAnsi="SWISS" w:cs="Arial"/>
                <w:sz w:val="20"/>
                <w:szCs w:val="20"/>
                <w:u w:val="double"/>
              </w:rPr>
            </w:pPr>
          </w:p>
        </w:tc>
      </w:tr>
      <w:tr w:rsidR="00DC71C1" w:rsidRPr="00BC5498" w:rsidTr="00A425E5">
        <w:trPr>
          <w:trHeight w:val="33"/>
        </w:trPr>
        <w:tc>
          <w:tcPr>
            <w:tcW w:w="1125" w:type="dxa"/>
            <w:noWrap/>
            <w:vAlign w:val="bottom"/>
          </w:tcPr>
          <w:p w:rsidR="00DC71C1" w:rsidRDefault="00DC71C1" w:rsidP="00A425E5">
            <w:pPr>
              <w:rPr>
                <w:rFonts w:ascii="SWISS" w:hAnsi="SWISS" w:cs="Arial"/>
                <w:sz w:val="20"/>
                <w:szCs w:val="20"/>
              </w:rPr>
            </w:pPr>
            <w:r>
              <w:rPr>
                <w:rFonts w:ascii="SWISS" w:hAnsi="SWISS" w:cs="Arial"/>
                <w:sz w:val="20"/>
                <w:szCs w:val="20"/>
              </w:rPr>
              <w:t> </w:t>
            </w:r>
          </w:p>
        </w:tc>
        <w:tc>
          <w:tcPr>
            <w:tcW w:w="7203" w:type="dxa"/>
            <w:gridSpan w:val="2"/>
            <w:noWrap/>
            <w:vAlign w:val="center"/>
          </w:tcPr>
          <w:p w:rsidR="00DC71C1" w:rsidRDefault="00DC71C1" w:rsidP="00A425E5">
            <w:pPr>
              <w:rPr>
                <w:rFonts w:ascii="SWISS" w:hAnsi="SWISS" w:cs="Arial"/>
                <w:sz w:val="20"/>
                <w:szCs w:val="20"/>
              </w:rPr>
            </w:pPr>
            <w:r>
              <w:rPr>
                <w:rFonts w:ascii="SWISS" w:hAnsi="SWISS" w:cs="Arial"/>
                <w:sz w:val="20"/>
                <w:szCs w:val="20"/>
              </w:rPr>
              <w:t xml:space="preserve">   To reflect total 2014-2017 index and pass through O&amp;M expense increases</w:t>
            </w:r>
          </w:p>
        </w:tc>
        <w:tc>
          <w:tcPr>
            <w:tcW w:w="53" w:type="dxa"/>
            <w:vAlign w:val="bottom"/>
          </w:tcPr>
          <w:p w:rsidR="00DC71C1" w:rsidRPr="00BC5498" w:rsidRDefault="00DC71C1" w:rsidP="00A425E5">
            <w:pPr>
              <w:jc w:val="right"/>
              <w:rPr>
                <w:rFonts w:ascii="SWISS" w:hAnsi="SWISS" w:cs="Arial"/>
                <w:sz w:val="20"/>
                <w:szCs w:val="20"/>
              </w:rPr>
            </w:pPr>
          </w:p>
        </w:tc>
        <w:tc>
          <w:tcPr>
            <w:tcW w:w="1464" w:type="dxa"/>
            <w:noWrap/>
            <w:vAlign w:val="bottom"/>
          </w:tcPr>
          <w:p w:rsidR="00DC71C1" w:rsidRPr="00525A53" w:rsidRDefault="00DC71C1" w:rsidP="00A425E5">
            <w:pPr>
              <w:jc w:val="right"/>
              <w:rPr>
                <w:rFonts w:ascii="SWISS" w:hAnsi="SWISS" w:cs="Arial"/>
                <w:sz w:val="20"/>
                <w:szCs w:val="20"/>
                <w:u w:val="double"/>
              </w:rPr>
            </w:pPr>
            <w:r w:rsidRPr="00525A53">
              <w:rPr>
                <w:rFonts w:ascii="SWISS" w:hAnsi="SWISS" w:cs="Arial"/>
                <w:sz w:val="20"/>
                <w:szCs w:val="20"/>
                <w:u w:val="double"/>
              </w:rPr>
              <w:t>$15,272</w:t>
            </w:r>
          </w:p>
        </w:tc>
      </w:tr>
      <w:tr w:rsidR="00DC71C1" w:rsidRPr="00BC5498" w:rsidTr="00A425E5">
        <w:trPr>
          <w:trHeight w:val="33"/>
        </w:trPr>
        <w:tc>
          <w:tcPr>
            <w:tcW w:w="1125" w:type="dxa"/>
            <w:noWrap/>
            <w:vAlign w:val="bottom"/>
          </w:tcPr>
          <w:p w:rsidR="00DC71C1" w:rsidRPr="00BC5498" w:rsidRDefault="00DC71C1" w:rsidP="00A425E5">
            <w:pPr>
              <w:jc w:val="right"/>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sz w:val="20"/>
                <w:szCs w:val="20"/>
              </w:rPr>
            </w:pPr>
          </w:p>
        </w:tc>
        <w:tc>
          <w:tcPr>
            <w:tcW w:w="53" w:type="dxa"/>
            <w:vAlign w:val="bottom"/>
          </w:tcPr>
          <w:p w:rsidR="00DC71C1" w:rsidRPr="00BC5498" w:rsidRDefault="00DC71C1" w:rsidP="00A425E5">
            <w:pPr>
              <w:jc w:val="right"/>
              <w:rPr>
                <w:rFonts w:ascii="SWISS" w:hAnsi="SWISS" w:cs="Arial"/>
                <w:sz w:val="20"/>
                <w:szCs w:val="20"/>
              </w:rPr>
            </w:pPr>
          </w:p>
        </w:tc>
        <w:tc>
          <w:tcPr>
            <w:tcW w:w="1464" w:type="dxa"/>
            <w:noWrap/>
            <w:vAlign w:val="bottom"/>
          </w:tcPr>
          <w:p w:rsidR="00DC71C1" w:rsidRPr="00BC5498" w:rsidRDefault="00DC71C1" w:rsidP="00A425E5">
            <w:pPr>
              <w:jc w:val="right"/>
              <w:rPr>
                <w:rFonts w:ascii="SWISS" w:hAnsi="SWISS" w:cs="Arial"/>
                <w:sz w:val="20"/>
                <w:szCs w:val="20"/>
              </w:rPr>
            </w:pPr>
          </w:p>
        </w:tc>
      </w:tr>
      <w:tr w:rsidR="00DC71C1" w:rsidRPr="00BC5498" w:rsidTr="00A425E5">
        <w:trPr>
          <w:trHeight w:val="33"/>
        </w:trPr>
        <w:tc>
          <w:tcPr>
            <w:tcW w:w="1125" w:type="dxa"/>
            <w:noWrap/>
            <w:vAlign w:val="bottom"/>
          </w:tcPr>
          <w:p w:rsidR="00DC71C1" w:rsidRPr="00BC5498" w:rsidRDefault="00DC71C1" w:rsidP="00A425E5">
            <w:pPr>
              <w:jc w:val="right"/>
              <w:rPr>
                <w:rFonts w:ascii="SWISS" w:hAnsi="SWISS" w:cs="Arial"/>
                <w:sz w:val="20"/>
                <w:szCs w:val="20"/>
              </w:rPr>
            </w:pPr>
            <w:r w:rsidRPr="00BC5498">
              <w:rPr>
                <w:rFonts w:ascii="SWISS" w:hAnsi="SWISS" w:cs="Arial"/>
                <w:sz w:val="20"/>
                <w:szCs w:val="20"/>
              </w:rPr>
              <w:t> </w:t>
            </w:r>
          </w:p>
        </w:tc>
        <w:tc>
          <w:tcPr>
            <w:tcW w:w="7203" w:type="dxa"/>
            <w:gridSpan w:val="2"/>
            <w:noWrap/>
            <w:vAlign w:val="bottom"/>
          </w:tcPr>
          <w:p w:rsidR="00DC71C1" w:rsidRPr="00BC5498" w:rsidRDefault="00DC71C1" w:rsidP="00A425E5">
            <w:pPr>
              <w:rPr>
                <w:rFonts w:ascii="SWISS" w:hAnsi="SWISS" w:cs="Arial"/>
                <w:sz w:val="20"/>
                <w:szCs w:val="20"/>
              </w:rPr>
            </w:pPr>
          </w:p>
        </w:tc>
        <w:tc>
          <w:tcPr>
            <w:tcW w:w="53" w:type="dxa"/>
            <w:vAlign w:val="bottom"/>
          </w:tcPr>
          <w:p w:rsidR="00DC71C1" w:rsidRPr="00BC5498" w:rsidRDefault="00DC71C1" w:rsidP="00A425E5">
            <w:pPr>
              <w:jc w:val="right"/>
              <w:rPr>
                <w:rFonts w:ascii="SWISS" w:hAnsi="SWISS" w:cs="Arial"/>
                <w:sz w:val="20"/>
                <w:szCs w:val="20"/>
              </w:rPr>
            </w:pPr>
          </w:p>
        </w:tc>
        <w:tc>
          <w:tcPr>
            <w:tcW w:w="1464" w:type="dxa"/>
            <w:noWrap/>
            <w:vAlign w:val="bottom"/>
          </w:tcPr>
          <w:p w:rsidR="00DC71C1" w:rsidRPr="00BC5498" w:rsidRDefault="00DC71C1" w:rsidP="00A425E5">
            <w:pPr>
              <w:jc w:val="right"/>
              <w:rPr>
                <w:rFonts w:ascii="SWISS" w:hAnsi="SWISS" w:cs="Arial"/>
                <w:sz w:val="20"/>
                <w:szCs w:val="20"/>
              </w:rPr>
            </w:pPr>
          </w:p>
        </w:tc>
      </w:tr>
      <w:tr w:rsidR="00DC71C1" w:rsidRPr="00BC5498" w:rsidTr="00A425E5">
        <w:trPr>
          <w:trHeight w:val="33"/>
        </w:trPr>
        <w:tc>
          <w:tcPr>
            <w:tcW w:w="1125" w:type="dxa"/>
            <w:noWrap/>
            <w:vAlign w:val="bottom"/>
          </w:tcPr>
          <w:p w:rsidR="00DC71C1" w:rsidRPr="00BC5498" w:rsidRDefault="00DC71C1" w:rsidP="00A425E5">
            <w:pPr>
              <w:jc w:val="right"/>
              <w:rPr>
                <w:rFonts w:ascii="SWISS" w:hAnsi="SWISS" w:cs="Arial"/>
                <w:sz w:val="20"/>
                <w:szCs w:val="20"/>
              </w:rPr>
            </w:pPr>
            <w:r w:rsidRPr="00BC5498">
              <w:rPr>
                <w:rFonts w:ascii="SWISS" w:hAnsi="SWISS" w:cs="Arial"/>
                <w:sz w:val="20"/>
                <w:szCs w:val="20"/>
              </w:rPr>
              <w:t> </w:t>
            </w:r>
          </w:p>
        </w:tc>
        <w:tc>
          <w:tcPr>
            <w:tcW w:w="7203" w:type="dxa"/>
            <w:gridSpan w:val="2"/>
            <w:noWrap/>
            <w:vAlign w:val="bottom"/>
          </w:tcPr>
          <w:p w:rsidR="00DC71C1" w:rsidRPr="00BC5498" w:rsidRDefault="00DC71C1" w:rsidP="00A425E5">
            <w:pPr>
              <w:rPr>
                <w:rFonts w:ascii="SWISS" w:hAnsi="SWISS" w:cs="Arial"/>
                <w:sz w:val="20"/>
                <w:szCs w:val="20"/>
              </w:rPr>
            </w:pPr>
            <w:r w:rsidRPr="00BC5498">
              <w:rPr>
                <w:rFonts w:ascii="SWISS" w:hAnsi="SWISS" w:cs="Arial"/>
                <w:b/>
                <w:bCs/>
                <w:color w:val="000000"/>
                <w:sz w:val="20"/>
                <w:szCs w:val="20"/>
              </w:rPr>
              <w:t>TOTAL OPERATION &amp; MAINTENANCE ADJUSTMENTS</w:t>
            </w:r>
          </w:p>
        </w:tc>
        <w:tc>
          <w:tcPr>
            <w:tcW w:w="53" w:type="dxa"/>
            <w:vAlign w:val="bottom"/>
          </w:tcPr>
          <w:p w:rsidR="00DC71C1" w:rsidRPr="00BC5498" w:rsidRDefault="00DC71C1" w:rsidP="00A425E5">
            <w:pPr>
              <w:jc w:val="right"/>
              <w:rPr>
                <w:rFonts w:ascii="SWISS" w:hAnsi="SWISS" w:cs="Arial"/>
                <w:sz w:val="20"/>
                <w:szCs w:val="20"/>
                <w:u w:val="single"/>
              </w:rPr>
            </w:pPr>
          </w:p>
        </w:tc>
        <w:tc>
          <w:tcPr>
            <w:tcW w:w="1464" w:type="dxa"/>
            <w:noWrap/>
            <w:vAlign w:val="bottom"/>
          </w:tcPr>
          <w:p w:rsidR="00DC71C1" w:rsidRPr="00BC5498" w:rsidRDefault="00DC71C1" w:rsidP="00A425E5">
            <w:pPr>
              <w:jc w:val="right"/>
              <w:rPr>
                <w:rFonts w:ascii="SWISS" w:hAnsi="SWISS" w:cs="Arial"/>
                <w:sz w:val="20"/>
                <w:szCs w:val="20"/>
                <w:u w:val="single"/>
              </w:rPr>
            </w:pPr>
            <w:r w:rsidRPr="00525A53">
              <w:rPr>
                <w:rFonts w:ascii="SWISS" w:hAnsi="SWISS" w:cs="Arial"/>
                <w:sz w:val="20"/>
                <w:szCs w:val="20"/>
                <w:u w:val="double"/>
              </w:rPr>
              <w:t>$</w:t>
            </w:r>
            <w:r>
              <w:rPr>
                <w:rFonts w:ascii="SWISS" w:hAnsi="SWISS" w:cs="Arial"/>
                <w:sz w:val="20"/>
                <w:szCs w:val="20"/>
                <w:u w:val="double"/>
              </w:rPr>
              <w:t>27</w:t>
            </w:r>
            <w:r w:rsidRPr="00525A53">
              <w:rPr>
                <w:rFonts w:ascii="SWISS" w:hAnsi="SWISS" w:cs="Arial"/>
                <w:sz w:val="20"/>
                <w:szCs w:val="20"/>
                <w:u w:val="double"/>
              </w:rPr>
              <w:t>,</w:t>
            </w:r>
            <w:r>
              <w:rPr>
                <w:rFonts w:ascii="SWISS" w:hAnsi="SWISS" w:cs="Arial"/>
                <w:sz w:val="20"/>
                <w:szCs w:val="20"/>
                <w:u w:val="double"/>
              </w:rPr>
              <w:t>786</w:t>
            </w:r>
          </w:p>
        </w:tc>
      </w:tr>
      <w:tr w:rsidR="00DC71C1" w:rsidRPr="00BC5498" w:rsidTr="00A425E5">
        <w:trPr>
          <w:trHeight w:val="33"/>
        </w:trPr>
        <w:tc>
          <w:tcPr>
            <w:tcW w:w="1125" w:type="dxa"/>
            <w:noWrap/>
            <w:vAlign w:val="bottom"/>
          </w:tcPr>
          <w:p w:rsidR="00DC71C1" w:rsidRPr="00BC5498" w:rsidRDefault="00DC71C1" w:rsidP="00A425E5">
            <w:pPr>
              <w:jc w:val="right"/>
              <w:rPr>
                <w:rFonts w:ascii="SWISS" w:hAnsi="SWISS" w:cs="Arial"/>
                <w:sz w:val="20"/>
                <w:szCs w:val="20"/>
              </w:rPr>
            </w:pPr>
            <w:r w:rsidRPr="00BC5498">
              <w:rPr>
                <w:rFonts w:ascii="SWISS" w:hAnsi="SWISS" w:cs="Arial"/>
                <w:sz w:val="20"/>
                <w:szCs w:val="20"/>
              </w:rPr>
              <w:t> </w:t>
            </w:r>
          </w:p>
        </w:tc>
        <w:tc>
          <w:tcPr>
            <w:tcW w:w="7203" w:type="dxa"/>
            <w:gridSpan w:val="2"/>
            <w:noWrap/>
            <w:vAlign w:val="bottom"/>
          </w:tcPr>
          <w:p w:rsidR="00DC71C1" w:rsidRPr="00BC5498" w:rsidRDefault="00DC71C1" w:rsidP="00A425E5">
            <w:pPr>
              <w:rPr>
                <w:rFonts w:ascii="SWISS" w:hAnsi="SWISS" w:cs="Arial"/>
                <w:sz w:val="20"/>
                <w:szCs w:val="20"/>
              </w:rPr>
            </w:pPr>
          </w:p>
        </w:tc>
        <w:tc>
          <w:tcPr>
            <w:tcW w:w="53" w:type="dxa"/>
            <w:vAlign w:val="bottom"/>
          </w:tcPr>
          <w:p w:rsidR="00DC71C1" w:rsidRPr="00BC5498" w:rsidRDefault="00DC71C1" w:rsidP="00A425E5">
            <w:pPr>
              <w:jc w:val="right"/>
              <w:rPr>
                <w:rFonts w:ascii="SWISS" w:hAnsi="SWISS" w:cs="Arial"/>
                <w:sz w:val="20"/>
                <w:szCs w:val="20"/>
                <w:u w:val="double"/>
              </w:rPr>
            </w:pPr>
          </w:p>
        </w:tc>
        <w:tc>
          <w:tcPr>
            <w:tcW w:w="1464" w:type="dxa"/>
            <w:noWrap/>
            <w:vAlign w:val="bottom"/>
          </w:tcPr>
          <w:p w:rsidR="00DC71C1" w:rsidRPr="00BC5498" w:rsidRDefault="00DC71C1" w:rsidP="00A425E5">
            <w:pPr>
              <w:jc w:val="right"/>
              <w:rPr>
                <w:rFonts w:ascii="SWISS" w:hAnsi="SWISS" w:cs="Arial"/>
                <w:sz w:val="20"/>
                <w:szCs w:val="20"/>
                <w:u w:val="double"/>
              </w:rPr>
            </w:pPr>
          </w:p>
        </w:tc>
      </w:tr>
      <w:tr w:rsidR="00DC71C1" w:rsidRPr="00BC5498" w:rsidTr="00A425E5">
        <w:trPr>
          <w:trHeight w:val="33"/>
        </w:trPr>
        <w:tc>
          <w:tcPr>
            <w:tcW w:w="1125" w:type="dxa"/>
            <w:noWrap/>
            <w:vAlign w:val="bottom"/>
          </w:tcPr>
          <w:p w:rsidR="00DC71C1" w:rsidRPr="00BC5498" w:rsidRDefault="00DC71C1" w:rsidP="00A425E5">
            <w:pPr>
              <w:jc w:val="right"/>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sz w:val="20"/>
                <w:szCs w:val="20"/>
              </w:rPr>
            </w:pPr>
          </w:p>
        </w:tc>
        <w:tc>
          <w:tcPr>
            <w:tcW w:w="53" w:type="dxa"/>
            <w:vAlign w:val="bottom"/>
          </w:tcPr>
          <w:p w:rsidR="00DC71C1" w:rsidRPr="00BC5498" w:rsidRDefault="00DC71C1" w:rsidP="00A425E5">
            <w:pPr>
              <w:jc w:val="right"/>
              <w:rPr>
                <w:rFonts w:ascii="SWISS" w:hAnsi="SWISS" w:cs="Arial"/>
                <w:sz w:val="20"/>
                <w:szCs w:val="20"/>
                <w:u w:val="double"/>
              </w:rPr>
            </w:pPr>
          </w:p>
        </w:tc>
        <w:tc>
          <w:tcPr>
            <w:tcW w:w="1464" w:type="dxa"/>
            <w:noWrap/>
            <w:vAlign w:val="bottom"/>
          </w:tcPr>
          <w:p w:rsidR="00DC71C1" w:rsidRPr="00BC5498" w:rsidRDefault="00DC71C1" w:rsidP="00A425E5">
            <w:pPr>
              <w:jc w:val="right"/>
              <w:rPr>
                <w:rFonts w:ascii="SWISS" w:hAnsi="SWISS" w:cs="Arial"/>
                <w:sz w:val="20"/>
                <w:szCs w:val="20"/>
                <w:u w:val="double"/>
              </w:rPr>
            </w:pPr>
          </w:p>
        </w:tc>
      </w:tr>
      <w:tr w:rsidR="00DC71C1" w:rsidRPr="00BC5498" w:rsidTr="00A425E5">
        <w:trPr>
          <w:trHeight w:val="35"/>
        </w:trPr>
        <w:tc>
          <w:tcPr>
            <w:tcW w:w="1125" w:type="dxa"/>
            <w:noWrap/>
            <w:vAlign w:val="bottom"/>
          </w:tcPr>
          <w:p w:rsidR="00DC71C1" w:rsidRPr="00BC5498" w:rsidRDefault="00DC71C1" w:rsidP="00A425E5">
            <w:pPr>
              <w:jc w:val="center"/>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b/>
                <w:bCs/>
                <w:sz w:val="20"/>
                <w:szCs w:val="20"/>
              </w:rPr>
            </w:pPr>
            <w:r w:rsidRPr="00BC5498">
              <w:rPr>
                <w:rFonts w:ascii="SWISS" w:hAnsi="SWISS" w:cs="Arial"/>
                <w:b/>
                <w:bCs/>
                <w:sz w:val="20"/>
                <w:szCs w:val="20"/>
              </w:rPr>
              <w:t>DEPRECIATION EXPENSE</w:t>
            </w:r>
          </w:p>
        </w:tc>
        <w:tc>
          <w:tcPr>
            <w:tcW w:w="53" w:type="dxa"/>
            <w:vAlign w:val="bottom"/>
          </w:tcPr>
          <w:p w:rsidR="00DC71C1" w:rsidRPr="00BC5498" w:rsidRDefault="00DC71C1" w:rsidP="00A425E5">
            <w:pPr>
              <w:jc w:val="right"/>
              <w:rPr>
                <w:rFonts w:ascii="SWISS" w:hAnsi="SWISS" w:cs="Arial"/>
                <w:color w:val="000000"/>
                <w:sz w:val="20"/>
                <w:szCs w:val="20"/>
                <w:u w:val="double"/>
              </w:rPr>
            </w:pPr>
          </w:p>
        </w:tc>
        <w:tc>
          <w:tcPr>
            <w:tcW w:w="1464" w:type="dxa"/>
            <w:noWrap/>
            <w:vAlign w:val="bottom"/>
          </w:tcPr>
          <w:p w:rsidR="00DC71C1" w:rsidRPr="00BC5498" w:rsidRDefault="00DC71C1" w:rsidP="00A425E5">
            <w:pPr>
              <w:jc w:val="right"/>
              <w:rPr>
                <w:rFonts w:ascii="SWISS" w:hAnsi="SWISS" w:cs="Arial"/>
                <w:color w:val="000000"/>
                <w:sz w:val="20"/>
                <w:szCs w:val="20"/>
                <w:u w:val="double"/>
              </w:rPr>
            </w:pPr>
          </w:p>
        </w:tc>
      </w:tr>
      <w:tr w:rsidR="00DC71C1" w:rsidRPr="00BC5498" w:rsidTr="00A425E5">
        <w:trPr>
          <w:trHeight w:val="35"/>
        </w:trPr>
        <w:tc>
          <w:tcPr>
            <w:tcW w:w="1125" w:type="dxa"/>
            <w:noWrap/>
            <w:vAlign w:val="bottom"/>
          </w:tcPr>
          <w:p w:rsidR="00DC71C1" w:rsidRPr="00BC5498" w:rsidRDefault="00DC71C1" w:rsidP="00A425E5">
            <w:pPr>
              <w:jc w:val="center"/>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sz w:val="20"/>
                <w:szCs w:val="20"/>
              </w:rPr>
            </w:pPr>
            <w:r w:rsidRPr="00BC5498">
              <w:rPr>
                <w:rFonts w:ascii="SWISS" w:hAnsi="SWISS" w:cs="Arial"/>
                <w:sz w:val="20"/>
                <w:szCs w:val="20"/>
              </w:rPr>
              <w:t xml:space="preserve">To reflect </w:t>
            </w:r>
            <w:r>
              <w:rPr>
                <w:rFonts w:ascii="SWISS" w:hAnsi="SWISS" w:cs="Arial"/>
                <w:sz w:val="20"/>
                <w:szCs w:val="20"/>
              </w:rPr>
              <w:t>depreciation expense for pro forma plant additions and retirements.</w:t>
            </w:r>
          </w:p>
        </w:tc>
        <w:tc>
          <w:tcPr>
            <w:tcW w:w="53" w:type="dxa"/>
          </w:tcPr>
          <w:p w:rsidR="00DC71C1" w:rsidRPr="00BC5498" w:rsidRDefault="00DC71C1" w:rsidP="00A425E5">
            <w:pPr>
              <w:rPr>
                <w:rFonts w:ascii="SWISS" w:hAnsi="SWISS" w:cs="Arial"/>
                <w:color w:val="000000"/>
                <w:sz w:val="20"/>
                <w:szCs w:val="20"/>
                <w:u w:val="single"/>
              </w:rPr>
            </w:pPr>
          </w:p>
        </w:tc>
        <w:tc>
          <w:tcPr>
            <w:tcW w:w="1464" w:type="dxa"/>
            <w:noWrap/>
          </w:tcPr>
          <w:p w:rsidR="00DC71C1" w:rsidRPr="00BC5498" w:rsidRDefault="00DC71C1" w:rsidP="00A425E5">
            <w:pPr>
              <w:jc w:val="right"/>
              <w:rPr>
                <w:rFonts w:ascii="SWISS" w:hAnsi="SWISS" w:cs="Arial"/>
                <w:color w:val="000000"/>
                <w:sz w:val="20"/>
                <w:szCs w:val="20"/>
                <w:u w:val="single"/>
              </w:rPr>
            </w:pPr>
            <w:r w:rsidRPr="00BC5498">
              <w:rPr>
                <w:rFonts w:ascii="SWISS" w:hAnsi="SWISS" w:cs="Arial"/>
                <w:sz w:val="20"/>
                <w:szCs w:val="20"/>
                <w:u w:val="double"/>
              </w:rPr>
              <w:t>$</w:t>
            </w:r>
            <w:r>
              <w:rPr>
                <w:rFonts w:ascii="SWISS" w:hAnsi="SWISS" w:cs="Arial"/>
                <w:sz w:val="20"/>
                <w:szCs w:val="20"/>
                <w:u w:val="double"/>
              </w:rPr>
              <w:t>15</w:t>
            </w:r>
            <w:r w:rsidRPr="00BC5498">
              <w:rPr>
                <w:rFonts w:ascii="SWISS" w:hAnsi="SWISS" w:cs="Arial"/>
                <w:sz w:val="20"/>
                <w:szCs w:val="20"/>
                <w:u w:val="double"/>
              </w:rPr>
              <w:t>,</w:t>
            </w:r>
            <w:r>
              <w:rPr>
                <w:rFonts w:ascii="SWISS" w:hAnsi="SWISS" w:cs="Arial"/>
                <w:sz w:val="20"/>
                <w:szCs w:val="20"/>
                <w:u w:val="double"/>
              </w:rPr>
              <w:t>061</w:t>
            </w:r>
          </w:p>
        </w:tc>
      </w:tr>
      <w:tr w:rsidR="00DC71C1" w:rsidRPr="00BC5498" w:rsidTr="00A425E5">
        <w:trPr>
          <w:trHeight w:val="35"/>
        </w:trPr>
        <w:tc>
          <w:tcPr>
            <w:tcW w:w="1125" w:type="dxa"/>
            <w:noWrap/>
            <w:vAlign w:val="bottom"/>
          </w:tcPr>
          <w:p w:rsidR="00DC71C1" w:rsidRPr="00BC5498" w:rsidRDefault="00DC71C1" w:rsidP="00A425E5">
            <w:pPr>
              <w:jc w:val="center"/>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sz w:val="20"/>
                <w:szCs w:val="20"/>
              </w:rPr>
            </w:pPr>
          </w:p>
        </w:tc>
        <w:tc>
          <w:tcPr>
            <w:tcW w:w="53" w:type="dxa"/>
            <w:vAlign w:val="bottom"/>
          </w:tcPr>
          <w:p w:rsidR="00DC71C1" w:rsidRPr="00BC5498" w:rsidRDefault="00DC71C1" w:rsidP="00A425E5">
            <w:pPr>
              <w:jc w:val="right"/>
              <w:rPr>
                <w:rFonts w:ascii="SWISS" w:hAnsi="SWISS" w:cs="Arial"/>
                <w:sz w:val="20"/>
                <w:szCs w:val="20"/>
              </w:rPr>
            </w:pPr>
          </w:p>
        </w:tc>
        <w:tc>
          <w:tcPr>
            <w:tcW w:w="1464" w:type="dxa"/>
            <w:noWrap/>
            <w:vAlign w:val="bottom"/>
          </w:tcPr>
          <w:p w:rsidR="00DC71C1" w:rsidRPr="00BC5498" w:rsidRDefault="00DC71C1" w:rsidP="00A425E5">
            <w:pPr>
              <w:jc w:val="right"/>
              <w:rPr>
                <w:rFonts w:ascii="SWISS" w:hAnsi="SWISS" w:cs="Arial"/>
                <w:sz w:val="20"/>
                <w:szCs w:val="20"/>
              </w:rPr>
            </w:pPr>
          </w:p>
        </w:tc>
      </w:tr>
      <w:tr w:rsidR="00DC71C1" w:rsidRPr="00BC5498" w:rsidTr="00A425E5">
        <w:trPr>
          <w:trHeight w:val="35"/>
        </w:trPr>
        <w:tc>
          <w:tcPr>
            <w:tcW w:w="1125" w:type="dxa"/>
            <w:noWrap/>
            <w:vAlign w:val="bottom"/>
          </w:tcPr>
          <w:p w:rsidR="00DC71C1" w:rsidRPr="00BC5498" w:rsidRDefault="00DC71C1" w:rsidP="00A425E5">
            <w:pPr>
              <w:jc w:val="center"/>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sz w:val="20"/>
                <w:szCs w:val="20"/>
              </w:rPr>
            </w:pPr>
            <w:r w:rsidRPr="00BC5498">
              <w:rPr>
                <w:rFonts w:ascii="SWISS" w:hAnsi="SWISS" w:cs="Arial"/>
                <w:b/>
                <w:bCs/>
                <w:sz w:val="20"/>
                <w:szCs w:val="20"/>
              </w:rPr>
              <w:t>TAXES OTHER THAN INCOME</w:t>
            </w:r>
          </w:p>
        </w:tc>
        <w:tc>
          <w:tcPr>
            <w:tcW w:w="53" w:type="dxa"/>
            <w:vAlign w:val="bottom"/>
          </w:tcPr>
          <w:p w:rsidR="00DC71C1" w:rsidRPr="00BC5498" w:rsidRDefault="00DC71C1" w:rsidP="00A425E5">
            <w:pPr>
              <w:jc w:val="right"/>
              <w:rPr>
                <w:rFonts w:ascii="SWISS" w:hAnsi="SWISS" w:cs="Arial"/>
                <w:sz w:val="20"/>
                <w:szCs w:val="20"/>
              </w:rPr>
            </w:pPr>
          </w:p>
        </w:tc>
        <w:tc>
          <w:tcPr>
            <w:tcW w:w="1464" w:type="dxa"/>
            <w:noWrap/>
            <w:vAlign w:val="bottom"/>
          </w:tcPr>
          <w:p w:rsidR="00DC71C1" w:rsidRPr="00BC5498" w:rsidRDefault="00DC71C1" w:rsidP="00A425E5">
            <w:pPr>
              <w:jc w:val="right"/>
              <w:rPr>
                <w:rFonts w:ascii="SWISS" w:hAnsi="SWISS" w:cs="Arial"/>
                <w:sz w:val="20"/>
                <w:szCs w:val="20"/>
              </w:rPr>
            </w:pPr>
          </w:p>
        </w:tc>
      </w:tr>
      <w:tr w:rsidR="00DC71C1" w:rsidRPr="00BC5498" w:rsidTr="00A425E5">
        <w:trPr>
          <w:trHeight w:val="35"/>
        </w:trPr>
        <w:tc>
          <w:tcPr>
            <w:tcW w:w="1125" w:type="dxa"/>
            <w:noWrap/>
            <w:vAlign w:val="bottom"/>
          </w:tcPr>
          <w:p w:rsidR="00DC71C1" w:rsidRPr="00BC5498" w:rsidRDefault="00DC71C1" w:rsidP="00A425E5">
            <w:pPr>
              <w:jc w:val="center"/>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sz w:val="20"/>
                <w:szCs w:val="20"/>
              </w:rPr>
            </w:pPr>
            <w:r w:rsidRPr="00BC5498">
              <w:rPr>
                <w:rFonts w:ascii="SWISS" w:hAnsi="SWISS" w:cs="Arial"/>
                <w:sz w:val="20"/>
                <w:szCs w:val="20"/>
              </w:rPr>
              <w:t xml:space="preserve">To reflect </w:t>
            </w:r>
            <w:r>
              <w:rPr>
                <w:rFonts w:ascii="SWISS" w:hAnsi="SWISS" w:cs="Arial"/>
                <w:sz w:val="20"/>
                <w:szCs w:val="20"/>
              </w:rPr>
              <w:t xml:space="preserve">pro forma </w:t>
            </w:r>
            <w:r w:rsidRPr="00BC5498">
              <w:rPr>
                <w:rFonts w:ascii="SWISS" w:hAnsi="SWISS" w:cs="Arial"/>
                <w:sz w:val="20"/>
                <w:szCs w:val="20"/>
              </w:rPr>
              <w:t>increase to utility property taxes</w:t>
            </w:r>
            <w:r>
              <w:rPr>
                <w:rFonts w:ascii="SWISS" w:hAnsi="SWISS" w:cs="Arial"/>
                <w:sz w:val="20"/>
                <w:szCs w:val="20"/>
              </w:rPr>
              <w:t xml:space="preserve"> on net pro forma plant</w:t>
            </w:r>
            <w:r w:rsidRPr="00BC5498">
              <w:rPr>
                <w:rFonts w:ascii="SWISS" w:hAnsi="SWISS" w:cs="Arial"/>
                <w:sz w:val="20"/>
                <w:szCs w:val="20"/>
              </w:rPr>
              <w:t>.</w:t>
            </w:r>
          </w:p>
        </w:tc>
        <w:tc>
          <w:tcPr>
            <w:tcW w:w="53" w:type="dxa"/>
            <w:vAlign w:val="bottom"/>
          </w:tcPr>
          <w:p w:rsidR="00DC71C1" w:rsidRPr="00BC5498" w:rsidRDefault="00DC71C1" w:rsidP="00A425E5">
            <w:pPr>
              <w:jc w:val="right"/>
              <w:rPr>
                <w:rFonts w:ascii="SWISS" w:hAnsi="SWISS" w:cs="Arial"/>
                <w:sz w:val="20"/>
                <w:szCs w:val="20"/>
                <w:u w:val="single"/>
              </w:rPr>
            </w:pPr>
          </w:p>
        </w:tc>
        <w:tc>
          <w:tcPr>
            <w:tcW w:w="1464" w:type="dxa"/>
            <w:noWrap/>
            <w:vAlign w:val="bottom"/>
          </w:tcPr>
          <w:p w:rsidR="00DC71C1" w:rsidRPr="00BC5498" w:rsidRDefault="00DC71C1" w:rsidP="00A425E5">
            <w:pPr>
              <w:jc w:val="right"/>
              <w:rPr>
                <w:rFonts w:ascii="SWISS" w:hAnsi="SWISS" w:cs="Arial"/>
                <w:sz w:val="20"/>
                <w:szCs w:val="20"/>
                <w:u w:val="single"/>
              </w:rPr>
            </w:pPr>
            <w:r w:rsidRPr="00BC5498">
              <w:rPr>
                <w:rFonts w:ascii="SWISS" w:hAnsi="SWISS" w:cs="Arial"/>
                <w:sz w:val="20"/>
                <w:szCs w:val="20"/>
                <w:u w:val="double"/>
              </w:rPr>
              <w:t>$</w:t>
            </w:r>
            <w:r>
              <w:rPr>
                <w:rFonts w:ascii="SWISS" w:hAnsi="SWISS" w:cs="Arial"/>
                <w:sz w:val="20"/>
                <w:szCs w:val="20"/>
                <w:u w:val="double"/>
              </w:rPr>
              <w:t>5</w:t>
            </w:r>
            <w:r w:rsidRPr="00BC5498">
              <w:rPr>
                <w:rFonts w:ascii="SWISS" w:hAnsi="SWISS" w:cs="Arial"/>
                <w:sz w:val="20"/>
                <w:szCs w:val="20"/>
                <w:u w:val="double"/>
              </w:rPr>
              <w:t>,</w:t>
            </w:r>
            <w:r>
              <w:rPr>
                <w:rFonts w:ascii="SWISS" w:hAnsi="SWISS" w:cs="Arial"/>
                <w:sz w:val="20"/>
                <w:szCs w:val="20"/>
                <w:u w:val="double"/>
              </w:rPr>
              <w:t>928</w:t>
            </w:r>
          </w:p>
        </w:tc>
      </w:tr>
      <w:tr w:rsidR="00DC71C1" w:rsidRPr="00BC5498" w:rsidTr="00A425E5">
        <w:trPr>
          <w:trHeight w:val="35"/>
        </w:trPr>
        <w:tc>
          <w:tcPr>
            <w:tcW w:w="1125" w:type="dxa"/>
            <w:noWrap/>
            <w:vAlign w:val="bottom"/>
          </w:tcPr>
          <w:p w:rsidR="00DC71C1" w:rsidRPr="00BC5498" w:rsidRDefault="00DC71C1" w:rsidP="00A425E5">
            <w:pPr>
              <w:jc w:val="center"/>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sz w:val="20"/>
                <w:szCs w:val="20"/>
              </w:rPr>
            </w:pPr>
          </w:p>
        </w:tc>
        <w:tc>
          <w:tcPr>
            <w:tcW w:w="53" w:type="dxa"/>
            <w:vAlign w:val="bottom"/>
          </w:tcPr>
          <w:p w:rsidR="00DC71C1" w:rsidRPr="00BC5498" w:rsidRDefault="00DC71C1" w:rsidP="00A425E5">
            <w:pPr>
              <w:jc w:val="right"/>
              <w:rPr>
                <w:rFonts w:ascii="SWISS" w:hAnsi="SWISS" w:cs="Arial"/>
                <w:sz w:val="20"/>
                <w:szCs w:val="20"/>
                <w:u w:val="double"/>
              </w:rPr>
            </w:pPr>
          </w:p>
        </w:tc>
        <w:tc>
          <w:tcPr>
            <w:tcW w:w="1464" w:type="dxa"/>
            <w:noWrap/>
            <w:vAlign w:val="bottom"/>
          </w:tcPr>
          <w:p w:rsidR="00DC71C1" w:rsidRPr="00BC5498" w:rsidRDefault="00DC71C1" w:rsidP="00A425E5">
            <w:pPr>
              <w:jc w:val="right"/>
              <w:rPr>
                <w:rFonts w:ascii="SWISS" w:hAnsi="SWISS" w:cs="Arial"/>
                <w:sz w:val="20"/>
                <w:szCs w:val="20"/>
                <w:u w:val="double"/>
              </w:rPr>
            </w:pPr>
          </w:p>
        </w:tc>
      </w:tr>
      <w:tr w:rsidR="00DC71C1" w:rsidRPr="00BC5498" w:rsidTr="00A425E5">
        <w:trPr>
          <w:trHeight w:val="35"/>
        </w:trPr>
        <w:tc>
          <w:tcPr>
            <w:tcW w:w="1125" w:type="dxa"/>
            <w:noWrap/>
            <w:vAlign w:val="bottom"/>
          </w:tcPr>
          <w:p w:rsidR="00DC71C1" w:rsidRPr="00BC5498" w:rsidRDefault="00DC71C1" w:rsidP="00A425E5">
            <w:pPr>
              <w:jc w:val="center"/>
              <w:rPr>
                <w:rFonts w:ascii="SWISS" w:hAnsi="SWISS" w:cs="Arial"/>
                <w:sz w:val="20"/>
                <w:szCs w:val="20"/>
              </w:rPr>
            </w:pPr>
          </w:p>
        </w:tc>
        <w:tc>
          <w:tcPr>
            <w:tcW w:w="7203" w:type="dxa"/>
            <w:gridSpan w:val="2"/>
            <w:noWrap/>
            <w:vAlign w:val="bottom"/>
          </w:tcPr>
          <w:p w:rsidR="00DC71C1" w:rsidRPr="00BC5498" w:rsidRDefault="00DC71C1" w:rsidP="00A425E5">
            <w:pPr>
              <w:rPr>
                <w:rFonts w:ascii="SWISS" w:hAnsi="SWISS" w:cs="Arial"/>
                <w:sz w:val="20"/>
                <w:szCs w:val="20"/>
              </w:rPr>
            </w:pPr>
          </w:p>
        </w:tc>
        <w:tc>
          <w:tcPr>
            <w:tcW w:w="53" w:type="dxa"/>
          </w:tcPr>
          <w:p w:rsidR="00DC71C1" w:rsidRPr="00BC5498" w:rsidRDefault="00DC71C1" w:rsidP="00A425E5">
            <w:pPr>
              <w:rPr>
                <w:rFonts w:ascii="SWISS" w:hAnsi="SWISS" w:cs="Arial"/>
                <w:color w:val="000000"/>
                <w:sz w:val="20"/>
                <w:szCs w:val="20"/>
                <w:u w:val="single"/>
              </w:rPr>
            </w:pPr>
          </w:p>
        </w:tc>
        <w:tc>
          <w:tcPr>
            <w:tcW w:w="1464" w:type="dxa"/>
            <w:noWrap/>
            <w:vAlign w:val="bottom"/>
          </w:tcPr>
          <w:p w:rsidR="00DC71C1" w:rsidRPr="00BC5498" w:rsidRDefault="00DC71C1" w:rsidP="00A425E5">
            <w:pPr>
              <w:rPr>
                <w:rFonts w:ascii="SWISS" w:hAnsi="SWISS" w:cs="Arial"/>
                <w:color w:val="000000"/>
                <w:sz w:val="20"/>
                <w:szCs w:val="20"/>
                <w:u w:val="single"/>
              </w:rPr>
            </w:pPr>
          </w:p>
        </w:tc>
      </w:tr>
      <w:tr w:rsidR="00DC71C1" w:rsidRPr="00BC5498" w:rsidTr="00A425E5">
        <w:trPr>
          <w:trHeight w:val="35"/>
        </w:trPr>
        <w:tc>
          <w:tcPr>
            <w:tcW w:w="1125" w:type="dxa"/>
            <w:tcBorders>
              <w:bottom w:val="single" w:sz="4" w:space="0" w:color="auto"/>
            </w:tcBorders>
            <w:noWrap/>
            <w:vAlign w:val="bottom"/>
          </w:tcPr>
          <w:p w:rsidR="00DC71C1" w:rsidRPr="00BC5498" w:rsidRDefault="00DC71C1" w:rsidP="00A425E5">
            <w:pPr>
              <w:jc w:val="center"/>
              <w:rPr>
                <w:rFonts w:ascii="SWISS" w:hAnsi="SWISS" w:cs="Arial"/>
                <w:sz w:val="20"/>
                <w:szCs w:val="20"/>
              </w:rPr>
            </w:pPr>
          </w:p>
        </w:tc>
        <w:tc>
          <w:tcPr>
            <w:tcW w:w="7203" w:type="dxa"/>
            <w:gridSpan w:val="2"/>
            <w:tcBorders>
              <w:bottom w:val="single" w:sz="4" w:space="0" w:color="auto"/>
            </w:tcBorders>
            <w:noWrap/>
            <w:vAlign w:val="bottom"/>
          </w:tcPr>
          <w:p w:rsidR="00DC71C1" w:rsidRPr="00BC5498" w:rsidRDefault="00DC71C1" w:rsidP="00A425E5">
            <w:pPr>
              <w:rPr>
                <w:rFonts w:ascii="SWISS" w:hAnsi="SWISS" w:cs="Arial"/>
                <w:sz w:val="20"/>
                <w:szCs w:val="20"/>
              </w:rPr>
            </w:pPr>
          </w:p>
        </w:tc>
        <w:tc>
          <w:tcPr>
            <w:tcW w:w="53" w:type="dxa"/>
            <w:tcBorders>
              <w:bottom w:val="single" w:sz="4" w:space="0" w:color="auto"/>
            </w:tcBorders>
            <w:vAlign w:val="bottom"/>
          </w:tcPr>
          <w:p w:rsidR="00DC71C1" w:rsidRPr="00BC5498" w:rsidRDefault="00DC71C1" w:rsidP="00A425E5">
            <w:pPr>
              <w:jc w:val="right"/>
              <w:rPr>
                <w:rFonts w:ascii="SWISS" w:hAnsi="SWISS" w:cs="Arial"/>
                <w:color w:val="000000"/>
                <w:sz w:val="20"/>
                <w:szCs w:val="20"/>
                <w:u w:val="double"/>
              </w:rPr>
            </w:pPr>
          </w:p>
        </w:tc>
        <w:tc>
          <w:tcPr>
            <w:tcW w:w="1464" w:type="dxa"/>
            <w:tcBorders>
              <w:bottom w:val="single" w:sz="4" w:space="0" w:color="auto"/>
            </w:tcBorders>
            <w:noWrap/>
            <w:vAlign w:val="bottom"/>
          </w:tcPr>
          <w:p w:rsidR="00DC71C1" w:rsidRPr="00BC5498" w:rsidRDefault="00DC71C1" w:rsidP="00A425E5">
            <w:pPr>
              <w:jc w:val="right"/>
              <w:rPr>
                <w:rFonts w:ascii="SWISS" w:hAnsi="SWISS" w:cs="Arial"/>
                <w:color w:val="000000"/>
                <w:sz w:val="20"/>
                <w:szCs w:val="20"/>
                <w:u w:val="double"/>
              </w:rPr>
            </w:pPr>
          </w:p>
        </w:tc>
      </w:tr>
    </w:tbl>
    <w:p w:rsidR="000E28DF" w:rsidRDefault="000E28DF" w:rsidP="00E275D8">
      <w:pPr>
        <w:pStyle w:val="BodyText"/>
        <w:sectPr w:rsidR="000E28DF" w:rsidSect="00B127B2">
          <w:headerReference w:type="default" r:id="rId19"/>
          <w:pgSz w:w="12240" w:h="15840" w:code="1"/>
          <w:pgMar w:top="1584" w:right="1440" w:bottom="1440" w:left="1440" w:header="720" w:footer="720" w:gutter="0"/>
          <w:cols w:space="720"/>
          <w:formProt w:val="0"/>
          <w:docGrid w:linePitch="360"/>
        </w:sectPr>
      </w:pPr>
    </w:p>
    <w:tbl>
      <w:tblPr>
        <w:tblW w:w="9237" w:type="dxa"/>
        <w:tblInd w:w="98" w:type="dxa"/>
        <w:tblLook w:val="04A0" w:firstRow="1" w:lastRow="0" w:firstColumn="1" w:lastColumn="0" w:noHBand="0" w:noVBand="1"/>
      </w:tblPr>
      <w:tblGrid>
        <w:gridCol w:w="4917"/>
        <w:gridCol w:w="1440"/>
        <w:gridCol w:w="1440"/>
        <w:gridCol w:w="1440"/>
      </w:tblGrid>
      <w:tr w:rsidR="00DC71C1" w:rsidRPr="00BC5498" w:rsidTr="00A425E5">
        <w:trPr>
          <w:trHeight w:val="300"/>
        </w:trPr>
        <w:tc>
          <w:tcPr>
            <w:tcW w:w="4917" w:type="dxa"/>
            <w:tcBorders>
              <w:top w:val="single" w:sz="8" w:space="0" w:color="auto"/>
              <w:left w:val="single" w:sz="8" w:space="0" w:color="auto"/>
              <w:bottom w:val="nil"/>
              <w:right w:val="nil"/>
            </w:tcBorders>
            <w:noWrap/>
            <w:vAlign w:val="bottom"/>
            <w:hideMark/>
          </w:tcPr>
          <w:p w:rsidR="00DC71C1" w:rsidRPr="00BC5498" w:rsidRDefault="00DC71C1" w:rsidP="00A425E5">
            <w:pPr>
              <w:rPr>
                <w:rFonts w:ascii="SWISS" w:hAnsi="SWISS" w:cs="Arial"/>
                <w:color w:val="000000"/>
                <w:sz w:val="20"/>
                <w:szCs w:val="20"/>
              </w:rPr>
            </w:pPr>
            <w:r>
              <w:rPr>
                <w:rFonts w:ascii="SWISS" w:hAnsi="SWISS" w:cs="Arial"/>
                <w:b/>
                <w:bCs/>
                <w:color w:val="000000"/>
                <w:sz w:val="20"/>
                <w:szCs w:val="20"/>
              </w:rPr>
              <w:lastRenderedPageBreak/>
              <w:t>LITTLE GASPARILLA WATER UTILITY, INC.</w:t>
            </w:r>
          </w:p>
        </w:tc>
        <w:tc>
          <w:tcPr>
            <w:tcW w:w="1440" w:type="dxa"/>
            <w:tcBorders>
              <w:top w:val="single" w:sz="8" w:space="0" w:color="auto"/>
              <w:left w:val="nil"/>
              <w:bottom w:val="nil"/>
              <w:right w:val="nil"/>
            </w:tcBorders>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 </w:t>
            </w:r>
          </w:p>
        </w:tc>
        <w:tc>
          <w:tcPr>
            <w:tcW w:w="2880" w:type="dxa"/>
            <w:gridSpan w:val="2"/>
            <w:tcBorders>
              <w:top w:val="single" w:sz="8" w:space="0" w:color="auto"/>
              <w:left w:val="nil"/>
              <w:bottom w:val="nil"/>
              <w:right w:val="single" w:sz="8" w:space="0" w:color="000000"/>
            </w:tcBorders>
            <w:noWrap/>
            <w:vAlign w:val="bottom"/>
            <w:hideMark/>
          </w:tcPr>
          <w:p w:rsidR="00DC71C1" w:rsidRPr="00BC5498" w:rsidRDefault="00DC71C1" w:rsidP="00A425E5">
            <w:pPr>
              <w:jc w:val="right"/>
              <w:rPr>
                <w:rFonts w:ascii="SWISS" w:hAnsi="SWISS" w:cs="Arial"/>
                <w:b/>
                <w:bCs/>
                <w:color w:val="000000"/>
                <w:sz w:val="20"/>
                <w:szCs w:val="20"/>
              </w:rPr>
            </w:pPr>
            <w:r w:rsidRPr="00BC5498">
              <w:rPr>
                <w:rFonts w:ascii="SWISS" w:hAnsi="SWISS" w:cs="Arial"/>
                <w:b/>
                <w:bCs/>
                <w:color w:val="000000"/>
                <w:sz w:val="20"/>
                <w:szCs w:val="20"/>
              </w:rPr>
              <w:t>SCHEDULE NO. 3-</w:t>
            </w:r>
            <w:r>
              <w:rPr>
                <w:rFonts w:ascii="SWISS" w:hAnsi="SWISS" w:cs="Arial"/>
                <w:b/>
                <w:bCs/>
                <w:color w:val="000000"/>
                <w:sz w:val="20"/>
                <w:szCs w:val="20"/>
              </w:rPr>
              <w:t>C</w:t>
            </w:r>
            <w:r w:rsidRPr="00BC5498">
              <w:rPr>
                <w:sz w:val="20"/>
                <w:szCs w:val="20"/>
              </w:rPr>
              <w:fldChar w:fldCharType="begin"/>
            </w:r>
            <w:r w:rsidRPr="00BC5498">
              <w:rPr>
                <w:sz w:val="20"/>
                <w:szCs w:val="20"/>
              </w:rPr>
              <w:instrText xml:space="preserve"> TC "</w:instrText>
            </w:r>
            <w:bookmarkStart w:id="58" w:name="_Toc294182207"/>
            <w:bookmarkStart w:id="59" w:name="_Toc295141631"/>
            <w:bookmarkStart w:id="60" w:name="_Toc327190753"/>
            <w:bookmarkStart w:id="61" w:name="_Toc333928466"/>
            <w:bookmarkStart w:id="62" w:name="_Toc339025191"/>
            <w:bookmarkStart w:id="63" w:name="_Toc353290013"/>
            <w:bookmarkStart w:id="64" w:name="_Toc358798425"/>
            <w:bookmarkStart w:id="65" w:name="_Toc381963580"/>
            <w:bookmarkStart w:id="66" w:name="_Toc389554435"/>
            <w:bookmarkStart w:id="67" w:name="_Toc391560264"/>
            <w:bookmarkStart w:id="68" w:name="_Toc398535520"/>
            <w:bookmarkStart w:id="69" w:name="_Toc399147321"/>
            <w:r w:rsidRPr="00BC5498">
              <w:rPr>
                <w:sz w:val="20"/>
                <w:szCs w:val="20"/>
              </w:rPr>
              <w:instrText xml:space="preserve"> </w:instrText>
            </w:r>
            <w:bookmarkStart w:id="70" w:name="_Toc478581582"/>
            <w:bookmarkStart w:id="71" w:name="_Toc451937576"/>
            <w:bookmarkStart w:id="72" w:name="_Toc422220891"/>
            <w:bookmarkStart w:id="73" w:name="_Toc441233998"/>
            <w:bookmarkStart w:id="74" w:name="_Toc443384733"/>
            <w:bookmarkStart w:id="75" w:name="_Toc481571386"/>
            <w:bookmarkStart w:id="76" w:name="_Toc484800707"/>
            <w:bookmarkStart w:id="77" w:name="_Toc496733050"/>
            <w:bookmarkStart w:id="78" w:name="_Toc499901222"/>
            <w:r w:rsidRPr="00BC5498">
              <w:rPr>
                <w:sz w:val="20"/>
                <w:szCs w:val="20"/>
              </w:rPr>
              <w:instrText>Schedule No. 3-</w:instrText>
            </w:r>
            <w:r>
              <w:rPr>
                <w:sz w:val="20"/>
                <w:szCs w:val="20"/>
              </w:rPr>
              <w:instrText>C</w:instrText>
            </w:r>
            <w:r w:rsidRPr="00BC5498">
              <w:rPr>
                <w:sz w:val="20"/>
                <w:szCs w:val="20"/>
              </w:rPr>
              <w:instrText xml:space="preserve"> Water O&amp;M Expense</w:instrTex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sz w:val="20"/>
                <w:szCs w:val="20"/>
              </w:rPr>
              <w:instrText xml:space="preserve"> – Phase II</w:instrText>
            </w:r>
            <w:bookmarkEnd w:id="78"/>
            <w:r w:rsidRPr="00BC5498">
              <w:rPr>
                <w:sz w:val="20"/>
                <w:szCs w:val="20"/>
              </w:rPr>
              <w:instrText xml:space="preserve">”\l 1 </w:instrText>
            </w:r>
            <w:r w:rsidRPr="00BC5498">
              <w:rPr>
                <w:sz w:val="20"/>
                <w:szCs w:val="20"/>
              </w:rPr>
              <w:fldChar w:fldCharType="end"/>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 xml:space="preserve">TEST YEAR ENDED </w:t>
            </w:r>
            <w:r>
              <w:rPr>
                <w:rFonts w:ascii="SWISS" w:hAnsi="SWISS" w:cs="Arial"/>
                <w:b/>
                <w:bCs/>
                <w:color w:val="000000"/>
                <w:sz w:val="20"/>
                <w:szCs w:val="20"/>
              </w:rPr>
              <w:t>9</w:t>
            </w:r>
            <w:r w:rsidRPr="00BC5498">
              <w:rPr>
                <w:rFonts w:ascii="SWISS" w:hAnsi="SWISS" w:cs="Arial"/>
                <w:b/>
                <w:bCs/>
                <w:color w:val="000000"/>
                <w:sz w:val="20"/>
                <w:szCs w:val="20"/>
              </w:rPr>
              <w:t>/</w:t>
            </w:r>
            <w:r>
              <w:rPr>
                <w:rFonts w:ascii="SWISS" w:hAnsi="SWISS" w:cs="Arial"/>
                <w:b/>
                <w:bCs/>
                <w:color w:val="000000"/>
                <w:sz w:val="20"/>
                <w:szCs w:val="20"/>
              </w:rPr>
              <w:t>30</w:t>
            </w:r>
            <w:r w:rsidRPr="00BC5498">
              <w:rPr>
                <w:rFonts w:ascii="SWISS" w:hAnsi="SWISS" w:cs="Arial"/>
                <w:b/>
                <w:bCs/>
                <w:color w:val="000000"/>
                <w:sz w:val="20"/>
                <w:szCs w:val="20"/>
              </w:rPr>
              <w:t>/201</w:t>
            </w:r>
            <w:r>
              <w:rPr>
                <w:rFonts w:ascii="SWISS" w:hAnsi="SWISS" w:cs="Arial"/>
                <w:b/>
                <w:bCs/>
                <w:color w:val="000000"/>
                <w:sz w:val="20"/>
                <w:szCs w:val="20"/>
              </w:rPr>
              <w:t>3</w:t>
            </w:r>
          </w:p>
        </w:tc>
        <w:tc>
          <w:tcPr>
            <w:tcW w:w="1440" w:type="dxa"/>
            <w:noWrap/>
            <w:vAlign w:val="bottom"/>
          </w:tcPr>
          <w:p w:rsidR="00DC71C1" w:rsidRPr="00BC5498" w:rsidRDefault="00DC71C1" w:rsidP="00A425E5">
            <w:pPr>
              <w:rPr>
                <w:rFonts w:ascii="SWISS" w:hAnsi="SWISS" w:cs="Arial"/>
                <w:b/>
                <w:bCs/>
                <w:color w:val="000000"/>
                <w:sz w:val="20"/>
                <w:szCs w:val="20"/>
              </w:rPr>
            </w:pPr>
          </w:p>
        </w:tc>
        <w:tc>
          <w:tcPr>
            <w:tcW w:w="2880" w:type="dxa"/>
            <w:gridSpan w:val="2"/>
            <w:tcBorders>
              <w:top w:val="nil"/>
              <w:left w:val="nil"/>
              <w:bottom w:val="nil"/>
              <w:right w:val="single" w:sz="8" w:space="0" w:color="auto"/>
            </w:tcBorders>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 xml:space="preserve">  DOCKET NO. 20</w:t>
            </w:r>
            <w:r>
              <w:rPr>
                <w:rFonts w:ascii="SWISS" w:hAnsi="SWISS" w:cs="Arial"/>
                <w:b/>
                <w:bCs/>
                <w:color w:val="000000"/>
                <w:sz w:val="20"/>
                <w:szCs w:val="20"/>
              </w:rPr>
              <w:t>130265</w:t>
            </w:r>
            <w:r w:rsidRPr="00BC5498">
              <w:rPr>
                <w:rFonts w:ascii="SWISS" w:hAnsi="SWISS" w:cs="Arial"/>
                <w:b/>
                <w:bCs/>
                <w:color w:val="000000"/>
                <w:sz w:val="20"/>
                <w:szCs w:val="20"/>
              </w:rPr>
              <w:t>-W</w:t>
            </w:r>
            <w:r>
              <w:rPr>
                <w:rFonts w:ascii="SWISS" w:hAnsi="SWISS" w:cs="Arial"/>
                <w:b/>
                <w:bCs/>
                <w:color w:val="000000"/>
                <w:sz w:val="20"/>
                <w:szCs w:val="20"/>
              </w:rPr>
              <w:t>U</w:t>
            </w:r>
          </w:p>
        </w:tc>
      </w:tr>
      <w:tr w:rsidR="00DC71C1" w:rsidRPr="00BC5498" w:rsidTr="00A425E5">
        <w:trPr>
          <w:trHeight w:val="312"/>
        </w:trPr>
        <w:tc>
          <w:tcPr>
            <w:tcW w:w="9237" w:type="dxa"/>
            <w:gridSpan w:val="4"/>
            <w:tcBorders>
              <w:top w:val="nil"/>
              <w:left w:val="single" w:sz="8" w:space="0" w:color="auto"/>
              <w:bottom w:val="single" w:sz="8" w:space="0" w:color="auto"/>
              <w:right w:val="single" w:sz="8" w:space="0" w:color="auto"/>
            </w:tcBorders>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ANALYSIS OF WATER OPERATION AND MAINTENANCE EXPENSE</w:t>
            </w:r>
            <w:r>
              <w:rPr>
                <w:rFonts w:ascii="SWISS" w:hAnsi="SWISS" w:cs="Arial"/>
                <w:b/>
                <w:bCs/>
                <w:color w:val="000000"/>
                <w:sz w:val="20"/>
                <w:szCs w:val="20"/>
              </w:rPr>
              <w:t xml:space="preserve"> (PHASE II) </w:t>
            </w:r>
          </w:p>
        </w:tc>
      </w:tr>
      <w:tr w:rsidR="00DC71C1" w:rsidRPr="00BC5498" w:rsidTr="00A425E5">
        <w:trPr>
          <w:trHeight w:val="300"/>
        </w:trPr>
        <w:tc>
          <w:tcPr>
            <w:tcW w:w="4917" w:type="dxa"/>
            <w:tcBorders>
              <w:top w:val="single" w:sz="8" w:space="0" w:color="auto"/>
              <w:left w:val="single" w:sz="8" w:space="0" w:color="auto"/>
              <w:bottom w:val="nil"/>
              <w:right w:val="nil"/>
            </w:tcBorders>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 </w:t>
            </w:r>
          </w:p>
        </w:tc>
        <w:tc>
          <w:tcPr>
            <w:tcW w:w="1440" w:type="dxa"/>
            <w:tcBorders>
              <w:top w:val="single" w:sz="8" w:space="0" w:color="auto"/>
              <w:left w:val="nil"/>
              <w:bottom w:val="nil"/>
              <w:right w:val="nil"/>
            </w:tcBorders>
            <w:noWrap/>
            <w:vAlign w:val="bottom"/>
            <w:hideMark/>
          </w:tcPr>
          <w:p w:rsidR="00DC71C1" w:rsidRPr="00BC5498" w:rsidRDefault="00DC71C1" w:rsidP="00A425E5">
            <w:pPr>
              <w:jc w:val="center"/>
              <w:rPr>
                <w:rFonts w:ascii="SWISS" w:hAnsi="SWISS" w:cs="Arial"/>
                <w:b/>
                <w:bCs/>
                <w:color w:val="000000"/>
                <w:sz w:val="20"/>
                <w:szCs w:val="20"/>
              </w:rPr>
            </w:pPr>
            <w:r>
              <w:rPr>
                <w:rFonts w:ascii="SWISS" w:hAnsi="SWISS" w:cs="Arial"/>
                <w:b/>
                <w:bCs/>
                <w:color w:val="000000"/>
                <w:sz w:val="20"/>
                <w:szCs w:val="20"/>
              </w:rPr>
              <w:t>PHASE I</w:t>
            </w:r>
          </w:p>
        </w:tc>
        <w:tc>
          <w:tcPr>
            <w:tcW w:w="1440" w:type="dxa"/>
            <w:tcBorders>
              <w:top w:val="single" w:sz="8" w:space="0" w:color="auto"/>
              <w:left w:val="nil"/>
              <w:bottom w:val="nil"/>
              <w:right w:val="nil"/>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STAFF</w:t>
            </w:r>
          </w:p>
        </w:tc>
        <w:tc>
          <w:tcPr>
            <w:tcW w:w="1440" w:type="dxa"/>
            <w:tcBorders>
              <w:top w:val="single" w:sz="8" w:space="0" w:color="auto"/>
              <w:left w:val="nil"/>
              <w:bottom w:val="nil"/>
              <w:right w:val="single" w:sz="8" w:space="0" w:color="auto"/>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TOTAL</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 </w:t>
            </w:r>
          </w:p>
        </w:tc>
        <w:tc>
          <w:tcPr>
            <w:tcW w:w="1440" w:type="dxa"/>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PER</w:t>
            </w:r>
          </w:p>
        </w:tc>
        <w:tc>
          <w:tcPr>
            <w:tcW w:w="1440" w:type="dxa"/>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ADJUST-</w:t>
            </w:r>
          </w:p>
        </w:tc>
        <w:tc>
          <w:tcPr>
            <w:tcW w:w="1440" w:type="dxa"/>
            <w:tcBorders>
              <w:top w:val="nil"/>
              <w:left w:val="nil"/>
              <w:bottom w:val="nil"/>
              <w:right w:val="single" w:sz="8" w:space="0" w:color="auto"/>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PER</w:t>
            </w:r>
          </w:p>
        </w:tc>
      </w:tr>
      <w:tr w:rsidR="00DC71C1" w:rsidRPr="00BC5498" w:rsidTr="00A425E5">
        <w:trPr>
          <w:trHeight w:val="312"/>
        </w:trPr>
        <w:tc>
          <w:tcPr>
            <w:tcW w:w="4917" w:type="dxa"/>
            <w:tcBorders>
              <w:top w:val="nil"/>
              <w:left w:val="single" w:sz="8" w:space="0" w:color="auto"/>
              <w:bottom w:val="single" w:sz="8" w:space="0" w:color="auto"/>
              <w:right w:val="nil"/>
            </w:tcBorders>
            <w:noWrap/>
            <w:vAlign w:val="bottom"/>
            <w:hideMark/>
          </w:tcPr>
          <w:p w:rsidR="00DC71C1" w:rsidRPr="00BC5498" w:rsidRDefault="00DC71C1" w:rsidP="00A425E5">
            <w:pPr>
              <w:rPr>
                <w:rFonts w:ascii="SWISS" w:hAnsi="SWISS" w:cs="Arial"/>
                <w:b/>
                <w:bCs/>
                <w:color w:val="000000"/>
                <w:sz w:val="20"/>
                <w:szCs w:val="20"/>
              </w:rPr>
            </w:pPr>
            <w:r w:rsidRPr="00BC5498">
              <w:rPr>
                <w:rFonts w:ascii="SWISS" w:hAnsi="SWISS" w:cs="Arial"/>
                <w:b/>
                <w:bCs/>
                <w:color w:val="000000"/>
                <w:sz w:val="20"/>
                <w:szCs w:val="20"/>
              </w:rPr>
              <w:t> </w:t>
            </w:r>
          </w:p>
        </w:tc>
        <w:tc>
          <w:tcPr>
            <w:tcW w:w="1440" w:type="dxa"/>
            <w:tcBorders>
              <w:top w:val="nil"/>
              <w:left w:val="nil"/>
              <w:bottom w:val="single" w:sz="8" w:space="0" w:color="auto"/>
              <w:right w:val="nil"/>
            </w:tcBorders>
            <w:noWrap/>
            <w:vAlign w:val="bottom"/>
            <w:hideMark/>
          </w:tcPr>
          <w:p w:rsidR="00DC71C1" w:rsidRPr="00BC5498" w:rsidRDefault="00DC71C1" w:rsidP="00A425E5">
            <w:pPr>
              <w:jc w:val="center"/>
              <w:rPr>
                <w:rFonts w:ascii="SWISS" w:hAnsi="SWISS" w:cs="Arial"/>
                <w:b/>
                <w:bCs/>
                <w:color w:val="000000"/>
                <w:sz w:val="20"/>
                <w:szCs w:val="20"/>
              </w:rPr>
            </w:pPr>
            <w:r>
              <w:rPr>
                <w:rFonts w:ascii="SWISS" w:hAnsi="SWISS" w:cs="Arial"/>
                <w:b/>
                <w:bCs/>
                <w:color w:val="000000"/>
                <w:sz w:val="20"/>
                <w:szCs w:val="20"/>
              </w:rPr>
              <w:t>COMM.</w:t>
            </w:r>
          </w:p>
        </w:tc>
        <w:tc>
          <w:tcPr>
            <w:tcW w:w="1440" w:type="dxa"/>
            <w:tcBorders>
              <w:top w:val="nil"/>
              <w:left w:val="nil"/>
              <w:bottom w:val="single" w:sz="8" w:space="0" w:color="auto"/>
              <w:right w:val="nil"/>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MENTS</w:t>
            </w:r>
          </w:p>
        </w:tc>
        <w:tc>
          <w:tcPr>
            <w:tcW w:w="1440" w:type="dxa"/>
            <w:tcBorders>
              <w:top w:val="nil"/>
              <w:left w:val="nil"/>
              <w:bottom w:val="single" w:sz="8" w:space="0" w:color="auto"/>
              <w:right w:val="single" w:sz="8" w:space="0" w:color="auto"/>
            </w:tcBorders>
            <w:noWrap/>
            <w:vAlign w:val="bottom"/>
            <w:hideMark/>
          </w:tcPr>
          <w:p w:rsidR="00DC71C1" w:rsidRPr="00BC5498" w:rsidRDefault="00DC71C1" w:rsidP="00A425E5">
            <w:pPr>
              <w:jc w:val="center"/>
              <w:rPr>
                <w:rFonts w:ascii="SWISS" w:hAnsi="SWISS" w:cs="Arial"/>
                <w:b/>
                <w:bCs/>
                <w:color w:val="000000"/>
                <w:sz w:val="20"/>
                <w:szCs w:val="20"/>
              </w:rPr>
            </w:pPr>
            <w:r w:rsidRPr="00BC5498">
              <w:rPr>
                <w:rFonts w:ascii="SWISS" w:hAnsi="SWISS" w:cs="Arial"/>
                <w:b/>
                <w:bCs/>
                <w:color w:val="000000"/>
                <w:sz w:val="20"/>
                <w:szCs w:val="20"/>
              </w:rPr>
              <w:t>STAFF</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(601) SALARIES AND WAGES - EMPLOYEES</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$22,665 </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$22,665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(603) SALARIES AND WAGES - OFFICERS</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70,710 </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70,710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(604) EMPLOYEE PENSIONS AND BENEFITS</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11,672 </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11,672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(610) PURCHASED WATER</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50,522 </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3,803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54,325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(615) PURCHASED POWER</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3,720 </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280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4,000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(616) FUEL FOR POWER PRODUCTION</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1,512 </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1,512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(618) CHEMICALS</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504 </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38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542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(620) MATERIALS AND SUPPLIES</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2,000 </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2,000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(630) CONTRACTUAL SERVICES - BILLING</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0 </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0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(631) CONTRACTUAL SERVICES - PROFESSIONAL</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4,660 </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4,660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(635) CONTRACTUAL SERVICES - TESTING</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1,929 </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1,929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(636) CONTRACTUAL SERVICES - OTHER</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9,257 </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9,257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(640) RENTS</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5,910 </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(3,510)</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2,400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(650) TRANSPORTATION EXPENSE</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6,359 </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6,359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(655) INSURANCE EXPENSE</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8,708 </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10,944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19,652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(665) REGULATORY COMMISSION EXPENSE</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3,546 </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9</w:t>
            </w:r>
            <w:r>
              <w:rPr>
                <w:rFonts w:ascii="SWISS" w:hAnsi="SWISS" w:cs="Arial"/>
                <w:sz w:val="20"/>
                <w:szCs w:val="20"/>
              </w:rPr>
              <w:t>59</w:t>
            </w:r>
            <w:r w:rsidRPr="009F493F">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4,</w:t>
            </w:r>
            <w:r>
              <w:rPr>
                <w:rFonts w:ascii="SWISS" w:hAnsi="SWISS" w:cs="Arial"/>
                <w:sz w:val="20"/>
                <w:szCs w:val="20"/>
              </w:rPr>
              <w:t>505</w:t>
            </w:r>
            <w:r w:rsidRPr="009F493F">
              <w:rPr>
                <w:rFonts w:ascii="SWISS" w:hAnsi="SWISS" w:cs="Arial"/>
                <w:sz w:val="20"/>
                <w:szCs w:val="20"/>
              </w:rPr>
              <w:t xml:space="preserve">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(670) BAD DEBT EXPENSE</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0 </w:t>
            </w:r>
          </w:p>
        </w:tc>
        <w:tc>
          <w:tcPr>
            <w:tcW w:w="1440" w:type="dxa"/>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rPr>
            </w:pPr>
            <w:r w:rsidRPr="009F493F">
              <w:rPr>
                <w:rFonts w:ascii="SWISS" w:hAnsi="SWISS" w:cs="Arial"/>
                <w:sz w:val="20"/>
                <w:szCs w:val="20"/>
              </w:rPr>
              <w:t xml:space="preserve">0 </w:t>
            </w:r>
          </w:p>
        </w:tc>
      </w:tr>
      <w:tr w:rsidR="00DC71C1" w:rsidRPr="00BC5498" w:rsidTr="00A425E5">
        <w:trPr>
          <w:trHeight w:val="300"/>
        </w:trPr>
        <w:tc>
          <w:tcPr>
            <w:tcW w:w="4917" w:type="dxa"/>
            <w:tcBorders>
              <w:top w:val="nil"/>
              <w:left w:val="single" w:sz="8" w:space="0" w:color="auto"/>
              <w:bottom w:val="nil"/>
              <w:right w:val="nil"/>
            </w:tcBorders>
            <w:noWrap/>
            <w:vAlign w:val="bottom"/>
          </w:tcPr>
          <w:p w:rsidR="00DC71C1" w:rsidRPr="00BC5498" w:rsidRDefault="00DC71C1" w:rsidP="00A425E5">
            <w:pPr>
              <w:rPr>
                <w:rFonts w:ascii="SWISS" w:hAnsi="SWISS" w:cs="Arial"/>
                <w:sz w:val="20"/>
                <w:szCs w:val="20"/>
              </w:rPr>
            </w:pPr>
            <w:r w:rsidRPr="00BC5498">
              <w:rPr>
                <w:rFonts w:ascii="SWISS" w:hAnsi="SWISS" w:cs="Arial"/>
                <w:sz w:val="20"/>
                <w:szCs w:val="20"/>
              </w:rPr>
              <w:t>(675) MISCELLANEOUS EXPENSE</w:t>
            </w:r>
          </w:p>
        </w:tc>
        <w:tc>
          <w:tcPr>
            <w:tcW w:w="1440" w:type="dxa"/>
            <w:noWrap/>
            <w:vAlign w:val="bottom"/>
          </w:tcPr>
          <w:p w:rsidR="00DC71C1" w:rsidRPr="00A04832" w:rsidRDefault="00DC71C1" w:rsidP="00A425E5">
            <w:pPr>
              <w:jc w:val="right"/>
              <w:rPr>
                <w:rFonts w:ascii="SWISS" w:hAnsi="SWISS" w:cs="Arial"/>
                <w:sz w:val="20"/>
                <w:szCs w:val="20"/>
              </w:rPr>
            </w:pPr>
            <w:r w:rsidRPr="00A04832">
              <w:rPr>
                <w:rFonts w:ascii="SWISS" w:hAnsi="SWISS" w:cs="Arial"/>
                <w:sz w:val="20"/>
                <w:szCs w:val="20"/>
              </w:rPr>
              <w:t xml:space="preserve">5,962 </w:t>
            </w:r>
          </w:p>
        </w:tc>
        <w:tc>
          <w:tcPr>
            <w:tcW w:w="1440" w:type="dxa"/>
            <w:noWrap/>
            <w:vAlign w:val="bottom"/>
          </w:tcPr>
          <w:p w:rsidR="00DC71C1" w:rsidRPr="00A04832" w:rsidRDefault="00DC71C1" w:rsidP="00A425E5">
            <w:pPr>
              <w:jc w:val="right"/>
              <w:rPr>
                <w:rFonts w:ascii="SWISS" w:hAnsi="SWISS" w:cs="Arial"/>
                <w:sz w:val="20"/>
                <w:szCs w:val="20"/>
              </w:rPr>
            </w:pPr>
            <w:r w:rsidRPr="00A04832">
              <w:rPr>
                <w:rFonts w:ascii="SWISS" w:hAnsi="SWISS" w:cs="Arial"/>
                <w:sz w:val="20"/>
                <w:szCs w:val="20"/>
              </w:rPr>
              <w:t xml:space="preserve">0 </w:t>
            </w:r>
          </w:p>
        </w:tc>
        <w:tc>
          <w:tcPr>
            <w:tcW w:w="1440" w:type="dxa"/>
            <w:tcBorders>
              <w:top w:val="nil"/>
              <w:left w:val="nil"/>
              <w:bottom w:val="nil"/>
              <w:right w:val="single" w:sz="8" w:space="0" w:color="auto"/>
            </w:tcBorders>
            <w:noWrap/>
            <w:vAlign w:val="bottom"/>
          </w:tcPr>
          <w:p w:rsidR="00DC71C1" w:rsidRPr="00A04832" w:rsidRDefault="00DC71C1" w:rsidP="00A425E5">
            <w:pPr>
              <w:jc w:val="right"/>
              <w:rPr>
                <w:rFonts w:ascii="SWISS" w:hAnsi="SWISS" w:cs="Arial"/>
                <w:sz w:val="20"/>
                <w:szCs w:val="20"/>
              </w:rPr>
            </w:pPr>
            <w:r w:rsidRPr="00A04832">
              <w:rPr>
                <w:rFonts w:ascii="SWISS" w:hAnsi="SWISS" w:cs="Arial"/>
                <w:sz w:val="20"/>
                <w:szCs w:val="20"/>
              </w:rPr>
              <w:t xml:space="preserve">5,962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Pr>
                <w:rFonts w:ascii="SWISS" w:hAnsi="SWISS" w:cs="Arial"/>
                <w:sz w:val="20"/>
                <w:szCs w:val="20"/>
              </w:rPr>
              <w:t>POST PHASE I PRICE INDEX/PASS THROUGHS</w:t>
            </w:r>
          </w:p>
        </w:tc>
        <w:tc>
          <w:tcPr>
            <w:tcW w:w="1440" w:type="dxa"/>
            <w:noWrap/>
            <w:vAlign w:val="bottom"/>
            <w:hideMark/>
          </w:tcPr>
          <w:p w:rsidR="00DC71C1" w:rsidRPr="009F493F" w:rsidRDefault="00DC71C1" w:rsidP="00A425E5">
            <w:pPr>
              <w:jc w:val="right"/>
              <w:rPr>
                <w:rFonts w:ascii="SWISS" w:hAnsi="SWISS" w:cs="Arial"/>
                <w:sz w:val="20"/>
                <w:szCs w:val="20"/>
                <w:u w:val="single"/>
              </w:rPr>
            </w:pPr>
            <w:r>
              <w:rPr>
                <w:rFonts w:ascii="SWISS" w:hAnsi="SWISS" w:cs="Arial"/>
                <w:sz w:val="20"/>
                <w:szCs w:val="20"/>
                <w:u w:val="single"/>
              </w:rPr>
              <w:t>0</w:t>
            </w:r>
            <w:r w:rsidRPr="009F493F">
              <w:rPr>
                <w:rFonts w:ascii="SWISS" w:hAnsi="SWISS" w:cs="Arial"/>
                <w:sz w:val="20"/>
                <w:szCs w:val="20"/>
                <w:u w:val="single"/>
              </w:rPr>
              <w:t xml:space="preserve"> </w:t>
            </w:r>
          </w:p>
        </w:tc>
        <w:tc>
          <w:tcPr>
            <w:tcW w:w="1440" w:type="dxa"/>
            <w:noWrap/>
            <w:vAlign w:val="bottom"/>
            <w:hideMark/>
          </w:tcPr>
          <w:p w:rsidR="00DC71C1" w:rsidRPr="009F493F" w:rsidRDefault="00DC71C1" w:rsidP="00A425E5">
            <w:pPr>
              <w:jc w:val="right"/>
              <w:rPr>
                <w:rFonts w:ascii="SWISS" w:hAnsi="SWISS" w:cs="Arial"/>
                <w:sz w:val="20"/>
                <w:szCs w:val="20"/>
                <w:u w:val="single"/>
              </w:rPr>
            </w:pPr>
            <w:r>
              <w:rPr>
                <w:rFonts w:ascii="SWISS" w:hAnsi="SWISS" w:cs="Arial"/>
                <w:sz w:val="20"/>
                <w:szCs w:val="20"/>
                <w:u w:val="single"/>
              </w:rPr>
              <w:t>15,272</w:t>
            </w:r>
            <w:r w:rsidRPr="009F493F">
              <w:rPr>
                <w:rFonts w:ascii="SWISS" w:hAnsi="SWISS" w:cs="Arial"/>
                <w:sz w:val="20"/>
                <w:szCs w:val="20"/>
                <w:u w:val="single"/>
              </w:rPr>
              <w:t xml:space="preserve">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u w:val="single"/>
              </w:rPr>
            </w:pPr>
            <w:r>
              <w:rPr>
                <w:rFonts w:ascii="SWISS" w:hAnsi="SWISS" w:cs="Arial"/>
                <w:sz w:val="20"/>
                <w:szCs w:val="20"/>
                <w:u w:val="single"/>
              </w:rPr>
              <w:t>15</w:t>
            </w:r>
            <w:r w:rsidRPr="009F493F">
              <w:rPr>
                <w:rFonts w:ascii="SWISS" w:hAnsi="SWISS" w:cs="Arial"/>
                <w:sz w:val="20"/>
                <w:szCs w:val="20"/>
                <w:u w:val="single"/>
              </w:rPr>
              <w:t>,</w:t>
            </w:r>
            <w:r>
              <w:rPr>
                <w:rFonts w:ascii="SWISS" w:hAnsi="SWISS" w:cs="Arial"/>
                <w:sz w:val="20"/>
                <w:szCs w:val="20"/>
                <w:u w:val="single"/>
              </w:rPr>
              <w:t>272</w:t>
            </w:r>
            <w:r w:rsidRPr="009F493F">
              <w:rPr>
                <w:rFonts w:ascii="SWISS" w:hAnsi="SWISS" w:cs="Arial"/>
                <w:sz w:val="20"/>
                <w:szCs w:val="20"/>
                <w:u w:val="single"/>
              </w:rPr>
              <w:t xml:space="preserve"> </w:t>
            </w: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 </w:t>
            </w:r>
          </w:p>
        </w:tc>
        <w:tc>
          <w:tcPr>
            <w:tcW w:w="1440" w:type="dxa"/>
            <w:noWrap/>
            <w:vAlign w:val="bottom"/>
            <w:hideMark/>
          </w:tcPr>
          <w:p w:rsidR="00DC71C1" w:rsidRPr="009F493F" w:rsidRDefault="00DC71C1" w:rsidP="00A425E5">
            <w:pPr>
              <w:jc w:val="right"/>
              <w:rPr>
                <w:rFonts w:ascii="SWISS" w:hAnsi="SWISS" w:cs="Arial"/>
                <w:sz w:val="20"/>
                <w:szCs w:val="20"/>
                <w:u w:val="single"/>
              </w:rPr>
            </w:pPr>
          </w:p>
        </w:tc>
        <w:tc>
          <w:tcPr>
            <w:tcW w:w="1440" w:type="dxa"/>
            <w:noWrap/>
            <w:vAlign w:val="bottom"/>
            <w:hideMark/>
          </w:tcPr>
          <w:p w:rsidR="00DC71C1" w:rsidRPr="009F493F" w:rsidRDefault="00DC71C1" w:rsidP="00A425E5">
            <w:pPr>
              <w:jc w:val="right"/>
              <w:rPr>
                <w:rFonts w:ascii="SWISS" w:hAnsi="SWISS" w:cs="Arial"/>
                <w:sz w:val="20"/>
                <w:szCs w:val="20"/>
                <w:u w:val="single"/>
              </w:rPr>
            </w:pP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u w:val="single"/>
              </w:rPr>
            </w:pPr>
          </w:p>
        </w:tc>
      </w:tr>
      <w:tr w:rsidR="00DC71C1" w:rsidRPr="00BC5498" w:rsidTr="00A425E5">
        <w:trPr>
          <w:trHeight w:val="300"/>
        </w:trPr>
        <w:tc>
          <w:tcPr>
            <w:tcW w:w="4917" w:type="dxa"/>
            <w:tcBorders>
              <w:top w:val="nil"/>
              <w:left w:val="single" w:sz="8" w:space="0" w:color="auto"/>
              <w:bottom w:val="nil"/>
              <w:right w:val="nil"/>
            </w:tcBorders>
            <w:noWrap/>
            <w:vAlign w:val="bottom"/>
            <w:hideMark/>
          </w:tcPr>
          <w:p w:rsidR="00DC71C1" w:rsidRPr="00BC5498" w:rsidRDefault="00DC71C1" w:rsidP="00A425E5">
            <w:pPr>
              <w:rPr>
                <w:rFonts w:ascii="SWISS" w:hAnsi="SWISS" w:cs="Arial"/>
                <w:sz w:val="20"/>
                <w:szCs w:val="20"/>
              </w:rPr>
            </w:pPr>
            <w:r w:rsidRPr="00BC5498">
              <w:rPr>
                <w:rFonts w:ascii="SWISS" w:hAnsi="SWISS" w:cs="Arial"/>
                <w:sz w:val="20"/>
                <w:szCs w:val="20"/>
              </w:rPr>
              <w:t> </w:t>
            </w:r>
          </w:p>
        </w:tc>
        <w:tc>
          <w:tcPr>
            <w:tcW w:w="1440" w:type="dxa"/>
            <w:noWrap/>
            <w:vAlign w:val="bottom"/>
            <w:hideMark/>
          </w:tcPr>
          <w:p w:rsidR="00DC71C1" w:rsidRPr="009F493F" w:rsidRDefault="00DC71C1" w:rsidP="00A425E5">
            <w:pPr>
              <w:jc w:val="right"/>
              <w:rPr>
                <w:rFonts w:ascii="SWISS" w:hAnsi="SWISS" w:cs="Arial"/>
                <w:sz w:val="20"/>
                <w:szCs w:val="20"/>
                <w:u w:val="double"/>
              </w:rPr>
            </w:pPr>
            <w:r w:rsidRPr="009F493F">
              <w:rPr>
                <w:rFonts w:ascii="SWISS" w:hAnsi="SWISS" w:cs="Arial"/>
                <w:sz w:val="20"/>
                <w:szCs w:val="20"/>
                <w:u w:val="double"/>
              </w:rPr>
              <w:t xml:space="preserve">$209,637 </w:t>
            </w:r>
          </w:p>
        </w:tc>
        <w:tc>
          <w:tcPr>
            <w:tcW w:w="1440" w:type="dxa"/>
            <w:noWrap/>
            <w:vAlign w:val="bottom"/>
            <w:hideMark/>
          </w:tcPr>
          <w:p w:rsidR="00DC71C1" w:rsidRPr="009F493F" w:rsidRDefault="00DC71C1" w:rsidP="00A425E5">
            <w:pPr>
              <w:jc w:val="right"/>
              <w:rPr>
                <w:rFonts w:ascii="SWISS" w:hAnsi="SWISS" w:cs="Arial"/>
                <w:sz w:val="20"/>
                <w:szCs w:val="20"/>
                <w:u w:val="double"/>
              </w:rPr>
            </w:pPr>
            <w:r w:rsidRPr="009F493F">
              <w:rPr>
                <w:rFonts w:ascii="SWISS" w:hAnsi="SWISS" w:cs="Arial"/>
                <w:sz w:val="20"/>
                <w:szCs w:val="20"/>
                <w:u w:val="double"/>
              </w:rPr>
              <w:t>$</w:t>
            </w:r>
            <w:r>
              <w:rPr>
                <w:rFonts w:ascii="SWISS" w:hAnsi="SWISS" w:cs="Arial"/>
                <w:sz w:val="20"/>
                <w:szCs w:val="20"/>
                <w:u w:val="double"/>
              </w:rPr>
              <w:t>27</w:t>
            </w:r>
            <w:r w:rsidRPr="009F493F">
              <w:rPr>
                <w:rFonts w:ascii="SWISS" w:hAnsi="SWISS" w:cs="Arial"/>
                <w:sz w:val="20"/>
                <w:szCs w:val="20"/>
                <w:u w:val="double"/>
              </w:rPr>
              <w:t>,</w:t>
            </w:r>
            <w:r>
              <w:rPr>
                <w:rFonts w:ascii="SWISS" w:hAnsi="SWISS" w:cs="Arial"/>
                <w:sz w:val="20"/>
                <w:szCs w:val="20"/>
                <w:u w:val="double"/>
              </w:rPr>
              <w:t>786</w:t>
            </w:r>
            <w:r w:rsidRPr="009F493F">
              <w:rPr>
                <w:rFonts w:ascii="SWISS" w:hAnsi="SWISS" w:cs="Arial"/>
                <w:sz w:val="20"/>
                <w:szCs w:val="20"/>
                <w:u w:val="double"/>
              </w:rPr>
              <w:t xml:space="preserve"> </w:t>
            </w:r>
          </w:p>
        </w:tc>
        <w:tc>
          <w:tcPr>
            <w:tcW w:w="1440" w:type="dxa"/>
            <w:tcBorders>
              <w:top w:val="nil"/>
              <w:left w:val="nil"/>
              <w:bottom w:val="nil"/>
              <w:right w:val="single" w:sz="8" w:space="0" w:color="auto"/>
            </w:tcBorders>
            <w:noWrap/>
            <w:vAlign w:val="bottom"/>
            <w:hideMark/>
          </w:tcPr>
          <w:p w:rsidR="00DC71C1" w:rsidRPr="009F493F" w:rsidRDefault="00DC71C1" w:rsidP="00A425E5">
            <w:pPr>
              <w:jc w:val="right"/>
              <w:rPr>
                <w:rFonts w:ascii="SWISS" w:hAnsi="SWISS" w:cs="Arial"/>
                <w:sz w:val="20"/>
                <w:szCs w:val="20"/>
                <w:u w:val="double"/>
              </w:rPr>
            </w:pPr>
            <w:r w:rsidRPr="009F493F">
              <w:rPr>
                <w:rFonts w:ascii="SWISS" w:hAnsi="SWISS" w:cs="Arial"/>
                <w:sz w:val="20"/>
                <w:szCs w:val="20"/>
                <w:u w:val="double"/>
              </w:rPr>
              <w:t>$2</w:t>
            </w:r>
            <w:r>
              <w:rPr>
                <w:rFonts w:ascii="SWISS" w:hAnsi="SWISS" w:cs="Arial"/>
                <w:sz w:val="20"/>
                <w:szCs w:val="20"/>
                <w:u w:val="double"/>
              </w:rPr>
              <w:t>37</w:t>
            </w:r>
            <w:r w:rsidRPr="009F493F">
              <w:rPr>
                <w:rFonts w:ascii="SWISS" w:hAnsi="SWISS" w:cs="Arial"/>
                <w:sz w:val="20"/>
                <w:szCs w:val="20"/>
                <w:u w:val="double"/>
              </w:rPr>
              <w:t>,</w:t>
            </w:r>
            <w:r>
              <w:rPr>
                <w:rFonts w:ascii="SWISS" w:hAnsi="SWISS" w:cs="Arial"/>
                <w:sz w:val="20"/>
                <w:szCs w:val="20"/>
                <w:u w:val="double"/>
              </w:rPr>
              <w:t>423</w:t>
            </w:r>
            <w:r w:rsidRPr="009F493F">
              <w:rPr>
                <w:rFonts w:ascii="SWISS" w:hAnsi="SWISS" w:cs="Arial"/>
                <w:sz w:val="20"/>
                <w:szCs w:val="20"/>
                <w:u w:val="double"/>
              </w:rPr>
              <w:t xml:space="preserve"> </w:t>
            </w:r>
          </w:p>
        </w:tc>
      </w:tr>
      <w:tr w:rsidR="00DC71C1" w:rsidRPr="00BC5498" w:rsidTr="00A425E5">
        <w:trPr>
          <w:trHeight w:val="312"/>
        </w:trPr>
        <w:tc>
          <w:tcPr>
            <w:tcW w:w="4917" w:type="dxa"/>
            <w:tcBorders>
              <w:top w:val="nil"/>
              <w:left w:val="single" w:sz="8" w:space="0" w:color="auto"/>
              <w:bottom w:val="single" w:sz="8" w:space="0" w:color="auto"/>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440" w:type="dxa"/>
            <w:tcBorders>
              <w:top w:val="nil"/>
              <w:left w:val="nil"/>
              <w:bottom w:val="single" w:sz="8" w:space="0" w:color="auto"/>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440" w:type="dxa"/>
            <w:tcBorders>
              <w:top w:val="nil"/>
              <w:left w:val="nil"/>
              <w:bottom w:val="single" w:sz="8" w:space="0" w:color="auto"/>
              <w:right w:val="nil"/>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c>
          <w:tcPr>
            <w:tcW w:w="1440" w:type="dxa"/>
            <w:tcBorders>
              <w:top w:val="nil"/>
              <w:left w:val="nil"/>
              <w:bottom w:val="single" w:sz="8" w:space="0" w:color="auto"/>
              <w:right w:val="single" w:sz="8" w:space="0" w:color="auto"/>
            </w:tcBorders>
            <w:noWrap/>
            <w:vAlign w:val="bottom"/>
            <w:hideMark/>
          </w:tcPr>
          <w:p w:rsidR="00DC71C1" w:rsidRPr="00BC5498" w:rsidRDefault="00DC71C1" w:rsidP="00A425E5">
            <w:pPr>
              <w:rPr>
                <w:rFonts w:ascii="SWISS" w:hAnsi="SWISS" w:cs="Arial"/>
                <w:color w:val="000000"/>
                <w:sz w:val="20"/>
                <w:szCs w:val="20"/>
              </w:rPr>
            </w:pPr>
            <w:r w:rsidRPr="00BC5498">
              <w:rPr>
                <w:rFonts w:ascii="SWISS" w:hAnsi="SWISS" w:cs="Arial"/>
                <w:color w:val="000000"/>
                <w:sz w:val="20"/>
                <w:szCs w:val="20"/>
              </w:rPr>
              <w:t> </w:t>
            </w:r>
          </w:p>
        </w:tc>
      </w:tr>
    </w:tbl>
    <w:p w:rsidR="000E28DF" w:rsidRDefault="000E28DF" w:rsidP="00E275D8">
      <w:pPr>
        <w:pStyle w:val="BodyText"/>
        <w:sectPr w:rsidR="000E28DF" w:rsidSect="00B127B2">
          <w:headerReference w:type="default" r:id="rId20"/>
          <w:pgSz w:w="12240" w:h="15840" w:code="1"/>
          <w:pgMar w:top="1584" w:right="1440" w:bottom="1440" w:left="1440" w:header="720" w:footer="720" w:gutter="0"/>
          <w:cols w:space="720"/>
          <w:formProt w:val="0"/>
          <w:docGrid w:linePitch="360"/>
        </w:sectPr>
      </w:pPr>
    </w:p>
    <w:tbl>
      <w:tblPr>
        <w:tblW w:w="11703" w:type="dxa"/>
        <w:jc w:val="center"/>
        <w:tblInd w:w="93" w:type="dxa"/>
        <w:tblLook w:val="04A0" w:firstRow="1" w:lastRow="0" w:firstColumn="1" w:lastColumn="0" w:noHBand="0" w:noVBand="1"/>
      </w:tblPr>
      <w:tblGrid>
        <w:gridCol w:w="5040"/>
        <w:gridCol w:w="1880"/>
        <w:gridCol w:w="1872"/>
        <w:gridCol w:w="2911"/>
      </w:tblGrid>
      <w:tr w:rsidR="00BF22F6" w:rsidTr="00BF22F6">
        <w:trPr>
          <w:trHeight w:val="315"/>
          <w:jc w:val="center"/>
        </w:trPr>
        <w:tc>
          <w:tcPr>
            <w:tcW w:w="5040" w:type="dxa"/>
            <w:tcBorders>
              <w:top w:val="single" w:sz="8" w:space="0" w:color="000000"/>
              <w:left w:val="single" w:sz="8" w:space="0" w:color="000000"/>
              <w:bottom w:val="nil"/>
              <w:right w:val="nil"/>
            </w:tcBorders>
            <w:shd w:val="clear" w:color="auto" w:fill="auto"/>
            <w:noWrap/>
            <w:vAlign w:val="bottom"/>
            <w:hideMark/>
          </w:tcPr>
          <w:p w:rsidR="00BF22F6" w:rsidRDefault="00BF22F6">
            <w:pPr>
              <w:rPr>
                <w:b/>
                <w:bCs/>
                <w:color w:val="000000"/>
                <w:sz w:val="20"/>
                <w:szCs w:val="20"/>
              </w:rPr>
            </w:pPr>
            <w:r>
              <w:rPr>
                <w:b/>
                <w:bCs/>
                <w:color w:val="000000"/>
                <w:sz w:val="20"/>
                <w:szCs w:val="20"/>
              </w:rPr>
              <w:lastRenderedPageBreak/>
              <w:t>LITTLE GASPARILLA WATER UTILITY, INC.</w:t>
            </w:r>
          </w:p>
        </w:tc>
        <w:tc>
          <w:tcPr>
            <w:tcW w:w="1880" w:type="dxa"/>
            <w:tcBorders>
              <w:top w:val="single" w:sz="8" w:space="0" w:color="000000"/>
              <w:left w:val="nil"/>
              <w:bottom w:val="nil"/>
              <w:right w:val="nil"/>
            </w:tcBorders>
            <w:shd w:val="clear" w:color="auto" w:fill="auto"/>
            <w:noWrap/>
            <w:vAlign w:val="bottom"/>
            <w:hideMark/>
          </w:tcPr>
          <w:p w:rsidR="00BF22F6" w:rsidRDefault="00BF22F6">
            <w:r>
              <w:t> </w:t>
            </w:r>
          </w:p>
        </w:tc>
        <w:tc>
          <w:tcPr>
            <w:tcW w:w="1872" w:type="dxa"/>
            <w:tcBorders>
              <w:top w:val="single" w:sz="8" w:space="0" w:color="000000"/>
              <w:left w:val="nil"/>
              <w:bottom w:val="nil"/>
              <w:right w:val="nil"/>
            </w:tcBorders>
            <w:shd w:val="clear" w:color="auto" w:fill="auto"/>
            <w:noWrap/>
            <w:vAlign w:val="bottom"/>
            <w:hideMark/>
          </w:tcPr>
          <w:p w:rsidR="00BF22F6" w:rsidRDefault="00BF22F6">
            <w:pPr>
              <w:rPr>
                <w:rFonts w:ascii="Arial" w:hAnsi="Arial" w:cs="Arial"/>
              </w:rPr>
            </w:pPr>
            <w:r>
              <w:rPr>
                <w:rFonts w:ascii="Arial" w:hAnsi="Arial" w:cs="Arial"/>
              </w:rPr>
              <w:t> </w:t>
            </w:r>
          </w:p>
        </w:tc>
        <w:tc>
          <w:tcPr>
            <w:tcW w:w="2911" w:type="dxa"/>
            <w:tcBorders>
              <w:top w:val="single" w:sz="8" w:space="0" w:color="000000"/>
              <w:left w:val="nil"/>
              <w:bottom w:val="nil"/>
              <w:right w:val="single" w:sz="8" w:space="0" w:color="000000"/>
            </w:tcBorders>
            <w:shd w:val="clear" w:color="auto" w:fill="auto"/>
            <w:noWrap/>
            <w:vAlign w:val="bottom"/>
            <w:hideMark/>
          </w:tcPr>
          <w:p w:rsidR="00BF22F6" w:rsidRDefault="00BF22F6">
            <w:pPr>
              <w:jc w:val="right"/>
              <w:rPr>
                <w:b/>
                <w:bCs/>
                <w:sz w:val="20"/>
                <w:szCs w:val="20"/>
              </w:rPr>
            </w:pPr>
            <w:r>
              <w:rPr>
                <w:b/>
                <w:bCs/>
                <w:sz w:val="20"/>
                <w:szCs w:val="20"/>
              </w:rPr>
              <w:t>SCHEDULE NO. 4</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b/>
                <w:bCs/>
                <w:color w:val="000000"/>
                <w:sz w:val="20"/>
                <w:szCs w:val="20"/>
              </w:rPr>
            </w:pPr>
            <w:r>
              <w:rPr>
                <w:b/>
                <w:bCs/>
                <w:color w:val="000000"/>
                <w:sz w:val="20"/>
                <w:szCs w:val="20"/>
              </w:rPr>
              <w:t>TEST YEAR ENDED SEPTEMBER 30, 2013</w:t>
            </w:r>
          </w:p>
        </w:tc>
        <w:tc>
          <w:tcPr>
            <w:tcW w:w="1880" w:type="dxa"/>
            <w:tcBorders>
              <w:top w:val="nil"/>
              <w:left w:val="nil"/>
              <w:bottom w:val="nil"/>
              <w:right w:val="nil"/>
            </w:tcBorders>
            <w:shd w:val="clear" w:color="auto" w:fill="auto"/>
            <w:noWrap/>
            <w:vAlign w:val="bottom"/>
            <w:hideMark/>
          </w:tcPr>
          <w:p w:rsidR="00BF22F6" w:rsidRDefault="00BF22F6">
            <w:pPr>
              <w:rPr>
                <w:rFonts w:ascii="Arial" w:hAnsi="Arial" w:cs="Arial"/>
              </w:rPr>
            </w:pPr>
          </w:p>
        </w:tc>
        <w:tc>
          <w:tcPr>
            <w:tcW w:w="1872" w:type="dxa"/>
            <w:tcBorders>
              <w:top w:val="nil"/>
              <w:left w:val="nil"/>
              <w:bottom w:val="nil"/>
              <w:right w:val="nil"/>
            </w:tcBorders>
            <w:shd w:val="clear" w:color="auto" w:fill="auto"/>
            <w:noWrap/>
            <w:vAlign w:val="bottom"/>
            <w:hideMark/>
          </w:tcPr>
          <w:p w:rsidR="00BF22F6" w:rsidRDefault="00BF22F6">
            <w:pPr>
              <w:jc w:val="right"/>
              <w:rPr>
                <w:b/>
                <w:bCs/>
                <w:color w:val="000000"/>
                <w:sz w:val="20"/>
                <w:szCs w:val="20"/>
              </w:rPr>
            </w:pPr>
          </w:p>
        </w:tc>
        <w:tc>
          <w:tcPr>
            <w:tcW w:w="2911" w:type="dxa"/>
            <w:tcBorders>
              <w:top w:val="nil"/>
              <w:left w:val="nil"/>
              <w:bottom w:val="nil"/>
              <w:right w:val="single" w:sz="8" w:space="0" w:color="000000"/>
            </w:tcBorders>
            <w:shd w:val="clear" w:color="auto" w:fill="auto"/>
            <w:noWrap/>
            <w:vAlign w:val="bottom"/>
            <w:hideMark/>
          </w:tcPr>
          <w:p w:rsidR="00BF22F6" w:rsidRDefault="00BF22F6">
            <w:pPr>
              <w:jc w:val="right"/>
              <w:rPr>
                <w:b/>
                <w:bCs/>
                <w:color w:val="000000"/>
                <w:sz w:val="20"/>
                <w:szCs w:val="20"/>
              </w:rPr>
            </w:pPr>
            <w:r>
              <w:rPr>
                <w:b/>
                <w:bCs/>
                <w:color w:val="000000"/>
                <w:sz w:val="20"/>
                <w:szCs w:val="20"/>
              </w:rPr>
              <w:t>DOCKET NO. 20130265-WU</w:t>
            </w:r>
          </w:p>
        </w:tc>
      </w:tr>
      <w:tr w:rsidR="00BF22F6" w:rsidTr="00BF22F6">
        <w:trPr>
          <w:trHeight w:val="315"/>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rsidP="00DC71C1">
            <w:pPr>
              <w:rPr>
                <w:b/>
                <w:bCs/>
                <w:color w:val="000000"/>
                <w:sz w:val="20"/>
                <w:szCs w:val="20"/>
              </w:rPr>
            </w:pPr>
            <w:r>
              <w:rPr>
                <w:b/>
                <w:bCs/>
                <w:color w:val="000000"/>
                <w:sz w:val="20"/>
                <w:szCs w:val="20"/>
              </w:rPr>
              <w:t>MONTHLY WATER RATES</w:t>
            </w:r>
            <w:r w:rsidR="00DC71C1">
              <w:rPr>
                <w:b/>
                <w:bCs/>
                <w:color w:val="000000"/>
                <w:sz w:val="20"/>
                <w:szCs w:val="20"/>
              </w:rPr>
              <w:t xml:space="preserve"> (PHASE II)</w:t>
            </w:r>
          </w:p>
        </w:tc>
        <w:tc>
          <w:tcPr>
            <w:tcW w:w="1880" w:type="dxa"/>
            <w:tcBorders>
              <w:top w:val="nil"/>
              <w:left w:val="nil"/>
              <w:bottom w:val="single" w:sz="8" w:space="0" w:color="auto"/>
              <w:right w:val="nil"/>
            </w:tcBorders>
            <w:shd w:val="clear" w:color="auto" w:fill="auto"/>
            <w:noWrap/>
            <w:vAlign w:val="bottom"/>
            <w:hideMark/>
          </w:tcPr>
          <w:p w:rsidR="00BF22F6" w:rsidRDefault="00BF22F6">
            <w:pPr>
              <w:jc w:val="right"/>
              <w:rPr>
                <w:b/>
                <w:bCs/>
                <w:color w:val="000000"/>
                <w:sz w:val="20"/>
                <w:szCs w:val="20"/>
              </w:rPr>
            </w:pPr>
            <w:r>
              <w:rPr>
                <w:b/>
                <w:bCs/>
                <w:color w:val="000000"/>
                <w:sz w:val="20"/>
                <w:szCs w:val="20"/>
              </w:rPr>
              <w:t> </w:t>
            </w:r>
          </w:p>
        </w:tc>
        <w:tc>
          <w:tcPr>
            <w:tcW w:w="1872" w:type="dxa"/>
            <w:tcBorders>
              <w:top w:val="nil"/>
              <w:left w:val="nil"/>
              <w:bottom w:val="single" w:sz="8" w:space="0" w:color="auto"/>
              <w:right w:val="nil"/>
            </w:tcBorders>
            <w:shd w:val="clear" w:color="auto" w:fill="auto"/>
            <w:noWrap/>
            <w:vAlign w:val="bottom"/>
            <w:hideMark/>
          </w:tcPr>
          <w:p w:rsidR="00BF22F6" w:rsidRDefault="00BF22F6">
            <w:pPr>
              <w:jc w:val="right"/>
              <w:rPr>
                <w:b/>
                <w:bCs/>
                <w:color w:val="000000"/>
                <w:sz w:val="20"/>
                <w:szCs w:val="20"/>
              </w:rPr>
            </w:pPr>
            <w:r>
              <w:rPr>
                <w:b/>
                <w:bCs/>
                <w:color w:val="000000"/>
                <w:sz w:val="20"/>
                <w:szCs w:val="20"/>
              </w:rPr>
              <w:t> </w:t>
            </w:r>
          </w:p>
        </w:tc>
        <w:tc>
          <w:tcPr>
            <w:tcW w:w="2911" w:type="dxa"/>
            <w:tcBorders>
              <w:top w:val="nil"/>
              <w:left w:val="nil"/>
              <w:bottom w:val="single" w:sz="8" w:space="0" w:color="auto"/>
              <w:right w:val="single" w:sz="8" w:space="0" w:color="auto"/>
            </w:tcBorders>
            <w:shd w:val="clear" w:color="auto" w:fill="auto"/>
            <w:noWrap/>
            <w:vAlign w:val="bottom"/>
            <w:hideMark/>
          </w:tcPr>
          <w:p w:rsidR="00BF22F6" w:rsidRDefault="00DC71C1" w:rsidP="00DC71C1">
            <w:pPr>
              <w:jc w:val="right"/>
              <w:rPr>
                <w:b/>
                <w:bCs/>
                <w:color w:val="000000"/>
                <w:sz w:val="20"/>
                <w:szCs w:val="20"/>
              </w:rPr>
            </w:pPr>
            <w:r w:rsidRPr="00BC5498">
              <w:rPr>
                <w:sz w:val="20"/>
                <w:szCs w:val="20"/>
              </w:rPr>
              <w:fldChar w:fldCharType="begin"/>
            </w:r>
            <w:r w:rsidRPr="00BC5498">
              <w:rPr>
                <w:sz w:val="20"/>
                <w:szCs w:val="20"/>
              </w:rPr>
              <w:instrText xml:space="preserve"> TC " </w:instrText>
            </w:r>
            <w:bookmarkStart w:id="79" w:name="_Toc499901223"/>
            <w:r w:rsidRPr="00BC5498">
              <w:rPr>
                <w:sz w:val="20"/>
                <w:szCs w:val="20"/>
              </w:rPr>
              <w:instrText xml:space="preserve">Schedule No. </w:instrText>
            </w:r>
            <w:r>
              <w:rPr>
                <w:sz w:val="20"/>
                <w:szCs w:val="20"/>
              </w:rPr>
              <w:instrText>4 Water Rates – Phase II</w:instrText>
            </w:r>
            <w:bookmarkEnd w:id="79"/>
            <w:r w:rsidRPr="00BC5498">
              <w:rPr>
                <w:sz w:val="20"/>
                <w:szCs w:val="20"/>
              </w:rPr>
              <w:instrText xml:space="preserve">”\l 1 </w:instrText>
            </w:r>
            <w:r w:rsidRPr="00BC5498">
              <w:rPr>
                <w:sz w:val="20"/>
                <w:szCs w:val="20"/>
              </w:rPr>
              <w:fldChar w:fldCharType="end"/>
            </w:r>
            <w:r w:rsidR="00BF22F6">
              <w:rPr>
                <w:b/>
                <w:bCs/>
                <w:color w:val="000000"/>
                <w:sz w:val="20"/>
                <w:szCs w:val="20"/>
              </w:rPr>
              <w:t> </w:t>
            </w:r>
          </w:p>
        </w:tc>
      </w:tr>
      <w:tr w:rsidR="00BF22F6" w:rsidTr="00972223">
        <w:trPr>
          <w:trHeight w:val="300"/>
          <w:jc w:val="center"/>
        </w:trPr>
        <w:tc>
          <w:tcPr>
            <w:tcW w:w="5040" w:type="dxa"/>
            <w:tcBorders>
              <w:top w:val="single" w:sz="8" w:space="0" w:color="000000"/>
              <w:left w:val="single" w:sz="8" w:space="0" w:color="000000"/>
              <w:bottom w:val="nil"/>
              <w:right w:val="nil"/>
            </w:tcBorders>
            <w:shd w:val="clear" w:color="000000" w:fill="auto"/>
            <w:noWrap/>
            <w:vAlign w:val="bottom"/>
            <w:hideMark/>
          </w:tcPr>
          <w:p w:rsidR="00BF22F6" w:rsidRDefault="00BF22F6">
            <w:pPr>
              <w:rPr>
                <w:b/>
                <w:bCs/>
                <w:sz w:val="20"/>
                <w:szCs w:val="20"/>
              </w:rPr>
            </w:pPr>
            <w:r>
              <w:rPr>
                <w:b/>
                <w:bCs/>
                <w:sz w:val="20"/>
                <w:szCs w:val="20"/>
              </w:rPr>
              <w:t> </w:t>
            </w:r>
          </w:p>
        </w:tc>
        <w:tc>
          <w:tcPr>
            <w:tcW w:w="1880" w:type="dxa"/>
            <w:tcBorders>
              <w:top w:val="nil"/>
              <w:left w:val="nil"/>
              <w:bottom w:val="nil"/>
              <w:right w:val="nil"/>
            </w:tcBorders>
            <w:shd w:val="clear" w:color="000000" w:fill="auto"/>
            <w:noWrap/>
            <w:vAlign w:val="bottom"/>
            <w:hideMark/>
          </w:tcPr>
          <w:p w:rsidR="00BF22F6" w:rsidRDefault="00BF22F6">
            <w:pPr>
              <w:jc w:val="center"/>
              <w:rPr>
                <w:b/>
                <w:bCs/>
                <w:color w:val="000000"/>
                <w:sz w:val="20"/>
                <w:szCs w:val="20"/>
              </w:rPr>
            </w:pPr>
            <w:r>
              <w:rPr>
                <w:b/>
                <w:bCs/>
                <w:color w:val="000000"/>
                <w:sz w:val="20"/>
                <w:szCs w:val="20"/>
              </w:rPr>
              <w:t> </w:t>
            </w:r>
          </w:p>
        </w:tc>
        <w:tc>
          <w:tcPr>
            <w:tcW w:w="1872" w:type="dxa"/>
            <w:tcBorders>
              <w:top w:val="nil"/>
              <w:left w:val="nil"/>
              <w:bottom w:val="nil"/>
              <w:right w:val="nil"/>
            </w:tcBorders>
            <w:shd w:val="clear" w:color="000000" w:fill="auto"/>
            <w:noWrap/>
            <w:vAlign w:val="bottom"/>
            <w:hideMark/>
          </w:tcPr>
          <w:p w:rsidR="00BF22F6" w:rsidRDefault="00BF22F6">
            <w:pPr>
              <w:jc w:val="center"/>
              <w:rPr>
                <w:b/>
                <w:bCs/>
                <w:color w:val="000000"/>
                <w:sz w:val="20"/>
                <w:szCs w:val="20"/>
              </w:rPr>
            </w:pPr>
            <w:r>
              <w:rPr>
                <w:b/>
                <w:bCs/>
                <w:color w:val="000000"/>
                <w:sz w:val="20"/>
                <w:szCs w:val="20"/>
              </w:rPr>
              <w:t>STAFF</w:t>
            </w:r>
          </w:p>
        </w:tc>
        <w:tc>
          <w:tcPr>
            <w:tcW w:w="2911" w:type="dxa"/>
            <w:tcBorders>
              <w:top w:val="nil"/>
              <w:left w:val="nil"/>
              <w:bottom w:val="nil"/>
              <w:right w:val="single" w:sz="8" w:space="0" w:color="auto"/>
            </w:tcBorders>
            <w:shd w:val="clear" w:color="000000" w:fill="auto"/>
            <w:noWrap/>
            <w:vAlign w:val="bottom"/>
            <w:hideMark/>
          </w:tcPr>
          <w:p w:rsidR="00BF22F6" w:rsidRDefault="00BF22F6">
            <w:pPr>
              <w:jc w:val="center"/>
              <w:rPr>
                <w:b/>
                <w:bCs/>
                <w:sz w:val="20"/>
                <w:szCs w:val="20"/>
              </w:rPr>
            </w:pPr>
            <w:r>
              <w:rPr>
                <w:b/>
                <w:bCs/>
                <w:sz w:val="20"/>
                <w:szCs w:val="20"/>
              </w:rPr>
              <w:t> </w:t>
            </w:r>
          </w:p>
        </w:tc>
      </w:tr>
      <w:tr w:rsidR="00BF22F6" w:rsidTr="00972223">
        <w:trPr>
          <w:trHeight w:val="300"/>
          <w:jc w:val="center"/>
        </w:trPr>
        <w:tc>
          <w:tcPr>
            <w:tcW w:w="5040" w:type="dxa"/>
            <w:tcBorders>
              <w:top w:val="nil"/>
              <w:left w:val="single" w:sz="8" w:space="0" w:color="000000"/>
              <w:bottom w:val="nil"/>
              <w:right w:val="nil"/>
            </w:tcBorders>
            <w:shd w:val="clear" w:color="000000" w:fill="auto"/>
            <w:noWrap/>
            <w:vAlign w:val="bottom"/>
            <w:hideMark/>
          </w:tcPr>
          <w:p w:rsidR="00BF22F6" w:rsidRDefault="00BF22F6">
            <w:pPr>
              <w:rPr>
                <w:b/>
                <w:bCs/>
                <w:sz w:val="20"/>
                <w:szCs w:val="20"/>
              </w:rPr>
            </w:pPr>
            <w:r>
              <w:rPr>
                <w:b/>
                <w:bCs/>
                <w:sz w:val="20"/>
                <w:szCs w:val="20"/>
              </w:rPr>
              <w:t> </w:t>
            </w:r>
          </w:p>
        </w:tc>
        <w:tc>
          <w:tcPr>
            <w:tcW w:w="1880" w:type="dxa"/>
            <w:tcBorders>
              <w:top w:val="nil"/>
              <w:left w:val="nil"/>
              <w:bottom w:val="nil"/>
              <w:right w:val="nil"/>
            </w:tcBorders>
            <w:shd w:val="clear" w:color="000000" w:fill="auto"/>
            <w:noWrap/>
            <w:vAlign w:val="bottom"/>
            <w:hideMark/>
          </w:tcPr>
          <w:p w:rsidR="00BF22F6" w:rsidRDefault="00A92D1B">
            <w:pPr>
              <w:jc w:val="center"/>
              <w:rPr>
                <w:b/>
                <w:bCs/>
                <w:color w:val="000000"/>
                <w:sz w:val="20"/>
                <w:szCs w:val="20"/>
              </w:rPr>
            </w:pPr>
            <w:r>
              <w:rPr>
                <w:b/>
                <w:bCs/>
                <w:color w:val="000000"/>
                <w:sz w:val="20"/>
                <w:szCs w:val="20"/>
              </w:rPr>
              <w:t>UTILITY’S</w:t>
            </w:r>
          </w:p>
        </w:tc>
        <w:tc>
          <w:tcPr>
            <w:tcW w:w="1872" w:type="dxa"/>
            <w:tcBorders>
              <w:top w:val="nil"/>
              <w:left w:val="nil"/>
              <w:bottom w:val="nil"/>
              <w:right w:val="nil"/>
            </w:tcBorders>
            <w:shd w:val="clear" w:color="000000" w:fill="auto"/>
            <w:noWrap/>
            <w:vAlign w:val="bottom"/>
            <w:hideMark/>
          </w:tcPr>
          <w:p w:rsidR="00BF22F6" w:rsidRDefault="00BF22F6">
            <w:pPr>
              <w:jc w:val="center"/>
              <w:rPr>
                <w:b/>
                <w:bCs/>
                <w:color w:val="000000"/>
                <w:sz w:val="20"/>
                <w:szCs w:val="20"/>
              </w:rPr>
            </w:pPr>
            <w:r>
              <w:rPr>
                <w:b/>
                <w:bCs/>
                <w:color w:val="000000"/>
                <w:sz w:val="20"/>
                <w:szCs w:val="20"/>
              </w:rPr>
              <w:t>RECOMMENDED</w:t>
            </w:r>
          </w:p>
        </w:tc>
        <w:tc>
          <w:tcPr>
            <w:tcW w:w="2911" w:type="dxa"/>
            <w:tcBorders>
              <w:top w:val="nil"/>
              <w:left w:val="nil"/>
              <w:bottom w:val="nil"/>
              <w:right w:val="single" w:sz="8" w:space="0" w:color="auto"/>
            </w:tcBorders>
            <w:shd w:val="clear" w:color="000000" w:fill="auto"/>
            <w:noWrap/>
            <w:vAlign w:val="bottom"/>
            <w:hideMark/>
          </w:tcPr>
          <w:p w:rsidR="00BF22F6" w:rsidRDefault="00BF22F6">
            <w:pPr>
              <w:jc w:val="center"/>
              <w:rPr>
                <w:b/>
                <w:bCs/>
                <w:sz w:val="20"/>
                <w:szCs w:val="20"/>
              </w:rPr>
            </w:pPr>
            <w:r>
              <w:rPr>
                <w:b/>
                <w:bCs/>
                <w:sz w:val="20"/>
                <w:szCs w:val="20"/>
              </w:rPr>
              <w:t>4 YEAR</w:t>
            </w:r>
          </w:p>
        </w:tc>
      </w:tr>
      <w:tr w:rsidR="00BF22F6" w:rsidTr="00972223">
        <w:trPr>
          <w:trHeight w:val="300"/>
          <w:jc w:val="center"/>
        </w:trPr>
        <w:tc>
          <w:tcPr>
            <w:tcW w:w="5040" w:type="dxa"/>
            <w:tcBorders>
              <w:top w:val="nil"/>
              <w:left w:val="single" w:sz="8" w:space="0" w:color="000000"/>
              <w:bottom w:val="nil"/>
              <w:right w:val="nil"/>
            </w:tcBorders>
            <w:shd w:val="clear" w:color="000000" w:fill="auto"/>
            <w:noWrap/>
            <w:vAlign w:val="bottom"/>
            <w:hideMark/>
          </w:tcPr>
          <w:p w:rsidR="00BF22F6" w:rsidRDefault="00BF22F6">
            <w:pPr>
              <w:rPr>
                <w:b/>
                <w:bCs/>
                <w:sz w:val="20"/>
                <w:szCs w:val="20"/>
                <w:u w:val="single"/>
              </w:rPr>
            </w:pPr>
          </w:p>
        </w:tc>
        <w:tc>
          <w:tcPr>
            <w:tcW w:w="1880" w:type="dxa"/>
            <w:tcBorders>
              <w:top w:val="nil"/>
              <w:left w:val="nil"/>
              <w:bottom w:val="nil"/>
              <w:right w:val="nil"/>
            </w:tcBorders>
            <w:shd w:val="clear" w:color="000000" w:fill="auto"/>
            <w:noWrap/>
            <w:vAlign w:val="bottom"/>
            <w:hideMark/>
          </w:tcPr>
          <w:p w:rsidR="00BF22F6" w:rsidRDefault="00BF22F6">
            <w:pPr>
              <w:jc w:val="center"/>
              <w:rPr>
                <w:b/>
                <w:bCs/>
                <w:color w:val="000000"/>
                <w:sz w:val="20"/>
                <w:szCs w:val="20"/>
              </w:rPr>
            </w:pPr>
            <w:r>
              <w:rPr>
                <w:b/>
                <w:bCs/>
                <w:color w:val="000000"/>
                <w:sz w:val="20"/>
                <w:szCs w:val="20"/>
              </w:rPr>
              <w:t>CURRENT</w:t>
            </w:r>
          </w:p>
        </w:tc>
        <w:tc>
          <w:tcPr>
            <w:tcW w:w="1872" w:type="dxa"/>
            <w:tcBorders>
              <w:top w:val="nil"/>
              <w:left w:val="nil"/>
              <w:bottom w:val="nil"/>
              <w:right w:val="nil"/>
            </w:tcBorders>
            <w:shd w:val="clear" w:color="000000" w:fill="auto"/>
            <w:noWrap/>
            <w:vAlign w:val="bottom"/>
            <w:hideMark/>
          </w:tcPr>
          <w:p w:rsidR="00BF22F6" w:rsidRDefault="00BF22F6">
            <w:pPr>
              <w:jc w:val="center"/>
              <w:rPr>
                <w:b/>
                <w:bCs/>
                <w:color w:val="000000"/>
                <w:sz w:val="20"/>
                <w:szCs w:val="20"/>
              </w:rPr>
            </w:pPr>
            <w:r>
              <w:rPr>
                <w:b/>
                <w:bCs/>
                <w:color w:val="000000"/>
                <w:sz w:val="20"/>
                <w:szCs w:val="20"/>
              </w:rPr>
              <w:t>PHASE II</w:t>
            </w:r>
          </w:p>
        </w:tc>
        <w:tc>
          <w:tcPr>
            <w:tcW w:w="2911" w:type="dxa"/>
            <w:tcBorders>
              <w:top w:val="nil"/>
              <w:left w:val="nil"/>
              <w:bottom w:val="nil"/>
              <w:right w:val="single" w:sz="8" w:space="0" w:color="auto"/>
            </w:tcBorders>
            <w:shd w:val="clear" w:color="000000" w:fill="auto"/>
            <w:noWrap/>
            <w:vAlign w:val="bottom"/>
            <w:hideMark/>
          </w:tcPr>
          <w:p w:rsidR="00BF22F6" w:rsidRDefault="00BF22F6">
            <w:pPr>
              <w:jc w:val="center"/>
              <w:rPr>
                <w:b/>
                <w:bCs/>
                <w:sz w:val="20"/>
                <w:szCs w:val="20"/>
              </w:rPr>
            </w:pPr>
            <w:r>
              <w:rPr>
                <w:b/>
                <w:bCs/>
                <w:sz w:val="20"/>
                <w:szCs w:val="20"/>
              </w:rPr>
              <w:t>RATE</w:t>
            </w:r>
          </w:p>
        </w:tc>
      </w:tr>
      <w:tr w:rsidR="00BF22F6" w:rsidTr="00972223">
        <w:trPr>
          <w:trHeight w:val="315"/>
          <w:jc w:val="center"/>
        </w:trPr>
        <w:tc>
          <w:tcPr>
            <w:tcW w:w="5040" w:type="dxa"/>
            <w:tcBorders>
              <w:top w:val="nil"/>
              <w:left w:val="single" w:sz="8" w:space="0" w:color="000000"/>
              <w:bottom w:val="single" w:sz="8" w:space="0" w:color="000000"/>
              <w:right w:val="nil"/>
            </w:tcBorders>
            <w:shd w:val="clear" w:color="000000" w:fill="auto"/>
            <w:noWrap/>
            <w:vAlign w:val="bottom"/>
            <w:hideMark/>
          </w:tcPr>
          <w:p w:rsidR="00BF22F6" w:rsidRDefault="00BF22F6">
            <w:pPr>
              <w:rPr>
                <w:b/>
                <w:bCs/>
                <w:sz w:val="20"/>
                <w:szCs w:val="20"/>
                <w:u w:val="single"/>
              </w:rPr>
            </w:pPr>
          </w:p>
        </w:tc>
        <w:tc>
          <w:tcPr>
            <w:tcW w:w="1880" w:type="dxa"/>
            <w:tcBorders>
              <w:top w:val="nil"/>
              <w:left w:val="nil"/>
              <w:bottom w:val="single" w:sz="8" w:space="0" w:color="000000"/>
              <w:right w:val="nil"/>
            </w:tcBorders>
            <w:shd w:val="clear" w:color="000000" w:fill="auto"/>
            <w:noWrap/>
            <w:vAlign w:val="bottom"/>
            <w:hideMark/>
          </w:tcPr>
          <w:p w:rsidR="00BF22F6" w:rsidRDefault="00BF22F6">
            <w:pPr>
              <w:jc w:val="center"/>
              <w:rPr>
                <w:b/>
                <w:bCs/>
                <w:color w:val="000000"/>
                <w:sz w:val="20"/>
                <w:szCs w:val="20"/>
              </w:rPr>
            </w:pPr>
            <w:r>
              <w:rPr>
                <w:b/>
                <w:bCs/>
                <w:color w:val="000000"/>
                <w:sz w:val="20"/>
                <w:szCs w:val="20"/>
              </w:rPr>
              <w:t>RATES</w:t>
            </w:r>
            <w:r w:rsidR="00A92D1B">
              <w:rPr>
                <w:b/>
                <w:bCs/>
                <w:color w:val="000000"/>
                <w:sz w:val="20"/>
                <w:szCs w:val="20"/>
              </w:rPr>
              <w:t xml:space="preserve"> *</w:t>
            </w:r>
          </w:p>
        </w:tc>
        <w:tc>
          <w:tcPr>
            <w:tcW w:w="1872" w:type="dxa"/>
            <w:tcBorders>
              <w:top w:val="nil"/>
              <w:left w:val="nil"/>
              <w:bottom w:val="single" w:sz="8" w:space="0" w:color="000000"/>
              <w:right w:val="nil"/>
            </w:tcBorders>
            <w:shd w:val="clear" w:color="000000" w:fill="auto"/>
            <w:noWrap/>
            <w:vAlign w:val="bottom"/>
            <w:hideMark/>
          </w:tcPr>
          <w:p w:rsidR="00BF22F6" w:rsidRDefault="00BF22F6">
            <w:pPr>
              <w:jc w:val="center"/>
              <w:rPr>
                <w:b/>
                <w:bCs/>
                <w:color w:val="000000"/>
                <w:sz w:val="20"/>
                <w:szCs w:val="20"/>
              </w:rPr>
            </w:pPr>
            <w:r>
              <w:rPr>
                <w:b/>
                <w:bCs/>
                <w:color w:val="000000"/>
                <w:sz w:val="20"/>
                <w:szCs w:val="20"/>
              </w:rPr>
              <w:t>RATES</w:t>
            </w:r>
          </w:p>
        </w:tc>
        <w:tc>
          <w:tcPr>
            <w:tcW w:w="2911" w:type="dxa"/>
            <w:tcBorders>
              <w:top w:val="nil"/>
              <w:left w:val="nil"/>
              <w:bottom w:val="single" w:sz="8" w:space="0" w:color="auto"/>
              <w:right w:val="single" w:sz="8" w:space="0" w:color="auto"/>
            </w:tcBorders>
            <w:shd w:val="clear" w:color="000000" w:fill="auto"/>
            <w:noWrap/>
            <w:vAlign w:val="bottom"/>
            <w:hideMark/>
          </w:tcPr>
          <w:p w:rsidR="00BF22F6" w:rsidRDefault="00BF22F6">
            <w:pPr>
              <w:jc w:val="center"/>
              <w:rPr>
                <w:b/>
                <w:bCs/>
                <w:sz w:val="20"/>
                <w:szCs w:val="20"/>
              </w:rPr>
            </w:pPr>
            <w:r>
              <w:rPr>
                <w:b/>
                <w:bCs/>
                <w:sz w:val="20"/>
                <w:szCs w:val="20"/>
              </w:rPr>
              <w:t>REDUCTION</w:t>
            </w:r>
          </w:p>
        </w:tc>
      </w:tr>
      <w:tr w:rsidR="00BF22F6" w:rsidTr="00BF22F6">
        <w:trPr>
          <w:trHeight w:val="315"/>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b/>
                <w:bCs/>
                <w:color w:val="000000"/>
                <w:sz w:val="20"/>
                <w:szCs w:val="20"/>
                <w:u w:val="single"/>
              </w:rPr>
            </w:pPr>
            <w:r>
              <w:rPr>
                <w:b/>
                <w:bCs/>
                <w:color w:val="000000"/>
                <w:sz w:val="20"/>
                <w:szCs w:val="20"/>
                <w:u w:val="single"/>
              </w:rPr>
              <w:t>Residential and  General Service</w:t>
            </w:r>
          </w:p>
        </w:tc>
        <w:tc>
          <w:tcPr>
            <w:tcW w:w="1880" w:type="dxa"/>
            <w:tcBorders>
              <w:top w:val="nil"/>
              <w:left w:val="nil"/>
              <w:bottom w:val="nil"/>
              <w:right w:val="nil"/>
            </w:tcBorders>
            <w:shd w:val="clear" w:color="auto" w:fill="auto"/>
            <w:noWrap/>
            <w:vAlign w:val="bottom"/>
            <w:hideMark/>
          </w:tcPr>
          <w:p w:rsidR="00BF22F6" w:rsidRDefault="00BF22F6">
            <w:pPr>
              <w:jc w:val="center"/>
              <w:rPr>
                <w:b/>
                <w:bCs/>
                <w:color w:val="000000"/>
                <w:sz w:val="20"/>
                <w:szCs w:val="20"/>
              </w:rPr>
            </w:pPr>
            <w:r>
              <w:rPr>
                <w:b/>
                <w:bCs/>
                <w:color w:val="000000"/>
                <w:sz w:val="20"/>
                <w:szCs w:val="20"/>
              </w:rPr>
              <w:t> </w:t>
            </w:r>
          </w:p>
        </w:tc>
        <w:tc>
          <w:tcPr>
            <w:tcW w:w="1872" w:type="dxa"/>
            <w:tcBorders>
              <w:top w:val="nil"/>
              <w:left w:val="nil"/>
              <w:bottom w:val="nil"/>
              <w:right w:val="nil"/>
            </w:tcBorders>
            <w:shd w:val="clear" w:color="auto" w:fill="auto"/>
            <w:noWrap/>
            <w:vAlign w:val="bottom"/>
            <w:hideMark/>
          </w:tcPr>
          <w:p w:rsidR="00BF22F6" w:rsidRDefault="00BF22F6">
            <w:pPr>
              <w:jc w:val="center"/>
              <w:rPr>
                <w:b/>
                <w:bCs/>
                <w:color w:val="000000"/>
                <w:sz w:val="20"/>
                <w:szCs w:val="20"/>
              </w:rPr>
            </w:pPr>
          </w:p>
        </w:tc>
        <w:tc>
          <w:tcPr>
            <w:tcW w:w="2911" w:type="dxa"/>
            <w:tcBorders>
              <w:top w:val="nil"/>
              <w:left w:val="nil"/>
              <w:bottom w:val="nil"/>
              <w:right w:val="single" w:sz="8" w:space="0" w:color="auto"/>
            </w:tcBorders>
            <w:shd w:val="clear" w:color="auto" w:fill="auto"/>
            <w:noWrap/>
            <w:vAlign w:val="bottom"/>
            <w:hideMark/>
          </w:tcPr>
          <w:p w:rsidR="00BF22F6" w:rsidRDefault="00BF22F6">
            <w: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Base Facility Charge by Meter Size</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p>
        </w:tc>
        <w:tc>
          <w:tcPr>
            <w:tcW w:w="2911" w:type="dxa"/>
            <w:tcBorders>
              <w:top w:val="nil"/>
              <w:left w:val="nil"/>
              <w:bottom w:val="nil"/>
              <w:right w:val="single" w:sz="8" w:space="0" w:color="auto"/>
            </w:tcBorders>
            <w:shd w:val="clear" w:color="auto" w:fill="auto"/>
            <w:noWrap/>
            <w:vAlign w:val="bottom"/>
            <w:hideMark/>
          </w:tcPr>
          <w:p w:rsidR="00BF22F6" w:rsidRDefault="00BF22F6">
            <w:pPr>
              <w:rPr>
                <w:sz w:val="20"/>
                <w:szCs w:val="20"/>
              </w:rPr>
            </w:pPr>
            <w:r>
              <w:rPr>
                <w:sz w:val="20"/>
                <w:szCs w:val="20"/>
              </w:rP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5/8" x 3/4"</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$64.98</w:t>
            </w:r>
          </w:p>
        </w:tc>
        <w:tc>
          <w:tcPr>
            <w:tcW w:w="1872" w:type="dxa"/>
            <w:tcBorders>
              <w:top w:val="nil"/>
              <w:left w:val="nil"/>
              <w:bottom w:val="nil"/>
              <w:right w:val="nil"/>
            </w:tcBorders>
            <w:shd w:val="clear" w:color="auto" w:fill="auto"/>
            <w:noWrap/>
            <w:vAlign w:val="bottom"/>
            <w:hideMark/>
          </w:tcPr>
          <w:p w:rsidR="00BF22F6" w:rsidRDefault="00BF22F6">
            <w:pPr>
              <w:jc w:val="right"/>
              <w:rPr>
                <w:sz w:val="20"/>
                <w:szCs w:val="20"/>
              </w:rPr>
            </w:pPr>
            <w:r>
              <w:rPr>
                <w:sz w:val="20"/>
                <w:szCs w:val="20"/>
              </w:rPr>
              <w:t>$78.08</w:t>
            </w:r>
          </w:p>
        </w:tc>
        <w:tc>
          <w:tcPr>
            <w:tcW w:w="2911" w:type="dxa"/>
            <w:tcBorders>
              <w:top w:val="nil"/>
              <w:left w:val="nil"/>
              <w:bottom w:val="nil"/>
              <w:right w:val="single" w:sz="8" w:space="0" w:color="auto"/>
            </w:tcBorders>
            <w:shd w:val="clear" w:color="auto" w:fill="auto"/>
            <w:noWrap/>
            <w:vAlign w:val="bottom"/>
            <w:hideMark/>
          </w:tcPr>
          <w:p w:rsidR="00BF22F6" w:rsidRDefault="00BF22F6">
            <w:pPr>
              <w:jc w:val="right"/>
              <w:rPr>
                <w:sz w:val="20"/>
                <w:szCs w:val="20"/>
              </w:rPr>
            </w:pPr>
            <w:r>
              <w:rPr>
                <w:sz w:val="20"/>
                <w:szCs w:val="20"/>
              </w:rPr>
              <w:t>$0.16</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3/4"</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$97.47</w:t>
            </w:r>
          </w:p>
        </w:tc>
        <w:tc>
          <w:tcPr>
            <w:tcW w:w="1872"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$117.12</w:t>
            </w:r>
          </w:p>
        </w:tc>
        <w:tc>
          <w:tcPr>
            <w:tcW w:w="2911" w:type="dxa"/>
            <w:tcBorders>
              <w:top w:val="nil"/>
              <w:left w:val="nil"/>
              <w:bottom w:val="nil"/>
              <w:right w:val="single" w:sz="8" w:space="0" w:color="auto"/>
            </w:tcBorders>
            <w:shd w:val="clear" w:color="auto" w:fill="auto"/>
            <w:noWrap/>
            <w:vAlign w:val="bottom"/>
            <w:hideMark/>
          </w:tcPr>
          <w:p w:rsidR="00BF22F6" w:rsidRDefault="00BF22F6">
            <w:pPr>
              <w:jc w:val="right"/>
              <w:rPr>
                <w:sz w:val="20"/>
                <w:szCs w:val="20"/>
              </w:rPr>
            </w:pPr>
            <w:r>
              <w:rPr>
                <w:sz w:val="20"/>
                <w:szCs w:val="20"/>
              </w:rPr>
              <w:t>$0.24</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1"</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$162.45</w:t>
            </w:r>
          </w:p>
        </w:tc>
        <w:tc>
          <w:tcPr>
            <w:tcW w:w="1872"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$195.20</w:t>
            </w:r>
          </w:p>
        </w:tc>
        <w:tc>
          <w:tcPr>
            <w:tcW w:w="2911" w:type="dxa"/>
            <w:tcBorders>
              <w:top w:val="nil"/>
              <w:left w:val="nil"/>
              <w:bottom w:val="nil"/>
              <w:right w:val="single" w:sz="8" w:space="0" w:color="auto"/>
            </w:tcBorders>
            <w:shd w:val="clear" w:color="auto" w:fill="auto"/>
            <w:noWrap/>
            <w:vAlign w:val="bottom"/>
            <w:hideMark/>
          </w:tcPr>
          <w:p w:rsidR="00BF22F6" w:rsidRDefault="00BF22F6">
            <w:pPr>
              <w:jc w:val="right"/>
              <w:rPr>
                <w:sz w:val="20"/>
                <w:szCs w:val="20"/>
              </w:rPr>
            </w:pPr>
            <w:r>
              <w:rPr>
                <w:sz w:val="20"/>
                <w:szCs w:val="20"/>
              </w:rPr>
              <w:t>$0.40</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1-1/2"</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$324.90</w:t>
            </w:r>
          </w:p>
        </w:tc>
        <w:tc>
          <w:tcPr>
            <w:tcW w:w="1872"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$390.40</w:t>
            </w:r>
          </w:p>
        </w:tc>
        <w:tc>
          <w:tcPr>
            <w:tcW w:w="2911" w:type="dxa"/>
            <w:tcBorders>
              <w:top w:val="nil"/>
              <w:left w:val="nil"/>
              <w:bottom w:val="nil"/>
              <w:right w:val="single" w:sz="8" w:space="0" w:color="auto"/>
            </w:tcBorders>
            <w:shd w:val="clear" w:color="auto" w:fill="auto"/>
            <w:noWrap/>
            <w:vAlign w:val="bottom"/>
            <w:hideMark/>
          </w:tcPr>
          <w:p w:rsidR="00BF22F6" w:rsidRDefault="00BF22F6">
            <w:pPr>
              <w:jc w:val="right"/>
              <w:rPr>
                <w:sz w:val="20"/>
                <w:szCs w:val="20"/>
              </w:rPr>
            </w:pPr>
            <w:r>
              <w:rPr>
                <w:sz w:val="20"/>
                <w:szCs w:val="20"/>
              </w:rPr>
              <w:t>$0.80</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2"</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$519.84</w:t>
            </w:r>
          </w:p>
        </w:tc>
        <w:tc>
          <w:tcPr>
            <w:tcW w:w="1872"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$624.64</w:t>
            </w:r>
          </w:p>
        </w:tc>
        <w:tc>
          <w:tcPr>
            <w:tcW w:w="2911" w:type="dxa"/>
            <w:tcBorders>
              <w:top w:val="nil"/>
              <w:left w:val="nil"/>
              <w:bottom w:val="nil"/>
              <w:right w:val="single" w:sz="8" w:space="0" w:color="auto"/>
            </w:tcBorders>
            <w:shd w:val="clear" w:color="auto" w:fill="auto"/>
            <w:noWrap/>
            <w:vAlign w:val="bottom"/>
            <w:hideMark/>
          </w:tcPr>
          <w:p w:rsidR="00BF22F6" w:rsidRDefault="00BF22F6">
            <w:pPr>
              <w:jc w:val="right"/>
              <w:rPr>
                <w:sz w:val="20"/>
                <w:szCs w:val="20"/>
              </w:rPr>
            </w:pPr>
            <w:r>
              <w:rPr>
                <w:sz w:val="20"/>
                <w:szCs w:val="20"/>
              </w:rPr>
              <w:t>$1.27</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3"</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$1,039.68</w:t>
            </w:r>
          </w:p>
        </w:tc>
        <w:tc>
          <w:tcPr>
            <w:tcW w:w="1872"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$1,249.28</w:t>
            </w:r>
          </w:p>
        </w:tc>
        <w:tc>
          <w:tcPr>
            <w:tcW w:w="2911" w:type="dxa"/>
            <w:tcBorders>
              <w:top w:val="nil"/>
              <w:left w:val="nil"/>
              <w:bottom w:val="nil"/>
              <w:right w:val="single" w:sz="8" w:space="0" w:color="auto"/>
            </w:tcBorders>
            <w:shd w:val="clear" w:color="auto" w:fill="auto"/>
            <w:noWrap/>
            <w:vAlign w:val="bottom"/>
            <w:hideMark/>
          </w:tcPr>
          <w:p w:rsidR="00BF22F6" w:rsidRDefault="00BF22F6">
            <w:pPr>
              <w:jc w:val="right"/>
              <w:rPr>
                <w:sz w:val="20"/>
                <w:szCs w:val="20"/>
              </w:rPr>
            </w:pPr>
            <w:r>
              <w:rPr>
                <w:sz w:val="20"/>
                <w:szCs w:val="20"/>
              </w:rPr>
              <w:t>$2.55</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4"</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$1,624.50</w:t>
            </w:r>
          </w:p>
        </w:tc>
        <w:tc>
          <w:tcPr>
            <w:tcW w:w="1872"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$1,952.00</w:t>
            </w:r>
          </w:p>
        </w:tc>
        <w:tc>
          <w:tcPr>
            <w:tcW w:w="2911" w:type="dxa"/>
            <w:tcBorders>
              <w:top w:val="nil"/>
              <w:left w:val="nil"/>
              <w:bottom w:val="nil"/>
              <w:right w:val="single" w:sz="8" w:space="0" w:color="auto"/>
            </w:tcBorders>
            <w:shd w:val="clear" w:color="auto" w:fill="auto"/>
            <w:noWrap/>
            <w:vAlign w:val="bottom"/>
            <w:hideMark/>
          </w:tcPr>
          <w:p w:rsidR="00BF22F6" w:rsidRDefault="00BF22F6">
            <w:pPr>
              <w:jc w:val="right"/>
              <w:rPr>
                <w:sz w:val="20"/>
                <w:szCs w:val="20"/>
              </w:rPr>
            </w:pPr>
            <w:r>
              <w:rPr>
                <w:sz w:val="20"/>
                <w:szCs w:val="20"/>
              </w:rPr>
              <w:t>$3.98</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6"</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$3,249.00</w:t>
            </w:r>
          </w:p>
        </w:tc>
        <w:tc>
          <w:tcPr>
            <w:tcW w:w="1872"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$3,904.00</w:t>
            </w:r>
          </w:p>
        </w:tc>
        <w:tc>
          <w:tcPr>
            <w:tcW w:w="2911" w:type="dxa"/>
            <w:tcBorders>
              <w:top w:val="nil"/>
              <w:left w:val="nil"/>
              <w:bottom w:val="nil"/>
              <w:right w:val="single" w:sz="8" w:space="0" w:color="auto"/>
            </w:tcBorders>
            <w:shd w:val="clear" w:color="auto" w:fill="auto"/>
            <w:noWrap/>
            <w:vAlign w:val="bottom"/>
            <w:hideMark/>
          </w:tcPr>
          <w:p w:rsidR="00BF22F6" w:rsidRDefault="00BF22F6">
            <w:pPr>
              <w:jc w:val="right"/>
              <w:rPr>
                <w:sz w:val="20"/>
                <w:szCs w:val="20"/>
              </w:rPr>
            </w:pPr>
            <w:r>
              <w:rPr>
                <w:sz w:val="20"/>
                <w:szCs w:val="20"/>
              </w:rPr>
              <w:t>$7.97</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 </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BF22F6" w:rsidRDefault="00BF22F6">
            <w:pPr>
              <w:rPr>
                <w:sz w:val="20"/>
                <w:szCs w:val="20"/>
              </w:rPr>
            </w:pPr>
          </w:p>
        </w:tc>
        <w:tc>
          <w:tcPr>
            <w:tcW w:w="2911" w:type="dxa"/>
            <w:tcBorders>
              <w:top w:val="nil"/>
              <w:left w:val="nil"/>
              <w:bottom w:val="nil"/>
              <w:right w:val="single" w:sz="8" w:space="0" w:color="auto"/>
            </w:tcBorders>
            <w:shd w:val="clear" w:color="auto" w:fill="auto"/>
            <w:noWrap/>
            <w:vAlign w:val="bottom"/>
            <w:hideMark/>
          </w:tcPr>
          <w:p w:rsidR="00BF22F6" w:rsidRDefault="00BF22F6">
            <w:pPr>
              <w:rPr>
                <w:sz w:val="20"/>
                <w:szCs w:val="20"/>
              </w:rPr>
            </w:pPr>
            <w:r>
              <w:rPr>
                <w:sz w:val="20"/>
                <w:szCs w:val="20"/>
              </w:rP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sz w:val="20"/>
                <w:szCs w:val="20"/>
              </w:rPr>
            </w:pPr>
            <w:r>
              <w:rPr>
                <w:sz w:val="20"/>
                <w:szCs w:val="20"/>
              </w:rPr>
              <w:t>Charge per 1,000 gallons  - Residential and General Service</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$6.28</w:t>
            </w:r>
          </w:p>
        </w:tc>
        <w:tc>
          <w:tcPr>
            <w:tcW w:w="1872" w:type="dxa"/>
            <w:tcBorders>
              <w:top w:val="nil"/>
              <w:left w:val="nil"/>
              <w:bottom w:val="nil"/>
              <w:right w:val="nil"/>
            </w:tcBorders>
            <w:shd w:val="clear" w:color="auto" w:fill="auto"/>
            <w:noWrap/>
            <w:vAlign w:val="bottom"/>
            <w:hideMark/>
          </w:tcPr>
          <w:p w:rsidR="00BF22F6" w:rsidRDefault="00BF22F6">
            <w:pPr>
              <w:jc w:val="right"/>
              <w:rPr>
                <w:sz w:val="20"/>
                <w:szCs w:val="20"/>
              </w:rPr>
            </w:pPr>
            <w:r>
              <w:rPr>
                <w:sz w:val="20"/>
                <w:szCs w:val="20"/>
              </w:rPr>
              <w:t>$7.55</w:t>
            </w:r>
          </w:p>
        </w:tc>
        <w:tc>
          <w:tcPr>
            <w:tcW w:w="2911" w:type="dxa"/>
            <w:tcBorders>
              <w:top w:val="nil"/>
              <w:left w:val="nil"/>
              <w:bottom w:val="nil"/>
              <w:right w:val="single" w:sz="8" w:space="0" w:color="auto"/>
            </w:tcBorders>
            <w:shd w:val="clear" w:color="auto" w:fill="auto"/>
            <w:noWrap/>
            <w:vAlign w:val="bottom"/>
            <w:hideMark/>
          </w:tcPr>
          <w:p w:rsidR="00BF22F6" w:rsidRDefault="00BF22F6">
            <w:pPr>
              <w:rPr>
                <w:sz w:val="20"/>
                <w:szCs w:val="20"/>
              </w:rPr>
            </w:pPr>
            <w:r>
              <w:rPr>
                <w:sz w:val="20"/>
                <w:szCs w:val="20"/>
              </w:rP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sz w:val="20"/>
                <w:szCs w:val="20"/>
              </w:rPr>
            </w:pPr>
            <w:r>
              <w:rPr>
                <w:sz w:val="20"/>
                <w:szCs w:val="20"/>
              </w:rPr>
              <w:t> </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BF22F6" w:rsidRDefault="00BF22F6">
            <w:pPr>
              <w:rPr>
                <w:sz w:val="20"/>
                <w:szCs w:val="20"/>
              </w:rPr>
            </w:pPr>
          </w:p>
        </w:tc>
        <w:tc>
          <w:tcPr>
            <w:tcW w:w="2911" w:type="dxa"/>
            <w:tcBorders>
              <w:top w:val="nil"/>
              <w:left w:val="nil"/>
              <w:bottom w:val="nil"/>
              <w:right w:val="single" w:sz="8" w:space="0" w:color="auto"/>
            </w:tcBorders>
            <w:shd w:val="clear" w:color="auto" w:fill="auto"/>
            <w:noWrap/>
            <w:vAlign w:val="bottom"/>
            <w:hideMark/>
          </w:tcPr>
          <w:p w:rsidR="00BF22F6" w:rsidRDefault="00BF22F6">
            <w:pPr>
              <w:rPr>
                <w:sz w:val="20"/>
                <w:szCs w:val="20"/>
              </w:rPr>
            </w:pPr>
            <w:r>
              <w:rPr>
                <w:sz w:val="20"/>
                <w:szCs w:val="20"/>
              </w:rP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sz w:val="20"/>
                <w:szCs w:val="20"/>
              </w:rPr>
            </w:pPr>
            <w:r>
              <w:rPr>
                <w:sz w:val="20"/>
                <w:szCs w:val="20"/>
              </w:rPr>
              <w:t> </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BF22F6" w:rsidRDefault="00BF22F6">
            <w:pPr>
              <w:rPr>
                <w:sz w:val="20"/>
                <w:szCs w:val="20"/>
              </w:rPr>
            </w:pPr>
          </w:p>
        </w:tc>
        <w:tc>
          <w:tcPr>
            <w:tcW w:w="2911" w:type="dxa"/>
            <w:tcBorders>
              <w:top w:val="nil"/>
              <w:left w:val="nil"/>
              <w:bottom w:val="nil"/>
              <w:right w:val="single" w:sz="8" w:space="0" w:color="auto"/>
            </w:tcBorders>
            <w:shd w:val="clear" w:color="auto" w:fill="auto"/>
            <w:noWrap/>
            <w:vAlign w:val="bottom"/>
            <w:hideMark/>
          </w:tcPr>
          <w:p w:rsidR="00BF22F6" w:rsidRDefault="00BF22F6">
            <w:pPr>
              <w:rPr>
                <w:sz w:val="20"/>
                <w:szCs w:val="20"/>
              </w:rPr>
            </w:pPr>
            <w:r>
              <w:rPr>
                <w:sz w:val="20"/>
                <w:szCs w:val="20"/>
              </w:rP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sz w:val="20"/>
                <w:szCs w:val="20"/>
              </w:rPr>
            </w:pPr>
            <w:r>
              <w:rPr>
                <w:sz w:val="20"/>
                <w:szCs w:val="20"/>
              </w:rPr>
              <w:t> </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BF22F6" w:rsidRDefault="00BF22F6">
            <w:pPr>
              <w:rPr>
                <w:sz w:val="20"/>
                <w:szCs w:val="20"/>
              </w:rPr>
            </w:pPr>
          </w:p>
        </w:tc>
        <w:tc>
          <w:tcPr>
            <w:tcW w:w="2911" w:type="dxa"/>
            <w:tcBorders>
              <w:top w:val="nil"/>
              <w:left w:val="nil"/>
              <w:bottom w:val="nil"/>
              <w:right w:val="single" w:sz="8" w:space="0" w:color="auto"/>
            </w:tcBorders>
            <w:shd w:val="clear" w:color="auto" w:fill="auto"/>
            <w:noWrap/>
            <w:vAlign w:val="bottom"/>
            <w:hideMark/>
          </w:tcPr>
          <w:p w:rsidR="00BF22F6" w:rsidRDefault="00BF22F6">
            <w:pPr>
              <w:rPr>
                <w:sz w:val="20"/>
                <w:szCs w:val="20"/>
              </w:rPr>
            </w:pPr>
            <w:r>
              <w:rPr>
                <w:sz w:val="20"/>
                <w:szCs w:val="20"/>
              </w:rP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b/>
                <w:bCs/>
                <w:color w:val="000000"/>
                <w:sz w:val="20"/>
                <w:szCs w:val="20"/>
                <w:u w:val="single"/>
              </w:rPr>
            </w:pPr>
            <w:r>
              <w:rPr>
                <w:b/>
                <w:bCs/>
                <w:color w:val="000000"/>
                <w:sz w:val="20"/>
                <w:szCs w:val="20"/>
                <w:u w:val="single"/>
              </w:rPr>
              <w:t>Typical Residential 5/8" x 3/4" Meter Bill Comparison</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p>
        </w:tc>
        <w:tc>
          <w:tcPr>
            <w:tcW w:w="2911" w:type="dxa"/>
            <w:tcBorders>
              <w:top w:val="nil"/>
              <w:left w:val="nil"/>
              <w:bottom w:val="nil"/>
              <w:right w:val="single" w:sz="8" w:space="0" w:color="auto"/>
            </w:tcBorders>
            <w:shd w:val="clear" w:color="auto" w:fill="auto"/>
            <w:noWrap/>
            <w:vAlign w:val="bottom"/>
            <w:hideMark/>
          </w:tcPr>
          <w:p w:rsidR="00BF22F6" w:rsidRDefault="00BF22F6">
            <w:pPr>
              <w:rPr>
                <w:sz w:val="20"/>
                <w:szCs w:val="20"/>
              </w:rPr>
            </w:pPr>
            <w:r>
              <w:rPr>
                <w:sz w:val="20"/>
                <w:szCs w:val="20"/>
              </w:rP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3,000 Gallons</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 xml:space="preserve">$83.82 </w:t>
            </w:r>
          </w:p>
        </w:tc>
        <w:tc>
          <w:tcPr>
            <w:tcW w:w="1872"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 xml:space="preserve">$100.73 </w:t>
            </w:r>
          </w:p>
        </w:tc>
        <w:tc>
          <w:tcPr>
            <w:tcW w:w="2911" w:type="dxa"/>
            <w:tcBorders>
              <w:top w:val="nil"/>
              <w:left w:val="nil"/>
              <w:bottom w:val="nil"/>
              <w:right w:val="single" w:sz="8" w:space="0" w:color="auto"/>
            </w:tcBorders>
            <w:shd w:val="clear" w:color="auto" w:fill="auto"/>
            <w:noWrap/>
            <w:vAlign w:val="bottom"/>
            <w:hideMark/>
          </w:tcPr>
          <w:p w:rsidR="00BF22F6" w:rsidRDefault="00BF22F6">
            <w:pPr>
              <w:jc w:val="right"/>
              <w:rPr>
                <w:color w:val="000000"/>
                <w:sz w:val="20"/>
                <w:szCs w:val="20"/>
              </w:rPr>
            </w:pPr>
            <w:r>
              <w:rPr>
                <w:color w:val="000000"/>
                <w:sz w:val="20"/>
                <w:szCs w:val="20"/>
              </w:rPr>
              <w:t> </w:t>
            </w:r>
          </w:p>
        </w:tc>
      </w:tr>
      <w:tr w:rsidR="00BF22F6" w:rsidTr="00BF22F6">
        <w:trPr>
          <w:trHeight w:val="300"/>
          <w:jc w:val="center"/>
        </w:trPr>
        <w:tc>
          <w:tcPr>
            <w:tcW w:w="5040" w:type="dxa"/>
            <w:tcBorders>
              <w:top w:val="nil"/>
              <w:left w:val="single" w:sz="8" w:space="0" w:color="000000"/>
              <w:bottom w:val="nil"/>
              <w:right w:val="nil"/>
            </w:tcBorders>
            <w:shd w:val="clear" w:color="auto" w:fill="auto"/>
            <w:noWrap/>
            <w:vAlign w:val="bottom"/>
            <w:hideMark/>
          </w:tcPr>
          <w:p w:rsidR="00BF22F6" w:rsidRDefault="00BF22F6">
            <w:pPr>
              <w:rPr>
                <w:color w:val="000000"/>
                <w:sz w:val="20"/>
                <w:szCs w:val="20"/>
              </w:rPr>
            </w:pPr>
            <w:r>
              <w:rPr>
                <w:color w:val="000000"/>
                <w:sz w:val="20"/>
                <w:szCs w:val="20"/>
              </w:rPr>
              <w:t>6,000 Gallons</w:t>
            </w:r>
          </w:p>
        </w:tc>
        <w:tc>
          <w:tcPr>
            <w:tcW w:w="1880"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 xml:space="preserve">$102.66 </w:t>
            </w:r>
          </w:p>
        </w:tc>
        <w:tc>
          <w:tcPr>
            <w:tcW w:w="1872" w:type="dxa"/>
            <w:tcBorders>
              <w:top w:val="nil"/>
              <w:left w:val="nil"/>
              <w:bottom w:val="nil"/>
              <w:right w:val="nil"/>
            </w:tcBorders>
            <w:shd w:val="clear" w:color="auto" w:fill="auto"/>
            <w:noWrap/>
            <w:vAlign w:val="bottom"/>
            <w:hideMark/>
          </w:tcPr>
          <w:p w:rsidR="00BF22F6" w:rsidRDefault="00BF22F6">
            <w:pPr>
              <w:jc w:val="right"/>
              <w:rPr>
                <w:color w:val="000000"/>
                <w:sz w:val="20"/>
                <w:szCs w:val="20"/>
              </w:rPr>
            </w:pPr>
            <w:r>
              <w:rPr>
                <w:color w:val="000000"/>
                <w:sz w:val="20"/>
                <w:szCs w:val="20"/>
              </w:rPr>
              <w:t xml:space="preserve">$123.38 </w:t>
            </w:r>
          </w:p>
        </w:tc>
        <w:tc>
          <w:tcPr>
            <w:tcW w:w="2911" w:type="dxa"/>
            <w:tcBorders>
              <w:top w:val="nil"/>
              <w:left w:val="nil"/>
              <w:bottom w:val="nil"/>
              <w:right w:val="single" w:sz="8" w:space="0" w:color="auto"/>
            </w:tcBorders>
            <w:shd w:val="clear" w:color="auto" w:fill="auto"/>
            <w:noWrap/>
            <w:vAlign w:val="bottom"/>
            <w:hideMark/>
          </w:tcPr>
          <w:p w:rsidR="00BF22F6" w:rsidRDefault="00BF22F6">
            <w:pPr>
              <w:jc w:val="right"/>
              <w:rPr>
                <w:color w:val="000000"/>
                <w:sz w:val="20"/>
                <w:szCs w:val="20"/>
              </w:rPr>
            </w:pPr>
            <w:r>
              <w:rPr>
                <w:color w:val="000000"/>
                <w:sz w:val="20"/>
                <w:szCs w:val="20"/>
              </w:rPr>
              <w:t> </w:t>
            </w:r>
          </w:p>
        </w:tc>
      </w:tr>
      <w:tr w:rsidR="00BF22F6" w:rsidTr="00BF22F6">
        <w:trPr>
          <w:trHeight w:val="315"/>
          <w:jc w:val="center"/>
        </w:trPr>
        <w:tc>
          <w:tcPr>
            <w:tcW w:w="5040" w:type="dxa"/>
            <w:tcBorders>
              <w:top w:val="nil"/>
              <w:left w:val="single" w:sz="8" w:space="0" w:color="000000"/>
              <w:bottom w:val="single" w:sz="8" w:space="0" w:color="000000"/>
              <w:right w:val="nil"/>
            </w:tcBorders>
            <w:shd w:val="clear" w:color="auto" w:fill="auto"/>
            <w:noWrap/>
            <w:vAlign w:val="bottom"/>
            <w:hideMark/>
          </w:tcPr>
          <w:p w:rsidR="00BF22F6" w:rsidRDefault="00BF22F6">
            <w:pPr>
              <w:rPr>
                <w:color w:val="000000"/>
                <w:sz w:val="20"/>
                <w:szCs w:val="20"/>
              </w:rPr>
            </w:pPr>
            <w:r>
              <w:rPr>
                <w:color w:val="000000"/>
                <w:sz w:val="20"/>
                <w:szCs w:val="20"/>
              </w:rPr>
              <w:t>8,000 Gallons</w:t>
            </w:r>
          </w:p>
        </w:tc>
        <w:tc>
          <w:tcPr>
            <w:tcW w:w="1880" w:type="dxa"/>
            <w:tcBorders>
              <w:top w:val="nil"/>
              <w:left w:val="nil"/>
              <w:bottom w:val="single" w:sz="8" w:space="0" w:color="auto"/>
              <w:right w:val="nil"/>
            </w:tcBorders>
            <w:shd w:val="clear" w:color="auto" w:fill="auto"/>
            <w:noWrap/>
            <w:vAlign w:val="bottom"/>
            <w:hideMark/>
          </w:tcPr>
          <w:p w:rsidR="00BF22F6" w:rsidRDefault="00BF22F6">
            <w:pPr>
              <w:jc w:val="right"/>
              <w:rPr>
                <w:color w:val="000000"/>
                <w:sz w:val="20"/>
                <w:szCs w:val="20"/>
              </w:rPr>
            </w:pPr>
            <w:r>
              <w:rPr>
                <w:color w:val="000000"/>
                <w:sz w:val="20"/>
                <w:szCs w:val="20"/>
              </w:rPr>
              <w:t xml:space="preserve">$115.22 </w:t>
            </w:r>
          </w:p>
        </w:tc>
        <w:tc>
          <w:tcPr>
            <w:tcW w:w="1872" w:type="dxa"/>
            <w:tcBorders>
              <w:top w:val="nil"/>
              <w:left w:val="nil"/>
              <w:bottom w:val="single" w:sz="8" w:space="0" w:color="auto"/>
              <w:right w:val="nil"/>
            </w:tcBorders>
            <w:shd w:val="clear" w:color="auto" w:fill="auto"/>
            <w:noWrap/>
            <w:vAlign w:val="bottom"/>
            <w:hideMark/>
          </w:tcPr>
          <w:p w:rsidR="00BF22F6" w:rsidRDefault="00BF22F6">
            <w:pPr>
              <w:jc w:val="right"/>
              <w:rPr>
                <w:color w:val="000000"/>
                <w:sz w:val="20"/>
                <w:szCs w:val="20"/>
              </w:rPr>
            </w:pPr>
            <w:r>
              <w:rPr>
                <w:color w:val="000000"/>
                <w:sz w:val="20"/>
                <w:szCs w:val="20"/>
              </w:rPr>
              <w:t xml:space="preserve">$138.48 </w:t>
            </w:r>
          </w:p>
        </w:tc>
        <w:tc>
          <w:tcPr>
            <w:tcW w:w="2911" w:type="dxa"/>
            <w:tcBorders>
              <w:top w:val="nil"/>
              <w:left w:val="nil"/>
              <w:bottom w:val="single" w:sz="8" w:space="0" w:color="000000"/>
              <w:right w:val="single" w:sz="8" w:space="0" w:color="auto"/>
            </w:tcBorders>
            <w:shd w:val="clear" w:color="auto" w:fill="auto"/>
            <w:noWrap/>
            <w:vAlign w:val="bottom"/>
            <w:hideMark/>
          </w:tcPr>
          <w:p w:rsidR="00BF22F6" w:rsidRDefault="00BF22F6">
            <w:pPr>
              <w:jc w:val="right"/>
              <w:rPr>
                <w:color w:val="000000"/>
                <w:sz w:val="20"/>
                <w:szCs w:val="20"/>
              </w:rPr>
            </w:pPr>
            <w:r>
              <w:rPr>
                <w:color w:val="000000"/>
                <w:sz w:val="20"/>
                <w:szCs w:val="20"/>
              </w:rPr>
              <w:t> </w:t>
            </w:r>
          </w:p>
        </w:tc>
      </w:tr>
    </w:tbl>
    <w:p w:rsidR="002C5FA7" w:rsidRDefault="00682ECF" w:rsidP="00682ECF">
      <w:pPr>
        <w:pStyle w:val="BodyText"/>
        <w:spacing w:after="0"/>
        <w:jc w:val="left"/>
      </w:pPr>
      <w:r>
        <w:t xml:space="preserve">* The </w:t>
      </w:r>
      <w:r w:rsidR="008D63B4">
        <w:t>utility</w:t>
      </w:r>
      <w:r w:rsidR="000016DF">
        <w:t xml:space="preserve"> had a price index</w:t>
      </w:r>
      <w:r>
        <w:t xml:space="preserve"> which became effective October 1, 2017</w:t>
      </w:r>
      <w:r w:rsidR="000016DF">
        <w:t>.</w:t>
      </w:r>
    </w:p>
    <w:sectPr w:rsidR="002C5FA7" w:rsidSect="00B127B2">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F7C" w:rsidRDefault="00956F7C">
      <w:r>
        <w:separator/>
      </w:r>
    </w:p>
  </w:endnote>
  <w:endnote w:type="continuationSeparator" w:id="0">
    <w:p w:rsidR="00956F7C" w:rsidRDefault="0095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SWIS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7C" w:rsidRDefault="00956F7C" w:rsidP="00EE4CA2">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857C44">
      <w:rPr>
        <w:rStyle w:val="PageNumber"/>
        <w:noProof/>
      </w:rPr>
      <w:t>32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7C" w:rsidRDefault="00956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F7C" w:rsidRDefault="00956F7C">
      <w:r>
        <w:separator/>
      </w:r>
    </w:p>
  </w:footnote>
  <w:footnote w:type="continuationSeparator" w:id="0">
    <w:p w:rsidR="00956F7C" w:rsidRDefault="00956F7C">
      <w:r>
        <w:continuationSeparator/>
      </w:r>
    </w:p>
  </w:footnote>
  <w:footnote w:id="1">
    <w:p w:rsidR="00956F7C" w:rsidRDefault="00956F7C" w:rsidP="00312B02">
      <w:pPr>
        <w:pStyle w:val="FootnoteText"/>
      </w:pPr>
      <w:r>
        <w:rPr>
          <w:rStyle w:val="FootnoteReference"/>
        </w:rPr>
        <w:footnoteRef/>
      </w:r>
      <w:r>
        <w:t xml:space="preserve">In Docket No. 20130265-WU, </w:t>
      </w:r>
      <w:r>
        <w:rPr>
          <w:i/>
        </w:rPr>
        <w:t>In re: Application for staff-assisted rate case in Charlotte County by Little Gasparilla Water Utility, Inc.</w:t>
      </w:r>
      <w:r>
        <w:t xml:space="preserve"> </w:t>
      </w:r>
    </w:p>
  </w:footnote>
  <w:footnote w:id="2">
    <w:p w:rsidR="00956F7C" w:rsidRDefault="00956F7C" w:rsidP="00312B02">
      <w:pPr>
        <w:pStyle w:val="FootnoteText"/>
      </w:pPr>
      <w:r>
        <w:rPr>
          <w:rStyle w:val="FootnoteReference"/>
        </w:rPr>
        <w:footnoteRef/>
      </w:r>
      <w:r>
        <w:t>Order No. PSC-14-0626-PAA-WU, page 3.</w:t>
      </w:r>
    </w:p>
  </w:footnote>
  <w:footnote w:id="3">
    <w:p w:rsidR="00956F7C" w:rsidRDefault="00956F7C" w:rsidP="00312B02">
      <w:pPr>
        <w:pStyle w:val="FootnoteText"/>
      </w:pPr>
      <w:r>
        <w:rPr>
          <w:rStyle w:val="FootnoteReference"/>
        </w:rPr>
        <w:footnoteRef/>
      </w:r>
      <w:r>
        <w:t>Order No. PSC-14-0626-PAA-WU, page 8.</w:t>
      </w:r>
    </w:p>
  </w:footnote>
  <w:footnote w:id="4">
    <w:p w:rsidR="00956F7C" w:rsidRDefault="00956F7C" w:rsidP="00312B02">
      <w:pPr>
        <w:pStyle w:val="FootnoteText"/>
      </w:pPr>
      <w:r>
        <w:rPr>
          <w:rStyle w:val="FootnoteReference"/>
        </w:rPr>
        <w:footnoteRef/>
      </w:r>
      <w:r>
        <w:t>Order No. PSC-14-0626-PAA-WU, page 22.</w:t>
      </w:r>
    </w:p>
  </w:footnote>
  <w:footnote w:id="5">
    <w:p w:rsidR="00956F7C" w:rsidRDefault="00956F7C" w:rsidP="00312B02">
      <w:pPr>
        <w:pStyle w:val="FootnoteText"/>
      </w:pPr>
      <w:r>
        <w:rPr>
          <w:rStyle w:val="FootnoteReference"/>
        </w:rPr>
        <w:footnoteRef/>
      </w:r>
      <w:r>
        <w:t>Order No. PSC-14-0626-PAA-WU, pages 5 and 6.</w:t>
      </w:r>
    </w:p>
  </w:footnote>
  <w:footnote w:id="6">
    <w:p w:rsidR="00956F7C" w:rsidRDefault="00956F7C" w:rsidP="00312B02">
      <w:pPr>
        <w:pStyle w:val="FootnoteText"/>
      </w:pPr>
      <w:r>
        <w:rPr>
          <w:rStyle w:val="FootnoteReference"/>
        </w:rPr>
        <w:footnoteRef/>
      </w:r>
      <w:r>
        <w:t>Document No. 05879-14, filed on October 15, 2014, in Docket No. 20130265-WU, Transcript for Commission Conference Agenda Item No. 12, pages 66 and 67.</w:t>
      </w:r>
    </w:p>
  </w:footnote>
  <w:footnote w:id="7">
    <w:p w:rsidR="00956F7C" w:rsidRPr="005F2471" w:rsidRDefault="00956F7C" w:rsidP="00312B02">
      <w:pPr>
        <w:pStyle w:val="FootnoteText"/>
      </w:pPr>
      <w:r w:rsidRPr="005F2471">
        <w:rPr>
          <w:rStyle w:val="FootnoteReference"/>
        </w:rPr>
        <w:footnoteRef/>
      </w:r>
      <w:r w:rsidRPr="005F2471">
        <w:t>Document No. 04515-2017.</w:t>
      </w:r>
    </w:p>
  </w:footnote>
  <w:footnote w:id="8">
    <w:p w:rsidR="00956F7C" w:rsidRDefault="00956F7C" w:rsidP="00312B02">
      <w:pPr>
        <w:pStyle w:val="FootnoteText"/>
      </w:pPr>
      <w:r w:rsidRPr="00314D2A">
        <w:rPr>
          <w:rStyle w:val="FootnoteReference"/>
        </w:rPr>
        <w:footnoteRef/>
      </w:r>
      <w:r w:rsidRPr="00314D2A">
        <w:t>Document No. 07052-2017.</w:t>
      </w:r>
    </w:p>
  </w:footnote>
  <w:footnote w:id="9">
    <w:p w:rsidR="00956F7C" w:rsidRPr="005F2471" w:rsidRDefault="00956F7C" w:rsidP="00312B02">
      <w:pPr>
        <w:pStyle w:val="FootnoteText"/>
      </w:pPr>
      <w:r w:rsidRPr="005F2471">
        <w:rPr>
          <w:rStyle w:val="FootnoteReference"/>
        </w:rPr>
        <w:footnoteRef/>
      </w:r>
      <w:r w:rsidRPr="005F2471">
        <w:t>Document No. 07734-2017.</w:t>
      </w:r>
    </w:p>
  </w:footnote>
  <w:footnote w:id="10">
    <w:p w:rsidR="00956F7C" w:rsidRDefault="00956F7C" w:rsidP="00312B02">
      <w:pPr>
        <w:pStyle w:val="FootnoteText"/>
      </w:pPr>
      <w:r w:rsidRPr="005F2471">
        <w:rPr>
          <w:rStyle w:val="FootnoteReference"/>
        </w:rPr>
        <w:footnoteRef/>
      </w:r>
      <w:r w:rsidRPr="005F2471">
        <w:t>Document No. 09623-2017.</w:t>
      </w:r>
    </w:p>
  </w:footnote>
  <w:footnote w:id="11">
    <w:p w:rsidR="00956F7C" w:rsidRDefault="00956F7C" w:rsidP="00312B02">
      <w:pPr>
        <w:pStyle w:val="FootnoteText"/>
      </w:pPr>
      <w:r>
        <w:rPr>
          <w:rStyle w:val="FootnoteReference"/>
        </w:rPr>
        <w:footnoteRef/>
      </w:r>
      <w:r>
        <w:t>Document No. 10122-2017, filed on 11/28/2017.</w:t>
      </w:r>
    </w:p>
  </w:footnote>
  <w:footnote w:id="12">
    <w:p w:rsidR="00956F7C" w:rsidRDefault="00956F7C" w:rsidP="00312B02">
      <w:pPr>
        <w:pStyle w:val="FootnoteText"/>
      </w:pPr>
      <w:r>
        <w:rPr>
          <w:rStyle w:val="FootnoteReference"/>
        </w:rPr>
        <w:footnoteRef/>
      </w:r>
      <w:r>
        <w:t>See Document No. 07734-2017.</w:t>
      </w:r>
    </w:p>
  </w:footnote>
  <w:footnote w:id="13">
    <w:p w:rsidR="00956F7C" w:rsidRDefault="00956F7C" w:rsidP="00312B02">
      <w:pPr>
        <w:pStyle w:val="FootnoteText"/>
      </w:pPr>
      <w:r>
        <w:rPr>
          <w:rStyle w:val="FootnoteReference"/>
        </w:rPr>
        <w:footnoteRef/>
      </w:r>
      <w:r>
        <w:t>Document No. 07734-2017.</w:t>
      </w:r>
    </w:p>
  </w:footnote>
  <w:footnote w:id="14">
    <w:p w:rsidR="00956F7C" w:rsidRDefault="00956F7C" w:rsidP="00312B02">
      <w:pPr>
        <w:pStyle w:val="FootnoteText"/>
      </w:pPr>
      <w:r>
        <w:rPr>
          <w:rStyle w:val="FootnoteReference"/>
        </w:rPr>
        <w:footnoteRef/>
      </w:r>
      <w:r>
        <w:t>Document No. 07734-2017.</w:t>
      </w:r>
    </w:p>
  </w:footnote>
  <w:footnote w:id="15">
    <w:p w:rsidR="00956F7C" w:rsidRDefault="00956F7C" w:rsidP="00312B02">
      <w:pPr>
        <w:pStyle w:val="FootnoteText"/>
      </w:pPr>
      <w:r w:rsidRPr="00414331">
        <w:rPr>
          <w:rStyle w:val="FootnoteReference"/>
        </w:rPr>
        <w:footnoteRef/>
      </w:r>
      <w:r w:rsidRPr="00414331">
        <w:t>Order No. PSC-17-0249-PAA-WS, issued Ju</w:t>
      </w:r>
      <w:r>
        <w:t>ne</w:t>
      </w:r>
      <w:r w:rsidRPr="00414331">
        <w:t xml:space="preserve"> 26, 2017, in Docket No. </w:t>
      </w:r>
      <w:r>
        <w:t>20</w:t>
      </w:r>
      <w:r w:rsidRPr="00414331">
        <w:t xml:space="preserve">170006-WS, </w:t>
      </w:r>
      <w:r w:rsidRPr="00414331">
        <w:rPr>
          <w:i/>
        </w:rPr>
        <w:t>In re: Water and wastewater industry annual reestablishment of authorized range of return on common equity for water and wastewater utilities pursuant to Section 367.081(4)(f), F.S.</w:t>
      </w:r>
    </w:p>
  </w:footnote>
  <w:footnote w:id="16">
    <w:p w:rsidR="00956F7C" w:rsidRDefault="00956F7C" w:rsidP="00312B02">
      <w:pPr>
        <w:pStyle w:val="FootnoteText"/>
      </w:pPr>
      <w:r>
        <w:rPr>
          <w:rStyle w:val="FootnoteReference"/>
        </w:rPr>
        <w:footnoteRef/>
      </w:r>
      <w:r>
        <w:t xml:space="preserve">Order No. PSC-14-0626-PAA-WU, issued October 29, 2014, in Docket No. 20130265-WU, </w:t>
      </w:r>
      <w:r w:rsidRPr="00933B1D">
        <w:rPr>
          <w:i/>
        </w:rPr>
        <w:t>In re: Application for staff-assisted rate case in Charlotte County by Little Gasparilla Water Utility, Inc.</w:t>
      </w:r>
    </w:p>
  </w:footnote>
  <w:footnote w:id="17">
    <w:p w:rsidR="00956F7C" w:rsidRDefault="00956F7C" w:rsidP="00312B02">
      <w:pPr>
        <w:pStyle w:val="FootnoteText"/>
      </w:pPr>
      <w:r>
        <w:rPr>
          <w:rStyle w:val="FootnoteReference"/>
        </w:rPr>
        <w:footnoteRef/>
      </w:r>
      <w:r>
        <w:t>Document No. 07734-2017.</w:t>
      </w:r>
    </w:p>
  </w:footnote>
  <w:footnote w:id="18">
    <w:p w:rsidR="00956F7C" w:rsidRDefault="00956F7C" w:rsidP="00883B84">
      <w:pPr>
        <w:pStyle w:val="FootnoteText"/>
      </w:pPr>
      <w:r>
        <w:rPr>
          <w:rStyle w:val="FootnoteReference"/>
        </w:rPr>
        <w:footnoteRef/>
      </w:r>
      <w:r>
        <w:t>Commission staff included the return on rate case expense in working capital because the docket was filed prior to the July 1, 2016, repeal of Section 367.0816, F.S., that formerly established the guidelines for recovery of rate case expense in SARCs.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7C" w:rsidRDefault="00956F7C"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20130265-WU</w:t>
    </w:r>
    <w:bookmarkEnd w:id="15"/>
  </w:p>
  <w:p w:rsidR="00956F7C" w:rsidRDefault="00956F7C">
    <w:pPr>
      <w:pStyle w:val="Header"/>
    </w:pPr>
    <w:r>
      <w:t xml:space="preserve">Date: </w:t>
    </w:r>
    <w:r w:rsidR="00F9581E">
      <w:fldChar w:fldCharType="begin"/>
    </w:r>
    <w:r w:rsidR="00F9581E">
      <w:instrText xml:space="preserve"> REF FilingDate </w:instrText>
    </w:r>
    <w:r w:rsidR="00F9581E">
      <w:fldChar w:fldCharType="separate"/>
    </w:r>
    <w:r w:rsidR="002713FC">
      <w:t>November 30, 2017</w:t>
    </w:r>
    <w:r w:rsidR="00F9581E">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7C" w:rsidRDefault="00956F7C" w:rsidP="00220732">
    <w:pPr>
      <w:pStyle w:val="Header"/>
      <w:tabs>
        <w:tab w:val="clear" w:pos="4320"/>
        <w:tab w:val="clear" w:pos="8640"/>
        <w:tab w:val="right" w:pos="9360"/>
      </w:tabs>
    </w:pPr>
    <w:r>
      <w:fldChar w:fldCharType="begin"/>
    </w:r>
    <w:r>
      <w:instrText xml:space="preserve"> REF DocketLabel</w:instrText>
    </w:r>
    <w:r>
      <w:fldChar w:fldCharType="separate"/>
    </w:r>
    <w:r w:rsidR="002713FC">
      <w:t>Docket No.</w:t>
    </w:r>
    <w:r>
      <w:fldChar w:fldCharType="end"/>
    </w:r>
    <w:r>
      <w:t xml:space="preserve"> </w:t>
    </w:r>
    <w:r>
      <w:fldChar w:fldCharType="begin"/>
    </w:r>
    <w:r>
      <w:instrText xml:space="preserve"> REF DocketList</w:instrText>
    </w:r>
    <w:r>
      <w:fldChar w:fldCharType="separate"/>
    </w:r>
    <w:r w:rsidR="002713FC">
      <w:t>20130265-WU</w:t>
    </w:r>
    <w:r>
      <w:fldChar w:fldCharType="end"/>
    </w:r>
    <w:r>
      <w:tab/>
      <w:t>Schedule No. 4</w:t>
    </w:r>
  </w:p>
  <w:p w:rsidR="00956F7C" w:rsidRDefault="00956F7C" w:rsidP="00DC71C1">
    <w:pPr>
      <w:pStyle w:val="Header"/>
      <w:tabs>
        <w:tab w:val="clear" w:pos="8640"/>
        <w:tab w:val="right" w:pos="9360"/>
      </w:tabs>
    </w:pPr>
    <w:r>
      <w:t xml:space="preserve">Date: </w:t>
    </w:r>
    <w:r w:rsidR="00F9581E">
      <w:fldChar w:fldCharType="begin"/>
    </w:r>
    <w:r w:rsidR="00F9581E">
      <w:instrText xml:space="preserve"> REF FilingDate </w:instrText>
    </w:r>
    <w:r w:rsidR="00F9581E">
      <w:fldChar w:fldCharType="separate"/>
    </w:r>
    <w:r w:rsidR="002713FC">
      <w:t>November 30, 2017</w:t>
    </w:r>
    <w:r w:rsidR="00F9581E">
      <w:fldChar w:fldCharType="end"/>
    </w:r>
    <w:r w:rsidR="00DC71C1">
      <w:tab/>
    </w:r>
    <w:r w:rsidR="00DC71C1">
      <w:tab/>
      <w:t>Page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7C" w:rsidRDefault="00956F7C" w:rsidP="00220732">
    <w:pPr>
      <w:pStyle w:val="Header"/>
      <w:tabs>
        <w:tab w:val="clear" w:pos="4320"/>
        <w:tab w:val="clear" w:pos="8640"/>
        <w:tab w:val="right" w:pos="9360"/>
      </w:tabs>
    </w:pPr>
    <w:r>
      <w:fldChar w:fldCharType="begin"/>
    </w:r>
    <w:r>
      <w:instrText xml:space="preserve"> REF DocketLabel</w:instrText>
    </w:r>
    <w:r>
      <w:fldChar w:fldCharType="separate"/>
    </w:r>
    <w:r w:rsidR="002713FC">
      <w:t>Docket No.</w:t>
    </w:r>
    <w:r>
      <w:fldChar w:fldCharType="end"/>
    </w:r>
    <w:r>
      <w:t xml:space="preserve"> </w:t>
    </w:r>
    <w:r>
      <w:fldChar w:fldCharType="begin"/>
    </w:r>
    <w:r>
      <w:instrText xml:space="preserve"> REF DocketList</w:instrText>
    </w:r>
    <w:r>
      <w:fldChar w:fldCharType="separate"/>
    </w:r>
    <w:r w:rsidR="002713FC">
      <w:t>20130265-WU</w:t>
    </w:r>
    <w:r>
      <w:fldChar w:fldCharType="end"/>
    </w:r>
    <w:r>
      <w:tab/>
      <w:t xml:space="preserve">Issue </w:t>
    </w:r>
    <w:r w:rsidR="00F9581E">
      <w:fldChar w:fldCharType="begin"/>
    </w:r>
    <w:r w:rsidR="00F9581E">
      <w:instrText xml:space="preserve"> Seq Issue \c \* Arabic </w:instrText>
    </w:r>
    <w:r w:rsidR="00F9581E">
      <w:fldChar w:fldCharType="separate"/>
    </w:r>
    <w:r w:rsidR="00857C44">
      <w:rPr>
        <w:noProof/>
      </w:rPr>
      <w:t>2</w:t>
    </w:r>
    <w:r w:rsidR="00F9581E">
      <w:rPr>
        <w:noProof/>
      </w:rPr>
      <w:fldChar w:fldCharType="end"/>
    </w:r>
  </w:p>
  <w:p w:rsidR="00956F7C" w:rsidRDefault="00956F7C">
    <w:pPr>
      <w:pStyle w:val="Header"/>
    </w:pPr>
    <w:r>
      <w:t xml:space="preserve">Date: </w:t>
    </w:r>
    <w:r w:rsidR="00F9581E">
      <w:fldChar w:fldCharType="begin"/>
    </w:r>
    <w:r w:rsidR="00F9581E">
      <w:instrText xml:space="preserve"> REF FilingDate </w:instrText>
    </w:r>
    <w:r w:rsidR="00F9581E">
      <w:fldChar w:fldCharType="separate"/>
    </w:r>
    <w:r w:rsidR="002713FC">
      <w:t>November 30, 2017</w:t>
    </w:r>
    <w:r w:rsidR="00F9581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7C" w:rsidRDefault="00956F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7C" w:rsidRDefault="00956F7C" w:rsidP="00220732">
    <w:pPr>
      <w:pStyle w:val="Header"/>
      <w:tabs>
        <w:tab w:val="clear" w:pos="4320"/>
        <w:tab w:val="clear" w:pos="8640"/>
        <w:tab w:val="right" w:pos="9360"/>
      </w:tabs>
    </w:pPr>
    <w:r>
      <w:fldChar w:fldCharType="begin"/>
    </w:r>
    <w:r>
      <w:instrText xml:space="preserve"> REF DocketLabel</w:instrText>
    </w:r>
    <w:r>
      <w:fldChar w:fldCharType="separate"/>
    </w:r>
    <w:r w:rsidR="002713FC">
      <w:t>Docket No.</w:t>
    </w:r>
    <w:r>
      <w:fldChar w:fldCharType="end"/>
    </w:r>
    <w:r>
      <w:t xml:space="preserve"> </w:t>
    </w:r>
    <w:r>
      <w:fldChar w:fldCharType="begin"/>
    </w:r>
    <w:r>
      <w:instrText xml:space="preserve"> REF DocketList</w:instrText>
    </w:r>
    <w:r>
      <w:fldChar w:fldCharType="separate"/>
    </w:r>
    <w:r w:rsidR="002713FC">
      <w:t>20130265-WU</w:t>
    </w:r>
    <w:r>
      <w:fldChar w:fldCharType="end"/>
    </w:r>
    <w:r>
      <w:tab/>
      <w:t>Schedule 1-A</w:t>
    </w:r>
  </w:p>
  <w:p w:rsidR="00956F7C" w:rsidRDefault="00956F7C" w:rsidP="00334755">
    <w:pPr>
      <w:pStyle w:val="Header"/>
      <w:tabs>
        <w:tab w:val="clear" w:pos="8640"/>
        <w:tab w:val="right" w:pos="9360"/>
      </w:tabs>
    </w:pPr>
    <w:r>
      <w:t xml:space="preserve">Date: </w:t>
    </w:r>
    <w:r w:rsidR="00F9581E">
      <w:fldChar w:fldCharType="begin"/>
    </w:r>
    <w:r w:rsidR="00F9581E">
      <w:instrText xml:space="preserve"> REF FilingDate </w:instrText>
    </w:r>
    <w:r w:rsidR="00F9581E">
      <w:fldChar w:fldCharType="separate"/>
    </w:r>
    <w:r w:rsidR="002713FC">
      <w:t>November 30, 2017</w:t>
    </w:r>
    <w:r w:rsidR="00F9581E">
      <w:fldChar w:fldCharType="end"/>
    </w:r>
    <w:r w:rsidR="00334755">
      <w:tab/>
    </w:r>
    <w:r w:rsidR="00334755">
      <w:tab/>
      <w:t>Page 1 of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755" w:rsidRDefault="00334755" w:rsidP="00220732">
    <w:pPr>
      <w:pStyle w:val="Header"/>
      <w:tabs>
        <w:tab w:val="clear" w:pos="4320"/>
        <w:tab w:val="clear" w:pos="8640"/>
        <w:tab w:val="right" w:pos="9360"/>
      </w:tabs>
    </w:pPr>
    <w:r>
      <w:fldChar w:fldCharType="begin"/>
    </w:r>
    <w:r>
      <w:instrText xml:space="preserve"> REF DocketLabel</w:instrText>
    </w:r>
    <w:r>
      <w:fldChar w:fldCharType="separate"/>
    </w:r>
    <w:r w:rsidR="002713FC">
      <w:t>Docket No.</w:t>
    </w:r>
    <w:r>
      <w:fldChar w:fldCharType="end"/>
    </w:r>
    <w:r>
      <w:t xml:space="preserve"> </w:t>
    </w:r>
    <w:r>
      <w:fldChar w:fldCharType="begin"/>
    </w:r>
    <w:r>
      <w:instrText xml:space="preserve"> REF DocketList</w:instrText>
    </w:r>
    <w:r>
      <w:fldChar w:fldCharType="separate"/>
    </w:r>
    <w:r w:rsidR="002713FC">
      <w:t>20130265-WU</w:t>
    </w:r>
    <w:r>
      <w:fldChar w:fldCharType="end"/>
    </w:r>
    <w:r>
      <w:tab/>
      <w:t>Schedule 1-B</w:t>
    </w:r>
  </w:p>
  <w:p w:rsidR="00334755" w:rsidRDefault="00334755" w:rsidP="00334755">
    <w:pPr>
      <w:pStyle w:val="Header"/>
      <w:tabs>
        <w:tab w:val="clear" w:pos="8640"/>
        <w:tab w:val="right" w:pos="9360"/>
      </w:tabs>
    </w:pPr>
    <w:r>
      <w:t xml:space="preserve">Date: </w:t>
    </w:r>
    <w:r w:rsidR="00F9581E">
      <w:fldChar w:fldCharType="begin"/>
    </w:r>
    <w:r w:rsidR="00F9581E">
      <w:instrText xml:space="preserve"> REF FilingDate </w:instrText>
    </w:r>
    <w:r w:rsidR="00F9581E">
      <w:fldChar w:fldCharType="separate"/>
    </w:r>
    <w:r w:rsidR="002713FC">
      <w:t>November 30, 2017</w:t>
    </w:r>
    <w:r w:rsidR="00F9581E">
      <w:fldChar w:fldCharType="end"/>
    </w:r>
    <w:r>
      <w:tab/>
    </w:r>
    <w:r>
      <w:tab/>
      <w:t>Page 1 of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7C" w:rsidRDefault="00956F7C" w:rsidP="00334755">
    <w:pPr>
      <w:pStyle w:val="Header"/>
      <w:tabs>
        <w:tab w:val="clear" w:pos="4320"/>
        <w:tab w:val="clear" w:pos="8640"/>
        <w:tab w:val="right" w:pos="12780"/>
      </w:tabs>
    </w:pPr>
    <w:r>
      <w:fldChar w:fldCharType="begin"/>
    </w:r>
    <w:r>
      <w:instrText xml:space="preserve"> REF DocketLabel</w:instrText>
    </w:r>
    <w:r>
      <w:fldChar w:fldCharType="separate"/>
    </w:r>
    <w:r w:rsidR="002713FC">
      <w:t>Docket No.</w:t>
    </w:r>
    <w:r>
      <w:fldChar w:fldCharType="end"/>
    </w:r>
    <w:r>
      <w:t xml:space="preserve"> </w:t>
    </w:r>
    <w:r>
      <w:fldChar w:fldCharType="begin"/>
    </w:r>
    <w:r>
      <w:instrText xml:space="preserve"> REF DocketList</w:instrText>
    </w:r>
    <w:r>
      <w:fldChar w:fldCharType="separate"/>
    </w:r>
    <w:r w:rsidR="002713FC">
      <w:t>20130265-WU</w:t>
    </w:r>
    <w:r>
      <w:fldChar w:fldCharType="end"/>
    </w:r>
    <w:r>
      <w:tab/>
      <w:t>Schedule No. 2</w:t>
    </w:r>
  </w:p>
  <w:p w:rsidR="00956F7C" w:rsidRDefault="00956F7C" w:rsidP="00334755">
    <w:pPr>
      <w:pStyle w:val="Header"/>
      <w:tabs>
        <w:tab w:val="clear" w:pos="4320"/>
        <w:tab w:val="clear" w:pos="8640"/>
      </w:tabs>
    </w:pPr>
    <w:r>
      <w:t xml:space="preserve">Date: </w:t>
    </w:r>
    <w:r w:rsidR="00F9581E">
      <w:fldChar w:fldCharType="begin"/>
    </w:r>
    <w:r w:rsidR="00F9581E">
      <w:instrText xml:space="preserve"> REF FilingDate </w:instrText>
    </w:r>
    <w:r w:rsidR="00F9581E">
      <w:fldChar w:fldCharType="separate"/>
    </w:r>
    <w:r w:rsidR="002713FC">
      <w:t>November 30, 2017</w:t>
    </w:r>
    <w:r w:rsidR="00F9581E">
      <w:fldChar w:fldCharType="end"/>
    </w:r>
    <w:r w:rsidR="00334755">
      <w:tab/>
    </w:r>
    <w:r w:rsidR="00334755">
      <w:tab/>
    </w:r>
    <w:r w:rsidR="00334755">
      <w:tab/>
    </w:r>
    <w:r w:rsidR="00334755">
      <w:tab/>
    </w:r>
    <w:r w:rsidR="00334755">
      <w:tab/>
    </w:r>
    <w:r w:rsidR="00334755">
      <w:tab/>
    </w:r>
    <w:r w:rsidR="00334755">
      <w:tab/>
    </w:r>
    <w:r w:rsidR="00334755">
      <w:tab/>
    </w:r>
    <w:r w:rsidR="00334755">
      <w:tab/>
    </w:r>
    <w:r w:rsidR="00334755">
      <w:tab/>
    </w:r>
    <w:r w:rsidR="00334755">
      <w:tab/>
    </w:r>
    <w:r w:rsidR="00334755">
      <w:tab/>
    </w:r>
    <w:r w:rsidR="00334755">
      <w:tab/>
      <w:t xml:space="preserve">   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7C" w:rsidRDefault="00956F7C" w:rsidP="00220732">
    <w:pPr>
      <w:pStyle w:val="Header"/>
      <w:tabs>
        <w:tab w:val="clear" w:pos="4320"/>
        <w:tab w:val="clear" w:pos="8640"/>
        <w:tab w:val="right" w:pos="9360"/>
      </w:tabs>
    </w:pPr>
    <w:r>
      <w:fldChar w:fldCharType="begin"/>
    </w:r>
    <w:r>
      <w:instrText xml:space="preserve"> REF DocketLabel</w:instrText>
    </w:r>
    <w:r>
      <w:fldChar w:fldCharType="separate"/>
    </w:r>
    <w:r w:rsidR="002713FC">
      <w:t>Docket No.</w:t>
    </w:r>
    <w:r>
      <w:fldChar w:fldCharType="end"/>
    </w:r>
    <w:r>
      <w:t xml:space="preserve"> </w:t>
    </w:r>
    <w:r>
      <w:fldChar w:fldCharType="begin"/>
    </w:r>
    <w:r>
      <w:instrText xml:space="preserve"> REF DocketList</w:instrText>
    </w:r>
    <w:r>
      <w:fldChar w:fldCharType="separate"/>
    </w:r>
    <w:r w:rsidR="002713FC">
      <w:t>20130265-WU</w:t>
    </w:r>
    <w:r>
      <w:fldChar w:fldCharType="end"/>
    </w:r>
    <w:r>
      <w:tab/>
    </w:r>
    <w:r w:rsidR="00334755">
      <w:tab/>
    </w:r>
    <w:r w:rsidR="00334755">
      <w:tab/>
      <w:t xml:space="preserve">   </w:t>
    </w:r>
    <w:r>
      <w:t>Schedule No. 3-A</w:t>
    </w:r>
  </w:p>
  <w:p w:rsidR="00956F7C" w:rsidRDefault="00956F7C" w:rsidP="00334755">
    <w:pPr>
      <w:pStyle w:val="Header"/>
      <w:ind w:right="36"/>
    </w:pPr>
    <w:r>
      <w:t xml:space="preserve">Date: </w:t>
    </w:r>
    <w:r w:rsidR="00F9581E">
      <w:fldChar w:fldCharType="begin"/>
    </w:r>
    <w:r w:rsidR="00F9581E">
      <w:instrText xml:space="preserve"> REF FilingDate </w:instrText>
    </w:r>
    <w:r w:rsidR="00F9581E">
      <w:fldChar w:fldCharType="separate"/>
    </w:r>
    <w:r w:rsidR="002713FC">
      <w:t>November 30, 2017</w:t>
    </w:r>
    <w:r w:rsidR="00F9581E">
      <w:fldChar w:fldCharType="end"/>
    </w:r>
    <w:r w:rsidR="00334755">
      <w:tab/>
    </w:r>
    <w:r w:rsidR="00334755">
      <w:tab/>
    </w:r>
    <w:r w:rsidR="00334755">
      <w:tab/>
    </w:r>
    <w:r w:rsidR="00334755">
      <w:tab/>
    </w:r>
    <w:r w:rsidR="00334755">
      <w:tab/>
    </w:r>
    <w:r w:rsidR="00334755">
      <w:tab/>
      <w:t xml:space="preserve"> Page 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7C" w:rsidRDefault="00956F7C" w:rsidP="00220732">
    <w:pPr>
      <w:pStyle w:val="Header"/>
      <w:tabs>
        <w:tab w:val="clear" w:pos="4320"/>
        <w:tab w:val="clear" w:pos="8640"/>
        <w:tab w:val="right" w:pos="9360"/>
      </w:tabs>
    </w:pPr>
    <w:r>
      <w:fldChar w:fldCharType="begin"/>
    </w:r>
    <w:r>
      <w:instrText xml:space="preserve"> REF DocketLabel</w:instrText>
    </w:r>
    <w:r>
      <w:fldChar w:fldCharType="separate"/>
    </w:r>
    <w:r w:rsidR="002713FC">
      <w:t>Docket No.</w:t>
    </w:r>
    <w:r>
      <w:fldChar w:fldCharType="end"/>
    </w:r>
    <w:r>
      <w:t xml:space="preserve"> </w:t>
    </w:r>
    <w:r>
      <w:fldChar w:fldCharType="begin"/>
    </w:r>
    <w:r>
      <w:instrText xml:space="preserve"> REF DocketList</w:instrText>
    </w:r>
    <w:r>
      <w:fldChar w:fldCharType="separate"/>
    </w:r>
    <w:r w:rsidR="002713FC">
      <w:t>20130265-WU</w:t>
    </w:r>
    <w:r>
      <w:fldChar w:fldCharType="end"/>
    </w:r>
    <w:r>
      <w:tab/>
      <w:t>Schedule No. 3-B</w:t>
    </w:r>
  </w:p>
  <w:p w:rsidR="00956F7C" w:rsidRDefault="00956F7C" w:rsidP="00334755">
    <w:pPr>
      <w:pStyle w:val="Header"/>
      <w:tabs>
        <w:tab w:val="clear" w:pos="8640"/>
        <w:tab w:val="right" w:pos="9360"/>
      </w:tabs>
    </w:pPr>
    <w:r>
      <w:t xml:space="preserve">Date: </w:t>
    </w:r>
    <w:r w:rsidR="00F9581E">
      <w:fldChar w:fldCharType="begin"/>
    </w:r>
    <w:r w:rsidR="00F9581E">
      <w:instrText xml:space="preserve"> REF FilingDate </w:instrText>
    </w:r>
    <w:r w:rsidR="00F9581E">
      <w:fldChar w:fldCharType="separate"/>
    </w:r>
    <w:r w:rsidR="002713FC">
      <w:t>November 30, 2017</w:t>
    </w:r>
    <w:r w:rsidR="00F9581E">
      <w:fldChar w:fldCharType="end"/>
    </w:r>
    <w:r w:rsidR="00334755">
      <w:tab/>
    </w:r>
    <w:r w:rsidR="00334755">
      <w:tab/>
      <w:t>Page 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7C" w:rsidRDefault="00956F7C" w:rsidP="00220732">
    <w:pPr>
      <w:pStyle w:val="Header"/>
      <w:tabs>
        <w:tab w:val="clear" w:pos="4320"/>
        <w:tab w:val="clear" w:pos="8640"/>
        <w:tab w:val="right" w:pos="9360"/>
      </w:tabs>
    </w:pPr>
    <w:r>
      <w:fldChar w:fldCharType="begin"/>
    </w:r>
    <w:r>
      <w:instrText xml:space="preserve"> REF DocketLabel</w:instrText>
    </w:r>
    <w:r>
      <w:fldChar w:fldCharType="separate"/>
    </w:r>
    <w:r w:rsidR="002713FC">
      <w:t>Docket No.</w:t>
    </w:r>
    <w:r>
      <w:fldChar w:fldCharType="end"/>
    </w:r>
    <w:r>
      <w:t xml:space="preserve"> </w:t>
    </w:r>
    <w:r>
      <w:fldChar w:fldCharType="begin"/>
    </w:r>
    <w:r>
      <w:instrText xml:space="preserve"> REF DocketList</w:instrText>
    </w:r>
    <w:r>
      <w:fldChar w:fldCharType="separate"/>
    </w:r>
    <w:r w:rsidR="002713FC">
      <w:t>20130265-WU</w:t>
    </w:r>
    <w:r>
      <w:fldChar w:fldCharType="end"/>
    </w:r>
    <w:r>
      <w:tab/>
      <w:t>Schedule No. 3-C</w:t>
    </w:r>
  </w:p>
  <w:p w:rsidR="00956F7C" w:rsidRDefault="00956F7C" w:rsidP="00DC71C1">
    <w:pPr>
      <w:pStyle w:val="Header"/>
      <w:tabs>
        <w:tab w:val="clear" w:pos="8640"/>
        <w:tab w:val="right" w:pos="9360"/>
      </w:tabs>
    </w:pPr>
    <w:r>
      <w:t xml:space="preserve">Date: </w:t>
    </w:r>
    <w:r w:rsidR="00F9581E">
      <w:fldChar w:fldCharType="begin"/>
    </w:r>
    <w:r w:rsidR="00F9581E">
      <w:instrText xml:space="preserve"> REF FilingDate </w:instrText>
    </w:r>
    <w:r w:rsidR="00F9581E">
      <w:fldChar w:fldCharType="separate"/>
    </w:r>
    <w:r w:rsidR="002713FC">
      <w:t>November 30, 2017</w:t>
    </w:r>
    <w:r w:rsidR="00F9581E">
      <w:fldChar w:fldCharType="end"/>
    </w:r>
    <w:r w:rsidR="00DC71C1">
      <w:tab/>
    </w:r>
    <w:r w:rsidR="00DC71C1">
      <w:tab/>
      <w:t>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1385CA2"/>
    <w:multiLevelType w:val="hybridMultilevel"/>
    <w:tmpl w:val="9EA219D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FE36D8B"/>
    <w:multiLevelType w:val="hybridMultilevel"/>
    <w:tmpl w:val="B4E8A10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4F4F56"/>
    <w:rsid w:val="000016DF"/>
    <w:rsid w:val="00002519"/>
    <w:rsid w:val="00002670"/>
    <w:rsid w:val="000043D5"/>
    <w:rsid w:val="00006170"/>
    <w:rsid w:val="00010E37"/>
    <w:rsid w:val="00017173"/>
    <w:rsid w:val="000172DA"/>
    <w:rsid w:val="0001760F"/>
    <w:rsid w:val="000247C5"/>
    <w:rsid w:val="000277C2"/>
    <w:rsid w:val="00030A31"/>
    <w:rsid w:val="00035B48"/>
    <w:rsid w:val="00036CE2"/>
    <w:rsid w:val="000379A6"/>
    <w:rsid w:val="000437FE"/>
    <w:rsid w:val="0004406C"/>
    <w:rsid w:val="000513BE"/>
    <w:rsid w:val="0005369C"/>
    <w:rsid w:val="000653E1"/>
    <w:rsid w:val="00065A06"/>
    <w:rsid w:val="000666F3"/>
    <w:rsid w:val="00070DCB"/>
    <w:rsid w:val="00073120"/>
    <w:rsid w:val="00075225"/>
    <w:rsid w:val="000764D0"/>
    <w:rsid w:val="000828D3"/>
    <w:rsid w:val="0008693E"/>
    <w:rsid w:val="000943BE"/>
    <w:rsid w:val="0009722E"/>
    <w:rsid w:val="000A2B57"/>
    <w:rsid w:val="000A418B"/>
    <w:rsid w:val="000A5655"/>
    <w:rsid w:val="000C3766"/>
    <w:rsid w:val="000C4431"/>
    <w:rsid w:val="000C6E84"/>
    <w:rsid w:val="000D1C06"/>
    <w:rsid w:val="000D2C28"/>
    <w:rsid w:val="000D3370"/>
    <w:rsid w:val="000D4319"/>
    <w:rsid w:val="000E28DF"/>
    <w:rsid w:val="000E49A1"/>
    <w:rsid w:val="000E78B3"/>
    <w:rsid w:val="000F1FBE"/>
    <w:rsid w:val="000F374A"/>
    <w:rsid w:val="001076AF"/>
    <w:rsid w:val="00117C8C"/>
    <w:rsid w:val="00124E2E"/>
    <w:rsid w:val="00125ED4"/>
    <w:rsid w:val="00126165"/>
    <w:rsid w:val="001305E9"/>
    <w:rsid w:val="001307AF"/>
    <w:rsid w:val="00131E95"/>
    <w:rsid w:val="00135687"/>
    <w:rsid w:val="00151D4E"/>
    <w:rsid w:val="0015506E"/>
    <w:rsid w:val="0015648B"/>
    <w:rsid w:val="00163031"/>
    <w:rsid w:val="00163543"/>
    <w:rsid w:val="00164793"/>
    <w:rsid w:val="001656B3"/>
    <w:rsid w:val="001719F6"/>
    <w:rsid w:val="00171A90"/>
    <w:rsid w:val="0017420F"/>
    <w:rsid w:val="00177543"/>
    <w:rsid w:val="00180254"/>
    <w:rsid w:val="00191E1F"/>
    <w:rsid w:val="00192943"/>
    <w:rsid w:val="0019792B"/>
    <w:rsid w:val="001A6387"/>
    <w:rsid w:val="001A7406"/>
    <w:rsid w:val="001B294B"/>
    <w:rsid w:val="001B4FEE"/>
    <w:rsid w:val="001B51C5"/>
    <w:rsid w:val="001B6C00"/>
    <w:rsid w:val="001B6F3F"/>
    <w:rsid w:val="001C52B5"/>
    <w:rsid w:val="001C7B63"/>
    <w:rsid w:val="001D0D3E"/>
    <w:rsid w:val="001D6B47"/>
    <w:rsid w:val="001F2245"/>
    <w:rsid w:val="001F2C63"/>
    <w:rsid w:val="001F48C7"/>
    <w:rsid w:val="001F6DA1"/>
    <w:rsid w:val="00200C10"/>
    <w:rsid w:val="00201967"/>
    <w:rsid w:val="00204090"/>
    <w:rsid w:val="002044E6"/>
    <w:rsid w:val="00205C82"/>
    <w:rsid w:val="00205DC2"/>
    <w:rsid w:val="00212B17"/>
    <w:rsid w:val="0021367F"/>
    <w:rsid w:val="002163B6"/>
    <w:rsid w:val="00220732"/>
    <w:rsid w:val="00221D32"/>
    <w:rsid w:val="00224D42"/>
    <w:rsid w:val="00225C3F"/>
    <w:rsid w:val="002432D1"/>
    <w:rsid w:val="00245799"/>
    <w:rsid w:val="00246F29"/>
    <w:rsid w:val="00263D44"/>
    <w:rsid w:val="00265049"/>
    <w:rsid w:val="00265E52"/>
    <w:rsid w:val="002702AD"/>
    <w:rsid w:val="002713FC"/>
    <w:rsid w:val="00292D82"/>
    <w:rsid w:val="00294597"/>
    <w:rsid w:val="002963CB"/>
    <w:rsid w:val="002C5FA7"/>
    <w:rsid w:val="002D21D2"/>
    <w:rsid w:val="002D226D"/>
    <w:rsid w:val="002D2BE5"/>
    <w:rsid w:val="002D4334"/>
    <w:rsid w:val="002D5B59"/>
    <w:rsid w:val="002F02EC"/>
    <w:rsid w:val="002F2B60"/>
    <w:rsid w:val="002F6030"/>
    <w:rsid w:val="003037E1"/>
    <w:rsid w:val="00307E12"/>
    <w:rsid w:val="00307E51"/>
    <w:rsid w:val="003103EC"/>
    <w:rsid w:val="00312B02"/>
    <w:rsid w:val="003144EF"/>
    <w:rsid w:val="003149C2"/>
    <w:rsid w:val="00322F74"/>
    <w:rsid w:val="00326F05"/>
    <w:rsid w:val="00334755"/>
    <w:rsid w:val="003355C7"/>
    <w:rsid w:val="00340073"/>
    <w:rsid w:val="00346F3D"/>
    <w:rsid w:val="003531E0"/>
    <w:rsid w:val="003632FD"/>
    <w:rsid w:val="00372805"/>
    <w:rsid w:val="00373180"/>
    <w:rsid w:val="00375AB9"/>
    <w:rsid w:val="003821A0"/>
    <w:rsid w:val="00385B04"/>
    <w:rsid w:val="003864CF"/>
    <w:rsid w:val="00390A13"/>
    <w:rsid w:val="003A22A6"/>
    <w:rsid w:val="003A5494"/>
    <w:rsid w:val="003B2510"/>
    <w:rsid w:val="003C2CC4"/>
    <w:rsid w:val="003C3710"/>
    <w:rsid w:val="003D6F32"/>
    <w:rsid w:val="003E0EFC"/>
    <w:rsid w:val="003E3541"/>
    <w:rsid w:val="003E4A2B"/>
    <w:rsid w:val="003E76C2"/>
    <w:rsid w:val="003F0DAE"/>
    <w:rsid w:val="003F1679"/>
    <w:rsid w:val="003F21EB"/>
    <w:rsid w:val="003F4A35"/>
    <w:rsid w:val="003F7FDD"/>
    <w:rsid w:val="00402481"/>
    <w:rsid w:val="004042B4"/>
    <w:rsid w:val="00410DC4"/>
    <w:rsid w:val="00412585"/>
    <w:rsid w:val="00412DAE"/>
    <w:rsid w:val="00431598"/>
    <w:rsid w:val="004319AD"/>
    <w:rsid w:val="00433C04"/>
    <w:rsid w:val="00436A38"/>
    <w:rsid w:val="00440438"/>
    <w:rsid w:val="004426B8"/>
    <w:rsid w:val="00444432"/>
    <w:rsid w:val="00454348"/>
    <w:rsid w:val="0045675D"/>
    <w:rsid w:val="00463FCB"/>
    <w:rsid w:val="00471860"/>
    <w:rsid w:val="00483B7A"/>
    <w:rsid w:val="004879B4"/>
    <w:rsid w:val="00493AE8"/>
    <w:rsid w:val="004940D8"/>
    <w:rsid w:val="00495D79"/>
    <w:rsid w:val="004A744D"/>
    <w:rsid w:val="004A7B0E"/>
    <w:rsid w:val="004B41B6"/>
    <w:rsid w:val="004B60BD"/>
    <w:rsid w:val="004C0C8B"/>
    <w:rsid w:val="004C3150"/>
    <w:rsid w:val="004C32B5"/>
    <w:rsid w:val="004C3641"/>
    <w:rsid w:val="004C4390"/>
    <w:rsid w:val="004C4AF7"/>
    <w:rsid w:val="004C551C"/>
    <w:rsid w:val="004D1E25"/>
    <w:rsid w:val="004D2881"/>
    <w:rsid w:val="004D385F"/>
    <w:rsid w:val="004D42BC"/>
    <w:rsid w:val="004D5B39"/>
    <w:rsid w:val="004E24B4"/>
    <w:rsid w:val="004E330D"/>
    <w:rsid w:val="004E5147"/>
    <w:rsid w:val="004F108D"/>
    <w:rsid w:val="004F4F56"/>
    <w:rsid w:val="004F5C43"/>
    <w:rsid w:val="0050369B"/>
    <w:rsid w:val="0050652D"/>
    <w:rsid w:val="00506C03"/>
    <w:rsid w:val="00511A11"/>
    <w:rsid w:val="00515658"/>
    <w:rsid w:val="00516496"/>
    <w:rsid w:val="00520515"/>
    <w:rsid w:val="0052572A"/>
    <w:rsid w:val="00543CB3"/>
    <w:rsid w:val="005442E4"/>
    <w:rsid w:val="00551A1C"/>
    <w:rsid w:val="00551CC3"/>
    <w:rsid w:val="00560FF0"/>
    <w:rsid w:val="005614BD"/>
    <w:rsid w:val="00566338"/>
    <w:rsid w:val="0057154F"/>
    <w:rsid w:val="00580F69"/>
    <w:rsid w:val="00581CA3"/>
    <w:rsid w:val="0058339E"/>
    <w:rsid w:val="00586B12"/>
    <w:rsid w:val="00587A44"/>
    <w:rsid w:val="00592B70"/>
    <w:rsid w:val="005955B7"/>
    <w:rsid w:val="00597730"/>
    <w:rsid w:val="005977EC"/>
    <w:rsid w:val="00597DE7"/>
    <w:rsid w:val="005A4AA2"/>
    <w:rsid w:val="005B34B6"/>
    <w:rsid w:val="005B6C8F"/>
    <w:rsid w:val="005B6EC3"/>
    <w:rsid w:val="005D0F74"/>
    <w:rsid w:val="005D2E7D"/>
    <w:rsid w:val="005D4A8F"/>
    <w:rsid w:val="005D561B"/>
    <w:rsid w:val="005D5ECF"/>
    <w:rsid w:val="005E48A0"/>
    <w:rsid w:val="005F25EE"/>
    <w:rsid w:val="005F468D"/>
    <w:rsid w:val="005F4C2B"/>
    <w:rsid w:val="005F69A3"/>
    <w:rsid w:val="00604CC7"/>
    <w:rsid w:val="00606CDD"/>
    <w:rsid w:val="00615423"/>
    <w:rsid w:val="006165B2"/>
    <w:rsid w:val="00617276"/>
    <w:rsid w:val="00620BD6"/>
    <w:rsid w:val="0062527B"/>
    <w:rsid w:val="00625D97"/>
    <w:rsid w:val="00625F1C"/>
    <w:rsid w:val="006279E1"/>
    <w:rsid w:val="00630CEB"/>
    <w:rsid w:val="00632264"/>
    <w:rsid w:val="006346C9"/>
    <w:rsid w:val="006377D6"/>
    <w:rsid w:val="006470BC"/>
    <w:rsid w:val="00652E6F"/>
    <w:rsid w:val="006554D3"/>
    <w:rsid w:val="00665AF9"/>
    <w:rsid w:val="00667036"/>
    <w:rsid w:val="0067351D"/>
    <w:rsid w:val="00673BDB"/>
    <w:rsid w:val="00674341"/>
    <w:rsid w:val="006771B8"/>
    <w:rsid w:val="00682ECF"/>
    <w:rsid w:val="006843B6"/>
    <w:rsid w:val="0068481F"/>
    <w:rsid w:val="00696F5D"/>
    <w:rsid w:val="00697249"/>
    <w:rsid w:val="006A1E8F"/>
    <w:rsid w:val="006B3947"/>
    <w:rsid w:val="006B3BEF"/>
    <w:rsid w:val="006B4293"/>
    <w:rsid w:val="006B615A"/>
    <w:rsid w:val="006B624F"/>
    <w:rsid w:val="006C0C95"/>
    <w:rsid w:val="006C1CEB"/>
    <w:rsid w:val="006C31E3"/>
    <w:rsid w:val="006C5B35"/>
    <w:rsid w:val="006C5F4D"/>
    <w:rsid w:val="006C7504"/>
    <w:rsid w:val="006D18D3"/>
    <w:rsid w:val="006D7303"/>
    <w:rsid w:val="006E08CB"/>
    <w:rsid w:val="006E598D"/>
    <w:rsid w:val="0070437D"/>
    <w:rsid w:val="00704CF1"/>
    <w:rsid w:val="00705B04"/>
    <w:rsid w:val="0071223E"/>
    <w:rsid w:val="00724992"/>
    <w:rsid w:val="00733066"/>
    <w:rsid w:val="00734820"/>
    <w:rsid w:val="007349DC"/>
    <w:rsid w:val="0074365E"/>
    <w:rsid w:val="00744B55"/>
    <w:rsid w:val="00750094"/>
    <w:rsid w:val="007515FD"/>
    <w:rsid w:val="00760D80"/>
    <w:rsid w:val="00762437"/>
    <w:rsid w:val="007674A8"/>
    <w:rsid w:val="00775259"/>
    <w:rsid w:val="00780C09"/>
    <w:rsid w:val="00780DDF"/>
    <w:rsid w:val="007834E9"/>
    <w:rsid w:val="00787DBC"/>
    <w:rsid w:val="0079019A"/>
    <w:rsid w:val="00792935"/>
    <w:rsid w:val="00796DB3"/>
    <w:rsid w:val="007A04A1"/>
    <w:rsid w:val="007A1840"/>
    <w:rsid w:val="007A4361"/>
    <w:rsid w:val="007C0528"/>
    <w:rsid w:val="007C3D38"/>
    <w:rsid w:val="007D0F35"/>
    <w:rsid w:val="007D4FEB"/>
    <w:rsid w:val="007D6146"/>
    <w:rsid w:val="007E0CE7"/>
    <w:rsid w:val="007E518E"/>
    <w:rsid w:val="007F1193"/>
    <w:rsid w:val="007F417F"/>
    <w:rsid w:val="008014ED"/>
    <w:rsid w:val="00801D2A"/>
    <w:rsid w:val="008042BD"/>
    <w:rsid w:val="008068BD"/>
    <w:rsid w:val="008119B1"/>
    <w:rsid w:val="008148BB"/>
    <w:rsid w:val="00814C99"/>
    <w:rsid w:val="00816624"/>
    <w:rsid w:val="00822427"/>
    <w:rsid w:val="00822562"/>
    <w:rsid w:val="00823663"/>
    <w:rsid w:val="00832DDC"/>
    <w:rsid w:val="00834F68"/>
    <w:rsid w:val="00840B67"/>
    <w:rsid w:val="0084596D"/>
    <w:rsid w:val="00850BAC"/>
    <w:rsid w:val="0085479E"/>
    <w:rsid w:val="0085499B"/>
    <w:rsid w:val="00854A3E"/>
    <w:rsid w:val="00855D08"/>
    <w:rsid w:val="00857C44"/>
    <w:rsid w:val="00860D51"/>
    <w:rsid w:val="00863304"/>
    <w:rsid w:val="008651F2"/>
    <w:rsid w:val="00866604"/>
    <w:rsid w:val="00874344"/>
    <w:rsid w:val="00882155"/>
    <w:rsid w:val="0088233B"/>
    <w:rsid w:val="00883B84"/>
    <w:rsid w:val="0088599E"/>
    <w:rsid w:val="00886C37"/>
    <w:rsid w:val="00892D99"/>
    <w:rsid w:val="00893315"/>
    <w:rsid w:val="008A1B33"/>
    <w:rsid w:val="008B5C68"/>
    <w:rsid w:val="008B6022"/>
    <w:rsid w:val="008B62AE"/>
    <w:rsid w:val="008C04B5"/>
    <w:rsid w:val="008C04C1"/>
    <w:rsid w:val="008C14FA"/>
    <w:rsid w:val="008C3833"/>
    <w:rsid w:val="008C7929"/>
    <w:rsid w:val="008C7B0B"/>
    <w:rsid w:val="008D4057"/>
    <w:rsid w:val="008D63B4"/>
    <w:rsid w:val="008E1F19"/>
    <w:rsid w:val="008F2262"/>
    <w:rsid w:val="008F4D2B"/>
    <w:rsid w:val="008F7736"/>
    <w:rsid w:val="0090019E"/>
    <w:rsid w:val="00901086"/>
    <w:rsid w:val="00901C8A"/>
    <w:rsid w:val="009057AE"/>
    <w:rsid w:val="00905886"/>
    <w:rsid w:val="009070D6"/>
    <w:rsid w:val="009076C6"/>
    <w:rsid w:val="00907F92"/>
    <w:rsid w:val="0091019E"/>
    <w:rsid w:val="009106F1"/>
    <w:rsid w:val="00912404"/>
    <w:rsid w:val="009145D6"/>
    <w:rsid w:val="00920E64"/>
    <w:rsid w:val="00922002"/>
    <w:rsid w:val="00924020"/>
    <w:rsid w:val="00924055"/>
    <w:rsid w:val="00924CAD"/>
    <w:rsid w:val="009271A7"/>
    <w:rsid w:val="0093658B"/>
    <w:rsid w:val="00942472"/>
    <w:rsid w:val="009429FF"/>
    <w:rsid w:val="00945BD6"/>
    <w:rsid w:val="009479FB"/>
    <w:rsid w:val="00951C45"/>
    <w:rsid w:val="009539A8"/>
    <w:rsid w:val="0095663D"/>
    <w:rsid w:val="00956F7C"/>
    <w:rsid w:val="00957172"/>
    <w:rsid w:val="009656F2"/>
    <w:rsid w:val="00966A08"/>
    <w:rsid w:val="00970B6D"/>
    <w:rsid w:val="00970DE3"/>
    <w:rsid w:val="00971207"/>
    <w:rsid w:val="00972223"/>
    <w:rsid w:val="00975CB4"/>
    <w:rsid w:val="009863B0"/>
    <w:rsid w:val="00987DE1"/>
    <w:rsid w:val="00990571"/>
    <w:rsid w:val="0099673A"/>
    <w:rsid w:val="009A3330"/>
    <w:rsid w:val="009A7C96"/>
    <w:rsid w:val="009B35F1"/>
    <w:rsid w:val="009B670B"/>
    <w:rsid w:val="009C3DB9"/>
    <w:rsid w:val="009D46E5"/>
    <w:rsid w:val="009D568A"/>
    <w:rsid w:val="009F04EC"/>
    <w:rsid w:val="009F1E11"/>
    <w:rsid w:val="009F2A7C"/>
    <w:rsid w:val="009F34AF"/>
    <w:rsid w:val="009F3B36"/>
    <w:rsid w:val="009F78DE"/>
    <w:rsid w:val="00A019B9"/>
    <w:rsid w:val="00A0317D"/>
    <w:rsid w:val="00A04D17"/>
    <w:rsid w:val="00A12508"/>
    <w:rsid w:val="00A1282B"/>
    <w:rsid w:val="00A13A27"/>
    <w:rsid w:val="00A175B6"/>
    <w:rsid w:val="00A17D67"/>
    <w:rsid w:val="00A21835"/>
    <w:rsid w:val="00A2374B"/>
    <w:rsid w:val="00A27D6E"/>
    <w:rsid w:val="00A309B8"/>
    <w:rsid w:val="00A328EC"/>
    <w:rsid w:val="00A33A51"/>
    <w:rsid w:val="00A367F6"/>
    <w:rsid w:val="00A41CA6"/>
    <w:rsid w:val="00A4286A"/>
    <w:rsid w:val="00A47927"/>
    <w:rsid w:val="00A47F96"/>
    <w:rsid w:val="00A47FFC"/>
    <w:rsid w:val="00A5442F"/>
    <w:rsid w:val="00A54FF9"/>
    <w:rsid w:val="00A56765"/>
    <w:rsid w:val="00A62A27"/>
    <w:rsid w:val="00A675AC"/>
    <w:rsid w:val="00A7581F"/>
    <w:rsid w:val="00A76EB1"/>
    <w:rsid w:val="00A8686C"/>
    <w:rsid w:val="00A92D1B"/>
    <w:rsid w:val="00A92FB1"/>
    <w:rsid w:val="00A95A0C"/>
    <w:rsid w:val="00A95AD4"/>
    <w:rsid w:val="00AA1D7F"/>
    <w:rsid w:val="00AA2765"/>
    <w:rsid w:val="00AA77B5"/>
    <w:rsid w:val="00AB5AE4"/>
    <w:rsid w:val="00AB6C5D"/>
    <w:rsid w:val="00AC3401"/>
    <w:rsid w:val="00AC51A7"/>
    <w:rsid w:val="00AD114B"/>
    <w:rsid w:val="00AD149E"/>
    <w:rsid w:val="00AD444B"/>
    <w:rsid w:val="00AD6C78"/>
    <w:rsid w:val="00AE2EAB"/>
    <w:rsid w:val="00AF1BDC"/>
    <w:rsid w:val="00AF5F89"/>
    <w:rsid w:val="00AF73CB"/>
    <w:rsid w:val="00B002D6"/>
    <w:rsid w:val="00B037CE"/>
    <w:rsid w:val="00B05B51"/>
    <w:rsid w:val="00B127B2"/>
    <w:rsid w:val="00B14E5A"/>
    <w:rsid w:val="00B15370"/>
    <w:rsid w:val="00B16DA4"/>
    <w:rsid w:val="00B17BEB"/>
    <w:rsid w:val="00B21A3C"/>
    <w:rsid w:val="00B223C0"/>
    <w:rsid w:val="00B234ED"/>
    <w:rsid w:val="00B249B2"/>
    <w:rsid w:val="00B24EB3"/>
    <w:rsid w:val="00B25CA3"/>
    <w:rsid w:val="00B2765A"/>
    <w:rsid w:val="00B37523"/>
    <w:rsid w:val="00B516ED"/>
    <w:rsid w:val="00B57A6A"/>
    <w:rsid w:val="00B617D5"/>
    <w:rsid w:val="00B760F1"/>
    <w:rsid w:val="00B7669E"/>
    <w:rsid w:val="00B77DA1"/>
    <w:rsid w:val="00B822A0"/>
    <w:rsid w:val="00B858AE"/>
    <w:rsid w:val="00B85964"/>
    <w:rsid w:val="00B87562"/>
    <w:rsid w:val="00B94DF7"/>
    <w:rsid w:val="00B96250"/>
    <w:rsid w:val="00BA0D55"/>
    <w:rsid w:val="00BA37B3"/>
    <w:rsid w:val="00BA4CC6"/>
    <w:rsid w:val="00BB08C3"/>
    <w:rsid w:val="00BB2795"/>
    <w:rsid w:val="00BB3493"/>
    <w:rsid w:val="00BB7468"/>
    <w:rsid w:val="00BC0D96"/>
    <w:rsid w:val="00BC188A"/>
    <w:rsid w:val="00BC402E"/>
    <w:rsid w:val="00BC7345"/>
    <w:rsid w:val="00BD055D"/>
    <w:rsid w:val="00BD0F48"/>
    <w:rsid w:val="00BD46FD"/>
    <w:rsid w:val="00BF22F6"/>
    <w:rsid w:val="00BF5010"/>
    <w:rsid w:val="00C00560"/>
    <w:rsid w:val="00C03D5F"/>
    <w:rsid w:val="00C13791"/>
    <w:rsid w:val="00C31BB3"/>
    <w:rsid w:val="00C34914"/>
    <w:rsid w:val="00C36977"/>
    <w:rsid w:val="00C467DA"/>
    <w:rsid w:val="00C477D9"/>
    <w:rsid w:val="00C47C0C"/>
    <w:rsid w:val="00C60BA3"/>
    <w:rsid w:val="00C623F7"/>
    <w:rsid w:val="00C75BC5"/>
    <w:rsid w:val="00C81670"/>
    <w:rsid w:val="00C81773"/>
    <w:rsid w:val="00C82861"/>
    <w:rsid w:val="00C86896"/>
    <w:rsid w:val="00C907A8"/>
    <w:rsid w:val="00C93211"/>
    <w:rsid w:val="00C942EC"/>
    <w:rsid w:val="00C96047"/>
    <w:rsid w:val="00C979D0"/>
    <w:rsid w:val="00CA0818"/>
    <w:rsid w:val="00CA0B49"/>
    <w:rsid w:val="00CA15C8"/>
    <w:rsid w:val="00CA2C8F"/>
    <w:rsid w:val="00CA30DA"/>
    <w:rsid w:val="00CA3A24"/>
    <w:rsid w:val="00CA42B7"/>
    <w:rsid w:val="00CB1777"/>
    <w:rsid w:val="00CB33E9"/>
    <w:rsid w:val="00CC10A9"/>
    <w:rsid w:val="00CC3B70"/>
    <w:rsid w:val="00CE1336"/>
    <w:rsid w:val="00CE2BF8"/>
    <w:rsid w:val="00CE484E"/>
    <w:rsid w:val="00CE656F"/>
    <w:rsid w:val="00CF0DA8"/>
    <w:rsid w:val="00CF2E25"/>
    <w:rsid w:val="00CF4453"/>
    <w:rsid w:val="00CF5D94"/>
    <w:rsid w:val="00CF61A9"/>
    <w:rsid w:val="00CF7E0F"/>
    <w:rsid w:val="00D00D59"/>
    <w:rsid w:val="00D014F9"/>
    <w:rsid w:val="00D034D7"/>
    <w:rsid w:val="00D04BE4"/>
    <w:rsid w:val="00D12565"/>
    <w:rsid w:val="00D13C7A"/>
    <w:rsid w:val="00D14127"/>
    <w:rsid w:val="00D345DE"/>
    <w:rsid w:val="00D46444"/>
    <w:rsid w:val="00D60B16"/>
    <w:rsid w:val="00D60F02"/>
    <w:rsid w:val="00D64BB4"/>
    <w:rsid w:val="00D66E49"/>
    <w:rsid w:val="00D67CD9"/>
    <w:rsid w:val="00D70D71"/>
    <w:rsid w:val="00D714F5"/>
    <w:rsid w:val="00D72F74"/>
    <w:rsid w:val="00D73216"/>
    <w:rsid w:val="00D80B22"/>
    <w:rsid w:val="00D81563"/>
    <w:rsid w:val="00D85907"/>
    <w:rsid w:val="00D9073E"/>
    <w:rsid w:val="00D9221D"/>
    <w:rsid w:val="00D958DF"/>
    <w:rsid w:val="00D96DA1"/>
    <w:rsid w:val="00DA51E7"/>
    <w:rsid w:val="00DB0260"/>
    <w:rsid w:val="00DB1C78"/>
    <w:rsid w:val="00DB7D96"/>
    <w:rsid w:val="00DC23FE"/>
    <w:rsid w:val="00DC59E6"/>
    <w:rsid w:val="00DC71C1"/>
    <w:rsid w:val="00DD150B"/>
    <w:rsid w:val="00DD5025"/>
    <w:rsid w:val="00DD6A14"/>
    <w:rsid w:val="00DE028F"/>
    <w:rsid w:val="00DF1510"/>
    <w:rsid w:val="00E02F1F"/>
    <w:rsid w:val="00E04C9F"/>
    <w:rsid w:val="00E06484"/>
    <w:rsid w:val="00E20A7D"/>
    <w:rsid w:val="00E21004"/>
    <w:rsid w:val="00E25083"/>
    <w:rsid w:val="00E275D8"/>
    <w:rsid w:val="00E30F6A"/>
    <w:rsid w:val="00E3117C"/>
    <w:rsid w:val="00E329B3"/>
    <w:rsid w:val="00E375CA"/>
    <w:rsid w:val="00E567E8"/>
    <w:rsid w:val="00E64679"/>
    <w:rsid w:val="00E65EBC"/>
    <w:rsid w:val="00E677FE"/>
    <w:rsid w:val="00E73432"/>
    <w:rsid w:val="00E762A7"/>
    <w:rsid w:val="00E77B0C"/>
    <w:rsid w:val="00E77FB8"/>
    <w:rsid w:val="00E838B0"/>
    <w:rsid w:val="00E86A7C"/>
    <w:rsid w:val="00E878E1"/>
    <w:rsid w:val="00E87F2C"/>
    <w:rsid w:val="00E95278"/>
    <w:rsid w:val="00E958CC"/>
    <w:rsid w:val="00EA2273"/>
    <w:rsid w:val="00EA3922"/>
    <w:rsid w:val="00EB2DB3"/>
    <w:rsid w:val="00EB7102"/>
    <w:rsid w:val="00EC3B71"/>
    <w:rsid w:val="00EC3FBB"/>
    <w:rsid w:val="00EC632E"/>
    <w:rsid w:val="00EC69A2"/>
    <w:rsid w:val="00EC6B7A"/>
    <w:rsid w:val="00ED3A87"/>
    <w:rsid w:val="00ED5B67"/>
    <w:rsid w:val="00EE4CA2"/>
    <w:rsid w:val="00EF264C"/>
    <w:rsid w:val="00EF3EDB"/>
    <w:rsid w:val="00EF3FEE"/>
    <w:rsid w:val="00F04B59"/>
    <w:rsid w:val="00F10125"/>
    <w:rsid w:val="00F11741"/>
    <w:rsid w:val="00F12B1C"/>
    <w:rsid w:val="00F13CF8"/>
    <w:rsid w:val="00F13D60"/>
    <w:rsid w:val="00F15855"/>
    <w:rsid w:val="00F31528"/>
    <w:rsid w:val="00F32978"/>
    <w:rsid w:val="00F36EA1"/>
    <w:rsid w:val="00F45CB2"/>
    <w:rsid w:val="00F544C0"/>
    <w:rsid w:val="00F55332"/>
    <w:rsid w:val="00F6504A"/>
    <w:rsid w:val="00F65519"/>
    <w:rsid w:val="00F67E84"/>
    <w:rsid w:val="00F713C0"/>
    <w:rsid w:val="00F75DDC"/>
    <w:rsid w:val="00F7792F"/>
    <w:rsid w:val="00F814E1"/>
    <w:rsid w:val="00F842AA"/>
    <w:rsid w:val="00F8476F"/>
    <w:rsid w:val="00F853E1"/>
    <w:rsid w:val="00F85604"/>
    <w:rsid w:val="00F903E7"/>
    <w:rsid w:val="00F94B7A"/>
    <w:rsid w:val="00F95E38"/>
    <w:rsid w:val="00FA17AC"/>
    <w:rsid w:val="00FA32DE"/>
    <w:rsid w:val="00FA3382"/>
    <w:rsid w:val="00FA59CD"/>
    <w:rsid w:val="00FB1740"/>
    <w:rsid w:val="00FC5469"/>
    <w:rsid w:val="00FC6D7D"/>
    <w:rsid w:val="00FD16B0"/>
    <w:rsid w:val="00FD4FED"/>
    <w:rsid w:val="00FE0577"/>
    <w:rsid w:val="00FE59EC"/>
    <w:rsid w:val="00FE5B67"/>
    <w:rsid w:val="00FE60D6"/>
    <w:rsid w:val="00FF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224D42"/>
    <w:rPr>
      <w:vertAlign w:val="superscript"/>
    </w:rPr>
  </w:style>
  <w:style w:type="character" w:customStyle="1" w:styleId="FootnoteTextChar">
    <w:name w:val="Footnote Text Char"/>
    <w:link w:val="FootnoteText"/>
    <w:uiPriority w:val="99"/>
    <w:rsid w:val="00224D42"/>
  </w:style>
  <w:style w:type="character" w:styleId="LineNumber">
    <w:name w:val="line number"/>
    <w:basedOn w:val="DefaultParagraphFont"/>
    <w:rsid w:val="002C5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224D42"/>
    <w:rPr>
      <w:vertAlign w:val="superscript"/>
    </w:rPr>
  </w:style>
  <w:style w:type="character" w:customStyle="1" w:styleId="FootnoteTextChar">
    <w:name w:val="Footnote Text Char"/>
    <w:link w:val="FootnoteText"/>
    <w:uiPriority w:val="99"/>
    <w:rsid w:val="00224D42"/>
  </w:style>
  <w:style w:type="character" w:styleId="LineNumber">
    <w:name w:val="line number"/>
    <w:basedOn w:val="DefaultParagraphFont"/>
    <w:rsid w:val="002C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9164">
      <w:bodyDiv w:val="1"/>
      <w:marLeft w:val="0"/>
      <w:marRight w:val="0"/>
      <w:marTop w:val="0"/>
      <w:marBottom w:val="0"/>
      <w:divBdr>
        <w:top w:val="none" w:sz="0" w:space="0" w:color="auto"/>
        <w:left w:val="none" w:sz="0" w:space="0" w:color="auto"/>
        <w:bottom w:val="none" w:sz="0" w:space="0" w:color="auto"/>
        <w:right w:val="none" w:sz="0" w:space="0" w:color="auto"/>
      </w:divBdr>
    </w:div>
    <w:div w:id="110824639">
      <w:bodyDiv w:val="1"/>
      <w:marLeft w:val="0"/>
      <w:marRight w:val="0"/>
      <w:marTop w:val="0"/>
      <w:marBottom w:val="0"/>
      <w:divBdr>
        <w:top w:val="none" w:sz="0" w:space="0" w:color="auto"/>
        <w:left w:val="none" w:sz="0" w:space="0" w:color="auto"/>
        <w:bottom w:val="none" w:sz="0" w:space="0" w:color="auto"/>
        <w:right w:val="none" w:sz="0" w:space="0" w:color="auto"/>
      </w:divBdr>
    </w:div>
    <w:div w:id="135268440">
      <w:bodyDiv w:val="1"/>
      <w:marLeft w:val="0"/>
      <w:marRight w:val="0"/>
      <w:marTop w:val="0"/>
      <w:marBottom w:val="0"/>
      <w:divBdr>
        <w:top w:val="none" w:sz="0" w:space="0" w:color="auto"/>
        <w:left w:val="none" w:sz="0" w:space="0" w:color="auto"/>
        <w:bottom w:val="none" w:sz="0" w:space="0" w:color="auto"/>
        <w:right w:val="none" w:sz="0" w:space="0" w:color="auto"/>
      </w:divBdr>
    </w:div>
    <w:div w:id="969165652">
      <w:bodyDiv w:val="1"/>
      <w:marLeft w:val="0"/>
      <w:marRight w:val="0"/>
      <w:marTop w:val="0"/>
      <w:marBottom w:val="0"/>
      <w:divBdr>
        <w:top w:val="none" w:sz="0" w:space="0" w:color="auto"/>
        <w:left w:val="none" w:sz="0" w:space="0" w:color="auto"/>
        <w:bottom w:val="none" w:sz="0" w:space="0" w:color="auto"/>
        <w:right w:val="none" w:sz="0" w:space="0" w:color="auto"/>
      </w:divBdr>
    </w:div>
    <w:div w:id="1632786316">
      <w:bodyDiv w:val="1"/>
      <w:marLeft w:val="0"/>
      <w:marRight w:val="0"/>
      <w:marTop w:val="0"/>
      <w:marBottom w:val="0"/>
      <w:divBdr>
        <w:top w:val="none" w:sz="0" w:space="0" w:color="auto"/>
        <w:left w:val="none" w:sz="0" w:space="0" w:color="auto"/>
        <w:bottom w:val="none" w:sz="0" w:space="0" w:color="auto"/>
        <w:right w:val="none" w:sz="0" w:space="0" w:color="auto"/>
      </w:divBdr>
    </w:div>
    <w:div w:id="204605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87BE9-7E8A-41F4-93D7-F9BB8E7C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32</Pages>
  <Words>13358</Words>
  <Characters>74101</Characters>
  <Application>Microsoft Office Word</Application>
  <DocSecurity>0</DocSecurity>
  <Lines>617</Lines>
  <Paragraphs>174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Sonica Bruce</dc:creator>
  <cp:lastModifiedBy>Sonica Bruce</cp:lastModifiedBy>
  <cp:revision>2</cp:revision>
  <cp:lastPrinted>2017-12-01T19:48:00Z</cp:lastPrinted>
  <dcterms:created xsi:type="dcterms:W3CDTF">2017-12-01T19:50:00Z</dcterms:created>
  <dcterms:modified xsi:type="dcterms:W3CDTF">2017-12-01T19:50:00Z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20130265-WU</vt:lpwstr>
  </property>
  <property fmtid="{D5CDD505-2E9C-101B-9397-08002B2CF9AE}" pid="3" name="MasterDocument">
    <vt:bool>false</vt:bool>
  </property>
</Properties>
</file>