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C6158" w:rsidP="002C6158">
      <w:pPr>
        <w:pStyle w:val="OrderHeading"/>
      </w:pPr>
      <w:r>
        <w:t>BEFORE THE FLORIDA PUBLIC SERVICE COMMISSION</w:t>
      </w:r>
    </w:p>
    <w:p w:rsidR="002C6158" w:rsidRDefault="002C6158" w:rsidP="002C6158">
      <w:pPr>
        <w:pStyle w:val="OrderHeading"/>
      </w:pPr>
    </w:p>
    <w:p w:rsidR="002C6158" w:rsidRDefault="002C6158" w:rsidP="002C61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6158" w:rsidRPr="00C63FCF" w:rsidTr="00C63FCF">
        <w:trPr>
          <w:trHeight w:val="828"/>
        </w:trPr>
        <w:tc>
          <w:tcPr>
            <w:tcW w:w="4788" w:type="dxa"/>
            <w:tcBorders>
              <w:bottom w:val="single" w:sz="8" w:space="0" w:color="auto"/>
              <w:right w:val="double" w:sz="6" w:space="0" w:color="auto"/>
            </w:tcBorders>
            <w:shd w:val="clear" w:color="auto" w:fill="auto"/>
          </w:tcPr>
          <w:p w:rsidR="002C6158" w:rsidRDefault="002C6158"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2C6158" w:rsidRDefault="002C6158" w:rsidP="002C6158">
            <w:pPr>
              <w:pStyle w:val="OrderBody"/>
            </w:pPr>
            <w:r>
              <w:t xml:space="preserve">DOCKET NO. </w:t>
            </w:r>
            <w:bookmarkStart w:id="1" w:name="SSDocketNo"/>
            <w:bookmarkEnd w:id="1"/>
            <w:r>
              <w:t>20170179-GU</w:t>
            </w:r>
          </w:p>
          <w:p w:rsidR="002C6158" w:rsidRDefault="002C6158" w:rsidP="00C63FCF">
            <w:pPr>
              <w:pStyle w:val="OrderBody"/>
              <w:tabs>
                <w:tab w:val="center" w:pos="4320"/>
                <w:tab w:val="right" w:pos="8640"/>
              </w:tabs>
              <w:jc w:val="left"/>
            </w:pPr>
            <w:r>
              <w:t xml:space="preserve">ORDER NO. </w:t>
            </w:r>
            <w:bookmarkStart w:id="2" w:name="OrderNo0461"/>
            <w:r w:rsidR="008B089C">
              <w:t>PSC-2017-0461-PCO-GU</w:t>
            </w:r>
            <w:bookmarkEnd w:id="2"/>
          </w:p>
          <w:p w:rsidR="002C6158" w:rsidRDefault="002C6158" w:rsidP="00C63FCF">
            <w:pPr>
              <w:pStyle w:val="OrderBody"/>
              <w:tabs>
                <w:tab w:val="center" w:pos="4320"/>
                <w:tab w:val="right" w:pos="8640"/>
              </w:tabs>
              <w:jc w:val="left"/>
            </w:pPr>
            <w:r>
              <w:t xml:space="preserve">ISSUED: </w:t>
            </w:r>
            <w:r w:rsidR="008B089C">
              <w:t>December 5, 2017</w:t>
            </w:r>
          </w:p>
        </w:tc>
      </w:tr>
    </w:tbl>
    <w:p w:rsidR="002C6158" w:rsidRDefault="002C6158" w:rsidP="002C6158"/>
    <w:p w:rsidR="002C6158" w:rsidRDefault="002C6158" w:rsidP="002C6158"/>
    <w:p w:rsidR="00CB5276" w:rsidRDefault="00EE22DC" w:rsidP="002C6158">
      <w:pPr>
        <w:pStyle w:val="CenterUnderline"/>
      </w:pPr>
      <w:bookmarkStart w:id="3" w:name="Commissioners"/>
      <w:bookmarkStart w:id="4" w:name="OrderTitle"/>
      <w:bookmarkEnd w:id="3"/>
      <w:r>
        <w:t>FIRST ORDER REVISING ORDER ESTABLISHING PROCEDURE</w:t>
      </w:r>
      <w:r>
        <w:br/>
        <w:t>GRANTING IN PART AND DENYING IN PART THE JOINT MOTION TO MODIFY KEY ACTIVITY DATES AND DISCOVERY PROCEDURES ESTABLISHED BY ORDER NO. PSC-2017-0427-PCO-GU</w:t>
      </w:r>
      <w:r w:rsidR="002C6158">
        <w:t xml:space="preserve"> </w:t>
      </w:r>
      <w:bookmarkEnd w:id="4"/>
    </w:p>
    <w:p w:rsidR="002C6158" w:rsidRDefault="002C6158" w:rsidP="002C6158">
      <w:pPr>
        <w:pStyle w:val="CenterUnderline"/>
      </w:pPr>
    </w:p>
    <w:p w:rsidR="00D57E57" w:rsidRDefault="00D57E57" w:rsidP="00D57E57"/>
    <w:p w:rsidR="00674B8D" w:rsidRPr="002E33E9" w:rsidRDefault="00E949CD" w:rsidP="00674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41201">
        <w:rPr>
          <w:rFonts w:eastAsiaTheme="minorEastAsia"/>
        </w:rPr>
        <w:t>Florida City Gas (</w:t>
      </w:r>
      <w:r w:rsidR="00674B8D" w:rsidRPr="004F5D71">
        <w:rPr>
          <w:rFonts w:eastAsiaTheme="minorEastAsia"/>
        </w:rPr>
        <w:t>FCG) operates as a natural gas utility that serves approximately 108,000 customers in the southeastern portions of Florida, including Miami-Dade, Broward, Palm Beach, Brevard, Indian River, St. Lucie, Martin and Hendry counties. FCG</w:t>
      </w:r>
      <w:r w:rsidR="00674B8D" w:rsidRPr="004F5D71">
        <w:t xml:space="preserve"> filed its Minimum Filing Requirements (MFRs)</w:t>
      </w:r>
      <w:r w:rsidR="00356B48">
        <w:t xml:space="preserve"> requesting an increase in base rates</w:t>
      </w:r>
      <w:r w:rsidR="00674B8D" w:rsidRPr="004F5D71">
        <w:t xml:space="preserve"> on October 23, 2017</w:t>
      </w:r>
      <w:r w:rsidR="00674B8D">
        <w:t xml:space="preserve">. </w:t>
      </w:r>
      <w:r w:rsidR="00356B48">
        <w:t xml:space="preserve">By </w:t>
      </w:r>
      <w:r w:rsidR="00674B8D">
        <w:t>Or</w:t>
      </w:r>
      <w:r w:rsidR="00674B8D" w:rsidRPr="002E33E9">
        <w:t xml:space="preserve">der No. PSC-2017-0427-PCO-GU, issued on </w:t>
      </w:r>
      <w:r w:rsidR="00674B8D">
        <w:t xml:space="preserve">November 7, 2017 </w:t>
      </w:r>
      <w:r w:rsidR="00356B48">
        <w:t>t</w:t>
      </w:r>
      <w:r w:rsidR="00674B8D" w:rsidRPr="002E33E9">
        <w:t xml:space="preserve">his docket </w:t>
      </w:r>
      <w:r w:rsidR="00356B48">
        <w:t>wa</w:t>
      </w:r>
      <w:r w:rsidR="00674B8D" w:rsidRPr="002E33E9">
        <w:t>s sched</w:t>
      </w:r>
      <w:r w:rsidR="00356B48">
        <w:t>uled for hearing from March 26</w:t>
      </w:r>
      <w:r w:rsidR="00674B8D" w:rsidRPr="002E33E9">
        <w:t>-30, 2018.</w:t>
      </w:r>
    </w:p>
    <w:p w:rsidR="00E949CD" w:rsidRDefault="00E949CD" w:rsidP="00E949CD">
      <w:pPr>
        <w:jc w:val="both"/>
      </w:pPr>
    </w:p>
    <w:p w:rsidR="00E949CD" w:rsidRDefault="00E949CD" w:rsidP="00E949CD">
      <w:pPr>
        <w:ind w:firstLine="720"/>
        <w:jc w:val="both"/>
      </w:pPr>
      <w:r>
        <w:t xml:space="preserve">On </w:t>
      </w:r>
      <w:r w:rsidR="00674B8D">
        <w:t xml:space="preserve">November 16, </w:t>
      </w:r>
      <w:r>
        <w:t xml:space="preserve">2017, the Office of Public Counsel (OPC) </w:t>
      </w:r>
      <w:r w:rsidR="008D129D">
        <w:t>and FCG</w:t>
      </w:r>
      <w:r w:rsidR="00674B8D">
        <w:t xml:space="preserve"> </w:t>
      </w:r>
      <w:r>
        <w:t xml:space="preserve">filed a </w:t>
      </w:r>
      <w:r w:rsidR="00674B8D">
        <w:t xml:space="preserve">Joint </w:t>
      </w:r>
      <w:r>
        <w:t xml:space="preserve">Motion to </w:t>
      </w:r>
      <w:r w:rsidR="00674B8D">
        <w:t>Modify Key Activity Dates and Discovery Procedures</w:t>
      </w:r>
      <w:r>
        <w:t xml:space="preserve">. In </w:t>
      </w:r>
      <w:r w:rsidR="00674B8D">
        <w:t>the</w:t>
      </w:r>
      <w:r>
        <w:t xml:space="preserve"> Motion, </w:t>
      </w:r>
      <w:r w:rsidR="00674B8D">
        <w:t xml:space="preserve">the parties contend </w:t>
      </w:r>
      <w:r>
        <w:t xml:space="preserve">that due to the complexity and volume of information at issue in this case, additional time is needed for certain prehearing activities. </w:t>
      </w:r>
      <w:r w:rsidR="00674B8D">
        <w:t xml:space="preserve">The </w:t>
      </w:r>
      <w:r w:rsidR="00356B48">
        <w:t>p</w:t>
      </w:r>
      <w:r w:rsidR="00674B8D">
        <w:t xml:space="preserve">arties have requested that the </w:t>
      </w:r>
      <w:r w:rsidR="00441201">
        <w:t>due dates related to filing intervenor and rebuttal testimony and exhibits, prehearing statements and discovery be extended.</w:t>
      </w:r>
      <w:r w:rsidR="00AC4B48">
        <w:t xml:space="preserve"> FCG and OPC </w:t>
      </w:r>
      <w:r w:rsidR="00674B8D">
        <w:t>are also requesting that the current 20</w:t>
      </w:r>
      <w:r w:rsidR="00AD2677">
        <w:t>-</w:t>
      </w:r>
      <w:r w:rsidR="00674B8D">
        <w:t xml:space="preserve">day time limit within which a party </w:t>
      </w:r>
      <w:r w:rsidR="00AC4B48">
        <w:t>should</w:t>
      </w:r>
      <w:r w:rsidR="00674B8D">
        <w:t xml:space="preserve"> respond to </w:t>
      </w:r>
      <w:r w:rsidR="00441201">
        <w:t>pre-rebuttal d</w:t>
      </w:r>
      <w:r w:rsidR="00674B8D">
        <w:t>iscovery be expanded to 30 days.</w:t>
      </w:r>
      <w:r>
        <w:t xml:space="preserve"> </w:t>
      </w:r>
    </w:p>
    <w:p w:rsidR="00E949CD" w:rsidRDefault="00E949CD" w:rsidP="00E949CD">
      <w:pPr>
        <w:jc w:val="both"/>
      </w:pPr>
    </w:p>
    <w:p w:rsidR="00E949CD" w:rsidRDefault="00E949CD" w:rsidP="00E949CD">
      <w:pPr>
        <w:ind w:firstLine="720"/>
        <w:jc w:val="both"/>
      </w:pPr>
      <w:r>
        <w:t>Having reviewed OPC’s Motion, it appears that the hearing schedule in this docket can be modified without causing undue prejudice to the parties, staff or Commission.  However, as set forth below, I have granted in part and denied in part the specific dates requested, finding that the revised dates set below should afford sufficient additional time for the parties</w:t>
      </w:r>
      <w:r w:rsidR="00AD2677">
        <w:t>,</w:t>
      </w:r>
      <w:r>
        <w:t xml:space="preserve"> without unfairly compressing the time needed to process this case. </w:t>
      </w:r>
      <w:r w:rsidR="00AC4B48">
        <w:t>I have also granted a 5</w:t>
      </w:r>
      <w:r w:rsidR="008D129D">
        <w:t>-</w:t>
      </w:r>
      <w:r w:rsidR="00AC4B48">
        <w:t>day extension to t</w:t>
      </w:r>
      <w:r w:rsidR="00441201">
        <w:t>he turnaround time for pre-rebuttal d</w:t>
      </w:r>
      <w:r w:rsidR="00AC4B48">
        <w:t>iscover</w:t>
      </w:r>
      <w:r w:rsidR="008D129D">
        <w:t>y</w:t>
      </w:r>
      <w:r w:rsidR="00AC4B48">
        <w:t xml:space="preserve">, </w:t>
      </w:r>
      <w:r w:rsidR="002C52DF">
        <w:t>for</w:t>
      </w:r>
      <w:r w:rsidR="00AC4B48">
        <w:t xml:space="preserve"> a total of 25 days. R</w:t>
      </w:r>
      <w:r>
        <w:t xml:space="preserve">ebuttal </w:t>
      </w:r>
      <w:r w:rsidR="00441201">
        <w:t>d</w:t>
      </w:r>
      <w:r w:rsidR="00AC4B48">
        <w:t xml:space="preserve">iscovery remains unchanged and </w:t>
      </w:r>
      <w:r>
        <w:t xml:space="preserve">shall </w:t>
      </w:r>
      <w:r w:rsidR="00AC4B48">
        <w:t xml:space="preserve">continue to </w:t>
      </w:r>
      <w:r>
        <w:t>be served within 10 days of receipt</w:t>
      </w:r>
      <w:r w:rsidR="00AC4B48">
        <w:t>.</w:t>
      </w:r>
      <w:r>
        <w:t xml:space="preserve"> The controlling dates are hereby modified as follows:</w:t>
      </w:r>
    </w:p>
    <w:p w:rsidR="00E949CD" w:rsidRDefault="00E949CD" w:rsidP="00E949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610"/>
        <w:gridCol w:w="2250"/>
        <w:gridCol w:w="2001"/>
        <w:gridCol w:w="2067"/>
      </w:tblGrid>
      <w:tr w:rsidR="00E949CD" w:rsidTr="00667349">
        <w:trPr>
          <w:tblHeader/>
        </w:trPr>
        <w:tc>
          <w:tcPr>
            <w:tcW w:w="648" w:type="dxa"/>
          </w:tcPr>
          <w:p w:rsidR="00E949CD" w:rsidRPr="0004732F" w:rsidRDefault="00E949CD" w:rsidP="006C1AAE">
            <w:pPr>
              <w:rPr>
                <w:b/>
              </w:rPr>
            </w:pPr>
          </w:p>
        </w:tc>
        <w:tc>
          <w:tcPr>
            <w:tcW w:w="2610" w:type="dxa"/>
          </w:tcPr>
          <w:p w:rsidR="00E949CD" w:rsidRPr="0004732F" w:rsidRDefault="00E949CD" w:rsidP="006C1AAE">
            <w:pPr>
              <w:rPr>
                <w:b/>
              </w:rPr>
            </w:pPr>
          </w:p>
        </w:tc>
        <w:tc>
          <w:tcPr>
            <w:tcW w:w="2250" w:type="dxa"/>
            <w:hideMark/>
          </w:tcPr>
          <w:p w:rsidR="00E949CD" w:rsidRPr="0004732F" w:rsidRDefault="00E949CD" w:rsidP="006C1AAE">
            <w:pPr>
              <w:spacing w:after="240"/>
              <w:rPr>
                <w:b/>
              </w:rPr>
            </w:pPr>
            <w:r w:rsidRPr="0004732F">
              <w:rPr>
                <w:b/>
              </w:rPr>
              <w:t>Current</w:t>
            </w:r>
            <w:r>
              <w:rPr>
                <w:b/>
              </w:rPr>
              <w:t xml:space="preserve"> </w:t>
            </w:r>
            <w:r w:rsidRPr="0004732F">
              <w:rPr>
                <w:b/>
              </w:rPr>
              <w:t>Date</w:t>
            </w:r>
          </w:p>
        </w:tc>
        <w:tc>
          <w:tcPr>
            <w:tcW w:w="2001" w:type="dxa"/>
            <w:hideMark/>
          </w:tcPr>
          <w:p w:rsidR="00E949CD" w:rsidRPr="00AA69A2" w:rsidRDefault="00E949CD" w:rsidP="00AC4B48">
            <w:pPr>
              <w:spacing w:after="240"/>
              <w:rPr>
                <w:b/>
              </w:rPr>
            </w:pPr>
            <w:r>
              <w:rPr>
                <w:b/>
              </w:rPr>
              <w:t>Date</w:t>
            </w:r>
            <w:r w:rsidRPr="00AA69A2">
              <w:rPr>
                <w:b/>
              </w:rPr>
              <w:t xml:space="preserve"> Requested </w:t>
            </w:r>
            <w:r>
              <w:rPr>
                <w:b/>
              </w:rPr>
              <w:t>in</w:t>
            </w:r>
            <w:r w:rsidRPr="00AA69A2">
              <w:rPr>
                <w:b/>
              </w:rPr>
              <w:t xml:space="preserve"> </w:t>
            </w:r>
            <w:r w:rsidR="00AC4B48">
              <w:rPr>
                <w:b/>
              </w:rPr>
              <w:t>Joint</w:t>
            </w:r>
            <w:r>
              <w:rPr>
                <w:b/>
              </w:rPr>
              <w:t xml:space="preserve"> Motion</w:t>
            </w:r>
          </w:p>
        </w:tc>
        <w:tc>
          <w:tcPr>
            <w:tcW w:w="2067" w:type="dxa"/>
            <w:hideMark/>
          </w:tcPr>
          <w:p w:rsidR="00E949CD" w:rsidRPr="0004732F" w:rsidRDefault="00E949CD" w:rsidP="006C1AAE">
            <w:pPr>
              <w:spacing w:after="240"/>
              <w:rPr>
                <w:b/>
              </w:rPr>
            </w:pPr>
            <w:r>
              <w:rPr>
                <w:b/>
              </w:rPr>
              <w:t>Modified Date</w:t>
            </w:r>
          </w:p>
        </w:tc>
      </w:tr>
      <w:tr w:rsidR="00E949CD" w:rsidTr="00667349">
        <w:trPr>
          <w:cantSplit/>
        </w:trPr>
        <w:tc>
          <w:tcPr>
            <w:tcW w:w="648" w:type="dxa"/>
          </w:tcPr>
          <w:p w:rsidR="00E949CD" w:rsidRPr="00147DE7" w:rsidRDefault="004E3162" w:rsidP="00667349">
            <w:pPr>
              <w:spacing w:after="240"/>
            </w:pPr>
            <w:r>
              <w:t>(1)</w:t>
            </w:r>
          </w:p>
        </w:tc>
        <w:tc>
          <w:tcPr>
            <w:tcW w:w="2610" w:type="dxa"/>
            <w:hideMark/>
          </w:tcPr>
          <w:p w:rsidR="00E949CD" w:rsidRPr="00147DE7" w:rsidRDefault="004E3162" w:rsidP="00667349">
            <w:pPr>
              <w:spacing w:after="240"/>
            </w:pPr>
            <w:r>
              <w:t>Utility</w:t>
            </w:r>
            <w:r w:rsidRPr="00147DE7">
              <w:t>’</w:t>
            </w:r>
            <w:r>
              <w:t>s</w:t>
            </w:r>
            <w:r w:rsidRPr="00147DE7">
              <w:t xml:space="preserve"> testimony and exhibits</w:t>
            </w:r>
          </w:p>
        </w:tc>
        <w:tc>
          <w:tcPr>
            <w:tcW w:w="2250" w:type="dxa"/>
            <w:hideMark/>
          </w:tcPr>
          <w:p w:rsidR="00E949CD" w:rsidRPr="00147DE7" w:rsidRDefault="004E3162" w:rsidP="00667349">
            <w:pPr>
              <w:spacing w:after="240"/>
            </w:pPr>
            <w:r>
              <w:t>October 23, 2017</w:t>
            </w:r>
          </w:p>
        </w:tc>
        <w:tc>
          <w:tcPr>
            <w:tcW w:w="2001" w:type="dxa"/>
            <w:hideMark/>
          </w:tcPr>
          <w:p w:rsidR="00E949CD" w:rsidRPr="00147DE7" w:rsidRDefault="004E3162" w:rsidP="00667349">
            <w:pPr>
              <w:spacing w:after="240"/>
            </w:pPr>
            <w:r>
              <w:t>None</w:t>
            </w:r>
          </w:p>
        </w:tc>
        <w:tc>
          <w:tcPr>
            <w:tcW w:w="2067" w:type="dxa"/>
            <w:hideMark/>
          </w:tcPr>
          <w:p w:rsidR="00E949CD" w:rsidRPr="00147DE7" w:rsidRDefault="004E3162" w:rsidP="00667349">
            <w:pPr>
              <w:spacing w:after="240"/>
            </w:pPr>
            <w:r>
              <w:t xml:space="preserve">No </w:t>
            </w:r>
            <w:r w:rsidR="0096746E">
              <w:t>c</w:t>
            </w:r>
            <w:r>
              <w:t>hange</w:t>
            </w:r>
          </w:p>
        </w:tc>
      </w:tr>
      <w:tr w:rsidR="00667349" w:rsidTr="00667349">
        <w:trPr>
          <w:cantSplit/>
        </w:trPr>
        <w:tc>
          <w:tcPr>
            <w:tcW w:w="648" w:type="dxa"/>
          </w:tcPr>
          <w:p w:rsidR="00667349" w:rsidRDefault="00667349" w:rsidP="004E3162">
            <w:pPr>
              <w:spacing w:after="240"/>
            </w:pPr>
            <w:r>
              <w:t>(2)</w:t>
            </w:r>
          </w:p>
        </w:tc>
        <w:tc>
          <w:tcPr>
            <w:tcW w:w="2610" w:type="dxa"/>
          </w:tcPr>
          <w:p w:rsidR="00667349" w:rsidRDefault="00667349" w:rsidP="006C1AAE">
            <w:pPr>
              <w:spacing w:after="240"/>
            </w:pPr>
            <w:r w:rsidRPr="00667349">
              <w:t>Intervenors’ testimony and exhibits</w:t>
            </w:r>
          </w:p>
        </w:tc>
        <w:tc>
          <w:tcPr>
            <w:tcW w:w="2250" w:type="dxa"/>
          </w:tcPr>
          <w:p w:rsidR="00667349" w:rsidRDefault="00667349" w:rsidP="009765A6">
            <w:pPr>
              <w:spacing w:after="240"/>
            </w:pPr>
            <w:r w:rsidRPr="00667349">
              <w:t>January 22, 2018</w:t>
            </w:r>
          </w:p>
        </w:tc>
        <w:tc>
          <w:tcPr>
            <w:tcW w:w="2001" w:type="dxa"/>
          </w:tcPr>
          <w:p w:rsidR="00667349" w:rsidRDefault="00667349" w:rsidP="009765A6">
            <w:pPr>
              <w:spacing w:after="240"/>
            </w:pPr>
            <w:r w:rsidRPr="00667349">
              <w:t>February 12, 2018</w:t>
            </w:r>
          </w:p>
        </w:tc>
        <w:tc>
          <w:tcPr>
            <w:tcW w:w="2067" w:type="dxa"/>
          </w:tcPr>
          <w:p w:rsidR="00667349" w:rsidRDefault="00667349" w:rsidP="009765A6">
            <w:pPr>
              <w:spacing w:after="240"/>
            </w:pPr>
            <w:r w:rsidRPr="00667349">
              <w:t>February 1, 2018</w:t>
            </w:r>
          </w:p>
        </w:tc>
      </w:tr>
      <w:tr w:rsidR="00667349" w:rsidTr="00667349">
        <w:trPr>
          <w:cantSplit/>
        </w:trPr>
        <w:tc>
          <w:tcPr>
            <w:tcW w:w="648" w:type="dxa"/>
          </w:tcPr>
          <w:p w:rsidR="00667349" w:rsidRDefault="00667349" w:rsidP="00667349">
            <w:pPr>
              <w:spacing w:after="240"/>
            </w:pPr>
            <w:r w:rsidRPr="00667349">
              <w:t>(3)</w:t>
            </w:r>
          </w:p>
        </w:tc>
        <w:tc>
          <w:tcPr>
            <w:tcW w:w="2610" w:type="dxa"/>
          </w:tcPr>
          <w:p w:rsidR="00667349" w:rsidRDefault="00667349" w:rsidP="006C1AAE">
            <w:pPr>
              <w:spacing w:after="240"/>
            </w:pPr>
            <w:r w:rsidRPr="00667349">
              <w:t>Service Hearings</w:t>
            </w:r>
          </w:p>
        </w:tc>
        <w:tc>
          <w:tcPr>
            <w:tcW w:w="2250" w:type="dxa"/>
          </w:tcPr>
          <w:p w:rsidR="00667349" w:rsidRDefault="00667349" w:rsidP="009765A6">
            <w:pPr>
              <w:spacing w:after="240"/>
            </w:pPr>
            <w:r w:rsidRPr="00667349">
              <w:t>January 23-24, 2018</w:t>
            </w:r>
          </w:p>
        </w:tc>
        <w:tc>
          <w:tcPr>
            <w:tcW w:w="2001" w:type="dxa"/>
          </w:tcPr>
          <w:p w:rsidR="00667349" w:rsidRDefault="00667349" w:rsidP="00667349">
            <w:pPr>
              <w:spacing w:after="240"/>
            </w:pPr>
            <w:r w:rsidRPr="00667349">
              <w:t>None</w:t>
            </w:r>
          </w:p>
        </w:tc>
        <w:tc>
          <w:tcPr>
            <w:tcW w:w="2067" w:type="dxa"/>
          </w:tcPr>
          <w:p w:rsidR="00667349" w:rsidRDefault="00667349" w:rsidP="00667349">
            <w:pPr>
              <w:spacing w:after="240"/>
            </w:pPr>
            <w:r w:rsidRPr="00667349">
              <w:t>No change</w:t>
            </w:r>
          </w:p>
        </w:tc>
      </w:tr>
      <w:tr w:rsidR="00E949CD" w:rsidTr="00667349">
        <w:trPr>
          <w:cantSplit/>
        </w:trPr>
        <w:tc>
          <w:tcPr>
            <w:tcW w:w="648" w:type="dxa"/>
          </w:tcPr>
          <w:p w:rsidR="00E949CD" w:rsidRPr="00147DE7" w:rsidRDefault="00E949CD" w:rsidP="00762C9A">
            <w:pPr>
              <w:spacing w:after="240"/>
            </w:pPr>
            <w:r>
              <w:t>(</w:t>
            </w:r>
            <w:r w:rsidR="00762C9A">
              <w:t>4</w:t>
            </w:r>
            <w:r>
              <w:t>)</w:t>
            </w:r>
          </w:p>
        </w:tc>
        <w:tc>
          <w:tcPr>
            <w:tcW w:w="2610" w:type="dxa"/>
            <w:hideMark/>
          </w:tcPr>
          <w:p w:rsidR="00E949CD" w:rsidRPr="00147DE7" w:rsidRDefault="00E949CD" w:rsidP="006C1AAE">
            <w:pPr>
              <w:spacing w:after="240"/>
            </w:pPr>
            <w:r w:rsidRPr="00147DE7">
              <w:t>Staff’s testimony and exhibits, if any</w:t>
            </w:r>
          </w:p>
        </w:tc>
        <w:tc>
          <w:tcPr>
            <w:tcW w:w="2250" w:type="dxa"/>
            <w:hideMark/>
          </w:tcPr>
          <w:p w:rsidR="00E949CD" w:rsidRPr="00147DE7" w:rsidRDefault="00AC4B48" w:rsidP="009765A6">
            <w:pPr>
              <w:spacing w:after="240"/>
            </w:pPr>
            <w:r>
              <w:t>February 1</w:t>
            </w:r>
            <w:r w:rsidRPr="00147DE7">
              <w:t>, 201</w:t>
            </w:r>
            <w:r w:rsidR="009765A6">
              <w:t>8</w:t>
            </w:r>
          </w:p>
        </w:tc>
        <w:tc>
          <w:tcPr>
            <w:tcW w:w="2001" w:type="dxa"/>
            <w:hideMark/>
          </w:tcPr>
          <w:p w:rsidR="00E949CD" w:rsidRPr="00147DE7" w:rsidRDefault="009765A6" w:rsidP="006C1AAE">
            <w:pPr>
              <w:spacing w:after="240"/>
            </w:pPr>
            <w:r>
              <w:t>None</w:t>
            </w:r>
          </w:p>
        </w:tc>
        <w:tc>
          <w:tcPr>
            <w:tcW w:w="2067" w:type="dxa"/>
            <w:hideMark/>
          </w:tcPr>
          <w:p w:rsidR="00E949CD" w:rsidRPr="00147DE7" w:rsidRDefault="009765A6" w:rsidP="009765A6">
            <w:pPr>
              <w:spacing w:after="240"/>
            </w:pPr>
            <w:r>
              <w:t>February 7</w:t>
            </w:r>
            <w:r w:rsidRPr="00147DE7">
              <w:t>, 201</w:t>
            </w:r>
            <w:r>
              <w:t>8</w:t>
            </w:r>
          </w:p>
        </w:tc>
      </w:tr>
      <w:tr w:rsidR="00E949CD" w:rsidTr="00667349">
        <w:trPr>
          <w:cantSplit/>
        </w:trPr>
        <w:tc>
          <w:tcPr>
            <w:tcW w:w="648" w:type="dxa"/>
          </w:tcPr>
          <w:p w:rsidR="00E949CD" w:rsidRPr="00147DE7" w:rsidRDefault="00E949CD" w:rsidP="00762C9A">
            <w:pPr>
              <w:spacing w:after="240"/>
            </w:pPr>
            <w:r>
              <w:t>(</w:t>
            </w:r>
            <w:r w:rsidR="00762C9A">
              <w:t>5</w:t>
            </w:r>
            <w:r>
              <w:t>)</w:t>
            </w:r>
          </w:p>
        </w:tc>
        <w:tc>
          <w:tcPr>
            <w:tcW w:w="2610" w:type="dxa"/>
            <w:hideMark/>
          </w:tcPr>
          <w:p w:rsidR="00E949CD" w:rsidRPr="00147DE7" w:rsidRDefault="00E949CD" w:rsidP="00D473FB">
            <w:pPr>
              <w:spacing w:after="240"/>
            </w:pPr>
            <w:r w:rsidRPr="00147DE7">
              <w:t xml:space="preserve">Rebuttal </w:t>
            </w:r>
            <w:r w:rsidR="00D473FB">
              <w:t>t</w:t>
            </w:r>
            <w:r w:rsidRPr="00147DE7">
              <w:t xml:space="preserve">estimony and </w:t>
            </w:r>
            <w:r w:rsidR="00D473FB">
              <w:t>e</w:t>
            </w:r>
            <w:r w:rsidRPr="00147DE7">
              <w:t>xhibits</w:t>
            </w:r>
          </w:p>
        </w:tc>
        <w:tc>
          <w:tcPr>
            <w:tcW w:w="2250" w:type="dxa"/>
            <w:hideMark/>
          </w:tcPr>
          <w:p w:rsidR="00E949CD" w:rsidRPr="00147DE7" w:rsidRDefault="009765A6" w:rsidP="009765A6">
            <w:pPr>
              <w:spacing w:after="240"/>
            </w:pPr>
            <w:r>
              <w:t>February 15</w:t>
            </w:r>
            <w:r w:rsidRPr="00147DE7">
              <w:t>, 201</w:t>
            </w:r>
            <w:r>
              <w:t>8</w:t>
            </w:r>
          </w:p>
        </w:tc>
        <w:tc>
          <w:tcPr>
            <w:tcW w:w="2001" w:type="dxa"/>
            <w:hideMark/>
          </w:tcPr>
          <w:p w:rsidR="00E949CD" w:rsidRPr="00147DE7" w:rsidRDefault="009765A6" w:rsidP="009765A6">
            <w:pPr>
              <w:spacing w:after="240"/>
            </w:pPr>
            <w:r>
              <w:t>February 28</w:t>
            </w:r>
            <w:r w:rsidRPr="00147DE7">
              <w:t>, 201</w:t>
            </w:r>
            <w:r>
              <w:t>8</w:t>
            </w:r>
          </w:p>
        </w:tc>
        <w:tc>
          <w:tcPr>
            <w:tcW w:w="2067" w:type="dxa"/>
            <w:hideMark/>
          </w:tcPr>
          <w:p w:rsidR="00E949CD" w:rsidRPr="00147DE7" w:rsidRDefault="009765A6" w:rsidP="009765A6">
            <w:pPr>
              <w:spacing w:after="240"/>
            </w:pPr>
            <w:r>
              <w:t>February 16</w:t>
            </w:r>
            <w:r w:rsidRPr="00147DE7">
              <w:t>, 201</w:t>
            </w:r>
            <w:r>
              <w:t>8</w:t>
            </w:r>
          </w:p>
        </w:tc>
      </w:tr>
      <w:tr w:rsidR="00E949CD" w:rsidTr="00667349">
        <w:trPr>
          <w:cantSplit/>
        </w:trPr>
        <w:tc>
          <w:tcPr>
            <w:tcW w:w="648" w:type="dxa"/>
          </w:tcPr>
          <w:p w:rsidR="00E949CD" w:rsidRPr="00147DE7" w:rsidRDefault="00762C9A" w:rsidP="006C1AAE">
            <w:pPr>
              <w:spacing w:after="240"/>
            </w:pPr>
            <w:r>
              <w:t>(6</w:t>
            </w:r>
            <w:r w:rsidR="00E949CD">
              <w:t>)</w:t>
            </w:r>
          </w:p>
        </w:tc>
        <w:tc>
          <w:tcPr>
            <w:tcW w:w="2610" w:type="dxa"/>
            <w:hideMark/>
          </w:tcPr>
          <w:p w:rsidR="00E949CD" w:rsidRPr="00147DE7" w:rsidRDefault="00E949CD" w:rsidP="006C1AAE">
            <w:pPr>
              <w:spacing w:after="240"/>
            </w:pPr>
            <w:r w:rsidRPr="00147DE7">
              <w:t>Prehearing Statements</w:t>
            </w:r>
          </w:p>
        </w:tc>
        <w:tc>
          <w:tcPr>
            <w:tcW w:w="2250" w:type="dxa"/>
            <w:hideMark/>
          </w:tcPr>
          <w:p w:rsidR="00E949CD" w:rsidRPr="00147DE7" w:rsidRDefault="009765A6" w:rsidP="00762C9A">
            <w:pPr>
              <w:spacing w:after="240"/>
            </w:pPr>
            <w:r>
              <w:t>March,</w:t>
            </w:r>
            <w:r w:rsidR="00762C9A">
              <w:t xml:space="preserve"> 1, </w:t>
            </w:r>
            <w:r>
              <w:t>2018</w:t>
            </w:r>
          </w:p>
        </w:tc>
        <w:tc>
          <w:tcPr>
            <w:tcW w:w="2001" w:type="dxa"/>
            <w:hideMark/>
          </w:tcPr>
          <w:p w:rsidR="00E949CD" w:rsidRPr="00147DE7" w:rsidRDefault="009765A6" w:rsidP="009765A6">
            <w:pPr>
              <w:spacing w:after="240"/>
            </w:pPr>
            <w:r>
              <w:t>March 5, 2018</w:t>
            </w:r>
          </w:p>
        </w:tc>
        <w:tc>
          <w:tcPr>
            <w:tcW w:w="2067" w:type="dxa"/>
            <w:hideMark/>
          </w:tcPr>
          <w:p w:rsidR="00E949CD" w:rsidRPr="00147DE7" w:rsidRDefault="009765A6" w:rsidP="006C1AAE">
            <w:pPr>
              <w:spacing w:after="240"/>
            </w:pPr>
            <w:r>
              <w:t>March 5, 2018</w:t>
            </w:r>
          </w:p>
        </w:tc>
      </w:tr>
      <w:tr w:rsidR="00E949CD" w:rsidTr="00667349">
        <w:trPr>
          <w:cantSplit/>
        </w:trPr>
        <w:tc>
          <w:tcPr>
            <w:tcW w:w="648" w:type="dxa"/>
          </w:tcPr>
          <w:p w:rsidR="00E949CD" w:rsidRPr="00147DE7" w:rsidRDefault="0030765D" w:rsidP="006C1AAE">
            <w:pPr>
              <w:spacing w:after="240"/>
            </w:pPr>
            <w:r>
              <w:t>(7</w:t>
            </w:r>
            <w:r w:rsidR="00E949CD">
              <w:t>)</w:t>
            </w:r>
          </w:p>
        </w:tc>
        <w:tc>
          <w:tcPr>
            <w:tcW w:w="2610" w:type="dxa"/>
            <w:hideMark/>
          </w:tcPr>
          <w:p w:rsidR="00E949CD" w:rsidRPr="00147DE7" w:rsidRDefault="00E949CD" w:rsidP="006C1AAE">
            <w:pPr>
              <w:spacing w:after="240"/>
            </w:pPr>
            <w:r w:rsidRPr="00147DE7">
              <w:t>Discovery deadline</w:t>
            </w:r>
          </w:p>
        </w:tc>
        <w:tc>
          <w:tcPr>
            <w:tcW w:w="2250" w:type="dxa"/>
            <w:hideMark/>
          </w:tcPr>
          <w:p w:rsidR="00E949CD" w:rsidRPr="00147DE7" w:rsidRDefault="009765A6" w:rsidP="009765A6">
            <w:pPr>
              <w:spacing w:after="240"/>
            </w:pPr>
            <w:r>
              <w:t>March 9, 2018</w:t>
            </w:r>
          </w:p>
        </w:tc>
        <w:tc>
          <w:tcPr>
            <w:tcW w:w="2001" w:type="dxa"/>
            <w:hideMark/>
          </w:tcPr>
          <w:p w:rsidR="00E949CD" w:rsidRPr="00147DE7" w:rsidRDefault="009765A6" w:rsidP="009765A6">
            <w:pPr>
              <w:spacing w:after="240"/>
            </w:pPr>
            <w:r>
              <w:t>March 16, 2018</w:t>
            </w:r>
          </w:p>
        </w:tc>
        <w:tc>
          <w:tcPr>
            <w:tcW w:w="2067" w:type="dxa"/>
            <w:hideMark/>
          </w:tcPr>
          <w:p w:rsidR="00E949CD" w:rsidRPr="00147DE7" w:rsidRDefault="002C52DF" w:rsidP="002C52DF">
            <w:pPr>
              <w:spacing w:after="240"/>
            </w:pPr>
            <w:r>
              <w:t>No change</w:t>
            </w:r>
          </w:p>
        </w:tc>
      </w:tr>
      <w:tr w:rsidR="00E949CD" w:rsidTr="00667349">
        <w:trPr>
          <w:cantSplit/>
        </w:trPr>
        <w:tc>
          <w:tcPr>
            <w:tcW w:w="648" w:type="dxa"/>
          </w:tcPr>
          <w:p w:rsidR="00E949CD" w:rsidRDefault="0030765D" w:rsidP="006C1AAE">
            <w:pPr>
              <w:spacing w:after="240"/>
            </w:pPr>
            <w:r>
              <w:t>(8</w:t>
            </w:r>
            <w:r w:rsidR="00E949CD">
              <w:t>)</w:t>
            </w:r>
          </w:p>
        </w:tc>
        <w:tc>
          <w:tcPr>
            <w:tcW w:w="2610" w:type="dxa"/>
          </w:tcPr>
          <w:p w:rsidR="00E949CD" w:rsidRDefault="00E949CD" w:rsidP="006C1AAE">
            <w:r>
              <w:t>Prehearing Conference</w:t>
            </w:r>
          </w:p>
        </w:tc>
        <w:tc>
          <w:tcPr>
            <w:tcW w:w="2250" w:type="dxa"/>
          </w:tcPr>
          <w:p w:rsidR="00E949CD" w:rsidRDefault="009765A6" w:rsidP="0030765D">
            <w:r>
              <w:t xml:space="preserve">March </w:t>
            </w:r>
            <w:r w:rsidR="0030765D">
              <w:t>12</w:t>
            </w:r>
            <w:r>
              <w:t>, 2018</w:t>
            </w:r>
          </w:p>
        </w:tc>
        <w:tc>
          <w:tcPr>
            <w:tcW w:w="2001" w:type="dxa"/>
          </w:tcPr>
          <w:p w:rsidR="00E949CD" w:rsidRDefault="00E949CD" w:rsidP="006C1AAE">
            <w:r>
              <w:t>None</w:t>
            </w:r>
          </w:p>
        </w:tc>
        <w:tc>
          <w:tcPr>
            <w:tcW w:w="2067" w:type="dxa"/>
          </w:tcPr>
          <w:p w:rsidR="00E949CD" w:rsidRDefault="00E949CD" w:rsidP="006C1AAE">
            <w:r>
              <w:t>No change</w:t>
            </w:r>
          </w:p>
        </w:tc>
      </w:tr>
      <w:tr w:rsidR="00E949CD" w:rsidTr="00667349">
        <w:trPr>
          <w:cantSplit/>
        </w:trPr>
        <w:tc>
          <w:tcPr>
            <w:tcW w:w="648" w:type="dxa"/>
          </w:tcPr>
          <w:p w:rsidR="00E949CD" w:rsidRDefault="0030765D" w:rsidP="006C1AAE">
            <w:pPr>
              <w:spacing w:after="240"/>
            </w:pPr>
            <w:r>
              <w:t>(9</w:t>
            </w:r>
            <w:r w:rsidR="00E949CD">
              <w:t>)</w:t>
            </w:r>
          </w:p>
          <w:p w:rsidR="004E3162" w:rsidRDefault="004E3162" w:rsidP="006C1AAE">
            <w:pPr>
              <w:spacing w:after="240"/>
            </w:pPr>
            <w:r>
              <w:t>(10)</w:t>
            </w:r>
          </w:p>
        </w:tc>
        <w:tc>
          <w:tcPr>
            <w:tcW w:w="2610" w:type="dxa"/>
          </w:tcPr>
          <w:p w:rsidR="00E949CD" w:rsidRDefault="00E949CD" w:rsidP="006C1AAE">
            <w:r>
              <w:t>Hearing</w:t>
            </w:r>
          </w:p>
          <w:p w:rsidR="004E3162" w:rsidRDefault="004E3162" w:rsidP="006C1AAE"/>
          <w:p w:rsidR="004E3162" w:rsidRDefault="004E3162" w:rsidP="006C1AAE">
            <w:r>
              <w:t>Briefs</w:t>
            </w:r>
          </w:p>
        </w:tc>
        <w:tc>
          <w:tcPr>
            <w:tcW w:w="2250" w:type="dxa"/>
          </w:tcPr>
          <w:p w:rsidR="00E949CD" w:rsidRDefault="009765A6" w:rsidP="006C1AAE">
            <w:r>
              <w:t>March 26-30, 2018</w:t>
            </w:r>
          </w:p>
          <w:p w:rsidR="0096746E" w:rsidRDefault="0096746E" w:rsidP="006C1AAE"/>
          <w:p w:rsidR="0096746E" w:rsidRDefault="0096746E" w:rsidP="006C1AAE">
            <w:r>
              <w:t>April 13, 2018</w:t>
            </w:r>
          </w:p>
        </w:tc>
        <w:tc>
          <w:tcPr>
            <w:tcW w:w="2001" w:type="dxa"/>
          </w:tcPr>
          <w:p w:rsidR="00E949CD" w:rsidRDefault="00E949CD" w:rsidP="006C1AAE">
            <w:r>
              <w:t>None</w:t>
            </w:r>
          </w:p>
          <w:p w:rsidR="0096746E" w:rsidRDefault="0096746E" w:rsidP="006C1AAE"/>
          <w:p w:rsidR="0096746E" w:rsidRDefault="0096746E" w:rsidP="006C1AAE">
            <w:r>
              <w:t>None</w:t>
            </w:r>
          </w:p>
        </w:tc>
        <w:tc>
          <w:tcPr>
            <w:tcW w:w="2067" w:type="dxa"/>
          </w:tcPr>
          <w:p w:rsidR="00E949CD" w:rsidRDefault="00E949CD" w:rsidP="006C1AAE">
            <w:r>
              <w:t>No change</w:t>
            </w:r>
          </w:p>
          <w:p w:rsidR="0096746E" w:rsidRDefault="0096746E" w:rsidP="006C1AAE"/>
          <w:p w:rsidR="0096746E" w:rsidRDefault="0096746E" w:rsidP="0096746E">
            <w:r>
              <w:t>No charge</w:t>
            </w:r>
          </w:p>
        </w:tc>
      </w:tr>
      <w:tr w:rsidR="00E949CD" w:rsidTr="00667349">
        <w:trPr>
          <w:cantSplit/>
        </w:trPr>
        <w:tc>
          <w:tcPr>
            <w:tcW w:w="648" w:type="dxa"/>
          </w:tcPr>
          <w:p w:rsidR="00E949CD" w:rsidRPr="00147DE7" w:rsidRDefault="00E949CD" w:rsidP="006C1AAE">
            <w:pPr>
              <w:spacing w:after="240"/>
            </w:pPr>
          </w:p>
        </w:tc>
        <w:tc>
          <w:tcPr>
            <w:tcW w:w="2610" w:type="dxa"/>
          </w:tcPr>
          <w:p w:rsidR="00E949CD" w:rsidRPr="00147DE7" w:rsidRDefault="00E949CD" w:rsidP="006C1AAE">
            <w:pPr>
              <w:spacing w:after="240"/>
            </w:pPr>
          </w:p>
        </w:tc>
        <w:tc>
          <w:tcPr>
            <w:tcW w:w="2250" w:type="dxa"/>
          </w:tcPr>
          <w:p w:rsidR="00E949CD" w:rsidRPr="00147DE7" w:rsidRDefault="00E949CD" w:rsidP="006C1AAE">
            <w:pPr>
              <w:spacing w:after="240"/>
            </w:pPr>
          </w:p>
        </w:tc>
        <w:tc>
          <w:tcPr>
            <w:tcW w:w="2001" w:type="dxa"/>
          </w:tcPr>
          <w:p w:rsidR="00E949CD" w:rsidRPr="00147DE7" w:rsidRDefault="00E949CD" w:rsidP="006C1AAE">
            <w:pPr>
              <w:spacing w:after="240"/>
            </w:pPr>
          </w:p>
        </w:tc>
        <w:tc>
          <w:tcPr>
            <w:tcW w:w="2067" w:type="dxa"/>
          </w:tcPr>
          <w:p w:rsidR="00E949CD" w:rsidRPr="00147DE7" w:rsidRDefault="00E949CD" w:rsidP="006C1AAE">
            <w:pPr>
              <w:spacing w:after="240"/>
            </w:pPr>
          </w:p>
        </w:tc>
      </w:tr>
    </w:tbl>
    <w:p w:rsidR="00E949CD" w:rsidRDefault="00E949CD" w:rsidP="00E949CD">
      <w:pPr>
        <w:autoSpaceDE w:val="0"/>
        <w:autoSpaceDN w:val="0"/>
        <w:adjustRightInd w:val="0"/>
        <w:ind w:firstLine="720"/>
        <w:jc w:val="both"/>
      </w:pPr>
      <w:r>
        <w:t>This Revised Order is issued pursuant to the authority afforded to me by Rule 28- 106.211, Florida Administrative Code, which provides that the Presiding Officer before whom a case is pending may issue any orders necessary to effectuate discovery, prevent delay, and promote the just, speedy, and inexpensive determination of all aspects of the case. Order No.</w:t>
      </w:r>
      <w:r w:rsidR="00762C9A" w:rsidRPr="00762C9A">
        <w:t xml:space="preserve"> </w:t>
      </w:r>
      <w:r w:rsidR="00762C9A" w:rsidRPr="002E33E9">
        <w:t>PSC-2017-0427-PCO-GU</w:t>
      </w:r>
      <w:r>
        <w:t xml:space="preserve"> is reaffirmed in all other respects.</w:t>
      </w:r>
    </w:p>
    <w:p w:rsidR="00E949CD" w:rsidRDefault="00E949CD" w:rsidP="00E949CD">
      <w:pPr>
        <w:autoSpaceDE w:val="0"/>
        <w:autoSpaceDN w:val="0"/>
        <w:adjustRightInd w:val="0"/>
        <w:ind w:firstLine="720"/>
        <w:jc w:val="both"/>
      </w:pPr>
    </w:p>
    <w:p w:rsidR="00E949CD" w:rsidRDefault="00E949CD" w:rsidP="00E949CD">
      <w:pPr>
        <w:autoSpaceDE w:val="0"/>
        <w:autoSpaceDN w:val="0"/>
        <w:adjustRightInd w:val="0"/>
        <w:ind w:firstLine="720"/>
        <w:jc w:val="both"/>
      </w:pPr>
      <w:r>
        <w:t>It is therefore,</w:t>
      </w:r>
    </w:p>
    <w:p w:rsidR="00E949CD" w:rsidRDefault="00E949CD" w:rsidP="00E949CD">
      <w:pPr>
        <w:autoSpaceDE w:val="0"/>
        <w:autoSpaceDN w:val="0"/>
        <w:adjustRightInd w:val="0"/>
        <w:ind w:firstLine="720"/>
        <w:jc w:val="both"/>
      </w:pPr>
    </w:p>
    <w:p w:rsidR="00E949CD" w:rsidRDefault="00E949CD" w:rsidP="00E949CD">
      <w:pPr>
        <w:autoSpaceDE w:val="0"/>
        <w:autoSpaceDN w:val="0"/>
        <w:adjustRightInd w:val="0"/>
        <w:ind w:firstLine="720"/>
        <w:jc w:val="both"/>
      </w:pPr>
      <w:r>
        <w:t>ORDERED by Commissioner</w:t>
      </w:r>
      <w:r w:rsidR="00762C9A" w:rsidRPr="00762C9A">
        <w:t xml:space="preserve"> </w:t>
      </w:r>
      <w:r w:rsidR="00762C9A">
        <w:t>Donald J. Polmann</w:t>
      </w:r>
      <w:r>
        <w:t>, as Prehearing Officer, that Order No.</w:t>
      </w:r>
      <w:r w:rsidR="00762C9A" w:rsidRPr="00762C9A">
        <w:t xml:space="preserve"> </w:t>
      </w:r>
      <w:r w:rsidR="00762C9A" w:rsidRPr="002E33E9">
        <w:t>PSC-2017-0427-PCO-GU</w:t>
      </w:r>
      <w:r>
        <w:t xml:space="preserve">, issued on </w:t>
      </w:r>
      <w:r w:rsidR="00762C9A">
        <w:t>November 7, 2018</w:t>
      </w:r>
      <w:r>
        <w:t>, shall be modified as stated above. It is further</w:t>
      </w:r>
    </w:p>
    <w:p w:rsidR="002C6158" w:rsidRDefault="002C6158" w:rsidP="00D57E57"/>
    <w:p w:rsidR="00762C9A" w:rsidRDefault="00762C9A" w:rsidP="00441201">
      <w:pPr>
        <w:ind w:firstLine="720"/>
        <w:jc w:val="both"/>
      </w:pPr>
      <w:r>
        <w:t xml:space="preserve">ORDERED that the turnaround time for responding to </w:t>
      </w:r>
      <w:r w:rsidR="00441201">
        <w:t>pre-rebuttal</w:t>
      </w:r>
      <w:r>
        <w:t xml:space="preserve"> </w:t>
      </w:r>
      <w:r w:rsidR="00441201">
        <w:t>d</w:t>
      </w:r>
      <w:r>
        <w:t>iscovery has been extended by 5 days to a total of 25 days. It is further</w:t>
      </w:r>
    </w:p>
    <w:p w:rsidR="00762C9A" w:rsidRDefault="00762C9A" w:rsidP="00D57E57"/>
    <w:p w:rsidR="00762C9A" w:rsidRDefault="00762C9A" w:rsidP="00667349">
      <w:pPr>
        <w:autoSpaceDE w:val="0"/>
        <w:autoSpaceDN w:val="0"/>
        <w:adjustRightInd w:val="0"/>
        <w:spacing w:after="240"/>
        <w:ind w:firstLine="720"/>
        <w:jc w:val="both"/>
      </w:pPr>
      <w:r>
        <w:t xml:space="preserve">ORDERED that Order No. </w:t>
      </w:r>
      <w:r w:rsidRPr="002E33E9">
        <w:t>PSC-2017-0427-PCO-GU</w:t>
      </w:r>
      <w:r>
        <w:t xml:space="preserve"> is hereby reaffirmed in all other respects.</w:t>
      </w:r>
    </w:p>
    <w:p w:rsidR="002C6158" w:rsidRDefault="002C6158" w:rsidP="008B089C">
      <w:pPr>
        <w:keepNext/>
        <w:keepLines/>
        <w:jc w:val="both"/>
      </w:pPr>
      <w:r>
        <w:lastRenderedPageBreak/>
        <w:tab/>
        <w:t xml:space="preserve">By ORDER of Commissioner Donald J. Polmann, as Prehearing Officer, this </w:t>
      </w:r>
      <w:bookmarkStart w:id="5" w:name="replaceDate"/>
      <w:bookmarkEnd w:id="5"/>
      <w:r w:rsidR="008B089C">
        <w:rPr>
          <w:u w:val="single"/>
        </w:rPr>
        <w:t>5th</w:t>
      </w:r>
      <w:r w:rsidR="008B089C">
        <w:t xml:space="preserve"> day of </w:t>
      </w:r>
      <w:r w:rsidR="008B089C">
        <w:rPr>
          <w:u w:val="single"/>
        </w:rPr>
        <w:t>December</w:t>
      </w:r>
      <w:r w:rsidR="008B089C">
        <w:t xml:space="preserve">, </w:t>
      </w:r>
      <w:r w:rsidR="008B089C">
        <w:rPr>
          <w:u w:val="single"/>
        </w:rPr>
        <w:t>2017</w:t>
      </w:r>
      <w:r w:rsidR="008B089C">
        <w:t>.</w:t>
      </w:r>
    </w:p>
    <w:p w:rsidR="008B089C" w:rsidRPr="008B089C" w:rsidRDefault="008B089C" w:rsidP="008B089C">
      <w:pPr>
        <w:keepNext/>
        <w:keepLines/>
        <w:jc w:val="both"/>
      </w:pPr>
    </w:p>
    <w:p w:rsidR="002C6158" w:rsidRDefault="002C6158" w:rsidP="002C6158">
      <w:pPr>
        <w:keepNext/>
        <w:keepLines/>
      </w:pPr>
    </w:p>
    <w:p w:rsidR="002C6158" w:rsidRDefault="002C6158" w:rsidP="002C6158">
      <w:pPr>
        <w:keepNext/>
        <w:keepLines/>
      </w:pPr>
    </w:p>
    <w:tbl>
      <w:tblPr>
        <w:tblW w:w="4720" w:type="dxa"/>
        <w:tblInd w:w="3800" w:type="dxa"/>
        <w:tblLayout w:type="fixed"/>
        <w:tblLook w:val="0000" w:firstRow="0" w:lastRow="0" w:firstColumn="0" w:lastColumn="0" w:noHBand="0" w:noVBand="0"/>
      </w:tblPr>
      <w:tblGrid>
        <w:gridCol w:w="686"/>
        <w:gridCol w:w="4034"/>
      </w:tblGrid>
      <w:tr w:rsidR="002C6158" w:rsidTr="002C6158">
        <w:tc>
          <w:tcPr>
            <w:tcW w:w="720" w:type="dxa"/>
            <w:shd w:val="clear" w:color="auto" w:fill="auto"/>
          </w:tcPr>
          <w:p w:rsidR="002C6158" w:rsidRDefault="002C6158" w:rsidP="002C6158">
            <w:pPr>
              <w:keepNext/>
              <w:keepLines/>
            </w:pPr>
            <w:bookmarkStart w:id="6" w:name="bkmrkSignature" w:colFirst="0" w:colLast="0"/>
          </w:p>
        </w:tc>
        <w:tc>
          <w:tcPr>
            <w:tcW w:w="4320" w:type="dxa"/>
            <w:tcBorders>
              <w:bottom w:val="single" w:sz="4" w:space="0" w:color="auto"/>
            </w:tcBorders>
            <w:shd w:val="clear" w:color="auto" w:fill="auto"/>
          </w:tcPr>
          <w:p w:rsidR="002C6158" w:rsidRDefault="008B089C" w:rsidP="002C6158">
            <w:pPr>
              <w:keepNext/>
              <w:keepLines/>
            </w:pPr>
            <w:r>
              <w:t>/s/ Donald J. Polmann, Ph.D., P.E.</w:t>
            </w:r>
            <w:bookmarkStart w:id="7" w:name="_GoBack"/>
            <w:bookmarkEnd w:id="7"/>
          </w:p>
        </w:tc>
      </w:tr>
      <w:bookmarkEnd w:id="6"/>
      <w:tr w:rsidR="002C6158" w:rsidTr="002C6158">
        <w:tc>
          <w:tcPr>
            <w:tcW w:w="720" w:type="dxa"/>
            <w:shd w:val="clear" w:color="auto" w:fill="auto"/>
          </w:tcPr>
          <w:p w:rsidR="002C6158" w:rsidRDefault="002C6158" w:rsidP="002C6158">
            <w:pPr>
              <w:keepNext/>
              <w:keepLines/>
            </w:pPr>
          </w:p>
        </w:tc>
        <w:tc>
          <w:tcPr>
            <w:tcW w:w="4320" w:type="dxa"/>
            <w:tcBorders>
              <w:top w:val="single" w:sz="4" w:space="0" w:color="auto"/>
            </w:tcBorders>
            <w:shd w:val="clear" w:color="auto" w:fill="auto"/>
          </w:tcPr>
          <w:p w:rsidR="002C6158" w:rsidRDefault="002C6158" w:rsidP="002C6158">
            <w:pPr>
              <w:keepNext/>
              <w:keepLines/>
            </w:pPr>
            <w:r>
              <w:t>DONALD J. POLMANN, Ph.D., P.E.</w:t>
            </w:r>
          </w:p>
          <w:p w:rsidR="002C6158" w:rsidRDefault="002C6158" w:rsidP="002C6158">
            <w:pPr>
              <w:keepNext/>
              <w:keepLines/>
            </w:pPr>
            <w:r>
              <w:t>Commissioner and Prehearing Officer</w:t>
            </w:r>
          </w:p>
        </w:tc>
      </w:tr>
    </w:tbl>
    <w:p w:rsidR="002C6158" w:rsidRDefault="002C6158" w:rsidP="002C6158">
      <w:pPr>
        <w:pStyle w:val="OrderSigInfo"/>
        <w:keepNext/>
        <w:keepLines/>
      </w:pPr>
      <w:r>
        <w:t>Florida Public Service Commission</w:t>
      </w:r>
    </w:p>
    <w:p w:rsidR="002C6158" w:rsidRDefault="002C6158" w:rsidP="002C6158">
      <w:pPr>
        <w:pStyle w:val="OrderSigInfo"/>
        <w:keepNext/>
        <w:keepLines/>
      </w:pPr>
      <w:r>
        <w:t>2540 Shumard Oak Boulevard</w:t>
      </w:r>
    </w:p>
    <w:p w:rsidR="002C6158" w:rsidRDefault="002C6158" w:rsidP="002C6158">
      <w:pPr>
        <w:pStyle w:val="OrderSigInfo"/>
        <w:keepNext/>
        <w:keepLines/>
      </w:pPr>
      <w:r>
        <w:t>Tallahassee, Florida  32399</w:t>
      </w:r>
    </w:p>
    <w:p w:rsidR="002C6158" w:rsidRDefault="002C6158" w:rsidP="002C6158">
      <w:pPr>
        <w:pStyle w:val="OrderSigInfo"/>
        <w:keepNext/>
        <w:keepLines/>
      </w:pPr>
      <w:r>
        <w:t>(850) 413</w:t>
      </w:r>
      <w:r>
        <w:noBreakHyphen/>
        <w:t>6770</w:t>
      </w:r>
    </w:p>
    <w:p w:rsidR="002C6158" w:rsidRDefault="002C6158" w:rsidP="002C6158">
      <w:pPr>
        <w:pStyle w:val="OrderSigInfo"/>
        <w:keepNext/>
        <w:keepLines/>
      </w:pPr>
      <w:r>
        <w:t>www.floridapsc.com</w:t>
      </w:r>
    </w:p>
    <w:p w:rsidR="002C6158" w:rsidRDefault="002C6158" w:rsidP="002C6158">
      <w:pPr>
        <w:pStyle w:val="OrderSigInfo"/>
        <w:keepNext/>
        <w:keepLines/>
      </w:pPr>
    </w:p>
    <w:p w:rsidR="002C6158" w:rsidRDefault="002C6158" w:rsidP="002C6158">
      <w:pPr>
        <w:pStyle w:val="OrderSigInfo"/>
        <w:keepNext/>
        <w:keepLines/>
      </w:pPr>
      <w:r>
        <w:t>Copies furnished:  A copy of this document is provided to the parties of record at the time of issuance and, if applicable, interested persons.</w:t>
      </w:r>
    </w:p>
    <w:p w:rsidR="002C6158" w:rsidRDefault="002C6158" w:rsidP="002C6158">
      <w:pPr>
        <w:pStyle w:val="OrderBody"/>
        <w:keepNext/>
        <w:keepLines/>
      </w:pPr>
    </w:p>
    <w:p w:rsidR="002C6158" w:rsidRDefault="002C6158" w:rsidP="002C6158">
      <w:pPr>
        <w:keepNext/>
        <w:keepLines/>
      </w:pPr>
    </w:p>
    <w:p w:rsidR="002C6158" w:rsidRDefault="002C6158" w:rsidP="00D57E57">
      <w:r>
        <w:t>WLT</w:t>
      </w:r>
    </w:p>
    <w:p w:rsidR="002C6158" w:rsidRDefault="002C6158" w:rsidP="00D57E57"/>
    <w:p w:rsidR="002C6158" w:rsidRDefault="002C6158" w:rsidP="002C6158">
      <w:pPr>
        <w:pStyle w:val="CenterUnderline"/>
      </w:pPr>
      <w:r>
        <w:t>NOTICE OF FURTHER PROCEEDINGS OR JUDICIAL REVIEW</w:t>
      </w:r>
    </w:p>
    <w:p w:rsidR="002C6158" w:rsidRDefault="002C6158" w:rsidP="002C6158">
      <w:pPr>
        <w:pStyle w:val="CenterUnderline"/>
        <w:rPr>
          <w:u w:val="none"/>
        </w:rPr>
      </w:pPr>
    </w:p>
    <w:p w:rsidR="002C6158" w:rsidRDefault="002C6158" w:rsidP="002C61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6158" w:rsidRDefault="002C6158" w:rsidP="002C6158">
      <w:pPr>
        <w:pStyle w:val="OrderBody"/>
      </w:pPr>
    </w:p>
    <w:p w:rsidR="002C6158" w:rsidRDefault="002C6158" w:rsidP="002C6158">
      <w:pPr>
        <w:pStyle w:val="OrderBody"/>
      </w:pPr>
      <w:r>
        <w:tab/>
        <w:t>Mediation may be available on a case-by-case basis.  If mediation is conducted, it does not affect a substantially interested person's right to a hearing.</w:t>
      </w:r>
    </w:p>
    <w:p w:rsidR="002C6158" w:rsidRDefault="002C6158" w:rsidP="002C6158">
      <w:pPr>
        <w:pStyle w:val="OrderBody"/>
      </w:pPr>
    </w:p>
    <w:p w:rsidR="002C6158" w:rsidRPr="002C6158" w:rsidRDefault="002C6158" w:rsidP="002C61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762C9A" w:rsidRPr="002C6158">
        <w:t xml:space="preserve"> </w:t>
      </w:r>
    </w:p>
    <w:sectPr w:rsidR="002C6158" w:rsidRPr="002C61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58" w:rsidRDefault="002C6158">
      <w:r>
        <w:separator/>
      </w:r>
    </w:p>
  </w:endnote>
  <w:endnote w:type="continuationSeparator" w:id="0">
    <w:p w:rsidR="002C6158" w:rsidRDefault="002C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58" w:rsidRDefault="002C6158">
      <w:r>
        <w:separator/>
      </w:r>
    </w:p>
  </w:footnote>
  <w:footnote w:type="continuationSeparator" w:id="0">
    <w:p w:rsidR="002C6158" w:rsidRDefault="002C6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1 ">
      <w:r w:rsidR="008B089C">
        <w:t>PSC-2017-0461-PCO-GU</w:t>
      </w:r>
    </w:fldSimple>
  </w:p>
  <w:p w:rsidR="00FA6EFD" w:rsidRDefault="002C6158">
    <w:pPr>
      <w:pStyle w:val="OrderHeader"/>
    </w:pPr>
    <w:bookmarkStart w:id="8" w:name="HeaderDocketNo"/>
    <w:bookmarkEnd w:id="8"/>
    <w:r>
      <w:t>DOCKET NO. 20170179-GU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089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9-GU"/>
  </w:docVars>
  <w:rsids>
    <w:rsidRoot w:val="002C6158"/>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90"/>
    <w:rsid w:val="002170E5"/>
    <w:rsid w:val="00220D57"/>
    <w:rsid w:val="0022721A"/>
    <w:rsid w:val="00230BB9"/>
    <w:rsid w:val="00234BF9"/>
    <w:rsid w:val="00241CEF"/>
    <w:rsid w:val="00252B30"/>
    <w:rsid w:val="0026544B"/>
    <w:rsid w:val="00277655"/>
    <w:rsid w:val="002824B7"/>
    <w:rsid w:val="002A11AC"/>
    <w:rsid w:val="002A6F30"/>
    <w:rsid w:val="002B3111"/>
    <w:rsid w:val="002C52DF"/>
    <w:rsid w:val="002C6158"/>
    <w:rsid w:val="002C7908"/>
    <w:rsid w:val="002D391B"/>
    <w:rsid w:val="002D4B1F"/>
    <w:rsid w:val="002D7D15"/>
    <w:rsid w:val="002E1B2E"/>
    <w:rsid w:val="002E27EB"/>
    <w:rsid w:val="002F2A9D"/>
    <w:rsid w:val="00303FDE"/>
    <w:rsid w:val="0030765D"/>
    <w:rsid w:val="003140E8"/>
    <w:rsid w:val="003231C7"/>
    <w:rsid w:val="003270C4"/>
    <w:rsid w:val="00331ED0"/>
    <w:rsid w:val="00332B0A"/>
    <w:rsid w:val="00333A41"/>
    <w:rsid w:val="0035495B"/>
    <w:rsid w:val="00356B48"/>
    <w:rsid w:val="00361522"/>
    <w:rsid w:val="0037196E"/>
    <w:rsid w:val="003744F5"/>
    <w:rsid w:val="00390DD8"/>
    <w:rsid w:val="00394DC6"/>
    <w:rsid w:val="003969C9"/>
    <w:rsid w:val="00397C3E"/>
    <w:rsid w:val="003D4CCA"/>
    <w:rsid w:val="003D52A6"/>
    <w:rsid w:val="003D6416"/>
    <w:rsid w:val="003E1D48"/>
    <w:rsid w:val="00411DF2"/>
    <w:rsid w:val="0042527B"/>
    <w:rsid w:val="00441201"/>
    <w:rsid w:val="00457DC7"/>
    <w:rsid w:val="004719EF"/>
    <w:rsid w:val="00472BCC"/>
    <w:rsid w:val="004A25CD"/>
    <w:rsid w:val="004A26CC"/>
    <w:rsid w:val="004B2108"/>
    <w:rsid w:val="004B3A2B"/>
    <w:rsid w:val="004B56E1"/>
    <w:rsid w:val="004B70D3"/>
    <w:rsid w:val="004C312D"/>
    <w:rsid w:val="004D2D1B"/>
    <w:rsid w:val="004D5067"/>
    <w:rsid w:val="004E3162"/>
    <w:rsid w:val="004E469D"/>
    <w:rsid w:val="004F2DDE"/>
    <w:rsid w:val="004F7826"/>
    <w:rsid w:val="0050097F"/>
    <w:rsid w:val="00514B1F"/>
    <w:rsid w:val="00525E93"/>
    <w:rsid w:val="0052671D"/>
    <w:rsid w:val="00556A10"/>
    <w:rsid w:val="00565C6B"/>
    <w:rsid w:val="00590845"/>
    <w:rsid w:val="005963C2"/>
    <w:rsid w:val="005A0D69"/>
    <w:rsid w:val="005A31F4"/>
    <w:rsid w:val="005B45F7"/>
    <w:rsid w:val="005B63EA"/>
    <w:rsid w:val="005C1A88"/>
    <w:rsid w:val="005C5033"/>
    <w:rsid w:val="005E751B"/>
    <w:rsid w:val="00610E73"/>
    <w:rsid w:val="00610EB7"/>
    <w:rsid w:val="0063168D"/>
    <w:rsid w:val="00660774"/>
    <w:rsid w:val="0066389A"/>
    <w:rsid w:val="0066495C"/>
    <w:rsid w:val="00665CC7"/>
    <w:rsid w:val="00667349"/>
    <w:rsid w:val="00672612"/>
    <w:rsid w:val="00674B8D"/>
    <w:rsid w:val="00677F18"/>
    <w:rsid w:val="00687C45"/>
    <w:rsid w:val="006A0BF3"/>
    <w:rsid w:val="006B0DA6"/>
    <w:rsid w:val="006C547E"/>
    <w:rsid w:val="006F5FFF"/>
    <w:rsid w:val="00704C5D"/>
    <w:rsid w:val="007072BC"/>
    <w:rsid w:val="00715275"/>
    <w:rsid w:val="00726A02"/>
    <w:rsid w:val="00733B6B"/>
    <w:rsid w:val="007467C4"/>
    <w:rsid w:val="0076170F"/>
    <w:rsid w:val="00762C9A"/>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089C"/>
    <w:rsid w:val="008C21C8"/>
    <w:rsid w:val="008C6375"/>
    <w:rsid w:val="008C6A5B"/>
    <w:rsid w:val="008D129D"/>
    <w:rsid w:val="008E26A5"/>
    <w:rsid w:val="008E42D2"/>
    <w:rsid w:val="009040EE"/>
    <w:rsid w:val="009057FD"/>
    <w:rsid w:val="00906FBA"/>
    <w:rsid w:val="009228C7"/>
    <w:rsid w:val="00922A7F"/>
    <w:rsid w:val="00923A5E"/>
    <w:rsid w:val="00926E27"/>
    <w:rsid w:val="00931C8C"/>
    <w:rsid w:val="0094504B"/>
    <w:rsid w:val="0096742B"/>
    <w:rsid w:val="0096746E"/>
    <w:rsid w:val="009765A6"/>
    <w:rsid w:val="009924CF"/>
    <w:rsid w:val="00994100"/>
    <w:rsid w:val="00996C48"/>
    <w:rsid w:val="009A6B17"/>
    <w:rsid w:val="009D4C29"/>
    <w:rsid w:val="00A00D8D"/>
    <w:rsid w:val="00A4303C"/>
    <w:rsid w:val="00A62DAB"/>
    <w:rsid w:val="00A726A6"/>
    <w:rsid w:val="00A97535"/>
    <w:rsid w:val="00AA2BAA"/>
    <w:rsid w:val="00AA73F1"/>
    <w:rsid w:val="00AB0E1A"/>
    <w:rsid w:val="00AB1A30"/>
    <w:rsid w:val="00AC4B48"/>
    <w:rsid w:val="00AD10EB"/>
    <w:rsid w:val="00AD1ED3"/>
    <w:rsid w:val="00AD2677"/>
    <w:rsid w:val="00B0777D"/>
    <w:rsid w:val="00B1195F"/>
    <w:rsid w:val="00B209C7"/>
    <w:rsid w:val="00B3644F"/>
    <w:rsid w:val="00B4057A"/>
    <w:rsid w:val="00B40894"/>
    <w:rsid w:val="00B444AE"/>
    <w:rsid w:val="00B452B0"/>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5F8D"/>
    <w:rsid w:val="00D17B79"/>
    <w:rsid w:val="00D23FEA"/>
    <w:rsid w:val="00D269CA"/>
    <w:rsid w:val="00D30B48"/>
    <w:rsid w:val="00D46FAA"/>
    <w:rsid w:val="00D473FB"/>
    <w:rsid w:val="00D47A40"/>
    <w:rsid w:val="00D51D33"/>
    <w:rsid w:val="00D57BB2"/>
    <w:rsid w:val="00D57E57"/>
    <w:rsid w:val="00D70752"/>
    <w:rsid w:val="00D8560E"/>
    <w:rsid w:val="00D8758F"/>
    <w:rsid w:val="00DA6B78"/>
    <w:rsid w:val="00DC1D94"/>
    <w:rsid w:val="00DC42CF"/>
    <w:rsid w:val="00DE057F"/>
    <w:rsid w:val="00DE2082"/>
    <w:rsid w:val="00DE2289"/>
    <w:rsid w:val="00DE27F2"/>
    <w:rsid w:val="00E03A76"/>
    <w:rsid w:val="00E04410"/>
    <w:rsid w:val="00E11351"/>
    <w:rsid w:val="00E75AE0"/>
    <w:rsid w:val="00E83C1F"/>
    <w:rsid w:val="00E949CD"/>
    <w:rsid w:val="00EA172C"/>
    <w:rsid w:val="00EA259B"/>
    <w:rsid w:val="00EA35A3"/>
    <w:rsid w:val="00EA3E6A"/>
    <w:rsid w:val="00EB18EF"/>
    <w:rsid w:val="00EB7951"/>
    <w:rsid w:val="00EE17DF"/>
    <w:rsid w:val="00EE22DC"/>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17090"/>
    <w:rPr>
      <w:rFonts w:ascii="Tahoma" w:hAnsi="Tahoma" w:cs="Tahoma"/>
      <w:sz w:val="16"/>
      <w:szCs w:val="16"/>
    </w:rPr>
  </w:style>
  <w:style w:type="character" w:customStyle="1" w:styleId="BalloonTextChar">
    <w:name w:val="Balloon Text Char"/>
    <w:basedOn w:val="DefaultParagraphFont"/>
    <w:link w:val="BalloonText"/>
    <w:rsid w:val="00217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17090"/>
    <w:rPr>
      <w:rFonts w:ascii="Tahoma" w:hAnsi="Tahoma" w:cs="Tahoma"/>
      <w:sz w:val="16"/>
      <w:szCs w:val="16"/>
    </w:rPr>
  </w:style>
  <w:style w:type="character" w:customStyle="1" w:styleId="BalloonTextChar">
    <w:name w:val="Balloon Text Char"/>
    <w:basedOn w:val="DefaultParagraphFont"/>
    <w:link w:val="BalloonText"/>
    <w:rsid w:val="00217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894</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2017-12-05T19:09:00Z</dcterms:created>
  <dcterms:modified xsi:type="dcterms:W3CDTF">2017-12-05T19:22:00Z</dcterms:modified>
</cp:coreProperties>
</file>