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EB781C">
            <w:pPr>
              <w:jc w:val="center"/>
            </w:pPr>
            <w:r>
              <w:rPr>
                <w:noProof/>
              </w:rPr>
              <w:drawing>
                <wp:inline distT="0" distB="0" distL="0" distR="0">
                  <wp:extent cx="923925" cy="914400"/>
                  <wp:effectExtent l="0" t="0" r="9525" b="0"/>
                  <wp:docPr id="3"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3008F0" w:rsidP="0065046C">
            <w:pPr>
              <w:pStyle w:val="MemoHeading"/>
            </w:pPr>
            <w:bookmarkStart w:id="1" w:name="FilingDate"/>
            <w:r>
              <w:t>December 2</w:t>
            </w:r>
            <w:r w:rsidR="0065046C">
              <w:t>7</w:t>
            </w:r>
            <w:r>
              <w:t>,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3008F0" w:rsidRDefault="003008F0">
            <w:pPr>
              <w:pStyle w:val="MemoHeading"/>
            </w:pPr>
            <w:bookmarkStart w:id="2" w:name="From"/>
            <w:r>
              <w:t>Division of Economics (</w:t>
            </w:r>
            <w:r w:rsidR="006923EA">
              <w:t xml:space="preserve">Morgan, </w:t>
            </w:r>
            <w:r>
              <w:t>Guffey, Doherty)</w:t>
            </w:r>
          </w:p>
          <w:p w:rsidR="007C0528" w:rsidRDefault="003008F0">
            <w:pPr>
              <w:pStyle w:val="MemoHeading"/>
            </w:pPr>
            <w:r>
              <w:t>Office of the General Counsel (Brownless)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3008F0">
            <w:pPr>
              <w:pStyle w:val="MemoHeadingRe"/>
            </w:pPr>
            <w:bookmarkStart w:id="3" w:name="Re"/>
            <w:r>
              <w:t xml:space="preserve">Docket No. 20170216-EI – Petition for approval of curtailable service tariff modifications, by Florida Power &amp; Light </w:t>
            </w:r>
            <w:r w:rsidR="00041923">
              <w:t>Company</w:t>
            </w:r>
            <w:r>
              <w:t>.</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3008F0">
            <w:pPr>
              <w:pStyle w:val="MemoHeading"/>
            </w:pPr>
            <w:bookmarkStart w:id="4" w:name="AgendaDate"/>
            <w:r>
              <w:t>01/09/18</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3008F0">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3008F0">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4D60FE" w:rsidP="00922858">
            <w:pPr>
              <w:pStyle w:val="MemoHeading"/>
            </w:pPr>
            <w:r>
              <w:t>60-</w:t>
            </w:r>
            <w:r w:rsidR="00933961">
              <w:t xml:space="preserve">Day </w:t>
            </w:r>
            <w:r w:rsidR="00922858">
              <w:t>Suspension Date: 03/01</w:t>
            </w:r>
            <w:r w:rsidR="00C6320E">
              <w:t>/</w:t>
            </w:r>
            <w:r w:rsidR="007B635E">
              <w:t>20</w:t>
            </w:r>
            <w:r w:rsidR="00C6320E">
              <w:t>18</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3008F0">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B359BF" w:rsidRDefault="00671A4E" w:rsidP="001B3A9B">
      <w:pPr>
        <w:pStyle w:val="BodyText"/>
      </w:pPr>
      <w:r>
        <w:t xml:space="preserve">On October 4, 2017, Florida Power &amp; Light </w:t>
      </w:r>
      <w:r w:rsidR="00041923">
        <w:t>Company</w:t>
      </w:r>
      <w:r>
        <w:t xml:space="preserve"> (FPL or </w:t>
      </w:r>
      <w:r w:rsidR="002E591A">
        <w:t>company</w:t>
      </w:r>
      <w:r>
        <w:t xml:space="preserve">) filed a petition requesting modifications to its </w:t>
      </w:r>
      <w:r w:rsidR="00796A10">
        <w:t>c</w:t>
      </w:r>
      <w:r>
        <w:t xml:space="preserve">urtailable </w:t>
      </w:r>
      <w:r w:rsidR="00796A10">
        <w:t>service</w:t>
      </w:r>
      <w:r w:rsidR="00A244B5">
        <w:t xml:space="preserve"> (CS)</w:t>
      </w:r>
      <w:r>
        <w:t xml:space="preserve"> </w:t>
      </w:r>
      <w:r w:rsidR="00796A10">
        <w:t>t</w:t>
      </w:r>
      <w:r>
        <w:t>ariff</w:t>
      </w:r>
      <w:r w:rsidR="00A244B5">
        <w:t>s</w:t>
      </w:r>
      <w:r>
        <w:t xml:space="preserve">. </w:t>
      </w:r>
      <w:r w:rsidR="00673CF6">
        <w:t>The company is seeking to institute a 30-day notice</w:t>
      </w:r>
      <w:r w:rsidR="00EE5B17">
        <w:t xml:space="preserve"> for customers enrolled in</w:t>
      </w:r>
      <w:r w:rsidR="00673CF6">
        <w:t xml:space="preserve"> </w:t>
      </w:r>
      <w:r w:rsidR="00EE5B17">
        <w:t>its</w:t>
      </w:r>
      <w:r w:rsidR="00A244B5">
        <w:t xml:space="preserve"> CS</w:t>
      </w:r>
      <w:r w:rsidR="00673CF6">
        <w:t xml:space="preserve"> tariff</w:t>
      </w:r>
      <w:r w:rsidR="00A244B5">
        <w:t>s</w:t>
      </w:r>
      <w:r w:rsidR="0013104A">
        <w:t>, including CS Time of Use,</w:t>
      </w:r>
      <w:r w:rsidR="00673CF6">
        <w:t xml:space="preserve"> to</w:t>
      </w:r>
      <w:r w:rsidR="00EE5B17">
        <w:t xml:space="preserve"> transfer to</w:t>
      </w:r>
      <w:r w:rsidR="00673CF6">
        <w:t xml:space="preserve"> </w:t>
      </w:r>
      <w:r w:rsidR="00CA14C7">
        <w:t>the</w:t>
      </w:r>
      <w:r w:rsidR="00EE5B17">
        <w:t xml:space="preserve"> </w:t>
      </w:r>
      <w:r w:rsidR="00176F66">
        <w:t>Commercial/Industrial Demand Reduction</w:t>
      </w:r>
      <w:r w:rsidR="00673CF6">
        <w:t xml:space="preserve"> Rider (CDR)</w:t>
      </w:r>
      <w:r w:rsidR="006923EA">
        <w:t xml:space="preserve"> tariff</w:t>
      </w:r>
      <w:r w:rsidR="00673CF6">
        <w:t xml:space="preserve">. The </w:t>
      </w:r>
      <w:r w:rsidR="00CE42A0">
        <w:t>CS</w:t>
      </w:r>
      <w:r w:rsidR="00673CF6">
        <w:t xml:space="preserve"> and CDR are </w:t>
      </w:r>
      <w:r w:rsidR="006923EA">
        <w:t>optional tariffs</w:t>
      </w:r>
      <w:r w:rsidR="00673CF6">
        <w:t xml:space="preserve"> for Commercial/Industrial (C/I) customers wh</w:t>
      </w:r>
      <w:r w:rsidR="002A0A23">
        <w:t>o are willing to curtail</w:t>
      </w:r>
      <w:r w:rsidR="00050452">
        <w:t xml:space="preserve"> a portion of</w:t>
      </w:r>
      <w:r w:rsidR="00673CF6">
        <w:t xml:space="preserve"> their demand in exchange for</w:t>
      </w:r>
      <w:r w:rsidR="00916785">
        <w:t xml:space="preserve"> a monthly credit. In addition</w:t>
      </w:r>
      <w:r w:rsidR="00673CF6">
        <w:t xml:space="preserve">, FPL proposes to close the CS </w:t>
      </w:r>
      <w:proofErr w:type="gramStart"/>
      <w:r w:rsidR="008A6602">
        <w:t>tariffs</w:t>
      </w:r>
      <w:proofErr w:type="gramEnd"/>
      <w:r w:rsidR="00673CF6">
        <w:t xml:space="preserve"> to new cus</w:t>
      </w:r>
      <w:r w:rsidR="007D4CE9">
        <w:t>tomers d</w:t>
      </w:r>
      <w:r w:rsidR="00E379D0">
        <w:t>ue to a lack of interest</w:t>
      </w:r>
      <w:r w:rsidR="00673CF6">
        <w:t>.</w:t>
      </w:r>
      <w:bookmarkEnd w:id="11"/>
    </w:p>
    <w:p w:rsidR="00CE0B8A" w:rsidRDefault="00115F07" w:rsidP="001B3A9B">
      <w:pPr>
        <w:pStyle w:val="BodyText"/>
        <w:sectPr w:rsidR="00CE0B8A">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r>
        <w:t>On Octo</w:t>
      </w:r>
      <w:r w:rsidR="00583EDD">
        <w:t>ber 13, 2017, FPL waived the 60-</w:t>
      </w:r>
      <w:r>
        <w:t>day suspension deadline through March 1, 2018.</w:t>
      </w:r>
      <w:r w:rsidR="00B359BF">
        <w:t xml:space="preserve"> </w:t>
      </w:r>
      <w:r w:rsidR="00CE0B8A">
        <w:t xml:space="preserve">Staff issued a data request to FPL on November 13, 2017, and the </w:t>
      </w:r>
      <w:r w:rsidR="002E591A">
        <w:t>c</w:t>
      </w:r>
      <w:r w:rsidR="00041923">
        <w:t>ompany</w:t>
      </w:r>
      <w:r w:rsidR="00CE0B8A">
        <w:t xml:space="preserve"> responded on November 27, 2017.</w:t>
      </w:r>
      <w:r w:rsidR="007D4CE9">
        <w:t xml:space="preserve"> Also</w:t>
      </w:r>
      <w:r w:rsidR="00747F0B">
        <w:t xml:space="preserve"> </w:t>
      </w:r>
      <w:r w:rsidR="007D4CE9">
        <w:t>o</w:t>
      </w:r>
      <w:r w:rsidR="00747F0B">
        <w:t>n November 27, 2017, FPL</w:t>
      </w:r>
      <w:r w:rsidR="005E2E56">
        <w:t xml:space="preserve"> </w:t>
      </w:r>
      <w:r w:rsidR="00747F0B">
        <w:t>filed a notice of correction to its petition, correcting a scrivener’s error.</w:t>
      </w:r>
      <w:r w:rsidR="006B74CE">
        <w:t xml:space="preserve"> Staff issued its second data request on December 4, 2017, for which responses were received on December 11, 2017.</w:t>
      </w:r>
      <w:r w:rsidR="00CE0B8A">
        <w:t xml:space="preserve"> Attachment A of this recommendation provides </w:t>
      </w:r>
      <w:r w:rsidR="00CE0B8A">
        <w:lastRenderedPageBreak/>
        <w:t>the CS tariff pages indicating the proposed changes. T</w:t>
      </w:r>
      <w:r w:rsidR="003A1E4E">
        <w:t>he Commission has jurisdiction over</w:t>
      </w:r>
      <w:r w:rsidR="00CE0B8A">
        <w:t xml:space="preserve"> this matter pursuant to Sections 288.035 and 366.06, Florida Statutes.</w:t>
      </w:r>
    </w:p>
    <w:p w:rsidR="007C0528" w:rsidRDefault="007C0528">
      <w:pPr>
        <w:pStyle w:val="RecommendationMajorSectionHeading"/>
      </w:pPr>
      <w:bookmarkStart w:id="15" w:name="DiscussionOfIssues"/>
      <w:r>
        <w:lastRenderedPageBreak/>
        <w:t>Discussion of Issues</w:t>
      </w:r>
    </w:p>
    <w:bookmarkEnd w:id="15"/>
    <w:p w:rsidR="00EB781C" w:rsidRDefault="00EB781C" w:rsidP="00EB781C">
      <w:pPr>
        <w:pStyle w:val="IssueHeading"/>
        <w:rPr>
          <w:vanish/>
          <w:specVanish/>
        </w:rPr>
      </w:pPr>
      <w:r w:rsidRPr="004C3641">
        <w:t xml:space="preserve">Issue </w:t>
      </w:r>
      <w:fldSimple w:instr=" SEQ Issue \* MERGEFORMAT ">
        <w:r w:rsidR="001266C2">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1266C2">
        <w:rPr>
          <w:noProof/>
        </w:rPr>
        <w:instrText>1</w:instrText>
      </w:r>
      <w:r>
        <w:fldChar w:fldCharType="end"/>
      </w:r>
      <w:r>
        <w:tab/>
        <w:instrText xml:space="preserve">" \l 1 </w:instrText>
      </w:r>
      <w:r>
        <w:fldChar w:fldCharType="end"/>
      </w:r>
      <w:r>
        <w:t> </w:t>
      </w:r>
    </w:p>
    <w:p w:rsidR="00EB781C" w:rsidRDefault="00EB781C" w:rsidP="00EB781C">
      <w:pPr>
        <w:pStyle w:val="BodyText"/>
      </w:pPr>
      <w:r>
        <w:t> </w:t>
      </w:r>
      <w:r w:rsidR="00906F9A">
        <w:t>Should the Commiss</w:t>
      </w:r>
      <w:r w:rsidR="00EF3FF8">
        <w:t>ion approve FPL’s p</w:t>
      </w:r>
      <w:r w:rsidR="00346023">
        <w:t>etition for c</w:t>
      </w:r>
      <w:r w:rsidR="00906F9A">
        <w:t xml:space="preserve">urtailable </w:t>
      </w:r>
      <w:r w:rsidR="00346023">
        <w:t>service t</w:t>
      </w:r>
      <w:r w:rsidR="00906F9A">
        <w:t xml:space="preserve">ariff </w:t>
      </w:r>
      <w:r w:rsidR="00346023">
        <w:t>m</w:t>
      </w:r>
      <w:r w:rsidR="00906F9A">
        <w:t>odifications?</w:t>
      </w:r>
    </w:p>
    <w:p w:rsidR="00EB781C" w:rsidRPr="004C3641" w:rsidRDefault="00EB781C" w:rsidP="00EB781C">
      <w:pPr>
        <w:pStyle w:val="IssueSubsectionHeading"/>
        <w:rPr>
          <w:vanish/>
          <w:specVanish/>
        </w:rPr>
      </w:pPr>
      <w:r w:rsidRPr="004C3641">
        <w:t>Recommendation: </w:t>
      </w:r>
    </w:p>
    <w:p w:rsidR="00EB781C" w:rsidRDefault="00EB781C" w:rsidP="00EB781C">
      <w:pPr>
        <w:pStyle w:val="BodyText"/>
      </w:pPr>
      <w:r>
        <w:t> </w:t>
      </w:r>
      <w:r w:rsidR="00041923">
        <w:t xml:space="preserve">Yes. The Commission should approve FPL’s proposed </w:t>
      </w:r>
      <w:r w:rsidR="00A04CA7">
        <w:t>c</w:t>
      </w:r>
      <w:r w:rsidR="00041923">
        <w:t xml:space="preserve">urtailable </w:t>
      </w:r>
      <w:r w:rsidR="00A04CA7">
        <w:t>s</w:t>
      </w:r>
      <w:r w:rsidR="00041923">
        <w:t xml:space="preserve">ervice </w:t>
      </w:r>
      <w:r w:rsidR="00A04CA7">
        <w:t>t</w:t>
      </w:r>
      <w:r w:rsidR="00041923">
        <w:t>ariff modifications.</w:t>
      </w:r>
      <w:r w:rsidR="009A65A9">
        <w:t xml:space="preserve"> Staff believes that</w:t>
      </w:r>
      <w:r w:rsidR="00DE7365">
        <w:t xml:space="preserve"> </w:t>
      </w:r>
      <w:r w:rsidR="009A65A9">
        <w:t>t</w:t>
      </w:r>
      <w:r w:rsidR="009D4744">
        <w:t>his proposal provides</w:t>
      </w:r>
      <w:r w:rsidR="004032FE">
        <w:t xml:space="preserve"> load control benefits to the company and ratepayers</w:t>
      </w:r>
      <w:r w:rsidR="00BF2ED9">
        <w:t>. C/I customers also benefit from higher credits.</w:t>
      </w:r>
      <w:r w:rsidR="004032FE">
        <w:t xml:space="preserve"> </w:t>
      </w:r>
      <w:r w:rsidR="009A65A9">
        <w:t xml:space="preserve">Closure of the CS tariffs is acceptable due to lack of interest. </w:t>
      </w:r>
      <w:r w:rsidR="00DE7365">
        <w:t>(Morgan)</w:t>
      </w:r>
    </w:p>
    <w:p w:rsidR="00346023" w:rsidRDefault="00EB781C" w:rsidP="007E46E7">
      <w:pPr>
        <w:pStyle w:val="IssueSubsectionHeading"/>
        <w:rPr>
          <w:rFonts w:ascii="Times New Roman" w:hAnsi="Times New Roman" w:cs="Times New Roman"/>
          <w:b w:val="0"/>
          <w:i w:val="0"/>
        </w:rPr>
      </w:pPr>
      <w:r w:rsidRPr="004C3641">
        <w:t>Staff Analysis:</w:t>
      </w:r>
      <w:r w:rsidR="007E46E7" w:rsidRPr="007E46E7">
        <w:rPr>
          <w:rFonts w:ascii="Times New Roman" w:hAnsi="Times New Roman" w:cs="Times New Roman"/>
          <w:b w:val="0"/>
          <w:i w:val="0"/>
        </w:rPr>
        <w:t xml:space="preserve"> </w:t>
      </w:r>
    </w:p>
    <w:p w:rsidR="009A534C" w:rsidRDefault="009D361F" w:rsidP="009A534C">
      <w:pPr>
        <w:pStyle w:val="First-LevelSubheading"/>
      </w:pPr>
      <w:r>
        <w:t>The CS and CDR</w:t>
      </w:r>
      <w:r w:rsidR="006923EA">
        <w:t xml:space="preserve"> Tariffs</w:t>
      </w:r>
    </w:p>
    <w:p w:rsidR="008F70F9" w:rsidRDefault="008F70F9" w:rsidP="007E46E7">
      <w:pPr>
        <w:pStyle w:val="IssueSubsectionHeading"/>
        <w:rPr>
          <w:rFonts w:ascii="Times New Roman" w:hAnsi="Times New Roman" w:cs="Times New Roman"/>
          <w:b w:val="0"/>
          <w:i w:val="0"/>
        </w:rPr>
      </w:pPr>
      <w:r w:rsidRPr="007E46E7">
        <w:rPr>
          <w:rFonts w:ascii="Times New Roman" w:hAnsi="Times New Roman" w:cs="Times New Roman"/>
          <w:b w:val="0"/>
          <w:i w:val="0"/>
        </w:rPr>
        <w:t>The CS tariffs are available to C</w:t>
      </w:r>
      <w:r w:rsidR="00A06E4F">
        <w:rPr>
          <w:rFonts w:ascii="Times New Roman" w:hAnsi="Times New Roman" w:cs="Times New Roman"/>
          <w:b w:val="0"/>
          <w:i w:val="0"/>
        </w:rPr>
        <w:t>/I</w:t>
      </w:r>
      <w:r w:rsidRPr="007E46E7">
        <w:rPr>
          <w:rFonts w:ascii="Times New Roman" w:hAnsi="Times New Roman" w:cs="Times New Roman"/>
          <w:b w:val="0"/>
          <w:i w:val="0"/>
        </w:rPr>
        <w:t xml:space="preserve"> customers with a monthly demand of 500 k</w:t>
      </w:r>
      <w:r w:rsidR="00F10C43">
        <w:rPr>
          <w:rFonts w:ascii="Times New Roman" w:hAnsi="Times New Roman" w:cs="Times New Roman"/>
          <w:b w:val="0"/>
          <w:i w:val="0"/>
        </w:rPr>
        <w:t>ilowatts (kW)</w:t>
      </w:r>
      <w:r w:rsidR="009F7391">
        <w:rPr>
          <w:rFonts w:ascii="Times New Roman" w:hAnsi="Times New Roman" w:cs="Times New Roman"/>
          <w:b w:val="0"/>
          <w:i w:val="0"/>
        </w:rPr>
        <w:t xml:space="preserve"> or greater</w:t>
      </w:r>
      <w:r w:rsidRPr="007E46E7">
        <w:rPr>
          <w:rFonts w:ascii="Times New Roman" w:hAnsi="Times New Roman" w:cs="Times New Roman"/>
          <w:b w:val="0"/>
          <w:i w:val="0"/>
        </w:rPr>
        <w:t xml:space="preserve">. Customers who choose to take service under CS agree to curtail at least 200 kW of their load when requested by the </w:t>
      </w:r>
      <w:r w:rsidR="002E591A">
        <w:rPr>
          <w:rFonts w:ascii="Times New Roman" w:hAnsi="Times New Roman" w:cs="Times New Roman"/>
          <w:b w:val="0"/>
          <w:i w:val="0"/>
        </w:rPr>
        <w:t>c</w:t>
      </w:r>
      <w:r w:rsidR="00041923">
        <w:rPr>
          <w:rFonts w:ascii="Times New Roman" w:hAnsi="Times New Roman" w:cs="Times New Roman"/>
          <w:b w:val="0"/>
          <w:i w:val="0"/>
        </w:rPr>
        <w:t>ompany</w:t>
      </w:r>
      <w:r w:rsidRPr="007E46E7">
        <w:rPr>
          <w:rFonts w:ascii="Times New Roman" w:hAnsi="Times New Roman" w:cs="Times New Roman"/>
          <w:b w:val="0"/>
          <w:i w:val="0"/>
        </w:rPr>
        <w:t>.</w:t>
      </w:r>
      <w:r w:rsidR="00C5612F" w:rsidRPr="007E46E7">
        <w:rPr>
          <w:rFonts w:ascii="Times New Roman" w:hAnsi="Times New Roman" w:cs="Times New Roman"/>
          <w:b w:val="0"/>
          <w:i w:val="0"/>
        </w:rPr>
        <w:t xml:space="preserve"> For the</w:t>
      </w:r>
      <w:r w:rsidR="007D4CE9">
        <w:rPr>
          <w:rFonts w:ascii="Times New Roman" w:hAnsi="Times New Roman" w:cs="Times New Roman"/>
          <w:b w:val="0"/>
          <w:i w:val="0"/>
        </w:rPr>
        <w:t>ir compliance, the customer</w:t>
      </w:r>
      <w:r w:rsidR="002B0828">
        <w:rPr>
          <w:rFonts w:ascii="Times New Roman" w:hAnsi="Times New Roman" w:cs="Times New Roman"/>
          <w:b w:val="0"/>
          <w:i w:val="0"/>
        </w:rPr>
        <w:t xml:space="preserve"> receive</w:t>
      </w:r>
      <w:r w:rsidR="007D4CE9">
        <w:rPr>
          <w:rFonts w:ascii="Times New Roman" w:hAnsi="Times New Roman" w:cs="Times New Roman"/>
          <w:b w:val="0"/>
          <w:i w:val="0"/>
        </w:rPr>
        <w:t>s</w:t>
      </w:r>
      <w:r w:rsidR="002B0828">
        <w:rPr>
          <w:rFonts w:ascii="Times New Roman" w:hAnsi="Times New Roman" w:cs="Times New Roman"/>
          <w:b w:val="0"/>
          <w:i w:val="0"/>
        </w:rPr>
        <w:t xml:space="preserve"> a credit o</w:t>
      </w:r>
      <w:r w:rsidR="00A507A5">
        <w:rPr>
          <w:rFonts w:ascii="Times New Roman" w:hAnsi="Times New Roman" w:cs="Times New Roman"/>
          <w:b w:val="0"/>
          <w:i w:val="0"/>
        </w:rPr>
        <w:t>f $1.93 per kW of curtailable load.</w:t>
      </w:r>
      <w:r w:rsidR="002B0828">
        <w:rPr>
          <w:rFonts w:ascii="Times New Roman" w:hAnsi="Times New Roman" w:cs="Times New Roman"/>
          <w:b w:val="0"/>
          <w:i w:val="0"/>
        </w:rPr>
        <w:t xml:space="preserve"> </w:t>
      </w:r>
      <w:r w:rsidR="00335242">
        <w:rPr>
          <w:rFonts w:ascii="Times New Roman" w:hAnsi="Times New Roman" w:cs="Times New Roman"/>
          <w:b w:val="0"/>
          <w:i w:val="0"/>
        </w:rPr>
        <w:t>C</w:t>
      </w:r>
      <w:r w:rsidRPr="007E46E7">
        <w:rPr>
          <w:rFonts w:ascii="Times New Roman" w:hAnsi="Times New Roman" w:cs="Times New Roman"/>
          <w:b w:val="0"/>
          <w:i w:val="0"/>
        </w:rPr>
        <w:t xml:space="preserve">ustomers are required to </w:t>
      </w:r>
      <w:r w:rsidR="00BE2122">
        <w:rPr>
          <w:rFonts w:ascii="Times New Roman" w:hAnsi="Times New Roman" w:cs="Times New Roman"/>
          <w:b w:val="0"/>
          <w:i w:val="0"/>
        </w:rPr>
        <w:t xml:space="preserve">provide </w:t>
      </w:r>
      <w:r w:rsidR="007D4CE9">
        <w:rPr>
          <w:rFonts w:ascii="Times New Roman" w:hAnsi="Times New Roman" w:cs="Times New Roman"/>
          <w:b w:val="0"/>
          <w:i w:val="0"/>
        </w:rPr>
        <w:t>three</w:t>
      </w:r>
      <w:r w:rsidR="00BE2122">
        <w:rPr>
          <w:rFonts w:ascii="Times New Roman" w:hAnsi="Times New Roman" w:cs="Times New Roman"/>
          <w:b w:val="0"/>
          <w:i w:val="0"/>
        </w:rPr>
        <w:t xml:space="preserve"> years’ notice to discontinue service under</w:t>
      </w:r>
      <w:r w:rsidRPr="007E46E7">
        <w:rPr>
          <w:rFonts w:ascii="Times New Roman" w:hAnsi="Times New Roman" w:cs="Times New Roman"/>
          <w:b w:val="0"/>
          <w:i w:val="0"/>
        </w:rPr>
        <w:t xml:space="preserve"> the CS tariffs.</w:t>
      </w:r>
    </w:p>
    <w:p w:rsidR="008F70F9" w:rsidRDefault="00761C20" w:rsidP="008F70F9">
      <w:pPr>
        <w:pStyle w:val="BodyText"/>
      </w:pPr>
      <w:r>
        <w:t>T</w:t>
      </w:r>
      <w:r w:rsidR="008814CF">
        <w:t>he CDR is</w:t>
      </w:r>
      <w:r w:rsidR="003944DB">
        <w:t xml:space="preserve"> available to C/I customers who have at least 200 kW of non-firm demand</w:t>
      </w:r>
      <w:r w:rsidR="00C021D3">
        <w:t>,</w:t>
      </w:r>
      <w:r w:rsidR="003944DB">
        <w:t xml:space="preserve"> </w:t>
      </w:r>
      <w:r w:rsidR="008716B3">
        <w:t>above their firm demand level</w:t>
      </w:r>
      <w:r w:rsidR="00C021D3">
        <w:t>,</w:t>
      </w:r>
      <w:r w:rsidR="008716B3">
        <w:t xml:space="preserve"> available for the utility to control. </w:t>
      </w:r>
      <w:r w:rsidR="007D4CE9">
        <w:t>This demand</w:t>
      </w:r>
      <w:r w:rsidR="00504539">
        <w:t xml:space="preserve"> must be demonstrated</w:t>
      </w:r>
      <w:r w:rsidR="003944DB">
        <w:t xml:space="preserve"> for at least three out of seven months</w:t>
      </w:r>
      <w:r w:rsidR="00DC01A4">
        <w:t xml:space="preserve"> of the summer Controllable R</w:t>
      </w:r>
      <w:r w:rsidR="00504539">
        <w:t xml:space="preserve">ating </w:t>
      </w:r>
      <w:r w:rsidR="00DC01A4">
        <w:t>P</w:t>
      </w:r>
      <w:r w:rsidR="00504539">
        <w:t>eriod</w:t>
      </w:r>
      <w:r w:rsidR="00DC01A4">
        <w:t xml:space="preserve"> (April 1 through October 31)</w:t>
      </w:r>
      <w:r w:rsidR="003944DB">
        <w:t xml:space="preserve">. </w:t>
      </w:r>
      <w:r w:rsidR="00C5612F">
        <w:t>Customers who take service under the CDR agree to have load control equipment installed at th</w:t>
      </w:r>
      <w:r w:rsidR="00762046">
        <w:t>eir site</w:t>
      </w:r>
      <w:r w:rsidR="00C5612F">
        <w:t>.</w:t>
      </w:r>
      <w:r w:rsidR="001E49E8">
        <w:t xml:space="preserve"> </w:t>
      </w:r>
      <w:r w:rsidR="002C5BAE">
        <w:t>A</w:t>
      </w:r>
      <w:r w:rsidR="001E49E8">
        <w:t xml:space="preserve"> credit</w:t>
      </w:r>
      <w:r w:rsidR="002C5BAE">
        <w:t xml:space="preserve"> of $8.20 </w:t>
      </w:r>
      <w:r w:rsidR="005005D5">
        <w:t xml:space="preserve">is given </w:t>
      </w:r>
      <w:r w:rsidR="002C5BAE">
        <w:t xml:space="preserve">for each kW of </w:t>
      </w:r>
      <w:r w:rsidR="00B74552">
        <w:t>utility-c</w:t>
      </w:r>
      <w:r w:rsidR="001E49E8">
        <w:t xml:space="preserve">ontrolled </w:t>
      </w:r>
      <w:r w:rsidR="00B74552">
        <w:t>d</w:t>
      </w:r>
      <w:r w:rsidR="001E49E8">
        <w:t>emand.</w:t>
      </w:r>
      <w:r w:rsidR="00C5612F">
        <w:t xml:space="preserve"> The </w:t>
      </w:r>
      <w:r w:rsidR="00847F48">
        <w:t>CDR provides higher cr</w:t>
      </w:r>
      <w:r w:rsidR="00DF269F">
        <w:t>edits than the CS tariff</w:t>
      </w:r>
      <w:r w:rsidR="000E68A7">
        <w:t>s</w:t>
      </w:r>
      <w:r w:rsidR="00DF269F">
        <w:t xml:space="preserve"> </w:t>
      </w:r>
      <w:r w:rsidR="002B7A25">
        <w:t xml:space="preserve">since the customer </w:t>
      </w:r>
      <w:r w:rsidR="005520A9">
        <w:t>cedes</w:t>
      </w:r>
      <w:r w:rsidR="0094232C">
        <w:t xml:space="preserve"> control of a portion of their</w:t>
      </w:r>
      <w:r w:rsidR="002B7A25">
        <w:t xml:space="preserve"> demand</w:t>
      </w:r>
      <w:r w:rsidR="005520A9">
        <w:t xml:space="preserve"> </w:t>
      </w:r>
      <w:r w:rsidR="003368A0">
        <w:t>to FPL. Both tariffs appear to be cost-effective according to the Commission’s standards.</w:t>
      </w:r>
    </w:p>
    <w:p w:rsidR="00736ABF" w:rsidRDefault="009A534C" w:rsidP="009A534C">
      <w:pPr>
        <w:pStyle w:val="First-LevelSubheading"/>
      </w:pPr>
      <w:r>
        <w:t>FPL’s Proposal</w:t>
      </w:r>
    </w:p>
    <w:p w:rsidR="00E43019" w:rsidRDefault="0025754E" w:rsidP="00E43019">
      <w:pPr>
        <w:pStyle w:val="BodyText"/>
      </w:pPr>
      <w:r>
        <w:t>FPL is seeking to institute a 30-day notice</w:t>
      </w:r>
      <w:r w:rsidR="00E026E4">
        <w:t xml:space="preserve"> for exist</w:t>
      </w:r>
      <w:r w:rsidR="005B256C">
        <w:t>ing</w:t>
      </w:r>
      <w:r w:rsidR="00E026E4">
        <w:t xml:space="preserve"> customer</w:t>
      </w:r>
      <w:r w:rsidR="005B256C">
        <w:t>s</w:t>
      </w:r>
      <w:r>
        <w:t xml:space="preserve"> </w:t>
      </w:r>
      <w:r w:rsidR="00592DDE">
        <w:t>to</w:t>
      </w:r>
      <w:r>
        <w:t xml:space="preserve"> transfer from</w:t>
      </w:r>
      <w:r w:rsidR="00CA14C7">
        <w:t xml:space="preserve"> the CS tariffs directly to</w:t>
      </w:r>
      <w:r w:rsidR="005F3729">
        <w:t xml:space="preserve"> the CDR</w:t>
      </w:r>
      <w:r>
        <w:t>.</w:t>
      </w:r>
      <w:r w:rsidR="007716D8">
        <w:t xml:space="preserve"> FPL’s tariffs do not offer a direct transfer between non-firm service options at this time.</w:t>
      </w:r>
      <w:r w:rsidR="00DC08D5">
        <w:t xml:space="preserve"> C</w:t>
      </w:r>
      <w:r w:rsidR="00D71F05">
        <w:t>ustomers</w:t>
      </w:r>
      <w:r w:rsidR="00E43019" w:rsidRPr="004E6C51">
        <w:t xml:space="preserve"> currently</w:t>
      </w:r>
      <w:r w:rsidR="00D71F05">
        <w:t xml:space="preserve"> must</w:t>
      </w:r>
      <w:r w:rsidR="00E43019" w:rsidRPr="004E6C51">
        <w:t xml:space="preserve"> terminate service from </w:t>
      </w:r>
      <w:r w:rsidR="00D71F05">
        <w:t xml:space="preserve">the </w:t>
      </w:r>
      <w:r w:rsidR="00E43019" w:rsidRPr="004E6C51">
        <w:t>CS</w:t>
      </w:r>
      <w:r w:rsidR="00E43019">
        <w:t xml:space="preserve"> tariffs with three</w:t>
      </w:r>
      <w:r w:rsidR="00E43019" w:rsidRPr="004E6C51">
        <w:t xml:space="preserve"> years’ notice </w:t>
      </w:r>
      <w:r w:rsidR="00D71F05">
        <w:t>in order to</w:t>
      </w:r>
      <w:r w:rsidR="00DE5652">
        <w:t xml:space="preserve"> then join</w:t>
      </w:r>
      <w:r w:rsidR="00415099">
        <w:t xml:space="preserve"> </w:t>
      </w:r>
      <w:r w:rsidR="00A144D7">
        <w:t>the CDR</w:t>
      </w:r>
      <w:r w:rsidR="00E43019">
        <w:t>.</w:t>
      </w:r>
      <w:r w:rsidR="003A17B3">
        <w:t xml:space="preserve"> </w:t>
      </w:r>
    </w:p>
    <w:p w:rsidR="007E0C0D" w:rsidRPr="004E6C51" w:rsidRDefault="002348B2" w:rsidP="007E0C0D">
      <w:pPr>
        <w:pStyle w:val="IssueSubsectionHeading"/>
        <w:rPr>
          <w:rFonts w:ascii="Times New Roman" w:hAnsi="Times New Roman" w:cs="Times New Roman"/>
          <w:b w:val="0"/>
          <w:i w:val="0"/>
        </w:rPr>
      </w:pPr>
      <w:r>
        <w:rPr>
          <w:rFonts w:ascii="Times New Roman" w:hAnsi="Times New Roman" w:cs="Times New Roman"/>
          <w:b w:val="0"/>
          <w:i w:val="0"/>
        </w:rPr>
        <w:t>Currently, t</w:t>
      </w:r>
      <w:r w:rsidR="004B12BA">
        <w:rPr>
          <w:rFonts w:ascii="Times New Roman" w:hAnsi="Times New Roman" w:cs="Times New Roman"/>
          <w:b w:val="0"/>
          <w:i w:val="0"/>
        </w:rPr>
        <w:t>he company</w:t>
      </w:r>
      <w:r w:rsidR="00890610" w:rsidRPr="007E0C0D">
        <w:rPr>
          <w:rFonts w:ascii="Times New Roman" w:hAnsi="Times New Roman" w:cs="Times New Roman"/>
          <w:b w:val="0"/>
          <w:i w:val="0"/>
        </w:rPr>
        <w:t xml:space="preserve"> provides s</w:t>
      </w:r>
      <w:r w:rsidR="00690DC6">
        <w:rPr>
          <w:rFonts w:ascii="Times New Roman" w:hAnsi="Times New Roman" w:cs="Times New Roman"/>
          <w:b w:val="0"/>
          <w:i w:val="0"/>
        </w:rPr>
        <w:t>ervice to 31 customers under CS</w:t>
      </w:r>
      <w:r w:rsidR="00E910F9">
        <w:rPr>
          <w:rFonts w:ascii="Times New Roman" w:hAnsi="Times New Roman" w:cs="Times New Roman"/>
          <w:b w:val="0"/>
          <w:i w:val="0"/>
        </w:rPr>
        <w:t xml:space="preserve"> tariffs</w:t>
      </w:r>
      <w:r w:rsidR="00890610" w:rsidRPr="007E0C0D">
        <w:rPr>
          <w:rFonts w:ascii="Times New Roman" w:hAnsi="Times New Roman" w:cs="Times New Roman"/>
          <w:b w:val="0"/>
          <w:i w:val="0"/>
        </w:rPr>
        <w:t>.</w:t>
      </w:r>
      <w:r w:rsidR="00101FD3" w:rsidRPr="007E0C0D">
        <w:rPr>
          <w:rFonts w:ascii="Times New Roman" w:hAnsi="Times New Roman" w:cs="Times New Roman"/>
          <w:b w:val="0"/>
          <w:i w:val="0"/>
        </w:rPr>
        <w:t xml:space="preserve"> </w:t>
      </w:r>
      <w:r w:rsidR="004B12BA">
        <w:rPr>
          <w:rFonts w:ascii="Times New Roman" w:hAnsi="Times New Roman" w:cs="Times New Roman"/>
          <w:b w:val="0"/>
          <w:i w:val="0"/>
        </w:rPr>
        <w:t xml:space="preserve">According to FPL, </w:t>
      </w:r>
      <w:r w:rsidR="00101FD3" w:rsidRPr="007E0C0D">
        <w:rPr>
          <w:rFonts w:ascii="Times New Roman" w:hAnsi="Times New Roman" w:cs="Times New Roman"/>
          <w:b w:val="0"/>
          <w:i w:val="0"/>
        </w:rPr>
        <w:t xml:space="preserve">16 of those customers have </w:t>
      </w:r>
      <w:r w:rsidR="007E0C0D">
        <w:rPr>
          <w:rFonts w:ascii="Times New Roman" w:hAnsi="Times New Roman" w:cs="Times New Roman"/>
          <w:b w:val="0"/>
          <w:i w:val="0"/>
        </w:rPr>
        <w:t>the required</w:t>
      </w:r>
      <w:r w:rsidR="00101FD3" w:rsidRPr="007E0C0D">
        <w:rPr>
          <w:rFonts w:ascii="Times New Roman" w:hAnsi="Times New Roman" w:cs="Times New Roman"/>
          <w:b w:val="0"/>
          <w:i w:val="0"/>
        </w:rPr>
        <w:t xml:space="preserve"> d</w:t>
      </w:r>
      <w:r w:rsidR="00AE068A" w:rsidRPr="007E0C0D">
        <w:rPr>
          <w:rFonts w:ascii="Times New Roman" w:hAnsi="Times New Roman" w:cs="Times New Roman"/>
          <w:b w:val="0"/>
          <w:i w:val="0"/>
        </w:rPr>
        <w:t>emand to qualify f</w:t>
      </w:r>
      <w:r w:rsidR="00AE068A" w:rsidRPr="004E6C51">
        <w:rPr>
          <w:rFonts w:ascii="Times New Roman" w:hAnsi="Times New Roman" w:cs="Times New Roman"/>
          <w:b w:val="0"/>
          <w:i w:val="0"/>
        </w:rPr>
        <w:t xml:space="preserve">or the CDR. </w:t>
      </w:r>
      <w:r w:rsidR="00CF3F7F">
        <w:rPr>
          <w:rFonts w:ascii="Times New Roman" w:hAnsi="Times New Roman" w:cs="Times New Roman"/>
          <w:b w:val="0"/>
          <w:i w:val="0"/>
        </w:rPr>
        <w:t>Out of those 16, seven</w:t>
      </w:r>
      <w:r w:rsidR="005B74BE" w:rsidRPr="004E6C51">
        <w:rPr>
          <w:rFonts w:ascii="Times New Roman" w:hAnsi="Times New Roman" w:cs="Times New Roman"/>
          <w:b w:val="0"/>
          <w:i w:val="0"/>
        </w:rPr>
        <w:t xml:space="preserve"> customers have expressed interest in</w:t>
      </w:r>
      <w:r w:rsidR="00890610" w:rsidRPr="004E6C51">
        <w:rPr>
          <w:rFonts w:ascii="Times New Roman" w:hAnsi="Times New Roman" w:cs="Times New Roman"/>
          <w:b w:val="0"/>
          <w:i w:val="0"/>
        </w:rPr>
        <w:t xml:space="preserve"> a d</w:t>
      </w:r>
      <w:r w:rsidR="007E0C0D" w:rsidRPr="004E6C51">
        <w:rPr>
          <w:rFonts w:ascii="Times New Roman" w:hAnsi="Times New Roman" w:cs="Times New Roman"/>
          <w:b w:val="0"/>
          <w:i w:val="0"/>
        </w:rPr>
        <w:t>irect transfer from the CS tariffs</w:t>
      </w:r>
      <w:r w:rsidR="00890610" w:rsidRPr="004E6C51">
        <w:rPr>
          <w:rFonts w:ascii="Times New Roman" w:hAnsi="Times New Roman" w:cs="Times New Roman"/>
          <w:b w:val="0"/>
          <w:i w:val="0"/>
        </w:rPr>
        <w:t xml:space="preserve"> to the CDR.</w:t>
      </w:r>
      <w:r w:rsidR="00940B77">
        <w:rPr>
          <w:rFonts w:ascii="Times New Roman" w:hAnsi="Times New Roman" w:cs="Times New Roman"/>
          <w:b w:val="0"/>
          <w:i w:val="0"/>
        </w:rPr>
        <w:t xml:space="preserve"> The </w:t>
      </w:r>
      <w:r w:rsidR="009241C7">
        <w:rPr>
          <w:rFonts w:ascii="Times New Roman" w:hAnsi="Times New Roman" w:cs="Times New Roman"/>
          <w:b w:val="0"/>
          <w:i w:val="0"/>
        </w:rPr>
        <w:t>credits provided to customers under</w:t>
      </w:r>
      <w:r w:rsidR="00940B77">
        <w:rPr>
          <w:rFonts w:ascii="Times New Roman" w:hAnsi="Times New Roman" w:cs="Times New Roman"/>
          <w:b w:val="0"/>
          <w:i w:val="0"/>
        </w:rPr>
        <w:t xml:space="preserve"> both tariffs are recovered</w:t>
      </w:r>
      <w:r w:rsidR="00054EBF">
        <w:rPr>
          <w:rFonts w:ascii="Times New Roman" w:hAnsi="Times New Roman" w:cs="Times New Roman"/>
          <w:b w:val="0"/>
          <w:i w:val="0"/>
        </w:rPr>
        <w:t xml:space="preserve"> by the company as Demand-Side Management programs</w:t>
      </w:r>
      <w:r w:rsidR="00940B77">
        <w:rPr>
          <w:rFonts w:ascii="Times New Roman" w:hAnsi="Times New Roman" w:cs="Times New Roman"/>
          <w:b w:val="0"/>
          <w:i w:val="0"/>
        </w:rPr>
        <w:t xml:space="preserve"> through the Energy Conservation Cost Recovery Clause</w:t>
      </w:r>
      <w:r w:rsidR="00D55789">
        <w:rPr>
          <w:rFonts w:ascii="Times New Roman" w:hAnsi="Times New Roman" w:cs="Times New Roman"/>
          <w:b w:val="0"/>
          <w:i w:val="0"/>
        </w:rPr>
        <w:t xml:space="preserve"> (ECCR)</w:t>
      </w:r>
      <w:r w:rsidR="00940B77">
        <w:rPr>
          <w:rFonts w:ascii="Times New Roman" w:hAnsi="Times New Roman" w:cs="Times New Roman"/>
          <w:b w:val="0"/>
          <w:i w:val="0"/>
        </w:rPr>
        <w:t>.</w:t>
      </w:r>
      <w:r w:rsidR="007E0C0D" w:rsidRPr="004E6C51">
        <w:rPr>
          <w:rFonts w:ascii="Times New Roman" w:hAnsi="Times New Roman" w:cs="Times New Roman"/>
          <w:b w:val="0"/>
          <w:i w:val="0"/>
        </w:rPr>
        <w:t xml:space="preserve"> In the </w:t>
      </w:r>
      <w:r w:rsidR="007602FE">
        <w:rPr>
          <w:rFonts w:ascii="Times New Roman" w:hAnsi="Times New Roman" w:cs="Times New Roman"/>
          <w:b w:val="0"/>
          <w:i w:val="0"/>
        </w:rPr>
        <w:t>c</w:t>
      </w:r>
      <w:r w:rsidR="002E591A">
        <w:rPr>
          <w:rFonts w:ascii="Times New Roman" w:hAnsi="Times New Roman" w:cs="Times New Roman"/>
          <w:b w:val="0"/>
          <w:i w:val="0"/>
        </w:rPr>
        <w:t>ompany</w:t>
      </w:r>
      <w:r w:rsidR="00330614">
        <w:rPr>
          <w:rFonts w:ascii="Times New Roman" w:hAnsi="Times New Roman" w:cs="Times New Roman"/>
          <w:b w:val="0"/>
          <w:i w:val="0"/>
        </w:rPr>
        <w:t>’s petition, FPL</w:t>
      </w:r>
      <w:r w:rsidR="007E0C0D" w:rsidRPr="004E6C51">
        <w:rPr>
          <w:rFonts w:ascii="Times New Roman" w:hAnsi="Times New Roman" w:cs="Times New Roman"/>
          <w:b w:val="0"/>
          <w:i w:val="0"/>
        </w:rPr>
        <w:t xml:space="preserve"> states that the </w:t>
      </w:r>
      <w:r w:rsidR="006468EC">
        <w:rPr>
          <w:rFonts w:ascii="Times New Roman" w:hAnsi="Times New Roman" w:cs="Times New Roman"/>
          <w:b w:val="0"/>
          <w:i w:val="0"/>
        </w:rPr>
        <w:t>ECCR</w:t>
      </w:r>
      <w:r w:rsidR="0025409F">
        <w:rPr>
          <w:rFonts w:ascii="Times New Roman" w:hAnsi="Times New Roman" w:cs="Times New Roman"/>
          <w:b w:val="0"/>
          <w:i w:val="0"/>
        </w:rPr>
        <w:t xml:space="preserve"> </w:t>
      </w:r>
      <w:r w:rsidR="007E0C0D" w:rsidRPr="004E6C51">
        <w:rPr>
          <w:rFonts w:ascii="Times New Roman" w:hAnsi="Times New Roman" w:cs="Times New Roman"/>
          <w:b w:val="0"/>
          <w:i w:val="0"/>
        </w:rPr>
        <w:t xml:space="preserve">impact of all 16 eligible customers </w:t>
      </w:r>
      <w:r w:rsidR="006468EC">
        <w:rPr>
          <w:rFonts w:ascii="Times New Roman" w:hAnsi="Times New Roman" w:cs="Times New Roman"/>
          <w:b w:val="0"/>
          <w:i w:val="0"/>
        </w:rPr>
        <w:t>transferring to the CDR</w:t>
      </w:r>
      <w:r w:rsidR="007E0C0D" w:rsidRPr="00062550">
        <w:rPr>
          <w:rFonts w:ascii="Times New Roman" w:hAnsi="Times New Roman" w:cs="Times New Roman"/>
          <w:b w:val="0"/>
          <w:i w:val="0"/>
        </w:rPr>
        <w:t xml:space="preserve"> would be 0.0008</w:t>
      </w:r>
      <w:r w:rsidR="00AC044F" w:rsidRPr="00062550">
        <w:rPr>
          <w:rFonts w:ascii="Times New Roman" w:hAnsi="Times New Roman" w:cs="Times New Roman"/>
          <w:b w:val="0"/>
          <w:i w:val="0"/>
        </w:rPr>
        <w:t xml:space="preserve"> cents</w:t>
      </w:r>
      <w:r w:rsidR="007E0C0D" w:rsidRPr="00062550">
        <w:rPr>
          <w:rFonts w:ascii="Times New Roman" w:hAnsi="Times New Roman" w:cs="Times New Roman"/>
          <w:b w:val="0"/>
          <w:i w:val="0"/>
        </w:rPr>
        <w:t xml:space="preserve"> per kilowatt hour</w:t>
      </w:r>
      <w:r w:rsidR="00576D9C">
        <w:rPr>
          <w:rFonts w:ascii="Times New Roman" w:hAnsi="Times New Roman" w:cs="Times New Roman"/>
          <w:b w:val="0"/>
          <w:i w:val="0"/>
        </w:rPr>
        <w:t xml:space="preserve"> (kWh)</w:t>
      </w:r>
      <w:r w:rsidR="007E0C0D" w:rsidRPr="00062550">
        <w:rPr>
          <w:rFonts w:ascii="Times New Roman" w:hAnsi="Times New Roman" w:cs="Times New Roman"/>
          <w:b w:val="0"/>
          <w:i w:val="0"/>
        </w:rPr>
        <w:t xml:space="preserve"> or less than $0.01 per 1</w:t>
      </w:r>
      <w:r w:rsidR="00D07217" w:rsidRPr="00062550">
        <w:rPr>
          <w:rFonts w:ascii="Times New Roman" w:hAnsi="Times New Roman" w:cs="Times New Roman"/>
          <w:b w:val="0"/>
          <w:i w:val="0"/>
        </w:rPr>
        <w:t>,</w:t>
      </w:r>
      <w:r w:rsidR="007E0C0D" w:rsidRPr="00062550">
        <w:rPr>
          <w:rFonts w:ascii="Times New Roman" w:hAnsi="Times New Roman" w:cs="Times New Roman"/>
          <w:b w:val="0"/>
          <w:i w:val="0"/>
        </w:rPr>
        <w:t xml:space="preserve">000 </w:t>
      </w:r>
      <w:r w:rsidR="00DE7A56" w:rsidRPr="00062550">
        <w:rPr>
          <w:rFonts w:ascii="Times New Roman" w:hAnsi="Times New Roman" w:cs="Times New Roman"/>
          <w:b w:val="0"/>
          <w:i w:val="0"/>
        </w:rPr>
        <w:t>kWh</w:t>
      </w:r>
      <w:r w:rsidR="00DE7A56">
        <w:rPr>
          <w:rFonts w:ascii="Times New Roman" w:hAnsi="Times New Roman" w:cs="Times New Roman"/>
          <w:b w:val="0"/>
          <w:i w:val="0"/>
        </w:rPr>
        <w:t xml:space="preserve">. </w:t>
      </w:r>
      <w:r>
        <w:rPr>
          <w:rFonts w:ascii="Times New Roman" w:hAnsi="Times New Roman" w:cs="Times New Roman"/>
          <w:b w:val="0"/>
          <w:i w:val="0"/>
        </w:rPr>
        <w:t>The</w:t>
      </w:r>
      <w:r w:rsidR="00062550" w:rsidRPr="00062550">
        <w:rPr>
          <w:rFonts w:ascii="Times New Roman" w:hAnsi="Times New Roman" w:cs="Times New Roman"/>
          <w:b w:val="0"/>
          <w:i w:val="0"/>
        </w:rPr>
        <w:t>se 16 potential transferees would join 526 customers who presently take service under the CDR.</w:t>
      </w:r>
    </w:p>
    <w:p w:rsidR="00890610" w:rsidRDefault="00190618" w:rsidP="005860B1">
      <w:pPr>
        <w:pStyle w:val="BodyText"/>
      </w:pPr>
      <w:r>
        <w:t>FPL</w:t>
      </w:r>
      <w:r w:rsidR="006C7788">
        <w:t xml:space="preserve"> also seek</w:t>
      </w:r>
      <w:r w:rsidR="00334182">
        <w:t>s to close the CS tariffs</w:t>
      </w:r>
      <w:r w:rsidR="006C7788">
        <w:t xml:space="preserve"> to new customers. According to FPL, </w:t>
      </w:r>
      <w:r w:rsidR="00954C66">
        <w:t>no new customers hav</w:t>
      </w:r>
      <w:r w:rsidR="00334182">
        <w:t>e opted to take service under the CS tariffs</w:t>
      </w:r>
      <w:r w:rsidR="005E23AD">
        <w:t xml:space="preserve"> since 2010.</w:t>
      </w:r>
      <w:r w:rsidR="002A0A23">
        <w:t xml:space="preserve"> It should be noted that this petition will allow CS customers to transfer to any non-firm service option</w:t>
      </w:r>
      <w:r w:rsidR="00911309">
        <w:t xml:space="preserve">, but the CDR is the only </w:t>
      </w:r>
      <w:r w:rsidR="00911309">
        <w:lastRenderedPageBreak/>
        <w:t>current</w:t>
      </w:r>
      <w:r w:rsidR="009D4744">
        <w:t xml:space="preserve"> </w:t>
      </w:r>
      <w:r w:rsidR="00416207">
        <w:t>alternative</w:t>
      </w:r>
      <w:r w:rsidR="00911309">
        <w:t>.</w:t>
      </w:r>
      <w:r w:rsidR="002516B8">
        <w:t xml:space="preserve"> FPL will</w:t>
      </w:r>
      <w:r w:rsidR="00BB1266">
        <w:t xml:space="preserve"> also</w:t>
      </w:r>
      <w:r w:rsidR="002516B8">
        <w:t xml:space="preserve"> update Tariff Sheet Nos. 8.542 and 8.545 to </w:t>
      </w:r>
      <w:r w:rsidR="00685FE8">
        <w:t>correct outdated cross-references.</w:t>
      </w:r>
    </w:p>
    <w:p w:rsidR="00585EC9" w:rsidRDefault="00585EC9" w:rsidP="00585EC9">
      <w:pPr>
        <w:pStyle w:val="First-LevelSubheading"/>
      </w:pPr>
      <w:r>
        <w:t>Conclusion</w:t>
      </w:r>
    </w:p>
    <w:p w:rsidR="00906F9A" w:rsidRDefault="00A10B44" w:rsidP="005860B1">
      <w:pPr>
        <w:jc w:val="both"/>
      </w:pPr>
      <w:r>
        <w:t>Staff considers</w:t>
      </w:r>
      <w:r w:rsidR="00585EC9">
        <w:t xml:space="preserve"> t</w:t>
      </w:r>
      <w:r w:rsidR="00ED21BA">
        <w:t>he p</w:t>
      </w:r>
      <w:r>
        <w:t xml:space="preserve">roposed change </w:t>
      </w:r>
      <w:r w:rsidR="00ED21BA">
        <w:t xml:space="preserve">an efficient </w:t>
      </w:r>
      <w:r w:rsidR="0032519B">
        <w:t xml:space="preserve">transfer between Commission-approved, cost-effective programs. As stated by FPL, the customers will benefit from higher credits while the </w:t>
      </w:r>
      <w:r w:rsidR="002E591A">
        <w:t>company</w:t>
      </w:r>
      <w:r w:rsidR="0032519B">
        <w:t xml:space="preserve"> and ratepayers will benefit from improved load control.</w:t>
      </w:r>
      <w:r>
        <w:t xml:space="preserve"> The closure of the CS tariffs is </w:t>
      </w:r>
      <w:r w:rsidR="004032FE">
        <w:t>reasonable</w:t>
      </w:r>
      <w:r>
        <w:t xml:space="preserve"> due to the lack of new participants</w:t>
      </w:r>
      <w:r w:rsidR="00057AFA">
        <w:t xml:space="preserve"> since 2010</w:t>
      </w:r>
      <w:r>
        <w:t>.</w:t>
      </w:r>
      <w:r w:rsidR="0032519B">
        <w:t xml:space="preserve"> Staf</w:t>
      </w:r>
      <w:r w:rsidR="002B71B1">
        <w:t>f recommends approval of FPL’s curtailable s</w:t>
      </w:r>
      <w:r w:rsidR="0032519B">
        <w:t xml:space="preserve">ervice </w:t>
      </w:r>
      <w:r w:rsidR="002B71B1">
        <w:t>t</w:t>
      </w:r>
      <w:r w:rsidR="0032519B">
        <w:t xml:space="preserve">ariff </w:t>
      </w:r>
      <w:r w:rsidR="0074315B">
        <w:t>modifications.</w:t>
      </w:r>
      <w:r w:rsidR="00906F9A">
        <w:br w:type="page"/>
      </w:r>
    </w:p>
    <w:p w:rsidR="00EB781C" w:rsidRDefault="00EB781C" w:rsidP="00B80342">
      <w:pPr>
        <w:pStyle w:val="IssueHeading"/>
        <w:rPr>
          <w:vanish/>
          <w:specVanish/>
        </w:rPr>
      </w:pPr>
      <w:r w:rsidRPr="004C3641">
        <w:lastRenderedPageBreak/>
        <w:t xml:space="preserve">Issue </w:t>
      </w:r>
      <w:fldSimple w:instr=" SEQ Issue \* MERGEFORMAT ">
        <w:r w:rsidR="001266C2">
          <w:rPr>
            <w:noProof/>
          </w:rPr>
          <w:t>2</w:t>
        </w:r>
      </w:fldSimple>
      <w:r w:rsidRPr="004C3641">
        <w:t>:</w:t>
      </w:r>
      <w:r w:rsidR="00B80342">
        <w:t xml:space="preserve"> </w:t>
      </w:r>
      <w:r>
        <w:fldChar w:fldCharType="begin"/>
      </w:r>
      <w:r>
        <w:instrText xml:space="preserve"> TC "</w:instrText>
      </w:r>
      <w:r>
        <w:fldChar w:fldCharType="begin"/>
      </w:r>
      <w:r>
        <w:instrText xml:space="preserve"> SEQ issue \c </w:instrText>
      </w:r>
      <w:r>
        <w:fldChar w:fldCharType="separate"/>
      </w:r>
      <w:r w:rsidR="001266C2">
        <w:rPr>
          <w:noProof/>
        </w:rPr>
        <w:instrText>2</w:instrText>
      </w:r>
      <w:r>
        <w:fldChar w:fldCharType="end"/>
      </w:r>
      <w:r>
        <w:tab/>
        <w:instrText xml:space="preserve">" \l 1 </w:instrText>
      </w:r>
      <w:r>
        <w:fldChar w:fldCharType="end"/>
      </w:r>
    </w:p>
    <w:p w:rsidR="00EB781C" w:rsidRDefault="00906F9A" w:rsidP="00B80342">
      <w:pPr>
        <w:pStyle w:val="BodyText"/>
      </w:pPr>
      <w:r>
        <w:t>Should this docket be closed?</w:t>
      </w:r>
    </w:p>
    <w:p w:rsidR="00FB539E" w:rsidRDefault="00EB781C" w:rsidP="00B80342">
      <w:pPr>
        <w:pStyle w:val="IssueSubsectionHeading"/>
        <w:rPr>
          <w:rFonts w:ascii="Times New Roman" w:hAnsi="Times New Roman" w:cs="Times New Roman"/>
          <w:b w:val="0"/>
          <w:i w:val="0"/>
        </w:rPr>
      </w:pPr>
      <w:r w:rsidRPr="004C3641">
        <w:t>Recommendation:</w:t>
      </w:r>
      <w:r w:rsidR="00906F9A">
        <w:rPr>
          <w:b w:val="0"/>
          <w:bCs w:val="0"/>
          <w:i w:val="0"/>
          <w:iCs w:val="0"/>
          <w:sz w:val="23"/>
          <w:szCs w:val="23"/>
        </w:rPr>
        <w:t xml:space="preserve"> </w:t>
      </w:r>
      <w:r w:rsidR="00906F9A" w:rsidRPr="00517B53">
        <w:rPr>
          <w:rFonts w:ascii="Times New Roman" w:hAnsi="Times New Roman" w:cs="Times New Roman"/>
          <w:b w:val="0"/>
          <w:i w:val="0"/>
        </w:rPr>
        <w:t>If Issue 1 is approved and a protest is filed within 21 days of the issuance</w:t>
      </w:r>
      <w:r w:rsidR="00517B53" w:rsidRPr="00517B53">
        <w:rPr>
          <w:rFonts w:ascii="Times New Roman" w:hAnsi="Times New Roman" w:cs="Times New Roman"/>
          <w:b w:val="0"/>
          <w:i w:val="0"/>
        </w:rPr>
        <w:t xml:space="preserve"> </w:t>
      </w:r>
      <w:r w:rsidR="00906F9A" w:rsidRPr="00517B53">
        <w:rPr>
          <w:rFonts w:ascii="Times New Roman" w:hAnsi="Times New Roman" w:cs="Times New Roman"/>
          <w:b w:val="0"/>
          <w:i w:val="0"/>
        </w:rPr>
        <w:t>of the order, the tariffs</w:t>
      </w:r>
      <w:r w:rsidR="00FC78B2">
        <w:rPr>
          <w:rFonts w:ascii="Times New Roman" w:hAnsi="Times New Roman" w:cs="Times New Roman"/>
          <w:b w:val="0"/>
          <w:i w:val="0"/>
        </w:rPr>
        <w:t xml:space="preserve"> should not go into effect</w:t>
      </w:r>
      <w:r w:rsidR="00906F9A" w:rsidRPr="00517B53">
        <w:rPr>
          <w:rFonts w:ascii="Times New Roman" w:hAnsi="Times New Roman" w:cs="Times New Roman"/>
          <w:b w:val="0"/>
          <w:i w:val="0"/>
        </w:rPr>
        <w:t>, pending</w:t>
      </w:r>
      <w:r w:rsidR="00517B53" w:rsidRPr="00517B53">
        <w:rPr>
          <w:rFonts w:ascii="Times New Roman" w:hAnsi="Times New Roman" w:cs="Times New Roman"/>
          <w:b w:val="0"/>
          <w:i w:val="0"/>
        </w:rPr>
        <w:t xml:space="preserve"> </w:t>
      </w:r>
      <w:r w:rsidR="00906F9A" w:rsidRPr="00517B53">
        <w:rPr>
          <w:rFonts w:ascii="Times New Roman" w:hAnsi="Times New Roman" w:cs="Times New Roman"/>
          <w:b w:val="0"/>
          <w:i w:val="0"/>
        </w:rPr>
        <w:t xml:space="preserve">resolution of </w:t>
      </w:r>
      <w:r w:rsidR="00FC78B2">
        <w:rPr>
          <w:rFonts w:ascii="Times New Roman" w:hAnsi="Times New Roman" w:cs="Times New Roman"/>
          <w:b w:val="0"/>
          <w:i w:val="0"/>
        </w:rPr>
        <w:t>the</w:t>
      </w:r>
      <w:r w:rsidR="00906F9A" w:rsidRPr="00517B53">
        <w:rPr>
          <w:rFonts w:ascii="Times New Roman" w:hAnsi="Times New Roman" w:cs="Times New Roman"/>
          <w:b w:val="0"/>
          <w:i w:val="0"/>
        </w:rPr>
        <w:t xml:space="preserve"> protest. If no timely protest is filed, this docket should be closed</w:t>
      </w:r>
      <w:r w:rsidR="00EF5B6A">
        <w:rPr>
          <w:rFonts w:ascii="Times New Roman" w:hAnsi="Times New Roman" w:cs="Times New Roman"/>
          <w:b w:val="0"/>
          <w:i w:val="0"/>
        </w:rPr>
        <w:t xml:space="preserve"> and the tariff shall become effective</w:t>
      </w:r>
      <w:r w:rsidR="00906F9A" w:rsidRPr="00517B53">
        <w:rPr>
          <w:rFonts w:ascii="Times New Roman" w:hAnsi="Times New Roman" w:cs="Times New Roman"/>
          <w:b w:val="0"/>
          <w:i w:val="0"/>
        </w:rPr>
        <w:t xml:space="preserve"> upon the</w:t>
      </w:r>
      <w:r w:rsidR="00517B53" w:rsidRPr="00517B53">
        <w:rPr>
          <w:rFonts w:ascii="Times New Roman" w:hAnsi="Times New Roman" w:cs="Times New Roman"/>
          <w:b w:val="0"/>
          <w:i w:val="0"/>
        </w:rPr>
        <w:t xml:space="preserve"> </w:t>
      </w:r>
      <w:r w:rsidR="00906F9A" w:rsidRPr="00517B53">
        <w:rPr>
          <w:rFonts w:ascii="Times New Roman" w:hAnsi="Times New Roman" w:cs="Times New Roman"/>
          <w:b w:val="0"/>
          <w:i w:val="0"/>
        </w:rPr>
        <w:t xml:space="preserve">issuance of </w:t>
      </w:r>
      <w:r w:rsidR="00517B53" w:rsidRPr="00517B53">
        <w:rPr>
          <w:rFonts w:ascii="Times New Roman" w:hAnsi="Times New Roman" w:cs="Times New Roman"/>
          <w:b w:val="0"/>
          <w:i w:val="0"/>
        </w:rPr>
        <w:t>a consummating order. (Brownless</w:t>
      </w:r>
      <w:r w:rsidR="00906F9A" w:rsidRPr="00517B53">
        <w:rPr>
          <w:rFonts w:ascii="Times New Roman" w:hAnsi="Times New Roman" w:cs="Times New Roman"/>
          <w:b w:val="0"/>
          <w:i w:val="0"/>
        </w:rPr>
        <w:t>)</w:t>
      </w:r>
    </w:p>
    <w:p w:rsidR="00EB781C" w:rsidRPr="004C3641" w:rsidRDefault="00EB781C" w:rsidP="00B80342">
      <w:pPr>
        <w:pStyle w:val="IssueSubsectionHeading"/>
        <w:rPr>
          <w:vanish/>
          <w:specVanish/>
        </w:rPr>
      </w:pPr>
      <w:r w:rsidRPr="004C3641">
        <w:t>Staff Analysis:</w:t>
      </w:r>
      <w:r w:rsidR="00B80342">
        <w:t xml:space="preserve"> </w:t>
      </w:r>
    </w:p>
    <w:p w:rsidR="00906F9A" w:rsidRPr="00EF5B6A" w:rsidRDefault="00EF5B6A" w:rsidP="00B80342">
      <w:pPr>
        <w:autoSpaceDE w:val="0"/>
        <w:autoSpaceDN w:val="0"/>
        <w:adjustRightInd w:val="0"/>
        <w:jc w:val="both"/>
        <w:sectPr w:rsidR="00906F9A" w:rsidRPr="00EF5B6A"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r w:rsidRPr="00EF5B6A">
        <w:t>If Issue 1 is approved and a protest is filed within 21 days of the issuance of the order, the tariffs should not go into effect, pending resolution of the protest. If no timely protest is filed, this docket should be closed and the tariff shall become effective upon the issuance of a consummating order.</w:t>
      </w:r>
    </w:p>
    <w:p w:rsidR="00D404CF" w:rsidRDefault="00D404CF" w:rsidP="004E17B6">
      <w:pPr>
        <w:pStyle w:val="BodyText"/>
        <w:rPr>
          <w:noProof/>
        </w:rPr>
      </w:pPr>
      <w:r>
        <w:rPr>
          <w:noProof/>
        </w:rPr>
        <w:lastRenderedPageBreak/>
        <w:drawing>
          <wp:inline distT="0" distB="0" distL="0" distR="0" wp14:anchorId="204A19F2" wp14:editId="7A231C9A">
            <wp:extent cx="5943600" cy="7933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7933055"/>
                    </a:xfrm>
                    <a:prstGeom prst="rect">
                      <a:avLst/>
                    </a:prstGeom>
                  </pic:spPr>
                </pic:pic>
              </a:graphicData>
            </a:graphic>
          </wp:inline>
        </w:drawing>
      </w:r>
    </w:p>
    <w:p w:rsidR="005703B7" w:rsidRDefault="005703B7" w:rsidP="004E17B6">
      <w:pPr>
        <w:pStyle w:val="BodyText"/>
        <w:rPr>
          <w:noProof/>
        </w:rPr>
      </w:pPr>
      <w:r>
        <w:rPr>
          <w:noProof/>
        </w:rPr>
        <w:lastRenderedPageBreak/>
        <w:drawing>
          <wp:inline distT="0" distB="0" distL="0" distR="0" wp14:anchorId="206C64A4" wp14:editId="16B07E28">
            <wp:extent cx="5943600" cy="7927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7927975"/>
                    </a:xfrm>
                    <a:prstGeom prst="rect">
                      <a:avLst/>
                    </a:prstGeom>
                  </pic:spPr>
                </pic:pic>
              </a:graphicData>
            </a:graphic>
          </wp:inline>
        </w:drawing>
      </w:r>
    </w:p>
    <w:p w:rsidR="005703B7" w:rsidRDefault="005703B7" w:rsidP="004E17B6">
      <w:pPr>
        <w:pStyle w:val="BodyText"/>
        <w:rPr>
          <w:noProof/>
        </w:rPr>
      </w:pPr>
      <w:r>
        <w:rPr>
          <w:noProof/>
        </w:rPr>
        <w:lastRenderedPageBreak/>
        <w:drawing>
          <wp:inline distT="0" distB="0" distL="0" distR="0" wp14:anchorId="4AD1E625" wp14:editId="7E62402A">
            <wp:extent cx="5943600" cy="78111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7811135"/>
                    </a:xfrm>
                    <a:prstGeom prst="rect">
                      <a:avLst/>
                    </a:prstGeom>
                  </pic:spPr>
                </pic:pic>
              </a:graphicData>
            </a:graphic>
          </wp:inline>
        </w:drawing>
      </w:r>
    </w:p>
    <w:p w:rsidR="005703B7" w:rsidRDefault="005703B7" w:rsidP="004E17B6">
      <w:pPr>
        <w:pStyle w:val="BodyText"/>
        <w:rPr>
          <w:noProof/>
        </w:rPr>
      </w:pPr>
      <w:r>
        <w:rPr>
          <w:noProof/>
        </w:rPr>
        <w:lastRenderedPageBreak/>
        <w:drawing>
          <wp:inline distT="0" distB="0" distL="0" distR="0" wp14:anchorId="1F68837B" wp14:editId="3CCD596E">
            <wp:extent cx="5943600" cy="78790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7879080"/>
                    </a:xfrm>
                    <a:prstGeom prst="rect">
                      <a:avLst/>
                    </a:prstGeom>
                  </pic:spPr>
                </pic:pic>
              </a:graphicData>
            </a:graphic>
          </wp:inline>
        </w:drawing>
      </w:r>
    </w:p>
    <w:p w:rsidR="005703B7" w:rsidRDefault="005703B7" w:rsidP="004E17B6">
      <w:pPr>
        <w:pStyle w:val="BodyText"/>
        <w:rPr>
          <w:noProof/>
        </w:rPr>
      </w:pPr>
      <w:r>
        <w:rPr>
          <w:noProof/>
        </w:rPr>
        <w:lastRenderedPageBreak/>
        <w:drawing>
          <wp:inline distT="0" distB="0" distL="0" distR="0" wp14:anchorId="1D82C357" wp14:editId="79672C4C">
            <wp:extent cx="5943600" cy="77571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3600" cy="7757160"/>
                    </a:xfrm>
                    <a:prstGeom prst="rect">
                      <a:avLst/>
                    </a:prstGeom>
                  </pic:spPr>
                </pic:pic>
              </a:graphicData>
            </a:graphic>
          </wp:inline>
        </w:drawing>
      </w:r>
    </w:p>
    <w:p w:rsidR="005703B7" w:rsidRDefault="005703B7" w:rsidP="004E17B6">
      <w:pPr>
        <w:pStyle w:val="BodyText"/>
        <w:rPr>
          <w:noProof/>
        </w:rPr>
      </w:pPr>
    </w:p>
    <w:p w:rsidR="005703B7" w:rsidRDefault="005703B7" w:rsidP="004E17B6">
      <w:pPr>
        <w:pStyle w:val="BodyText"/>
        <w:rPr>
          <w:noProof/>
        </w:rPr>
      </w:pPr>
    </w:p>
    <w:p w:rsidR="00D404CF" w:rsidRDefault="005703B7" w:rsidP="004E17B6">
      <w:pPr>
        <w:pStyle w:val="BodyText"/>
        <w:rPr>
          <w:noProof/>
        </w:rPr>
      </w:pPr>
      <w:r>
        <w:rPr>
          <w:noProof/>
        </w:rPr>
        <w:drawing>
          <wp:inline distT="0" distB="0" distL="0" distR="0" wp14:anchorId="6023337B" wp14:editId="78310115">
            <wp:extent cx="5943600" cy="77482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7748270"/>
                    </a:xfrm>
                    <a:prstGeom prst="rect">
                      <a:avLst/>
                    </a:prstGeom>
                  </pic:spPr>
                </pic:pic>
              </a:graphicData>
            </a:graphic>
          </wp:inline>
        </w:drawing>
      </w:r>
    </w:p>
    <w:p w:rsidR="005703B7" w:rsidRDefault="005703B7" w:rsidP="004E17B6">
      <w:pPr>
        <w:pStyle w:val="BodyText"/>
        <w:rPr>
          <w:noProof/>
        </w:rPr>
      </w:pPr>
      <w:r>
        <w:rPr>
          <w:noProof/>
        </w:rPr>
        <w:lastRenderedPageBreak/>
        <w:drawing>
          <wp:inline distT="0" distB="0" distL="0" distR="0" wp14:anchorId="133B66D9" wp14:editId="00B0FCA7">
            <wp:extent cx="5943600" cy="78994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43600" cy="7899400"/>
                    </a:xfrm>
                    <a:prstGeom prst="rect">
                      <a:avLst/>
                    </a:prstGeom>
                  </pic:spPr>
                </pic:pic>
              </a:graphicData>
            </a:graphic>
          </wp:inline>
        </w:drawing>
      </w:r>
    </w:p>
    <w:p w:rsidR="005703B7" w:rsidRDefault="005703B7" w:rsidP="004E17B6">
      <w:pPr>
        <w:pStyle w:val="BodyText"/>
        <w:rPr>
          <w:noProof/>
        </w:rPr>
      </w:pPr>
      <w:r>
        <w:rPr>
          <w:noProof/>
        </w:rPr>
        <w:lastRenderedPageBreak/>
        <w:drawing>
          <wp:inline distT="0" distB="0" distL="0" distR="0" wp14:anchorId="20C88F5C" wp14:editId="62475BF7">
            <wp:extent cx="5943600" cy="777621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943600" cy="7776210"/>
                    </a:xfrm>
                    <a:prstGeom prst="rect">
                      <a:avLst/>
                    </a:prstGeom>
                  </pic:spPr>
                </pic:pic>
              </a:graphicData>
            </a:graphic>
          </wp:inline>
        </w:drawing>
      </w:r>
    </w:p>
    <w:p w:rsidR="005703B7" w:rsidRDefault="005703B7" w:rsidP="004E17B6">
      <w:pPr>
        <w:pStyle w:val="BodyText"/>
        <w:rPr>
          <w:noProof/>
        </w:rPr>
      </w:pPr>
      <w:r>
        <w:rPr>
          <w:noProof/>
        </w:rPr>
        <w:lastRenderedPageBreak/>
        <w:drawing>
          <wp:inline distT="0" distB="0" distL="0" distR="0" wp14:anchorId="399F45CA" wp14:editId="3063205A">
            <wp:extent cx="5943600" cy="7874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943600" cy="7874000"/>
                    </a:xfrm>
                    <a:prstGeom prst="rect">
                      <a:avLst/>
                    </a:prstGeom>
                  </pic:spPr>
                </pic:pic>
              </a:graphicData>
            </a:graphic>
          </wp:inline>
        </w:drawing>
      </w:r>
    </w:p>
    <w:p w:rsidR="005703B7" w:rsidRDefault="005703B7" w:rsidP="004E17B6">
      <w:pPr>
        <w:pStyle w:val="BodyText"/>
        <w:rPr>
          <w:noProof/>
        </w:rPr>
      </w:pPr>
      <w:r>
        <w:rPr>
          <w:noProof/>
        </w:rPr>
        <w:lastRenderedPageBreak/>
        <w:drawing>
          <wp:inline distT="0" distB="0" distL="0" distR="0" wp14:anchorId="0FB7C414" wp14:editId="6CCEAB78">
            <wp:extent cx="5943600" cy="780669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943600" cy="7806690"/>
                    </a:xfrm>
                    <a:prstGeom prst="rect">
                      <a:avLst/>
                    </a:prstGeom>
                  </pic:spPr>
                </pic:pic>
              </a:graphicData>
            </a:graphic>
          </wp:inline>
        </w:drawing>
      </w:r>
    </w:p>
    <w:p w:rsidR="005703B7" w:rsidRDefault="005703B7" w:rsidP="004E17B6">
      <w:pPr>
        <w:pStyle w:val="BodyText"/>
        <w:rPr>
          <w:noProof/>
        </w:rPr>
      </w:pPr>
    </w:p>
    <w:p w:rsidR="005703B7" w:rsidRDefault="005703B7" w:rsidP="004E17B6">
      <w:pPr>
        <w:pStyle w:val="BodyText"/>
        <w:rPr>
          <w:noProof/>
        </w:rPr>
      </w:pPr>
      <w:r>
        <w:rPr>
          <w:noProof/>
        </w:rPr>
        <w:lastRenderedPageBreak/>
        <w:drawing>
          <wp:inline distT="0" distB="0" distL="0" distR="0" wp14:anchorId="49DE1775" wp14:editId="03D7D697">
            <wp:extent cx="5943600" cy="774446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943600" cy="7744460"/>
                    </a:xfrm>
                    <a:prstGeom prst="rect">
                      <a:avLst/>
                    </a:prstGeom>
                  </pic:spPr>
                </pic:pic>
              </a:graphicData>
            </a:graphic>
          </wp:inline>
        </w:drawing>
      </w:r>
    </w:p>
    <w:p w:rsidR="005703B7" w:rsidRDefault="005703B7" w:rsidP="004E17B6">
      <w:pPr>
        <w:pStyle w:val="BodyText"/>
        <w:rPr>
          <w:noProof/>
        </w:rPr>
      </w:pPr>
    </w:p>
    <w:p w:rsidR="005703B7" w:rsidRDefault="005703B7" w:rsidP="004E17B6">
      <w:pPr>
        <w:pStyle w:val="BodyText"/>
        <w:rPr>
          <w:noProof/>
        </w:rPr>
      </w:pPr>
      <w:r>
        <w:rPr>
          <w:noProof/>
        </w:rPr>
        <w:lastRenderedPageBreak/>
        <w:drawing>
          <wp:inline distT="0" distB="0" distL="0" distR="0" wp14:anchorId="7838E479" wp14:editId="7AE1CBB7">
            <wp:extent cx="5943600" cy="7790815"/>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943600" cy="7790815"/>
                    </a:xfrm>
                    <a:prstGeom prst="rect">
                      <a:avLst/>
                    </a:prstGeom>
                  </pic:spPr>
                </pic:pic>
              </a:graphicData>
            </a:graphic>
          </wp:inline>
        </w:drawing>
      </w:r>
    </w:p>
    <w:sectPr w:rsidR="005703B7" w:rsidSect="0068481F">
      <w:headerReference w:type="default" r:id="rId27"/>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8F0" w:rsidRDefault="003008F0">
      <w:r>
        <w:separator/>
      </w:r>
    </w:p>
  </w:endnote>
  <w:endnote w:type="continuationSeparator" w:id="0">
    <w:p w:rsidR="003008F0" w:rsidRDefault="00300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D32DD">
      <w:rPr>
        <w:rStyle w:val="PageNumber"/>
        <w:noProof/>
      </w:rPr>
      <w:t>17</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8F0" w:rsidRDefault="003008F0">
      <w:r>
        <w:separator/>
      </w:r>
    </w:p>
  </w:footnote>
  <w:footnote w:type="continuationSeparator" w:id="0">
    <w:p w:rsidR="003008F0" w:rsidRDefault="003008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3008F0"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20170216-EI</w:t>
    </w:r>
    <w:bookmarkEnd w:id="14"/>
  </w:p>
  <w:p w:rsidR="00BC402E" w:rsidRDefault="00BC402E">
    <w:pPr>
      <w:pStyle w:val="Header"/>
    </w:pPr>
    <w:r>
      <w:t xml:space="preserve">Date: </w:t>
    </w:r>
    <w:fldSimple w:instr=" REF FilingDate ">
      <w:r w:rsidR="001266C2">
        <w:t>December 27, 2017</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1266C2">
      <w:t>Docket No.</w:t>
    </w:r>
    <w:r>
      <w:fldChar w:fldCharType="end"/>
    </w:r>
    <w:r>
      <w:t xml:space="preserve"> </w:t>
    </w:r>
    <w:r>
      <w:fldChar w:fldCharType="begin"/>
    </w:r>
    <w:r>
      <w:instrText xml:space="preserve"> REF DocketList</w:instrText>
    </w:r>
    <w:r>
      <w:fldChar w:fldCharType="separate"/>
    </w:r>
    <w:r w:rsidR="001266C2">
      <w:t>20170216-EI</w:t>
    </w:r>
    <w:r>
      <w:fldChar w:fldCharType="end"/>
    </w:r>
    <w:r>
      <w:tab/>
      <w:t xml:space="preserve">Issue </w:t>
    </w:r>
    <w:fldSimple w:instr=" Seq Issue \c \* Arabic ">
      <w:r w:rsidR="008D32DD">
        <w:rPr>
          <w:noProof/>
        </w:rPr>
        <w:t>2</w:t>
      </w:r>
    </w:fldSimple>
  </w:p>
  <w:p w:rsidR="00BC402E" w:rsidRDefault="00BC402E">
    <w:pPr>
      <w:pStyle w:val="Header"/>
    </w:pPr>
    <w:r>
      <w:t xml:space="preserve">Date: </w:t>
    </w:r>
    <w:fldSimple w:instr=" REF FilingDate ">
      <w:r w:rsidR="001266C2">
        <w:t>December 27, 2017</w:t>
      </w:r>
    </w:fldSimple>
    <w:r w:rsidR="00906F9A">
      <w:tab/>
    </w:r>
    <w:r w:rsidR="00132498">
      <w:tab/>
    </w:r>
    <w:r w:rsidR="00132498">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498" w:rsidRDefault="00132498" w:rsidP="00220732">
    <w:pPr>
      <w:pStyle w:val="Header"/>
      <w:tabs>
        <w:tab w:val="clear" w:pos="4320"/>
        <w:tab w:val="clear" w:pos="8640"/>
        <w:tab w:val="right" w:pos="9360"/>
      </w:tabs>
    </w:pPr>
    <w:r>
      <w:fldChar w:fldCharType="begin"/>
    </w:r>
    <w:r>
      <w:instrText xml:space="preserve"> REF DocketLabel</w:instrText>
    </w:r>
    <w:r>
      <w:fldChar w:fldCharType="separate"/>
    </w:r>
    <w:r w:rsidR="001266C2">
      <w:t>Docket No.</w:t>
    </w:r>
    <w:r>
      <w:fldChar w:fldCharType="end"/>
    </w:r>
    <w:r>
      <w:t xml:space="preserve"> </w:t>
    </w:r>
    <w:r>
      <w:fldChar w:fldCharType="begin"/>
    </w:r>
    <w:r>
      <w:instrText xml:space="preserve"> REF DocketList</w:instrText>
    </w:r>
    <w:r>
      <w:fldChar w:fldCharType="separate"/>
    </w:r>
    <w:r w:rsidR="001266C2">
      <w:t>20170216-EI</w:t>
    </w:r>
    <w:r>
      <w:fldChar w:fldCharType="end"/>
    </w:r>
    <w:r w:rsidR="00720D0C">
      <w:tab/>
      <w:t>Attachment A</w:t>
    </w:r>
  </w:p>
  <w:p w:rsidR="00132498" w:rsidRDefault="001266C2" w:rsidP="002B29BD">
    <w:pPr>
      <w:pStyle w:val="Header"/>
      <w:tabs>
        <w:tab w:val="clear" w:pos="4320"/>
        <w:tab w:val="clear" w:pos="8640"/>
      </w:tabs>
      <w:jc w:val="left"/>
    </w:pPr>
    <w:fldSimple w:instr=" REF FilingDate ">
      <w:r>
        <w:t>December 27, 2017</w:t>
      </w:r>
    </w:fldSimple>
    <w:r w:rsidR="002B29BD">
      <w:tab/>
    </w:r>
    <w:r w:rsidR="002B29BD">
      <w:tab/>
    </w:r>
    <w:r w:rsidR="002B29BD">
      <w:tab/>
    </w:r>
    <w:r w:rsidR="002B29BD">
      <w:tab/>
    </w:r>
    <w:r w:rsidR="002B29BD">
      <w:tab/>
    </w:r>
    <w:r w:rsidR="002B29BD">
      <w:tab/>
    </w:r>
    <w:r w:rsidR="002B29BD">
      <w:tab/>
    </w:r>
    <w:r w:rsidR="002B29BD">
      <w:tab/>
    </w:r>
    <w:r w:rsidR="00F91387">
      <w:tab/>
      <w:t xml:space="preserve">          </w:t>
    </w:r>
    <w:r w:rsidR="005E14E6">
      <w:fldChar w:fldCharType="begin"/>
    </w:r>
    <w:r w:rsidR="005E14E6">
      <w:instrText xml:space="preserve"> = </w:instrText>
    </w:r>
    <w:r w:rsidR="005E14E6">
      <w:fldChar w:fldCharType="begin"/>
    </w:r>
    <w:r w:rsidR="005E14E6">
      <w:instrText xml:space="preserve"> PAGE </w:instrText>
    </w:r>
    <w:r w:rsidR="005E14E6">
      <w:fldChar w:fldCharType="separate"/>
    </w:r>
    <w:r w:rsidR="008D32DD">
      <w:rPr>
        <w:noProof/>
      </w:rPr>
      <w:instrText>17</w:instrText>
    </w:r>
    <w:r w:rsidR="005E14E6">
      <w:fldChar w:fldCharType="end"/>
    </w:r>
    <w:r w:rsidR="005E14E6">
      <w:instrText xml:space="preserve"> - </w:instrText>
    </w:r>
    <w:r w:rsidR="00AA143C">
      <w:instrText>5</w:instrText>
    </w:r>
    <w:r w:rsidR="005E14E6">
      <w:instrText xml:space="preserve"> </w:instrText>
    </w:r>
    <w:r w:rsidR="005E14E6">
      <w:fldChar w:fldCharType="separate"/>
    </w:r>
    <w:r w:rsidR="008D32DD">
      <w:rPr>
        <w:noProof/>
      </w:rPr>
      <w:t>12</w:t>
    </w:r>
    <w:r w:rsidR="005E14E6">
      <w:rPr>
        <w:noProof/>
      </w:rPr>
      <w:fldChar w:fldCharType="end"/>
    </w:r>
    <w:r w:rsidR="005E14E6">
      <w:t xml:space="preserve"> </w:t>
    </w:r>
    <w:r w:rsidR="00132498">
      <w:rPr>
        <w:noProof/>
      </w:rPr>
      <w:t xml:space="preserve">of </w:t>
    </w:r>
    <w:r w:rsidR="005E14E6">
      <w:rPr>
        <w:noProof/>
      </w:rPr>
      <w:t>12</w:t>
    </w:r>
  </w:p>
  <w:p w:rsidR="00FF569B" w:rsidRDefault="00FF569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915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3008F0"/>
    <w:rsid w:val="000043D5"/>
    <w:rsid w:val="00006170"/>
    <w:rsid w:val="00010E37"/>
    <w:rsid w:val="00012C7D"/>
    <w:rsid w:val="000172DA"/>
    <w:rsid w:val="000247C5"/>
    <w:rsid w:val="000277C2"/>
    <w:rsid w:val="00030FAB"/>
    <w:rsid w:val="00031BE8"/>
    <w:rsid w:val="00033082"/>
    <w:rsid w:val="00035B48"/>
    <w:rsid w:val="00036CE2"/>
    <w:rsid w:val="00041923"/>
    <w:rsid w:val="000437FE"/>
    <w:rsid w:val="0004679C"/>
    <w:rsid w:val="00050452"/>
    <w:rsid w:val="000513BE"/>
    <w:rsid w:val="00054EBF"/>
    <w:rsid w:val="00057AFA"/>
    <w:rsid w:val="00062550"/>
    <w:rsid w:val="00065A06"/>
    <w:rsid w:val="000666F3"/>
    <w:rsid w:val="00070782"/>
    <w:rsid w:val="00070DCB"/>
    <w:rsid w:val="00073120"/>
    <w:rsid w:val="000764D0"/>
    <w:rsid w:val="00081787"/>
    <w:rsid w:val="000828D3"/>
    <w:rsid w:val="000A2B57"/>
    <w:rsid w:val="000A418B"/>
    <w:rsid w:val="000C4431"/>
    <w:rsid w:val="000C63D2"/>
    <w:rsid w:val="000D1C06"/>
    <w:rsid w:val="000D4319"/>
    <w:rsid w:val="000D6184"/>
    <w:rsid w:val="000E68A7"/>
    <w:rsid w:val="000F20B7"/>
    <w:rsid w:val="000F374A"/>
    <w:rsid w:val="000F49EE"/>
    <w:rsid w:val="001007D4"/>
    <w:rsid w:val="00100DE4"/>
    <w:rsid w:val="00101FD3"/>
    <w:rsid w:val="001076AF"/>
    <w:rsid w:val="00115F07"/>
    <w:rsid w:val="00117C8C"/>
    <w:rsid w:val="00124E2E"/>
    <w:rsid w:val="00125ED4"/>
    <w:rsid w:val="001266C2"/>
    <w:rsid w:val="001305E9"/>
    <w:rsid w:val="001307AF"/>
    <w:rsid w:val="0013104A"/>
    <w:rsid w:val="00132498"/>
    <w:rsid w:val="00135687"/>
    <w:rsid w:val="00142E16"/>
    <w:rsid w:val="00146F46"/>
    <w:rsid w:val="0015506E"/>
    <w:rsid w:val="00155500"/>
    <w:rsid w:val="00163031"/>
    <w:rsid w:val="00167642"/>
    <w:rsid w:val="00171A90"/>
    <w:rsid w:val="00176F66"/>
    <w:rsid w:val="00180254"/>
    <w:rsid w:val="001825D3"/>
    <w:rsid w:val="00190618"/>
    <w:rsid w:val="00191E1F"/>
    <w:rsid w:val="00192943"/>
    <w:rsid w:val="001A3CA0"/>
    <w:rsid w:val="001A7406"/>
    <w:rsid w:val="001A7ADE"/>
    <w:rsid w:val="001B3A9B"/>
    <w:rsid w:val="001B4FEE"/>
    <w:rsid w:val="001B51C5"/>
    <w:rsid w:val="001B6F3F"/>
    <w:rsid w:val="001C52B5"/>
    <w:rsid w:val="001D0D3E"/>
    <w:rsid w:val="001E41E4"/>
    <w:rsid w:val="001E49E8"/>
    <w:rsid w:val="001E51E0"/>
    <w:rsid w:val="001F196D"/>
    <w:rsid w:val="001F2245"/>
    <w:rsid w:val="001F2C63"/>
    <w:rsid w:val="001F48C7"/>
    <w:rsid w:val="001F6DA1"/>
    <w:rsid w:val="002020CE"/>
    <w:rsid w:val="002044E6"/>
    <w:rsid w:val="00205C82"/>
    <w:rsid w:val="00205DC2"/>
    <w:rsid w:val="00212B17"/>
    <w:rsid w:val="002163B6"/>
    <w:rsid w:val="00220732"/>
    <w:rsid w:val="00221D32"/>
    <w:rsid w:val="00225C3F"/>
    <w:rsid w:val="00226653"/>
    <w:rsid w:val="00227F64"/>
    <w:rsid w:val="002348B2"/>
    <w:rsid w:val="002516B8"/>
    <w:rsid w:val="0025409F"/>
    <w:rsid w:val="0025754E"/>
    <w:rsid w:val="00263D44"/>
    <w:rsid w:val="002702AD"/>
    <w:rsid w:val="00275156"/>
    <w:rsid w:val="00283A03"/>
    <w:rsid w:val="00292D82"/>
    <w:rsid w:val="00295455"/>
    <w:rsid w:val="002963CB"/>
    <w:rsid w:val="00296EB8"/>
    <w:rsid w:val="002A0A23"/>
    <w:rsid w:val="002B0828"/>
    <w:rsid w:val="002B276A"/>
    <w:rsid w:val="002B29BD"/>
    <w:rsid w:val="002B71B1"/>
    <w:rsid w:val="002B7A25"/>
    <w:rsid w:val="002C507C"/>
    <w:rsid w:val="002C5BAE"/>
    <w:rsid w:val="002C72A5"/>
    <w:rsid w:val="002D226D"/>
    <w:rsid w:val="002E591A"/>
    <w:rsid w:val="002F6030"/>
    <w:rsid w:val="003008F0"/>
    <w:rsid w:val="003037E1"/>
    <w:rsid w:val="00307E51"/>
    <w:rsid w:val="003103EC"/>
    <w:rsid w:val="003144EF"/>
    <w:rsid w:val="00322F74"/>
    <w:rsid w:val="0032519B"/>
    <w:rsid w:val="00330614"/>
    <w:rsid w:val="0033158E"/>
    <w:rsid w:val="00334182"/>
    <w:rsid w:val="00335242"/>
    <w:rsid w:val="003368A0"/>
    <w:rsid w:val="00340073"/>
    <w:rsid w:val="00346023"/>
    <w:rsid w:val="003632FD"/>
    <w:rsid w:val="00364199"/>
    <w:rsid w:val="00371EF6"/>
    <w:rsid w:val="00372805"/>
    <w:rsid w:val="00373007"/>
    <w:rsid w:val="00373180"/>
    <w:rsid w:val="00375AB9"/>
    <w:rsid w:val="0037690C"/>
    <w:rsid w:val="003821A0"/>
    <w:rsid w:val="00385B04"/>
    <w:rsid w:val="003864CF"/>
    <w:rsid w:val="003921B4"/>
    <w:rsid w:val="003944DB"/>
    <w:rsid w:val="003A17B3"/>
    <w:rsid w:val="003A1E4E"/>
    <w:rsid w:val="003A22A6"/>
    <w:rsid w:val="003A5494"/>
    <w:rsid w:val="003B2510"/>
    <w:rsid w:val="003B4924"/>
    <w:rsid w:val="003C1B74"/>
    <w:rsid w:val="003C2CC4"/>
    <w:rsid w:val="003C3710"/>
    <w:rsid w:val="003D50E1"/>
    <w:rsid w:val="003E0EFC"/>
    <w:rsid w:val="003E4A2B"/>
    <w:rsid w:val="003E76C2"/>
    <w:rsid w:val="003F1679"/>
    <w:rsid w:val="003F21EB"/>
    <w:rsid w:val="003F4A35"/>
    <w:rsid w:val="003F7FDD"/>
    <w:rsid w:val="00402481"/>
    <w:rsid w:val="004032FE"/>
    <w:rsid w:val="004042B4"/>
    <w:rsid w:val="00410DC4"/>
    <w:rsid w:val="00412DAE"/>
    <w:rsid w:val="00415099"/>
    <w:rsid w:val="00416207"/>
    <w:rsid w:val="00431598"/>
    <w:rsid w:val="004319AD"/>
    <w:rsid w:val="0043294D"/>
    <w:rsid w:val="004426B8"/>
    <w:rsid w:val="00444432"/>
    <w:rsid w:val="00446507"/>
    <w:rsid w:val="00465DFA"/>
    <w:rsid w:val="00471860"/>
    <w:rsid w:val="004A744D"/>
    <w:rsid w:val="004B0E04"/>
    <w:rsid w:val="004B12BA"/>
    <w:rsid w:val="004B60BD"/>
    <w:rsid w:val="004C3150"/>
    <w:rsid w:val="004C3641"/>
    <w:rsid w:val="004C4390"/>
    <w:rsid w:val="004C4AF7"/>
    <w:rsid w:val="004D2881"/>
    <w:rsid w:val="004D385F"/>
    <w:rsid w:val="004D5B39"/>
    <w:rsid w:val="004D60FE"/>
    <w:rsid w:val="004E17B6"/>
    <w:rsid w:val="004E20F6"/>
    <w:rsid w:val="004E330D"/>
    <w:rsid w:val="004E5147"/>
    <w:rsid w:val="004E6C51"/>
    <w:rsid w:val="004F5C43"/>
    <w:rsid w:val="005005D5"/>
    <w:rsid w:val="00504539"/>
    <w:rsid w:val="0050515F"/>
    <w:rsid w:val="0050652D"/>
    <w:rsid w:val="00506C03"/>
    <w:rsid w:val="00511A11"/>
    <w:rsid w:val="00516496"/>
    <w:rsid w:val="005175C8"/>
    <w:rsid w:val="00517B53"/>
    <w:rsid w:val="0052572A"/>
    <w:rsid w:val="00543CB3"/>
    <w:rsid w:val="005442E4"/>
    <w:rsid w:val="005520A9"/>
    <w:rsid w:val="005528E2"/>
    <w:rsid w:val="00560FF0"/>
    <w:rsid w:val="005614BD"/>
    <w:rsid w:val="005703B7"/>
    <w:rsid w:val="0057154F"/>
    <w:rsid w:val="00576D9C"/>
    <w:rsid w:val="00580F69"/>
    <w:rsid w:val="00581CA3"/>
    <w:rsid w:val="00583EDD"/>
    <w:rsid w:val="00585EC9"/>
    <w:rsid w:val="005860B1"/>
    <w:rsid w:val="00587A44"/>
    <w:rsid w:val="00592077"/>
    <w:rsid w:val="00592DDE"/>
    <w:rsid w:val="00597730"/>
    <w:rsid w:val="005977EC"/>
    <w:rsid w:val="00597DE7"/>
    <w:rsid w:val="005A4AA2"/>
    <w:rsid w:val="005A7B3A"/>
    <w:rsid w:val="005B256C"/>
    <w:rsid w:val="005B2666"/>
    <w:rsid w:val="005B34B6"/>
    <w:rsid w:val="005B6C8F"/>
    <w:rsid w:val="005B6EC3"/>
    <w:rsid w:val="005B74BE"/>
    <w:rsid w:val="005D0F74"/>
    <w:rsid w:val="005D2E7D"/>
    <w:rsid w:val="005D4A8F"/>
    <w:rsid w:val="005D561B"/>
    <w:rsid w:val="005D5ECF"/>
    <w:rsid w:val="005E14E6"/>
    <w:rsid w:val="005E23AD"/>
    <w:rsid w:val="005E2E56"/>
    <w:rsid w:val="005F3729"/>
    <w:rsid w:val="005F468D"/>
    <w:rsid w:val="005F51F8"/>
    <w:rsid w:val="005F69A3"/>
    <w:rsid w:val="00604CC7"/>
    <w:rsid w:val="00615423"/>
    <w:rsid w:val="006165B2"/>
    <w:rsid w:val="00617276"/>
    <w:rsid w:val="0062527B"/>
    <w:rsid w:val="00625D97"/>
    <w:rsid w:val="00625F1C"/>
    <w:rsid w:val="006279E1"/>
    <w:rsid w:val="00630CEB"/>
    <w:rsid w:val="00632264"/>
    <w:rsid w:val="00633D39"/>
    <w:rsid w:val="0063638E"/>
    <w:rsid w:val="006468EC"/>
    <w:rsid w:val="006470BC"/>
    <w:rsid w:val="0065046C"/>
    <w:rsid w:val="006534D7"/>
    <w:rsid w:val="006554D3"/>
    <w:rsid w:val="00667036"/>
    <w:rsid w:val="00671A4E"/>
    <w:rsid w:val="00673BDB"/>
    <w:rsid w:val="00673CF6"/>
    <w:rsid w:val="00674341"/>
    <w:rsid w:val="006771B8"/>
    <w:rsid w:val="006843B6"/>
    <w:rsid w:val="0068481F"/>
    <w:rsid w:val="00685FE8"/>
    <w:rsid w:val="00690DC6"/>
    <w:rsid w:val="006923EA"/>
    <w:rsid w:val="00696F5D"/>
    <w:rsid w:val="00697249"/>
    <w:rsid w:val="006B05C9"/>
    <w:rsid w:val="006B3947"/>
    <w:rsid w:val="006B4293"/>
    <w:rsid w:val="006B624F"/>
    <w:rsid w:val="006B74CE"/>
    <w:rsid w:val="006B7D5C"/>
    <w:rsid w:val="006C0C95"/>
    <w:rsid w:val="006C31E3"/>
    <w:rsid w:val="006C7788"/>
    <w:rsid w:val="006D18D3"/>
    <w:rsid w:val="006E08CB"/>
    <w:rsid w:val="006E598D"/>
    <w:rsid w:val="0070437D"/>
    <w:rsid w:val="00704CF1"/>
    <w:rsid w:val="00705B04"/>
    <w:rsid w:val="00714F2A"/>
    <w:rsid w:val="00720D0C"/>
    <w:rsid w:val="00724992"/>
    <w:rsid w:val="00734820"/>
    <w:rsid w:val="007349DC"/>
    <w:rsid w:val="00736ABF"/>
    <w:rsid w:val="0074315B"/>
    <w:rsid w:val="0074365E"/>
    <w:rsid w:val="00743900"/>
    <w:rsid w:val="00744295"/>
    <w:rsid w:val="00744B55"/>
    <w:rsid w:val="00747F0B"/>
    <w:rsid w:val="007515FD"/>
    <w:rsid w:val="007602FE"/>
    <w:rsid w:val="00760D80"/>
    <w:rsid w:val="00761C20"/>
    <w:rsid w:val="00762046"/>
    <w:rsid w:val="007716D8"/>
    <w:rsid w:val="00780C09"/>
    <w:rsid w:val="00780DDF"/>
    <w:rsid w:val="007834E9"/>
    <w:rsid w:val="00787DBC"/>
    <w:rsid w:val="0079019A"/>
    <w:rsid w:val="00792935"/>
    <w:rsid w:val="00796A10"/>
    <w:rsid w:val="007A04A1"/>
    <w:rsid w:val="007A1840"/>
    <w:rsid w:val="007B635E"/>
    <w:rsid w:val="007C0528"/>
    <w:rsid w:val="007C3D38"/>
    <w:rsid w:val="007D0F35"/>
    <w:rsid w:val="007D31DD"/>
    <w:rsid w:val="007D4CE9"/>
    <w:rsid w:val="007D4FEB"/>
    <w:rsid w:val="007D6146"/>
    <w:rsid w:val="007E0C0D"/>
    <w:rsid w:val="007E0CE7"/>
    <w:rsid w:val="007E46E7"/>
    <w:rsid w:val="007E5EB5"/>
    <w:rsid w:val="007F04A5"/>
    <w:rsid w:val="007F1193"/>
    <w:rsid w:val="007F417F"/>
    <w:rsid w:val="007F4E2F"/>
    <w:rsid w:val="008042BD"/>
    <w:rsid w:val="0081170C"/>
    <w:rsid w:val="00816624"/>
    <w:rsid w:val="00816C07"/>
    <w:rsid w:val="00822427"/>
    <w:rsid w:val="00822562"/>
    <w:rsid w:val="00823663"/>
    <w:rsid w:val="008273EE"/>
    <w:rsid w:val="00832DDC"/>
    <w:rsid w:val="008361DF"/>
    <w:rsid w:val="00847F48"/>
    <w:rsid w:val="00850BAC"/>
    <w:rsid w:val="00854A3E"/>
    <w:rsid w:val="00855D08"/>
    <w:rsid w:val="00857977"/>
    <w:rsid w:val="00866359"/>
    <w:rsid w:val="008716B3"/>
    <w:rsid w:val="00874344"/>
    <w:rsid w:val="00877771"/>
    <w:rsid w:val="008814CF"/>
    <w:rsid w:val="00882155"/>
    <w:rsid w:val="0088233B"/>
    <w:rsid w:val="0088599E"/>
    <w:rsid w:val="00886C37"/>
    <w:rsid w:val="00890610"/>
    <w:rsid w:val="00892D99"/>
    <w:rsid w:val="00893315"/>
    <w:rsid w:val="008A6602"/>
    <w:rsid w:val="008B0A4D"/>
    <w:rsid w:val="008B62AE"/>
    <w:rsid w:val="008C04B5"/>
    <w:rsid w:val="008C14FA"/>
    <w:rsid w:val="008C7B0B"/>
    <w:rsid w:val="008D32DD"/>
    <w:rsid w:val="008D4057"/>
    <w:rsid w:val="008E1F19"/>
    <w:rsid w:val="008E6484"/>
    <w:rsid w:val="008F2262"/>
    <w:rsid w:val="008F4D2B"/>
    <w:rsid w:val="008F70F9"/>
    <w:rsid w:val="008F7736"/>
    <w:rsid w:val="0090019E"/>
    <w:rsid w:val="00901086"/>
    <w:rsid w:val="00901C8A"/>
    <w:rsid w:val="00905886"/>
    <w:rsid w:val="00906F9A"/>
    <w:rsid w:val="009070D6"/>
    <w:rsid w:val="009076C6"/>
    <w:rsid w:val="0091019E"/>
    <w:rsid w:val="009106F1"/>
    <w:rsid w:val="00911309"/>
    <w:rsid w:val="00911FE7"/>
    <w:rsid w:val="00912404"/>
    <w:rsid w:val="009145D6"/>
    <w:rsid w:val="00916785"/>
    <w:rsid w:val="009202F2"/>
    <w:rsid w:val="00920E64"/>
    <w:rsid w:val="00922002"/>
    <w:rsid w:val="00922858"/>
    <w:rsid w:val="00924020"/>
    <w:rsid w:val="009241C7"/>
    <w:rsid w:val="009271A7"/>
    <w:rsid w:val="00933961"/>
    <w:rsid w:val="0093658B"/>
    <w:rsid w:val="00940B77"/>
    <w:rsid w:val="0094232C"/>
    <w:rsid w:val="009429FF"/>
    <w:rsid w:val="00945BD6"/>
    <w:rsid w:val="009479FB"/>
    <w:rsid w:val="00951C45"/>
    <w:rsid w:val="009549C5"/>
    <w:rsid w:val="00954C66"/>
    <w:rsid w:val="00962340"/>
    <w:rsid w:val="009625AA"/>
    <w:rsid w:val="009656F2"/>
    <w:rsid w:val="00966A08"/>
    <w:rsid w:val="00966AD7"/>
    <w:rsid w:val="00971207"/>
    <w:rsid w:val="00975CB4"/>
    <w:rsid w:val="009808FB"/>
    <w:rsid w:val="009863B0"/>
    <w:rsid w:val="00987DE1"/>
    <w:rsid w:val="00990571"/>
    <w:rsid w:val="0099673A"/>
    <w:rsid w:val="009A3330"/>
    <w:rsid w:val="009A534C"/>
    <w:rsid w:val="009A65A9"/>
    <w:rsid w:val="009A7C96"/>
    <w:rsid w:val="009C3869"/>
    <w:rsid w:val="009C3DB9"/>
    <w:rsid w:val="009C7AAF"/>
    <w:rsid w:val="009D361F"/>
    <w:rsid w:val="009D46E5"/>
    <w:rsid w:val="009D4744"/>
    <w:rsid w:val="009D568A"/>
    <w:rsid w:val="009E357D"/>
    <w:rsid w:val="009F04EC"/>
    <w:rsid w:val="009F2A7C"/>
    <w:rsid w:val="009F3B36"/>
    <w:rsid w:val="009F576C"/>
    <w:rsid w:val="009F63D4"/>
    <w:rsid w:val="009F7391"/>
    <w:rsid w:val="00A019B9"/>
    <w:rsid w:val="00A0391B"/>
    <w:rsid w:val="00A04CA7"/>
    <w:rsid w:val="00A06E4F"/>
    <w:rsid w:val="00A10B44"/>
    <w:rsid w:val="00A12508"/>
    <w:rsid w:val="00A1282B"/>
    <w:rsid w:val="00A13A27"/>
    <w:rsid w:val="00A144D7"/>
    <w:rsid w:val="00A175B6"/>
    <w:rsid w:val="00A2023C"/>
    <w:rsid w:val="00A21090"/>
    <w:rsid w:val="00A21835"/>
    <w:rsid w:val="00A2374B"/>
    <w:rsid w:val="00A23DE2"/>
    <w:rsid w:val="00A244B5"/>
    <w:rsid w:val="00A2513A"/>
    <w:rsid w:val="00A27D6E"/>
    <w:rsid w:val="00A328EC"/>
    <w:rsid w:val="00A33A51"/>
    <w:rsid w:val="00A34776"/>
    <w:rsid w:val="00A37516"/>
    <w:rsid w:val="00A41CA6"/>
    <w:rsid w:val="00A41D69"/>
    <w:rsid w:val="00A47927"/>
    <w:rsid w:val="00A47FFC"/>
    <w:rsid w:val="00A507A5"/>
    <w:rsid w:val="00A5442F"/>
    <w:rsid w:val="00A54FF9"/>
    <w:rsid w:val="00A56765"/>
    <w:rsid w:val="00A56F9E"/>
    <w:rsid w:val="00A675AC"/>
    <w:rsid w:val="00A7581F"/>
    <w:rsid w:val="00A7697A"/>
    <w:rsid w:val="00A77C15"/>
    <w:rsid w:val="00A92298"/>
    <w:rsid w:val="00A92FB1"/>
    <w:rsid w:val="00A95A0C"/>
    <w:rsid w:val="00AA143C"/>
    <w:rsid w:val="00AA2765"/>
    <w:rsid w:val="00AA77B5"/>
    <w:rsid w:val="00AB6C5D"/>
    <w:rsid w:val="00AC044F"/>
    <w:rsid w:val="00AC3401"/>
    <w:rsid w:val="00AC51A7"/>
    <w:rsid w:val="00AC6A7B"/>
    <w:rsid w:val="00AD444B"/>
    <w:rsid w:val="00AD6C78"/>
    <w:rsid w:val="00AE068A"/>
    <w:rsid w:val="00AE2EAB"/>
    <w:rsid w:val="00AF5071"/>
    <w:rsid w:val="00AF5F89"/>
    <w:rsid w:val="00AF73CB"/>
    <w:rsid w:val="00B002D6"/>
    <w:rsid w:val="00B03A8B"/>
    <w:rsid w:val="00B05B51"/>
    <w:rsid w:val="00B14E5A"/>
    <w:rsid w:val="00B15370"/>
    <w:rsid w:val="00B16DA4"/>
    <w:rsid w:val="00B17BEB"/>
    <w:rsid w:val="00B21A3C"/>
    <w:rsid w:val="00B223C0"/>
    <w:rsid w:val="00B234ED"/>
    <w:rsid w:val="00B249B2"/>
    <w:rsid w:val="00B25CA3"/>
    <w:rsid w:val="00B25E99"/>
    <w:rsid w:val="00B2765A"/>
    <w:rsid w:val="00B359BF"/>
    <w:rsid w:val="00B516ED"/>
    <w:rsid w:val="00B57A6A"/>
    <w:rsid w:val="00B74552"/>
    <w:rsid w:val="00B760F1"/>
    <w:rsid w:val="00B7622D"/>
    <w:rsid w:val="00B7669E"/>
    <w:rsid w:val="00B77DA1"/>
    <w:rsid w:val="00B80342"/>
    <w:rsid w:val="00B8204A"/>
    <w:rsid w:val="00B822A0"/>
    <w:rsid w:val="00B858AE"/>
    <w:rsid w:val="00B85964"/>
    <w:rsid w:val="00B96250"/>
    <w:rsid w:val="00BA0013"/>
    <w:rsid w:val="00BA0D55"/>
    <w:rsid w:val="00BA29B6"/>
    <w:rsid w:val="00BA37B3"/>
    <w:rsid w:val="00BA4CC6"/>
    <w:rsid w:val="00BB1266"/>
    <w:rsid w:val="00BB3493"/>
    <w:rsid w:val="00BB7468"/>
    <w:rsid w:val="00BC188A"/>
    <w:rsid w:val="00BC402E"/>
    <w:rsid w:val="00BD02A7"/>
    <w:rsid w:val="00BD0F48"/>
    <w:rsid w:val="00BD5713"/>
    <w:rsid w:val="00BE2122"/>
    <w:rsid w:val="00BE5823"/>
    <w:rsid w:val="00BF0669"/>
    <w:rsid w:val="00BF125A"/>
    <w:rsid w:val="00BF1E8E"/>
    <w:rsid w:val="00BF2ED9"/>
    <w:rsid w:val="00BF5010"/>
    <w:rsid w:val="00C021D3"/>
    <w:rsid w:val="00C03D5F"/>
    <w:rsid w:val="00C03D9B"/>
    <w:rsid w:val="00C1190C"/>
    <w:rsid w:val="00C13791"/>
    <w:rsid w:val="00C31BB3"/>
    <w:rsid w:val="00C36977"/>
    <w:rsid w:val="00C467DA"/>
    <w:rsid w:val="00C477D9"/>
    <w:rsid w:val="00C5612F"/>
    <w:rsid w:val="00C60BA3"/>
    <w:rsid w:val="00C6137B"/>
    <w:rsid w:val="00C623F7"/>
    <w:rsid w:val="00C6320E"/>
    <w:rsid w:val="00C75BC5"/>
    <w:rsid w:val="00C80855"/>
    <w:rsid w:val="00C81670"/>
    <w:rsid w:val="00C81773"/>
    <w:rsid w:val="00C82861"/>
    <w:rsid w:val="00C86896"/>
    <w:rsid w:val="00C907A8"/>
    <w:rsid w:val="00C91C4A"/>
    <w:rsid w:val="00C92BB6"/>
    <w:rsid w:val="00C93211"/>
    <w:rsid w:val="00C942EC"/>
    <w:rsid w:val="00C96047"/>
    <w:rsid w:val="00C979D0"/>
    <w:rsid w:val="00CA0818"/>
    <w:rsid w:val="00CA14C7"/>
    <w:rsid w:val="00CA15C8"/>
    <w:rsid w:val="00CA2C8F"/>
    <w:rsid w:val="00CA30DA"/>
    <w:rsid w:val="00CA3A24"/>
    <w:rsid w:val="00CB1777"/>
    <w:rsid w:val="00CB33E9"/>
    <w:rsid w:val="00CC10A9"/>
    <w:rsid w:val="00CE0B8A"/>
    <w:rsid w:val="00CE2BF8"/>
    <w:rsid w:val="00CE42A0"/>
    <w:rsid w:val="00CE484E"/>
    <w:rsid w:val="00CE656F"/>
    <w:rsid w:val="00CF0DA8"/>
    <w:rsid w:val="00CF2E25"/>
    <w:rsid w:val="00CF3F7F"/>
    <w:rsid w:val="00CF4453"/>
    <w:rsid w:val="00CF5D94"/>
    <w:rsid w:val="00CF66A6"/>
    <w:rsid w:val="00CF7E0F"/>
    <w:rsid w:val="00D00F00"/>
    <w:rsid w:val="00D0314F"/>
    <w:rsid w:val="00D034D7"/>
    <w:rsid w:val="00D04BE4"/>
    <w:rsid w:val="00D07217"/>
    <w:rsid w:val="00D07F6C"/>
    <w:rsid w:val="00D12565"/>
    <w:rsid w:val="00D130CC"/>
    <w:rsid w:val="00D14127"/>
    <w:rsid w:val="00D16EF2"/>
    <w:rsid w:val="00D2095C"/>
    <w:rsid w:val="00D36955"/>
    <w:rsid w:val="00D404CF"/>
    <w:rsid w:val="00D54925"/>
    <w:rsid w:val="00D55789"/>
    <w:rsid w:val="00D560CE"/>
    <w:rsid w:val="00D60B16"/>
    <w:rsid w:val="00D60F02"/>
    <w:rsid w:val="00D64386"/>
    <w:rsid w:val="00D66E49"/>
    <w:rsid w:val="00D70D71"/>
    <w:rsid w:val="00D71F05"/>
    <w:rsid w:val="00D72F74"/>
    <w:rsid w:val="00D81563"/>
    <w:rsid w:val="00D85907"/>
    <w:rsid w:val="00D85B95"/>
    <w:rsid w:val="00D9073E"/>
    <w:rsid w:val="00D9221D"/>
    <w:rsid w:val="00D94D42"/>
    <w:rsid w:val="00D958DF"/>
    <w:rsid w:val="00D96DA1"/>
    <w:rsid w:val="00DA51E7"/>
    <w:rsid w:val="00DA7297"/>
    <w:rsid w:val="00DB0260"/>
    <w:rsid w:val="00DB1C78"/>
    <w:rsid w:val="00DB7D96"/>
    <w:rsid w:val="00DC01A4"/>
    <w:rsid w:val="00DC08D5"/>
    <w:rsid w:val="00DC23FE"/>
    <w:rsid w:val="00DC4D55"/>
    <w:rsid w:val="00DC59E6"/>
    <w:rsid w:val="00DD150B"/>
    <w:rsid w:val="00DD5025"/>
    <w:rsid w:val="00DE5652"/>
    <w:rsid w:val="00DE6CB5"/>
    <w:rsid w:val="00DE7365"/>
    <w:rsid w:val="00DE7A56"/>
    <w:rsid w:val="00DF1510"/>
    <w:rsid w:val="00DF269F"/>
    <w:rsid w:val="00E026E4"/>
    <w:rsid w:val="00E02F1F"/>
    <w:rsid w:val="00E06484"/>
    <w:rsid w:val="00E15424"/>
    <w:rsid w:val="00E20A7D"/>
    <w:rsid w:val="00E275D8"/>
    <w:rsid w:val="00E30F6A"/>
    <w:rsid w:val="00E3117C"/>
    <w:rsid w:val="00E375CA"/>
    <w:rsid w:val="00E379D0"/>
    <w:rsid w:val="00E43019"/>
    <w:rsid w:val="00E53E6A"/>
    <w:rsid w:val="00E567E8"/>
    <w:rsid w:val="00E63680"/>
    <w:rsid w:val="00E64679"/>
    <w:rsid w:val="00E65EBC"/>
    <w:rsid w:val="00E677FE"/>
    <w:rsid w:val="00E70292"/>
    <w:rsid w:val="00E73432"/>
    <w:rsid w:val="00E77B0C"/>
    <w:rsid w:val="00E77FB8"/>
    <w:rsid w:val="00E80F28"/>
    <w:rsid w:val="00E838B0"/>
    <w:rsid w:val="00E86A7C"/>
    <w:rsid w:val="00E878E1"/>
    <w:rsid w:val="00E87F2C"/>
    <w:rsid w:val="00E910F9"/>
    <w:rsid w:val="00E92C29"/>
    <w:rsid w:val="00E95278"/>
    <w:rsid w:val="00E97C36"/>
    <w:rsid w:val="00EA2273"/>
    <w:rsid w:val="00EB1152"/>
    <w:rsid w:val="00EB2DB3"/>
    <w:rsid w:val="00EB781C"/>
    <w:rsid w:val="00EC3FBB"/>
    <w:rsid w:val="00EC6B7A"/>
    <w:rsid w:val="00ED21BA"/>
    <w:rsid w:val="00ED3A87"/>
    <w:rsid w:val="00ED5B67"/>
    <w:rsid w:val="00EE04AC"/>
    <w:rsid w:val="00EE54F3"/>
    <w:rsid w:val="00EE5B17"/>
    <w:rsid w:val="00EF264C"/>
    <w:rsid w:val="00EF3FEE"/>
    <w:rsid w:val="00EF3FF8"/>
    <w:rsid w:val="00EF5B6A"/>
    <w:rsid w:val="00EF79E0"/>
    <w:rsid w:val="00F04B59"/>
    <w:rsid w:val="00F10C43"/>
    <w:rsid w:val="00F11741"/>
    <w:rsid w:val="00F12B1C"/>
    <w:rsid w:val="00F13CF8"/>
    <w:rsid w:val="00F13DE5"/>
    <w:rsid w:val="00F15855"/>
    <w:rsid w:val="00F32978"/>
    <w:rsid w:val="00F417EE"/>
    <w:rsid w:val="00F44372"/>
    <w:rsid w:val="00F45CB2"/>
    <w:rsid w:val="00F544C0"/>
    <w:rsid w:val="00F55332"/>
    <w:rsid w:val="00F6504A"/>
    <w:rsid w:val="00F65519"/>
    <w:rsid w:val="00F713C0"/>
    <w:rsid w:val="00F74DDF"/>
    <w:rsid w:val="00F75DDC"/>
    <w:rsid w:val="00F7792F"/>
    <w:rsid w:val="00F842AA"/>
    <w:rsid w:val="00F8476F"/>
    <w:rsid w:val="00F853E1"/>
    <w:rsid w:val="00F85604"/>
    <w:rsid w:val="00F91387"/>
    <w:rsid w:val="00F936CA"/>
    <w:rsid w:val="00F94B7A"/>
    <w:rsid w:val="00FA17AC"/>
    <w:rsid w:val="00FA32DE"/>
    <w:rsid w:val="00FA3382"/>
    <w:rsid w:val="00FA59CD"/>
    <w:rsid w:val="00FB0BFE"/>
    <w:rsid w:val="00FB1740"/>
    <w:rsid w:val="00FB539E"/>
    <w:rsid w:val="00FB7A8E"/>
    <w:rsid w:val="00FC5469"/>
    <w:rsid w:val="00FC6D7D"/>
    <w:rsid w:val="00FC78B2"/>
    <w:rsid w:val="00FD16B0"/>
    <w:rsid w:val="00FD4FED"/>
    <w:rsid w:val="00FE0577"/>
    <w:rsid w:val="00FE4C49"/>
    <w:rsid w:val="00FE59EC"/>
    <w:rsid w:val="00FE5B67"/>
    <w:rsid w:val="00FE60D6"/>
    <w:rsid w:val="00FF34CB"/>
    <w:rsid w:val="00FF5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HeaderChar">
    <w:name w:val="Header Char"/>
    <w:basedOn w:val="DefaultParagraphFont"/>
    <w:link w:val="Header"/>
    <w:uiPriority w:val="99"/>
    <w:rsid w:val="0013249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HeaderChar">
    <w:name w:val="Header Char"/>
    <w:basedOn w:val="DefaultParagraphFont"/>
    <w:link w:val="Header"/>
    <w:uiPriority w:val="99"/>
    <w:rsid w:val="001324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94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9.png"/><Relationship Id="rId27"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562B7-DD57-4E6E-A420-C7DD92027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17</Pages>
  <Words>966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Charles Morgan</dc:creator>
  <cp:lastModifiedBy>Jackie Colson</cp:lastModifiedBy>
  <cp:revision>2</cp:revision>
  <cp:lastPrinted>2017-12-27T13:32:00Z</cp:lastPrinted>
  <dcterms:created xsi:type="dcterms:W3CDTF">2017-12-27T14:42:00Z</dcterms:created>
  <dcterms:modified xsi:type="dcterms:W3CDTF">2017-12-27T14:42:00Z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20170216-EI</vt:lpwstr>
  </property>
  <property fmtid="{D5CDD505-2E9C-101B-9397-08002B2CF9AE}" pid="3" name="MasterDocument">
    <vt:bool>false</vt:bool>
  </property>
</Properties>
</file>