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EE50C1" w:rsidRDefault="00421953" w:rsidP="00421953">
      <w:pPr>
        <w:pStyle w:val="OrderHeading"/>
      </w:pPr>
      <w:r w:rsidRPr="00EE50C1">
        <w:t>BEFORE THE FLORIDA PUBLIC SERVICE COMMISSION</w:t>
      </w:r>
    </w:p>
    <w:p w:rsidR="00421953" w:rsidRPr="00EE50C1" w:rsidRDefault="00421953" w:rsidP="00421953">
      <w:pPr>
        <w:pStyle w:val="OrderHeading"/>
      </w:pPr>
    </w:p>
    <w:p w:rsidR="00421953" w:rsidRPr="00EE50C1" w:rsidRDefault="00421953" w:rsidP="0042195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21953" w:rsidRPr="00EE50C1" w:rsidTr="009A53D0">
        <w:trPr>
          <w:trHeight w:val="828"/>
        </w:trPr>
        <w:tc>
          <w:tcPr>
            <w:tcW w:w="4788" w:type="dxa"/>
            <w:tcBorders>
              <w:bottom w:val="single" w:sz="8" w:space="0" w:color="auto"/>
              <w:right w:val="double" w:sz="6" w:space="0" w:color="auto"/>
            </w:tcBorders>
            <w:shd w:val="clear" w:color="auto" w:fill="auto"/>
          </w:tcPr>
          <w:p w:rsidR="00421953" w:rsidRPr="00EE50C1" w:rsidRDefault="00421953" w:rsidP="009A53D0">
            <w:pPr>
              <w:pStyle w:val="OrderBody"/>
              <w:tabs>
                <w:tab w:val="center" w:pos="4320"/>
                <w:tab w:val="right" w:pos="8640"/>
              </w:tabs>
              <w:jc w:val="left"/>
            </w:pPr>
            <w:r w:rsidRPr="00EE50C1">
              <w:t xml:space="preserve">In re: </w:t>
            </w:r>
            <w:bookmarkStart w:id="0" w:name="SSInRe"/>
            <w:bookmarkEnd w:id="0"/>
            <w:r w:rsidRPr="00EE50C1">
              <w:t>Environmental cost recovery clause.</w:t>
            </w:r>
          </w:p>
        </w:tc>
        <w:tc>
          <w:tcPr>
            <w:tcW w:w="4788" w:type="dxa"/>
            <w:tcBorders>
              <w:left w:val="double" w:sz="6" w:space="0" w:color="auto"/>
            </w:tcBorders>
            <w:shd w:val="clear" w:color="auto" w:fill="auto"/>
          </w:tcPr>
          <w:p w:rsidR="00421953" w:rsidRPr="00EE50C1" w:rsidRDefault="00421953" w:rsidP="00421953">
            <w:pPr>
              <w:pStyle w:val="OrderBody"/>
            </w:pPr>
            <w:r w:rsidRPr="00EE50C1">
              <w:t xml:space="preserve">DOCKET NO. </w:t>
            </w:r>
            <w:bookmarkStart w:id="1" w:name="SSDocketNo"/>
            <w:bookmarkEnd w:id="1"/>
            <w:r w:rsidRPr="00EE50C1">
              <w:t>201</w:t>
            </w:r>
            <w:r w:rsidR="000A1D5C">
              <w:t>8</w:t>
            </w:r>
            <w:r w:rsidRPr="00EE50C1">
              <w:t>000</w:t>
            </w:r>
            <w:r w:rsidR="0076315A">
              <w:t>7</w:t>
            </w:r>
            <w:r w:rsidRPr="00EE50C1">
              <w:t>-EI</w:t>
            </w:r>
          </w:p>
          <w:p w:rsidR="00421953" w:rsidRPr="00EE50C1" w:rsidRDefault="00421953" w:rsidP="009A53D0">
            <w:pPr>
              <w:pStyle w:val="OrderBody"/>
              <w:tabs>
                <w:tab w:val="center" w:pos="4320"/>
                <w:tab w:val="right" w:pos="8640"/>
              </w:tabs>
              <w:jc w:val="left"/>
            </w:pPr>
            <w:r w:rsidRPr="00EE50C1">
              <w:t xml:space="preserve">ORDER NO. </w:t>
            </w:r>
            <w:bookmarkStart w:id="2" w:name="OrderNo0014"/>
            <w:r w:rsidR="0092439F">
              <w:t>PSC-2018-0014-FOF-EI</w:t>
            </w:r>
            <w:bookmarkEnd w:id="2"/>
          </w:p>
          <w:p w:rsidR="00421953" w:rsidRPr="00EE50C1" w:rsidRDefault="00421953" w:rsidP="009A53D0">
            <w:pPr>
              <w:pStyle w:val="OrderBody"/>
              <w:tabs>
                <w:tab w:val="center" w:pos="4320"/>
                <w:tab w:val="right" w:pos="8640"/>
              </w:tabs>
              <w:jc w:val="left"/>
            </w:pPr>
            <w:r w:rsidRPr="00EE50C1">
              <w:t xml:space="preserve">ISSUED: </w:t>
            </w:r>
            <w:r w:rsidR="0092439F">
              <w:t>January 5, 2018</w:t>
            </w:r>
          </w:p>
        </w:tc>
      </w:tr>
    </w:tbl>
    <w:p w:rsidR="00421953" w:rsidRPr="00EE50C1" w:rsidRDefault="00421953" w:rsidP="00421953"/>
    <w:p w:rsidR="00421953" w:rsidRPr="00EE50C1" w:rsidRDefault="00421953" w:rsidP="00421953"/>
    <w:p w:rsidR="00421953" w:rsidRPr="00EE50C1" w:rsidRDefault="00421953">
      <w:pPr>
        <w:ind w:firstLine="720"/>
        <w:jc w:val="both"/>
      </w:pPr>
      <w:bookmarkStart w:id="3" w:name="Commissioners"/>
      <w:bookmarkEnd w:id="3"/>
      <w:r w:rsidRPr="00EE50C1">
        <w:t>The following Commissioners participated in the disposition of this matter:</w:t>
      </w:r>
    </w:p>
    <w:p w:rsidR="00421953" w:rsidRPr="00EE50C1" w:rsidRDefault="00421953"/>
    <w:p w:rsidR="00421953" w:rsidRPr="00EE50C1" w:rsidRDefault="00421953">
      <w:pPr>
        <w:jc w:val="center"/>
      </w:pPr>
      <w:r w:rsidRPr="00EE50C1">
        <w:t>JULIE I. BROWN, Chairman</w:t>
      </w:r>
    </w:p>
    <w:p w:rsidR="00421953" w:rsidRPr="00EE50C1" w:rsidRDefault="00421953">
      <w:pPr>
        <w:jc w:val="center"/>
      </w:pPr>
      <w:r w:rsidRPr="00EE50C1">
        <w:t>ART GRAHAM</w:t>
      </w:r>
    </w:p>
    <w:p w:rsidR="00421953" w:rsidRPr="00EE50C1" w:rsidRDefault="00421953">
      <w:pPr>
        <w:jc w:val="center"/>
      </w:pPr>
      <w:r w:rsidRPr="00EE50C1">
        <w:t>RONALD A. BRISÉ</w:t>
      </w:r>
    </w:p>
    <w:p w:rsidR="00421953" w:rsidRPr="00EE50C1" w:rsidRDefault="00421953">
      <w:pPr>
        <w:jc w:val="center"/>
      </w:pPr>
      <w:r w:rsidRPr="00EE50C1">
        <w:t>DONALD J. POLMANN</w:t>
      </w:r>
    </w:p>
    <w:p w:rsidR="00421953" w:rsidRPr="00EE50C1" w:rsidRDefault="00421953">
      <w:pPr>
        <w:jc w:val="center"/>
      </w:pPr>
      <w:r w:rsidRPr="00EE50C1">
        <w:t>GARY F. CLARK</w:t>
      </w:r>
    </w:p>
    <w:p w:rsidR="00421953" w:rsidRPr="00EE50C1" w:rsidRDefault="00421953"/>
    <w:p w:rsidR="00DE5957" w:rsidRPr="00EE50C1" w:rsidRDefault="00DE5957" w:rsidP="00DE5957">
      <w:pPr>
        <w:jc w:val="both"/>
      </w:pPr>
      <w:r w:rsidRPr="00EE50C1">
        <w:t>APPEARANCES:</w:t>
      </w:r>
    </w:p>
    <w:p w:rsidR="00DE5957" w:rsidRPr="00EE50C1" w:rsidRDefault="00DE5957" w:rsidP="00DE5957">
      <w:pPr>
        <w:jc w:val="both"/>
      </w:pPr>
    </w:p>
    <w:p w:rsidR="00DE5957" w:rsidRPr="00EE50C1" w:rsidRDefault="00DE5957" w:rsidP="00DE5957">
      <w:pPr>
        <w:ind w:left="1440"/>
        <w:jc w:val="both"/>
      </w:pPr>
      <w:r w:rsidRPr="00EE50C1">
        <w:t>R. WADE LITCHFIELD, ESQUIRE, Vice President and General Counsel, JOHN T. BUTLER, ESQUIRE, Assistant General Counsel – Regulatory, and JESSICA A. CANO, ESQUIRE, Senior Attorney, 700 Universe Boulevard, Juno Beach, Florida 33408-0420</w:t>
      </w:r>
    </w:p>
    <w:p w:rsidR="00DE5957" w:rsidRPr="00EE50C1" w:rsidRDefault="00DE5957" w:rsidP="00DE5957">
      <w:pPr>
        <w:ind w:left="1440"/>
        <w:jc w:val="both"/>
        <w:rPr>
          <w:u w:val="single"/>
        </w:rPr>
      </w:pPr>
      <w:r w:rsidRPr="00EE50C1">
        <w:rPr>
          <w:u w:val="single"/>
        </w:rPr>
        <w:t>On behalf of Florida Power &amp; Light Company (FPL</w:t>
      </w:r>
      <w:r w:rsidR="003A55D1">
        <w:rPr>
          <w:u w:val="single"/>
        </w:rPr>
        <w:t xml:space="preserve"> or Company</w:t>
      </w:r>
      <w:r w:rsidRPr="00EE50C1">
        <w:rPr>
          <w:u w:val="single"/>
        </w:rPr>
        <w:t>)</w:t>
      </w:r>
    </w:p>
    <w:p w:rsidR="00DE5957" w:rsidRPr="00EE50C1" w:rsidRDefault="00DE5957" w:rsidP="00DE5957">
      <w:pPr>
        <w:ind w:left="1440"/>
        <w:jc w:val="both"/>
        <w:rPr>
          <w:u w:val="single"/>
        </w:rPr>
      </w:pPr>
    </w:p>
    <w:p w:rsidR="00DE5957" w:rsidRPr="00EE50C1" w:rsidRDefault="00DE5957" w:rsidP="00DE5957">
      <w:pPr>
        <w:ind w:left="1440"/>
        <w:jc w:val="both"/>
      </w:pPr>
      <w:r w:rsidRPr="00EE50C1">
        <w:t>DIANNE M. TRIPLETT,  ESQUIRE, Deputy General Counsel, 299 First Avenue North, St. Petersburg, Florida 33701, and MATTHEW R. BERNIER, ESQUIRE, Associate General Counsel, 106 East College Avenue, Suite 800, Tallahassee, Florida 32301</w:t>
      </w:r>
    </w:p>
    <w:p w:rsidR="00DE5957" w:rsidRPr="00EE50C1" w:rsidRDefault="00DE5957" w:rsidP="00DE5957">
      <w:pPr>
        <w:ind w:left="1440"/>
        <w:jc w:val="both"/>
        <w:rPr>
          <w:u w:val="single"/>
        </w:rPr>
      </w:pPr>
      <w:r w:rsidRPr="00EE50C1">
        <w:rPr>
          <w:u w:val="single"/>
        </w:rPr>
        <w:t>On behalf of Duke Energy Florida, LLC. (DEF)</w:t>
      </w:r>
    </w:p>
    <w:p w:rsidR="00DE5957" w:rsidRPr="00EE50C1" w:rsidRDefault="00DE5957" w:rsidP="00DE5957">
      <w:pPr>
        <w:ind w:left="1440"/>
        <w:jc w:val="both"/>
        <w:rPr>
          <w:u w:val="single"/>
        </w:rPr>
      </w:pPr>
    </w:p>
    <w:p w:rsidR="00DE5957" w:rsidRPr="00EE50C1" w:rsidRDefault="00DE5957" w:rsidP="00DE5957">
      <w:pPr>
        <w:ind w:left="1440"/>
        <w:jc w:val="both"/>
      </w:pPr>
      <w:r w:rsidRPr="00EE50C1">
        <w:rPr>
          <w:caps/>
        </w:rPr>
        <w:t>James D. Beasley, Esquire, and J. Jeffry Wahlen, esquire</w:t>
      </w:r>
      <w:r w:rsidRPr="00EE50C1">
        <w:t>, Ausley McMullen, P. O. Box 391, Tallahassee, Florida 32302</w:t>
      </w:r>
    </w:p>
    <w:p w:rsidR="00DE5957" w:rsidRPr="00EE50C1" w:rsidRDefault="00DE5957" w:rsidP="00DE5957">
      <w:pPr>
        <w:ind w:left="1440"/>
        <w:jc w:val="both"/>
      </w:pPr>
      <w:r w:rsidRPr="00EE50C1">
        <w:rPr>
          <w:u w:val="single"/>
        </w:rPr>
        <w:t>On behalf of Tampa Electric Company (TECO</w:t>
      </w:r>
      <w:r w:rsidRPr="00EE50C1">
        <w:t>)</w:t>
      </w:r>
    </w:p>
    <w:p w:rsidR="00DE5957" w:rsidRPr="00EE50C1" w:rsidRDefault="00DE5957" w:rsidP="00DE5957">
      <w:pPr>
        <w:jc w:val="both"/>
      </w:pPr>
    </w:p>
    <w:p w:rsidR="00DE5957" w:rsidRPr="00EE50C1" w:rsidRDefault="00DE5957" w:rsidP="00DE5957">
      <w:pPr>
        <w:ind w:left="1440"/>
        <w:jc w:val="both"/>
      </w:pPr>
      <w:r w:rsidRPr="00EE50C1">
        <w:t>JEFFREY A. STONE, ESQUIRE,  Gulf Power Company, One Energy Place, Pensacola, FL 32520-0100, RUSSELL A. BADDERS, ESQUIRE and STEVEN R. GRIFFIN ESQUIRE,  Beggs &amp; Lane, P.O. Box 12950, Pensacola, FL 32591</w:t>
      </w:r>
      <w:r w:rsidRPr="00EE50C1">
        <w:noBreakHyphen/>
        <w:t>2950</w:t>
      </w:r>
    </w:p>
    <w:p w:rsidR="00DE5957" w:rsidRPr="00EE50C1" w:rsidRDefault="00DE5957" w:rsidP="00DE5957">
      <w:pPr>
        <w:spacing w:line="480" w:lineRule="auto"/>
        <w:ind w:firstLine="1440"/>
        <w:jc w:val="both"/>
      </w:pPr>
      <w:r w:rsidRPr="00EE50C1">
        <w:rPr>
          <w:u w:val="single"/>
        </w:rPr>
        <w:t>On behalf of Gulf Power Company (Gulf)</w:t>
      </w:r>
    </w:p>
    <w:p w:rsidR="00DE5957" w:rsidRPr="00EE50C1" w:rsidRDefault="00DE5957" w:rsidP="00DE5957">
      <w:pPr>
        <w:ind w:left="1440"/>
        <w:jc w:val="both"/>
      </w:pPr>
      <w:r w:rsidRPr="00EE50C1">
        <w:t xml:space="preserve">STEPHANIE A. MORSE, </w:t>
      </w:r>
      <w:r w:rsidRPr="00EE50C1">
        <w:rPr>
          <w:caps/>
        </w:rPr>
        <w:t>Esquire</w:t>
      </w:r>
      <w:r w:rsidRPr="00EE50C1">
        <w:t xml:space="preserve">, Associate Public Counsel, </w:t>
      </w:r>
      <w:r w:rsidRPr="00EE50C1">
        <w:rPr>
          <w:caps/>
        </w:rPr>
        <w:t xml:space="preserve">Patricia A. </w:t>
      </w:r>
      <w:r w:rsidRPr="00EE50C1">
        <w:t>CHRISTENSEN</w:t>
      </w:r>
      <w:r w:rsidRPr="00EE50C1">
        <w:rPr>
          <w:caps/>
        </w:rPr>
        <w:t xml:space="preserve">, Esquire, </w:t>
      </w:r>
      <w:r w:rsidRPr="00EE50C1">
        <w:t>Associate Public Counsel,</w:t>
      </w:r>
      <w:r w:rsidRPr="00EE50C1">
        <w:rPr>
          <w:caps/>
        </w:rPr>
        <w:t xml:space="preserve"> </w:t>
      </w:r>
      <w:r w:rsidRPr="00EE50C1">
        <w:t>and</w:t>
      </w:r>
      <w:r w:rsidRPr="00EE50C1">
        <w:rPr>
          <w:caps/>
        </w:rPr>
        <w:t xml:space="preserve"> Charles Rehwinkel, Esquire</w:t>
      </w:r>
      <w:r w:rsidRPr="00EE50C1">
        <w:t xml:space="preserve">, Deputy Public Counsel, c/o The Florida Legislature, 111 West Madison Street, Room 812, Tallahassee, Florida 32399-1400 </w:t>
      </w:r>
    </w:p>
    <w:p w:rsidR="00DE5957" w:rsidRPr="00EE50C1" w:rsidRDefault="00DE5957" w:rsidP="00DE5957">
      <w:pPr>
        <w:spacing w:line="480" w:lineRule="auto"/>
        <w:ind w:firstLine="1440"/>
        <w:jc w:val="both"/>
        <w:rPr>
          <w:u w:val="single"/>
        </w:rPr>
      </w:pPr>
      <w:r w:rsidRPr="00EE50C1">
        <w:rPr>
          <w:u w:val="single"/>
        </w:rPr>
        <w:t>On behalf of the Citizens of the State of Florida (OPC)</w:t>
      </w:r>
    </w:p>
    <w:p w:rsidR="00DE5957" w:rsidRPr="00EE50C1" w:rsidRDefault="00DE5957" w:rsidP="00DE5957">
      <w:pPr>
        <w:ind w:left="1440"/>
        <w:jc w:val="both"/>
      </w:pPr>
      <w:r w:rsidRPr="00EE50C1">
        <w:rPr>
          <w:caps/>
        </w:rPr>
        <w:lastRenderedPageBreak/>
        <w:t xml:space="preserve">Jon C. Moyle, Jr., Esquire, </w:t>
      </w:r>
      <w:r w:rsidRPr="00EE50C1">
        <w:t>and</w:t>
      </w:r>
      <w:r w:rsidRPr="00EE50C1">
        <w:rPr>
          <w:caps/>
        </w:rPr>
        <w:t xml:space="preserve"> Karen Putnal, Esquire</w:t>
      </w:r>
      <w:r w:rsidRPr="00EE50C1">
        <w:t>, Moyle Law Firm, P.A., 118 North Gadsden Street, Tallahassee, FL  32312</w:t>
      </w:r>
    </w:p>
    <w:p w:rsidR="00DE5957" w:rsidRPr="00EE50C1" w:rsidRDefault="00DE5957" w:rsidP="00DE5957">
      <w:pPr>
        <w:ind w:left="720" w:firstLine="720"/>
        <w:jc w:val="both"/>
      </w:pPr>
      <w:r w:rsidRPr="00EE50C1">
        <w:rPr>
          <w:u w:val="single"/>
        </w:rPr>
        <w:t>On behalf of Florida Industrial Power Users Group (FIPUG)</w:t>
      </w:r>
      <w:r w:rsidRPr="00EE50C1">
        <w:t xml:space="preserve"> </w:t>
      </w:r>
    </w:p>
    <w:p w:rsidR="00DE5957" w:rsidRPr="00EE50C1" w:rsidRDefault="00DE5957" w:rsidP="00DE5957">
      <w:pPr>
        <w:ind w:left="1440"/>
        <w:jc w:val="both"/>
      </w:pPr>
    </w:p>
    <w:p w:rsidR="00DE5957" w:rsidRPr="00EE50C1" w:rsidRDefault="00DE5957" w:rsidP="00DE5957">
      <w:pPr>
        <w:ind w:left="1440"/>
        <w:jc w:val="both"/>
      </w:pPr>
      <w:r w:rsidRPr="00EE50C1">
        <w:rPr>
          <w:caps/>
        </w:rPr>
        <w:t xml:space="preserve">GEORGE CAVROS, </w:t>
      </w:r>
      <w:r w:rsidRPr="00EE50C1">
        <w:t>ESQUIRE, 120 E. Oakland Park Boulevard, Suite 105, Fort Lauderdale, Florida, 33334</w:t>
      </w:r>
    </w:p>
    <w:p w:rsidR="00DE5957" w:rsidRPr="00EE50C1" w:rsidRDefault="00DE5957" w:rsidP="00DE5957">
      <w:pPr>
        <w:ind w:left="720" w:firstLine="720"/>
        <w:jc w:val="both"/>
      </w:pPr>
      <w:r w:rsidRPr="00EE50C1">
        <w:rPr>
          <w:u w:val="single"/>
        </w:rPr>
        <w:t>On behalf of the Southern Alliance for Clean Energy (SACE)</w:t>
      </w:r>
    </w:p>
    <w:p w:rsidR="00DE5957" w:rsidRPr="00EE50C1" w:rsidRDefault="00DE5957" w:rsidP="00DE5957">
      <w:pPr>
        <w:ind w:left="1440"/>
        <w:jc w:val="both"/>
        <w:rPr>
          <w:caps/>
        </w:rPr>
      </w:pPr>
    </w:p>
    <w:p w:rsidR="00DE5957" w:rsidRPr="00EE50C1" w:rsidRDefault="00DE5957" w:rsidP="00DE5957">
      <w:pPr>
        <w:ind w:left="1440"/>
        <w:jc w:val="both"/>
      </w:pPr>
      <w:r w:rsidRPr="00EE50C1">
        <w:rPr>
          <w:caps/>
        </w:rPr>
        <w:t xml:space="preserve">Charles W. Murphy, ESQUIRE, STEPHANIE A. CUELLO, ESQUIRE, and MARGO A. DUVAL, ESQUIRE, </w:t>
      </w:r>
      <w:r w:rsidRPr="00EE50C1">
        <w:t>Florida Public Service Commission, 2540 Shumard Oak Boulevard, Tallahassee, Florida 32399-0850</w:t>
      </w:r>
    </w:p>
    <w:p w:rsidR="00DE5957" w:rsidRPr="00EE50C1" w:rsidRDefault="00DE5957" w:rsidP="00DE5957">
      <w:pPr>
        <w:ind w:left="720" w:firstLine="720"/>
        <w:jc w:val="both"/>
      </w:pPr>
      <w:r w:rsidRPr="00EE50C1">
        <w:rPr>
          <w:u w:val="single"/>
        </w:rPr>
        <w:t>On behalf of the Florida Public Service Commission (Staff)</w:t>
      </w:r>
    </w:p>
    <w:p w:rsidR="00DE5957" w:rsidRPr="00EE50C1" w:rsidRDefault="00DE5957" w:rsidP="00DE5957">
      <w:pPr>
        <w:ind w:left="1440"/>
        <w:jc w:val="both"/>
      </w:pPr>
    </w:p>
    <w:p w:rsidR="00DE5957" w:rsidRPr="00EE50C1" w:rsidRDefault="00DE5957" w:rsidP="00DE5957">
      <w:pPr>
        <w:ind w:left="1440"/>
        <w:jc w:val="both"/>
      </w:pPr>
      <w:r w:rsidRPr="00EE50C1">
        <w:t>MARY ANNE HELTON, ESQUIRE, Deputy General Counsel, Florida Public Service Commission, 2540 Shumard Oak Boulevard, Tallahassee, Florida 32399-0850</w:t>
      </w:r>
    </w:p>
    <w:p w:rsidR="00DE5957" w:rsidRPr="00EE50C1" w:rsidRDefault="00DE5957" w:rsidP="00DE5957">
      <w:pPr>
        <w:ind w:left="720" w:firstLine="720"/>
        <w:jc w:val="both"/>
      </w:pPr>
      <w:r w:rsidRPr="00EE50C1">
        <w:rPr>
          <w:u w:val="single"/>
        </w:rPr>
        <w:t>Advisor to the Florida Public Service Commission</w:t>
      </w:r>
    </w:p>
    <w:p w:rsidR="00DE5957" w:rsidRPr="00EE50C1" w:rsidRDefault="00DE5957" w:rsidP="00DE5957">
      <w:pPr>
        <w:jc w:val="both"/>
        <w:rPr>
          <w:b/>
          <w:bCs/>
          <w:u w:val="single"/>
        </w:rPr>
      </w:pPr>
    </w:p>
    <w:p w:rsidR="00DE5957" w:rsidRPr="00EE50C1" w:rsidRDefault="00DE5957" w:rsidP="00DE5957">
      <w:pPr>
        <w:ind w:left="1440"/>
        <w:jc w:val="both"/>
      </w:pPr>
      <w:r w:rsidRPr="00EE50C1">
        <w:t>KEITH HETRICK, ESQUIRE, General Counsel, Florida Public Service Commission, 2540 Shumard Oak Boulevard, Tallahassee, Florida 32399-0850</w:t>
      </w:r>
    </w:p>
    <w:p w:rsidR="00DE5957" w:rsidRPr="00EE50C1" w:rsidRDefault="00DE5957" w:rsidP="00DE5957">
      <w:pPr>
        <w:ind w:left="720" w:firstLine="720"/>
        <w:jc w:val="both"/>
      </w:pPr>
      <w:r w:rsidRPr="00EE50C1">
        <w:rPr>
          <w:u w:val="single"/>
        </w:rPr>
        <w:t>Florida Public Service Commission General Counsel</w:t>
      </w:r>
    </w:p>
    <w:p w:rsidR="00DE5957" w:rsidRPr="00EE50C1" w:rsidRDefault="00DE5957" w:rsidP="00DE5957">
      <w:pPr>
        <w:ind w:left="720" w:firstLine="720"/>
        <w:jc w:val="both"/>
      </w:pPr>
    </w:p>
    <w:p w:rsidR="00421953" w:rsidRPr="00EE50C1" w:rsidRDefault="00421953"/>
    <w:p w:rsidR="00744DB7" w:rsidRPr="00EE50C1" w:rsidRDefault="00744DB7" w:rsidP="00744DB7">
      <w:pPr>
        <w:pStyle w:val="CenterUnderline"/>
      </w:pPr>
      <w:r w:rsidRPr="00EE50C1">
        <w:t xml:space="preserve">FINAL ORDER </w:t>
      </w:r>
    </w:p>
    <w:p w:rsidR="00744DB7" w:rsidRPr="00EE50C1" w:rsidRDefault="00744DB7" w:rsidP="00744DB7">
      <w:pPr>
        <w:pStyle w:val="CenterUnderline"/>
      </w:pPr>
      <w:r w:rsidRPr="00EE50C1">
        <w:t>APPROVING PROJECTED EXPENDITURES AND TRUE-UP</w:t>
      </w:r>
    </w:p>
    <w:p w:rsidR="00744DB7" w:rsidRPr="00EE50C1" w:rsidRDefault="00744DB7" w:rsidP="00744DB7">
      <w:pPr>
        <w:pStyle w:val="CenterUnderline"/>
      </w:pPr>
      <w:r w:rsidRPr="00EE50C1">
        <w:t xml:space="preserve"> AMOUNTS FOR ENVIRONMENTAL COST RECOVERY</w:t>
      </w:r>
    </w:p>
    <w:p w:rsidR="00421953" w:rsidRPr="00EE50C1" w:rsidRDefault="00421953" w:rsidP="00421953">
      <w:pPr>
        <w:pStyle w:val="CenterUnderline"/>
      </w:pPr>
    </w:p>
    <w:p w:rsidR="00F910A9" w:rsidRDefault="00F910A9" w:rsidP="00421953">
      <w:pPr>
        <w:pStyle w:val="OrderBody"/>
      </w:pPr>
    </w:p>
    <w:p w:rsidR="00421953" w:rsidRPr="00EE50C1" w:rsidRDefault="00421953" w:rsidP="00421953">
      <w:pPr>
        <w:pStyle w:val="OrderBody"/>
      </w:pPr>
      <w:r w:rsidRPr="00EE50C1">
        <w:t>BY THE COMMISSION:</w:t>
      </w:r>
    </w:p>
    <w:p w:rsidR="00421953" w:rsidRPr="00EE50C1" w:rsidRDefault="00421953" w:rsidP="00421953">
      <w:pPr>
        <w:pStyle w:val="OrderBody"/>
      </w:pPr>
    </w:p>
    <w:p w:rsidR="00421953" w:rsidRDefault="00421953" w:rsidP="00421953">
      <w:pPr>
        <w:ind w:left="720" w:hanging="720"/>
        <w:jc w:val="center"/>
        <w:rPr>
          <w:u w:val="single"/>
        </w:rPr>
      </w:pPr>
      <w:bookmarkStart w:id="4" w:name="OrderText"/>
      <w:bookmarkEnd w:id="4"/>
      <w:r w:rsidRPr="00EE50C1">
        <w:rPr>
          <w:u w:val="single"/>
        </w:rPr>
        <w:t>BACKGROUND</w:t>
      </w:r>
    </w:p>
    <w:p w:rsidR="004017B8" w:rsidRPr="00EE50C1" w:rsidRDefault="004017B8" w:rsidP="00421953">
      <w:pPr>
        <w:ind w:left="720" w:hanging="720"/>
        <w:jc w:val="center"/>
        <w:rPr>
          <w:u w:val="single"/>
        </w:rPr>
      </w:pPr>
    </w:p>
    <w:p w:rsidR="00421953" w:rsidRPr="00EE50C1" w:rsidRDefault="0008261A" w:rsidP="00421953">
      <w:pPr>
        <w:jc w:val="both"/>
      </w:pPr>
      <w:r>
        <w:tab/>
      </w:r>
      <w:r w:rsidR="00A64BC0">
        <w:t xml:space="preserve">In this </w:t>
      </w:r>
      <w:r w:rsidR="000E47D2">
        <w:t>Environmental Cost Recovery Clause (ECRC) docket</w:t>
      </w:r>
      <w:r w:rsidR="00A64BC0">
        <w:t xml:space="preserve">, </w:t>
      </w:r>
      <w:r w:rsidR="00407EE8" w:rsidRPr="00EE50C1">
        <w:t>the Florida Public Service Commission (Commission)</w:t>
      </w:r>
      <w:r>
        <w:t xml:space="preserve"> review</w:t>
      </w:r>
      <w:r w:rsidR="00407EE8">
        <w:t>s</w:t>
      </w:r>
      <w:r>
        <w:t xml:space="preserve"> </w:t>
      </w:r>
      <w:r w:rsidR="00407EE8">
        <w:t xml:space="preserve">petitions for environmental cost recovery filed by </w:t>
      </w:r>
      <w:r>
        <w:t>Florida Power and Light Company (FPL</w:t>
      </w:r>
      <w:r w:rsidR="00A64BC0">
        <w:t xml:space="preserve"> or Company</w:t>
      </w:r>
      <w:r>
        <w:t xml:space="preserve">), Duke Energy Florida (DEF), Gulf Power Company (Gulf), </w:t>
      </w:r>
      <w:r w:rsidR="00686849">
        <w:t xml:space="preserve">and </w:t>
      </w:r>
      <w:r>
        <w:t>Tampa Electric Company (TECO)</w:t>
      </w:r>
      <w:r w:rsidR="000E47D2">
        <w:t>, pursuant to Section 366.8255, Florida Statutes (F.S.)</w:t>
      </w:r>
      <w:r w:rsidR="00407EE8">
        <w:t>.</w:t>
      </w:r>
      <w:r>
        <w:t xml:space="preserve"> The Office of Public Counsel (OPC), the Southern Alliance for Clean Energy (SACE), Florida Industrial Power Users Group (FIPUG)</w:t>
      </w:r>
      <w:r w:rsidR="00407EE8">
        <w:t xml:space="preserve">, and </w:t>
      </w:r>
      <w:r w:rsidR="000E47D2" w:rsidRPr="00EE50C1">
        <w:t>White Springs Agricultural Chemicals, Inc., d/b/a PCS Phosphate – White Springs (PCS)</w:t>
      </w:r>
      <w:r w:rsidR="000E47D2">
        <w:t xml:space="preserve"> were </w:t>
      </w:r>
      <w:r w:rsidR="008F376A">
        <w:t>intervenors</w:t>
      </w:r>
      <w:r w:rsidR="00407EE8">
        <w:t xml:space="preserve"> in this docket</w:t>
      </w:r>
      <w:r w:rsidR="000E47D2">
        <w:t xml:space="preserve">. </w:t>
      </w:r>
      <w:r w:rsidR="00421953" w:rsidRPr="00EE50C1">
        <w:t xml:space="preserve">As part of </w:t>
      </w:r>
      <w:r w:rsidR="00407EE8">
        <w:t>our</w:t>
      </w:r>
      <w:r w:rsidR="00976145" w:rsidRPr="00EE50C1">
        <w:t xml:space="preserve"> </w:t>
      </w:r>
      <w:r w:rsidR="00421953" w:rsidRPr="00EE50C1">
        <w:t xml:space="preserve">continuing </w:t>
      </w:r>
      <w:r w:rsidR="00976145" w:rsidRPr="00EE50C1">
        <w:t xml:space="preserve">ECRC </w:t>
      </w:r>
      <w:r w:rsidR="00421953" w:rsidRPr="00EE50C1">
        <w:t xml:space="preserve">proceedings, a hearing was held in this docket on October </w:t>
      </w:r>
      <w:r w:rsidR="0007419D" w:rsidRPr="00EE50C1">
        <w:t>25-27</w:t>
      </w:r>
      <w:r w:rsidR="00421953" w:rsidRPr="00EE50C1">
        <w:t xml:space="preserve">, 2017. </w:t>
      </w:r>
      <w:r w:rsidR="00836824" w:rsidRPr="00EE50C1">
        <w:t xml:space="preserve">PCS was excused from the hearing. </w:t>
      </w:r>
    </w:p>
    <w:p w:rsidR="00BE4416" w:rsidRPr="00EE50C1" w:rsidRDefault="00BE4416" w:rsidP="00421953">
      <w:pPr>
        <w:jc w:val="both"/>
      </w:pPr>
    </w:p>
    <w:p w:rsidR="00BF6EC0" w:rsidRPr="00EE50C1" w:rsidRDefault="00EE50C1" w:rsidP="000C7094">
      <w:pPr>
        <w:spacing w:after="240"/>
        <w:jc w:val="both"/>
      </w:pPr>
      <w:r>
        <w:tab/>
      </w:r>
      <w:r w:rsidR="00D269FA" w:rsidRPr="00EE50C1">
        <w:t xml:space="preserve">The parties have resolved all issues </w:t>
      </w:r>
      <w:r w:rsidR="00D269FA" w:rsidRPr="00EE50C1">
        <w:rPr>
          <w:i/>
        </w:rPr>
        <w:t>except</w:t>
      </w:r>
      <w:r w:rsidR="00870F9E">
        <w:t xml:space="preserve"> I</w:t>
      </w:r>
      <w:r w:rsidR="00D269FA" w:rsidRPr="00EE50C1">
        <w:t>ssues 10A-10E</w:t>
      </w:r>
      <w:r w:rsidR="00A64BC0">
        <w:t xml:space="preserve">. The contested issues </w:t>
      </w:r>
      <w:r w:rsidR="00C646B0">
        <w:t>are discussed</w:t>
      </w:r>
      <w:r w:rsidR="00A64BC0">
        <w:t xml:space="preserve"> at Sections I-V of </w:t>
      </w:r>
      <w:r w:rsidR="00C646B0">
        <w:t>this Order</w:t>
      </w:r>
      <w:r w:rsidR="00B77ACB" w:rsidRPr="00EE50C1">
        <w:t>. O</w:t>
      </w:r>
      <w:r w:rsidR="00D269FA" w:rsidRPr="00EE50C1">
        <w:t>ur staff, DEF, FPL, Gulf, and TECO support</w:t>
      </w:r>
      <w:r w:rsidR="00976145" w:rsidRPr="00EE50C1">
        <w:t>ed</w:t>
      </w:r>
      <w:r w:rsidR="00D269FA" w:rsidRPr="00EE50C1">
        <w:t xml:space="preserve"> the proposed stipulation </w:t>
      </w:r>
      <w:r w:rsidR="00836824" w:rsidRPr="00EE50C1">
        <w:t xml:space="preserve">of </w:t>
      </w:r>
      <w:r w:rsidR="00D269FA" w:rsidRPr="00EE50C1">
        <w:t xml:space="preserve">Issues 1-9, 10F-G, 11, 12A-C, </w:t>
      </w:r>
      <w:r w:rsidR="00836824" w:rsidRPr="00EE50C1">
        <w:t xml:space="preserve">and 13, </w:t>
      </w:r>
      <w:r w:rsidR="000E47D2">
        <w:t xml:space="preserve">which are </w:t>
      </w:r>
      <w:r w:rsidR="00B77ACB" w:rsidRPr="00EE50C1">
        <w:t>s</w:t>
      </w:r>
      <w:r w:rsidR="00D269FA" w:rsidRPr="00EE50C1">
        <w:t xml:space="preserve">et </w:t>
      </w:r>
      <w:r w:rsidR="00A64BC0">
        <w:t xml:space="preserve">forth </w:t>
      </w:r>
      <w:r w:rsidR="00870F9E">
        <w:t>in Attac</w:t>
      </w:r>
      <w:r w:rsidR="00EB08CE" w:rsidRPr="00EE50C1">
        <w:t xml:space="preserve">hment </w:t>
      </w:r>
      <w:r w:rsidR="00EB08CE" w:rsidRPr="00EE50C1">
        <w:lastRenderedPageBreak/>
        <w:t xml:space="preserve">A of this Order. </w:t>
      </w:r>
      <w:r w:rsidR="00D269FA" w:rsidRPr="00EE50C1">
        <w:t>SACE, PCS, and FIPUG t</w:t>
      </w:r>
      <w:r w:rsidR="000A1F7C">
        <w:t>ook</w:t>
      </w:r>
      <w:r w:rsidR="00D269FA" w:rsidRPr="00EE50C1">
        <w:t xml:space="preserve"> no position on the stipulations. OPC t</w:t>
      </w:r>
      <w:r w:rsidR="000A1F7C">
        <w:t>ook</w:t>
      </w:r>
      <w:r w:rsidR="00D269FA" w:rsidRPr="00EE50C1">
        <w:t xml:space="preserve"> no position on all </w:t>
      </w:r>
      <w:r w:rsidR="00870F9E">
        <w:t>of the stipulations except for I</w:t>
      </w:r>
      <w:r w:rsidR="00D269FA" w:rsidRPr="00EE50C1">
        <w:t>ssue 10G</w:t>
      </w:r>
      <w:r w:rsidR="00C646B0">
        <w:t>,</w:t>
      </w:r>
      <w:r w:rsidR="00D269FA" w:rsidRPr="00EE50C1">
        <w:t xml:space="preserve"> which it d</w:t>
      </w:r>
      <w:r w:rsidR="000A1F7C">
        <w:t>id</w:t>
      </w:r>
      <w:r w:rsidR="00D269FA" w:rsidRPr="00EE50C1">
        <w:t xml:space="preserve"> not oppose and affirmatively state</w:t>
      </w:r>
      <w:r w:rsidR="000A1F7C">
        <w:t>d</w:t>
      </w:r>
      <w:r w:rsidR="00D269FA" w:rsidRPr="00EE50C1">
        <w:t xml:space="preserve"> that “OPC does not object to the process proposed by FPL.” </w:t>
      </w:r>
      <w:r w:rsidR="008F376A">
        <w:t>W</w:t>
      </w:r>
      <w:r w:rsidR="00F910A9">
        <w:t>e approved t</w:t>
      </w:r>
      <w:r w:rsidR="004C0A51" w:rsidRPr="00EE50C1">
        <w:t>he stipulations by a bench vote at the October 25, 2017 hearing</w:t>
      </w:r>
      <w:r w:rsidR="00686849">
        <w:t xml:space="preserve">. </w:t>
      </w:r>
      <w:r w:rsidR="00A64BC0">
        <w:t xml:space="preserve">The contested issues </w:t>
      </w:r>
      <w:r w:rsidR="00B77ACB" w:rsidRPr="00EE50C1">
        <w:t>relate to the FPL Turkey Point Cooling Canal</w:t>
      </w:r>
      <w:r w:rsidR="003B0130" w:rsidRPr="00EE50C1">
        <w:t xml:space="preserve"> </w:t>
      </w:r>
      <w:r w:rsidR="00003666">
        <w:t xml:space="preserve">Monitoring </w:t>
      </w:r>
      <w:r w:rsidR="003B0130" w:rsidRPr="00EE50C1">
        <w:t>Plan</w:t>
      </w:r>
      <w:r w:rsidR="00B77ACB" w:rsidRPr="00EE50C1">
        <w:t xml:space="preserve"> Project</w:t>
      </w:r>
      <w:r w:rsidR="00003666">
        <w:t xml:space="preserve"> </w:t>
      </w:r>
      <w:r w:rsidR="00003666" w:rsidRPr="00EE50C1">
        <w:t>(TP</w:t>
      </w:r>
      <w:r w:rsidR="00003666">
        <w:t>-</w:t>
      </w:r>
      <w:r w:rsidR="00003666" w:rsidRPr="00EE50C1">
        <w:t>CCMP or Monitoring Plan)</w:t>
      </w:r>
      <w:r w:rsidR="00003666">
        <w:t xml:space="preserve">. </w:t>
      </w:r>
      <w:r w:rsidR="00EB08CE" w:rsidRPr="00EE50C1">
        <w:t xml:space="preserve">To the extent that our decisions regarding </w:t>
      </w:r>
      <w:r w:rsidR="006B6409" w:rsidRPr="00EE50C1">
        <w:t xml:space="preserve">the </w:t>
      </w:r>
      <w:r w:rsidR="00003666" w:rsidRPr="00EE50C1">
        <w:t>Monitoring Plan</w:t>
      </w:r>
      <w:r w:rsidR="00003666">
        <w:t xml:space="preserve"> </w:t>
      </w:r>
      <w:r w:rsidR="00976145" w:rsidRPr="00EE50C1">
        <w:t xml:space="preserve">change the amount approved for recovery, </w:t>
      </w:r>
      <w:r w:rsidR="00B77ACB" w:rsidRPr="00EE50C1">
        <w:t xml:space="preserve">the </w:t>
      </w:r>
      <w:r w:rsidR="006B6409" w:rsidRPr="00EE50C1">
        <w:t xml:space="preserve">numbers for </w:t>
      </w:r>
      <w:r w:rsidR="00B77ACB" w:rsidRPr="00EE50C1">
        <w:t>FPL</w:t>
      </w:r>
      <w:r w:rsidR="006B6409" w:rsidRPr="00EE50C1">
        <w:t>,</w:t>
      </w:r>
      <w:r w:rsidR="00B77ACB" w:rsidRPr="00EE50C1">
        <w:t xml:space="preserve"> identified </w:t>
      </w:r>
      <w:r w:rsidR="00EB08CE" w:rsidRPr="00EE50C1">
        <w:t xml:space="preserve">in Attachment A </w:t>
      </w:r>
      <w:r w:rsidR="00B77ACB" w:rsidRPr="00EE50C1">
        <w:t>by an asterisk</w:t>
      </w:r>
      <w:r w:rsidR="006B6409" w:rsidRPr="00EE50C1">
        <w:t>,</w:t>
      </w:r>
      <w:r w:rsidR="00B77ACB" w:rsidRPr="00EE50C1">
        <w:t xml:space="preserve"> may need to be </w:t>
      </w:r>
      <w:r w:rsidR="004C0A51" w:rsidRPr="00EE50C1">
        <w:t>“trued</w:t>
      </w:r>
      <w:r w:rsidR="00991425">
        <w:t>-</w:t>
      </w:r>
      <w:r w:rsidR="004C0A51" w:rsidRPr="00EE50C1">
        <w:t xml:space="preserve"> up” in </w:t>
      </w:r>
      <w:r w:rsidR="00EB08CE" w:rsidRPr="00EE50C1">
        <w:t>a subsequent ECRC filing.</w:t>
      </w:r>
      <w:r w:rsidR="000C7094" w:rsidRPr="00EE50C1">
        <w:t xml:space="preserve"> </w:t>
      </w:r>
      <w:bookmarkStart w:id="5" w:name="CaseBackground"/>
      <w:r w:rsidR="000C7094" w:rsidRPr="00EE50C1">
        <w:t xml:space="preserve">A non-exhaustive list of acronyms related to the </w:t>
      </w:r>
      <w:r w:rsidR="00281637">
        <w:t>contested issues</w:t>
      </w:r>
      <w:r w:rsidR="000C7094" w:rsidRPr="00EE50C1">
        <w:t xml:space="preserve"> is included in this Order as Attachment B.</w:t>
      </w:r>
    </w:p>
    <w:p w:rsidR="00BF6EC0" w:rsidRPr="00EE50C1" w:rsidRDefault="00976145" w:rsidP="00BF6EC0">
      <w:pPr>
        <w:ind w:firstLine="720"/>
        <w:jc w:val="both"/>
      </w:pPr>
      <w:r w:rsidRPr="00EE50C1">
        <w:t xml:space="preserve">FPL operates the Turkey Point Power Plant (Turkey Point), which </w:t>
      </w:r>
      <w:r w:rsidR="000A1F7C">
        <w:t>has</w:t>
      </w:r>
      <w:r w:rsidRPr="00EE50C1">
        <w:t xml:space="preserve"> multiple generating units, including Units 3 and 4, which are nuclear steam units. For cooling</w:t>
      </w:r>
      <w:r w:rsidR="000A1F7C">
        <w:t xml:space="preserve"> </w:t>
      </w:r>
      <w:r w:rsidRPr="00EE50C1">
        <w:t xml:space="preserve">these generating units, FPL utilizes a 5,900 acre cooling canal system (CCS) that was placed in service in 1973. </w:t>
      </w:r>
      <w:r w:rsidR="004C0A51" w:rsidRPr="00EE50C1">
        <w:t>By Order No. PSC-09-0759-FOF-EI (Approval Order),</w:t>
      </w:r>
      <w:r w:rsidR="004C0A51" w:rsidRPr="00EE50C1">
        <w:rPr>
          <w:vertAlign w:val="superscript"/>
        </w:rPr>
        <w:footnoteReference w:id="1"/>
      </w:r>
      <w:r w:rsidR="004C0A51" w:rsidRPr="00EE50C1">
        <w:t xml:space="preserve"> issued o</w:t>
      </w:r>
      <w:r w:rsidRPr="00EE50C1">
        <w:t xml:space="preserve">n November 18, 2009, </w:t>
      </w:r>
      <w:r w:rsidR="004C0A51" w:rsidRPr="00EE50C1">
        <w:t>we</w:t>
      </w:r>
      <w:r w:rsidRPr="00EE50C1">
        <w:t xml:space="preserve"> approved the Monitoring Plan</w:t>
      </w:r>
      <w:r w:rsidR="00003666">
        <w:t xml:space="preserve"> </w:t>
      </w:r>
      <w:r w:rsidRPr="00EE50C1">
        <w:t>for cost recovery through the ECRC</w:t>
      </w:r>
      <w:r w:rsidR="004C0A51" w:rsidRPr="00EE50C1">
        <w:t xml:space="preserve">. </w:t>
      </w:r>
    </w:p>
    <w:p w:rsidR="004C0A51" w:rsidRPr="00EE50C1" w:rsidRDefault="004C0A51" w:rsidP="00BF6EC0">
      <w:pPr>
        <w:ind w:firstLine="720"/>
        <w:jc w:val="both"/>
      </w:pPr>
    </w:p>
    <w:p w:rsidR="00976145" w:rsidRPr="00EE50C1" w:rsidRDefault="00976145" w:rsidP="00976145">
      <w:pPr>
        <w:spacing w:after="240"/>
        <w:jc w:val="both"/>
      </w:pPr>
      <w:r w:rsidRPr="00EE50C1">
        <w:tab/>
        <w:t xml:space="preserve">On September 2, 2016, FPL filed projection testimony in the ECRC </w:t>
      </w:r>
      <w:r w:rsidR="00FE0834">
        <w:t xml:space="preserve">docket </w:t>
      </w:r>
      <w:r w:rsidRPr="00EE50C1">
        <w:t xml:space="preserve">for the </w:t>
      </w:r>
      <w:r w:rsidR="000E47D2" w:rsidRPr="00EE50C1">
        <w:t xml:space="preserve">Monitoring Plan </w:t>
      </w:r>
      <w:r w:rsidRPr="00EE50C1">
        <w:t xml:space="preserve">that included </w:t>
      </w:r>
      <w:r w:rsidR="000A1F7C">
        <w:t xml:space="preserve">a </w:t>
      </w:r>
      <w:r w:rsidRPr="00EE50C1">
        <w:t xml:space="preserve">request for recovery of costs associated with recent actions of two of its environmental regulators. FPL entered into a Consent Agreement (CA) </w:t>
      </w:r>
      <w:r w:rsidR="00FC2621" w:rsidRPr="00EE50C1">
        <w:t>with the</w:t>
      </w:r>
      <w:r w:rsidRPr="00EE50C1">
        <w:t xml:space="preserve"> Miami-Dade Department of Environmental Resource Management (DERM) on October 7, 2015, which was amended</w:t>
      </w:r>
      <w:r w:rsidR="00404348" w:rsidRPr="00EE50C1">
        <w:t xml:space="preserve"> on August 15, 2016,</w:t>
      </w:r>
      <w:r w:rsidRPr="00EE50C1">
        <w:t xml:space="preserve"> and referred to as the Consent Agreement Addendum (CAA)</w:t>
      </w:r>
      <w:r w:rsidR="00404348" w:rsidRPr="00EE50C1">
        <w:t xml:space="preserve">. On June 20, 2016, </w:t>
      </w:r>
      <w:r w:rsidRPr="00EE50C1">
        <w:t>FPL also entered into a Consent Order (CO) with the Florida Department of Environmental Protection (FDEP)</w:t>
      </w:r>
      <w:r w:rsidR="00404348" w:rsidRPr="00EE50C1">
        <w:t xml:space="preserve">. </w:t>
      </w:r>
      <w:r w:rsidRPr="00EE50C1">
        <w:t xml:space="preserve"> Collectively, costs associated with the CA, CAA, and CO are referred to </w:t>
      </w:r>
      <w:r w:rsidR="00404348" w:rsidRPr="00EE50C1">
        <w:t xml:space="preserve">in this Order </w:t>
      </w:r>
      <w:r w:rsidRPr="00EE50C1">
        <w:t xml:space="preserve">as the </w:t>
      </w:r>
      <w:r w:rsidR="000E47D2" w:rsidRPr="00EE50C1">
        <w:t xml:space="preserve">Monitoring Plan </w:t>
      </w:r>
      <w:r w:rsidRPr="00EE50C1">
        <w:t>Disputed Costs.</w:t>
      </w:r>
    </w:p>
    <w:p w:rsidR="00976145" w:rsidRPr="00EE50C1" w:rsidRDefault="00976145" w:rsidP="00976145">
      <w:pPr>
        <w:spacing w:after="240"/>
        <w:jc w:val="both"/>
      </w:pPr>
      <w:r w:rsidRPr="00EE50C1">
        <w:tab/>
      </w:r>
      <w:r w:rsidR="004E31FB" w:rsidRPr="00EE50C1">
        <w:t xml:space="preserve">By </w:t>
      </w:r>
      <w:r w:rsidRPr="00EE50C1">
        <w:t>Order No. PSC-16-0535-FOF-EI</w:t>
      </w:r>
      <w:r w:rsidR="00404348" w:rsidRPr="00EE50C1">
        <w:t xml:space="preserve">, </w:t>
      </w:r>
      <w:r w:rsidR="004E31FB" w:rsidRPr="00EE50C1">
        <w:t xml:space="preserve">issued on November 22, 2016, </w:t>
      </w:r>
      <w:r w:rsidR="00404348" w:rsidRPr="00EE50C1">
        <w:t xml:space="preserve">we </w:t>
      </w:r>
      <w:r w:rsidRPr="00EE50C1">
        <w:t xml:space="preserve">deferred consideration of issues associated with the </w:t>
      </w:r>
      <w:r w:rsidR="000E47D2" w:rsidRPr="00EE50C1">
        <w:t xml:space="preserve">Monitoring Plan </w:t>
      </w:r>
      <w:r w:rsidRPr="00EE50C1">
        <w:t>Disputed Costs until 2017</w:t>
      </w:r>
      <w:r w:rsidR="00404348" w:rsidRPr="00EE50C1">
        <w:t xml:space="preserve">, </w:t>
      </w:r>
      <w:r w:rsidRPr="00EE50C1">
        <w:t xml:space="preserve">directed FPL to file additional information in its 2017 Actual/Estimated Testimony </w:t>
      </w:r>
      <w:r w:rsidR="00404348" w:rsidRPr="00EE50C1">
        <w:t>in</w:t>
      </w:r>
      <w:r w:rsidRPr="00EE50C1">
        <w:t xml:space="preserve"> th</w:t>
      </w:r>
      <w:r w:rsidR="00404348" w:rsidRPr="00EE50C1">
        <w:t xml:space="preserve">is </w:t>
      </w:r>
      <w:r w:rsidR="000A1F7C">
        <w:t>d</w:t>
      </w:r>
      <w:r w:rsidRPr="00EE50C1">
        <w:t>ocket, and established desired time periods for intervenor, staff, and rebuttal testimony filing dates.</w:t>
      </w:r>
      <w:r w:rsidR="00404348" w:rsidRPr="00EE50C1">
        <w:rPr>
          <w:vertAlign w:val="superscript"/>
        </w:rPr>
        <w:footnoteReference w:id="2"/>
      </w:r>
    </w:p>
    <w:p w:rsidR="00976145" w:rsidRPr="00EE50C1" w:rsidRDefault="00976145" w:rsidP="00976145">
      <w:pPr>
        <w:spacing w:after="240"/>
        <w:jc w:val="both"/>
      </w:pPr>
      <w:r w:rsidRPr="00EE50C1">
        <w:tab/>
        <w:t xml:space="preserve">On January 3, 2017, </w:t>
      </w:r>
      <w:r w:rsidR="00404348" w:rsidRPr="00EE50C1">
        <w:t>we</w:t>
      </w:r>
      <w:r w:rsidRPr="00EE50C1">
        <w:t xml:space="preserve"> established Docket 20170007-EI.</w:t>
      </w:r>
      <w:r w:rsidRPr="00EE50C1">
        <w:rPr>
          <w:vertAlign w:val="superscript"/>
        </w:rPr>
        <w:footnoteReference w:id="3"/>
      </w:r>
      <w:r w:rsidRPr="00EE50C1">
        <w:t xml:space="preserve"> </w:t>
      </w:r>
      <w:r w:rsidR="00404348" w:rsidRPr="00EE50C1">
        <w:t xml:space="preserve">OPC and FIPUG </w:t>
      </w:r>
      <w:r w:rsidRPr="00EE50C1">
        <w:t>retained party status in the docket</w:t>
      </w:r>
      <w:r w:rsidR="004E31FB" w:rsidRPr="00EE50C1">
        <w:t>,</w:t>
      </w:r>
      <w:r w:rsidRPr="00EE50C1">
        <w:t xml:space="preserve"> </w:t>
      </w:r>
      <w:r w:rsidR="004E31FB" w:rsidRPr="00EE50C1">
        <w:t xml:space="preserve">and </w:t>
      </w:r>
      <w:r w:rsidRPr="00EE50C1">
        <w:t>SACE was granted intervention</w:t>
      </w:r>
      <w:r w:rsidR="00404348" w:rsidRPr="00EE50C1">
        <w:t>.</w:t>
      </w:r>
      <w:r w:rsidRPr="00EE50C1">
        <w:t xml:space="preserve"> Collectively, OPC, FIPUG, and SACE are referred to </w:t>
      </w:r>
      <w:r w:rsidR="00404348" w:rsidRPr="00EE50C1">
        <w:t xml:space="preserve">in this Order </w:t>
      </w:r>
      <w:r w:rsidRPr="00EE50C1">
        <w:t>as the Intervenors.</w:t>
      </w:r>
      <w:r w:rsidR="004E31FB" w:rsidRPr="00EE50C1">
        <w:t xml:space="preserve"> </w:t>
      </w:r>
      <w:r w:rsidRPr="00EE50C1">
        <w:t>D</w:t>
      </w:r>
      <w:r w:rsidR="00404348" w:rsidRPr="00EE50C1">
        <w:t>EF, TECO, Gulf</w:t>
      </w:r>
      <w:r w:rsidR="00DC1ECA">
        <w:t>, and PCS participated in this d</w:t>
      </w:r>
      <w:r w:rsidR="00404348" w:rsidRPr="00EE50C1">
        <w:t>ocket,</w:t>
      </w:r>
      <w:r w:rsidRPr="00EE50C1">
        <w:t xml:space="preserve"> </w:t>
      </w:r>
      <w:r w:rsidR="004E31FB" w:rsidRPr="00EE50C1">
        <w:t xml:space="preserve">but </w:t>
      </w:r>
      <w:r w:rsidR="00404348" w:rsidRPr="00EE50C1">
        <w:t xml:space="preserve">did not take positions on </w:t>
      </w:r>
      <w:r w:rsidRPr="00EE50C1">
        <w:t xml:space="preserve">the </w:t>
      </w:r>
      <w:r w:rsidR="00404348" w:rsidRPr="00EE50C1">
        <w:t xml:space="preserve">contested </w:t>
      </w:r>
      <w:r w:rsidR="00281637">
        <w:t>i</w:t>
      </w:r>
      <w:r w:rsidR="00404348" w:rsidRPr="00EE50C1">
        <w:t>ssues</w:t>
      </w:r>
      <w:r w:rsidR="00281637">
        <w:t>.</w:t>
      </w:r>
      <w:r w:rsidR="00404348" w:rsidRPr="00EE50C1">
        <w:t xml:space="preserve"> </w:t>
      </w:r>
    </w:p>
    <w:p w:rsidR="004E61F2" w:rsidRPr="00EE50C1" w:rsidRDefault="00976145" w:rsidP="00976145">
      <w:pPr>
        <w:spacing w:after="240"/>
        <w:jc w:val="both"/>
      </w:pPr>
      <w:r w:rsidRPr="00EE50C1">
        <w:tab/>
        <w:t>On November 13, 2017, briefs were filed by FPL, OPC, and SACE</w:t>
      </w:r>
      <w:r w:rsidR="000B76CD" w:rsidRPr="00EE50C1">
        <w:t xml:space="preserve"> </w:t>
      </w:r>
      <w:r w:rsidR="000B76CD">
        <w:t xml:space="preserve">regarding the </w:t>
      </w:r>
      <w:r w:rsidR="000B76CD" w:rsidRPr="00EE50C1">
        <w:t xml:space="preserve">contested </w:t>
      </w:r>
      <w:r w:rsidR="00281637">
        <w:t>i</w:t>
      </w:r>
      <w:r w:rsidR="000B76CD" w:rsidRPr="00EE50C1">
        <w:t>ssues</w:t>
      </w:r>
      <w:r w:rsidR="00281637">
        <w:t>.</w:t>
      </w:r>
      <w:r w:rsidRPr="00EE50C1">
        <w:t xml:space="preserve"> FIPUG filed a notice of joinder with OPC’s brief, and the two are </w:t>
      </w:r>
      <w:r w:rsidR="004E61F2" w:rsidRPr="00EE50C1">
        <w:t>referred to in this Order c</w:t>
      </w:r>
      <w:r w:rsidRPr="00EE50C1">
        <w:t xml:space="preserve">ollectively </w:t>
      </w:r>
      <w:r w:rsidR="004E61F2" w:rsidRPr="00EE50C1">
        <w:t>as</w:t>
      </w:r>
      <w:r w:rsidRPr="00EE50C1">
        <w:t xml:space="preserve"> OPC/FIPUG</w:t>
      </w:r>
      <w:r w:rsidR="004E61F2" w:rsidRPr="00EE50C1">
        <w:t xml:space="preserve">. </w:t>
      </w:r>
      <w:r w:rsidRPr="00EE50C1">
        <w:t xml:space="preserve"> As part of its November 13, 2017 filing, SACE filed proposed findings of fact and conclusions of law. Such filings are anticipated by Chapter 120, F.S., the Uniform Rules of Procedure, and our procedural orders. </w:t>
      </w:r>
      <w:r w:rsidR="004E61F2" w:rsidRPr="00EE50C1">
        <w:t xml:space="preserve">We have </w:t>
      </w:r>
      <w:r w:rsidRPr="00EE50C1">
        <w:t>consider</w:t>
      </w:r>
      <w:r w:rsidR="004E61F2" w:rsidRPr="00EE50C1">
        <w:t>ed</w:t>
      </w:r>
      <w:r w:rsidRPr="00EE50C1">
        <w:t xml:space="preserve"> </w:t>
      </w:r>
      <w:r w:rsidR="004E61F2" w:rsidRPr="00EE50C1">
        <w:t>SA</w:t>
      </w:r>
      <w:r w:rsidR="004E31FB" w:rsidRPr="00EE50C1">
        <w:t>C</w:t>
      </w:r>
      <w:r w:rsidR="004E61F2" w:rsidRPr="00EE50C1">
        <w:t xml:space="preserve">E’s </w:t>
      </w:r>
      <w:r w:rsidRPr="00EE50C1">
        <w:lastRenderedPageBreak/>
        <w:t xml:space="preserve">filings, as </w:t>
      </w:r>
      <w:r w:rsidR="004E61F2" w:rsidRPr="00EE50C1">
        <w:t>we</w:t>
      </w:r>
      <w:r w:rsidRPr="00EE50C1">
        <w:t xml:space="preserve"> would any other post-hearing filing. </w:t>
      </w:r>
      <w:r w:rsidR="00C646B0">
        <w:t xml:space="preserve">On December 12, 2017, the FPL </w:t>
      </w:r>
      <w:r w:rsidR="000E47D2" w:rsidRPr="00EE50C1">
        <w:t>Monitoring Plan</w:t>
      </w:r>
      <w:r w:rsidR="000E47D2">
        <w:t xml:space="preserve"> </w:t>
      </w:r>
      <w:r w:rsidR="009415CE">
        <w:t>Disputed</w:t>
      </w:r>
      <w:r w:rsidR="00C646B0">
        <w:t xml:space="preserve"> Costs were addressed at our Agenda Conference.</w:t>
      </w:r>
    </w:p>
    <w:p w:rsidR="004E61F2" w:rsidRPr="00EE50C1" w:rsidRDefault="003C5174" w:rsidP="00976145">
      <w:pPr>
        <w:spacing w:after="240"/>
        <w:jc w:val="both"/>
      </w:pPr>
      <w:r w:rsidRPr="00EE50C1">
        <w:tab/>
      </w:r>
      <w:r w:rsidR="00BF6EC0" w:rsidRPr="00EE50C1">
        <w:t xml:space="preserve">We have </w:t>
      </w:r>
      <w:r w:rsidR="00976145" w:rsidRPr="00EE50C1">
        <w:t xml:space="preserve">jurisdiction over this subject matter pursuant to Section 366.8255, </w:t>
      </w:r>
      <w:r w:rsidR="004E31FB" w:rsidRPr="00EE50C1">
        <w:t xml:space="preserve">F.S. </w:t>
      </w:r>
      <w:r w:rsidR="00976145" w:rsidRPr="00EE50C1">
        <w:t xml:space="preserve"> </w:t>
      </w:r>
    </w:p>
    <w:bookmarkEnd w:id="5"/>
    <w:p w:rsidR="004C0A51" w:rsidRPr="00EE50C1" w:rsidRDefault="004C0A51" w:rsidP="00976145"/>
    <w:p w:rsidR="004C0A51" w:rsidRPr="00EE50C1" w:rsidRDefault="00686849" w:rsidP="004C0A51">
      <w:pPr>
        <w:jc w:val="center"/>
        <w:rPr>
          <w:u w:val="single"/>
        </w:rPr>
      </w:pPr>
      <w:r>
        <w:rPr>
          <w:u w:val="single"/>
        </w:rPr>
        <w:t>ANALYSIS</w:t>
      </w:r>
      <w:r w:rsidR="007B1512" w:rsidRPr="00EE50C1">
        <w:rPr>
          <w:u w:val="single"/>
        </w:rPr>
        <w:t xml:space="preserve"> and </w:t>
      </w:r>
      <w:r w:rsidR="004C0A51" w:rsidRPr="00EE50C1">
        <w:rPr>
          <w:u w:val="single"/>
        </w:rPr>
        <w:t>DECISION</w:t>
      </w:r>
    </w:p>
    <w:p w:rsidR="00EE50C1" w:rsidRDefault="00EE50C1" w:rsidP="00976145"/>
    <w:p w:rsidR="004C0A51" w:rsidRDefault="000A1F7C" w:rsidP="00976145">
      <w:r>
        <w:tab/>
      </w:r>
      <w:r w:rsidR="004C0A51" w:rsidRPr="00EE50C1">
        <w:t xml:space="preserve">The </w:t>
      </w:r>
      <w:r w:rsidR="00F910A9" w:rsidRPr="00F910A9">
        <w:t>s</w:t>
      </w:r>
      <w:r w:rsidR="004C0A51" w:rsidRPr="00F910A9">
        <w:t>tipulation</w:t>
      </w:r>
      <w:r w:rsidR="00F910A9">
        <w:t>s</w:t>
      </w:r>
      <w:r w:rsidR="00C47294" w:rsidRPr="00F910A9">
        <w:t xml:space="preserve"> of  Issues 1-</w:t>
      </w:r>
      <w:r w:rsidR="00C47294" w:rsidRPr="00EE50C1">
        <w:t xml:space="preserve">9, 10F-G, 11, 12A-C, and 13, as set forth </w:t>
      </w:r>
      <w:r w:rsidR="00F910A9">
        <w:t>in</w:t>
      </w:r>
      <w:r w:rsidR="00C47294" w:rsidRPr="00EE50C1">
        <w:t xml:space="preserve"> Attachment A of this Order</w:t>
      </w:r>
      <w:r w:rsidR="00EE50C1">
        <w:t>,</w:t>
      </w:r>
      <w:r w:rsidR="00C47294" w:rsidRPr="00EE50C1">
        <w:t xml:space="preserve"> </w:t>
      </w:r>
      <w:r w:rsidR="00870F9E">
        <w:t>are</w:t>
      </w:r>
      <w:r w:rsidR="00C47294" w:rsidRPr="00EE50C1">
        <w:t xml:space="preserve"> approved. </w:t>
      </w:r>
      <w:r w:rsidR="004C0A51" w:rsidRPr="00EE50C1">
        <w:t xml:space="preserve"> </w:t>
      </w:r>
      <w:r w:rsidR="00281637">
        <w:t>The c</w:t>
      </w:r>
      <w:r w:rsidR="000B76CD" w:rsidRPr="00EE50C1">
        <w:t xml:space="preserve">ontested </w:t>
      </w:r>
      <w:r w:rsidR="00281637">
        <w:t>i</w:t>
      </w:r>
      <w:r w:rsidR="000B76CD" w:rsidRPr="00EE50C1">
        <w:t xml:space="preserve">ssues </w:t>
      </w:r>
      <w:r w:rsidR="00281637">
        <w:t xml:space="preserve">address </w:t>
      </w:r>
      <w:r w:rsidR="000B76CD">
        <w:t>t</w:t>
      </w:r>
      <w:r w:rsidR="009E2417">
        <w:t xml:space="preserve">he FPL </w:t>
      </w:r>
      <w:r w:rsidR="00016B04" w:rsidRPr="00EE50C1">
        <w:t xml:space="preserve">Monitoring Plan </w:t>
      </w:r>
      <w:r w:rsidR="009E2417" w:rsidRPr="00EE50C1">
        <w:t>Disputed Costs</w:t>
      </w:r>
      <w:r w:rsidR="000B76CD">
        <w:t>,</w:t>
      </w:r>
      <w:r w:rsidR="00C646B0">
        <w:t xml:space="preserve"> </w:t>
      </w:r>
      <w:r w:rsidR="00281637">
        <w:t xml:space="preserve">and </w:t>
      </w:r>
      <w:r w:rsidR="00870F9E">
        <w:t xml:space="preserve">are </w:t>
      </w:r>
      <w:r w:rsidR="00281637">
        <w:t xml:space="preserve">discussed </w:t>
      </w:r>
      <w:r w:rsidR="00870F9E">
        <w:t>below</w:t>
      </w:r>
      <w:r w:rsidR="000B76CD">
        <w:t xml:space="preserve"> at </w:t>
      </w:r>
      <w:r w:rsidR="00281637">
        <w:t xml:space="preserve">Sections </w:t>
      </w:r>
      <w:r w:rsidR="000B76CD">
        <w:t>I-V.</w:t>
      </w:r>
    </w:p>
    <w:p w:rsidR="004C0A51" w:rsidRPr="00EE50C1" w:rsidRDefault="004C0A51" w:rsidP="00976145"/>
    <w:p w:rsidR="00610867" w:rsidRDefault="00610867" w:rsidP="00976145">
      <w:pPr>
        <w:spacing w:after="240"/>
        <w:jc w:val="both"/>
        <w:outlineLvl w:val="0"/>
        <w:rPr>
          <w:b/>
          <w:bCs/>
          <w:kern w:val="32"/>
        </w:rPr>
      </w:pPr>
    </w:p>
    <w:p w:rsidR="00A86BAC" w:rsidRDefault="00C646B0" w:rsidP="00610867">
      <w:pPr>
        <w:spacing w:after="240"/>
        <w:jc w:val="both"/>
        <w:outlineLvl w:val="0"/>
        <w:rPr>
          <w:b/>
        </w:rPr>
      </w:pPr>
      <w:r>
        <w:rPr>
          <w:b/>
          <w:bCs/>
          <w:kern w:val="32"/>
        </w:rPr>
        <w:t>I</w:t>
      </w:r>
      <w:r w:rsidR="008A03AF" w:rsidRPr="00E802AF">
        <w:rPr>
          <w:b/>
          <w:bCs/>
          <w:kern w:val="32"/>
        </w:rPr>
        <w:t>.</w:t>
      </w:r>
      <w:r w:rsidR="00D22EBB" w:rsidRPr="00E802AF">
        <w:rPr>
          <w:b/>
          <w:bCs/>
          <w:kern w:val="32"/>
        </w:rPr>
        <w:t xml:space="preserve"> </w:t>
      </w:r>
      <w:r w:rsidR="00976145" w:rsidRPr="00E802AF">
        <w:rPr>
          <w:b/>
        </w:rPr>
        <w:tab/>
      </w:r>
      <w:r w:rsidR="00EE50C1" w:rsidRPr="00E802AF">
        <w:rPr>
          <w:b/>
        </w:rPr>
        <w:t>ECRC R</w:t>
      </w:r>
      <w:r w:rsidR="009C2471" w:rsidRPr="00E802AF">
        <w:rPr>
          <w:b/>
        </w:rPr>
        <w:t xml:space="preserve">ecovery </w:t>
      </w:r>
      <w:r w:rsidR="00AF2F90" w:rsidRPr="00E802AF">
        <w:rPr>
          <w:b/>
        </w:rPr>
        <w:t xml:space="preserve">of FPL’s </w:t>
      </w:r>
      <w:r w:rsidR="007B1512" w:rsidRPr="00E802AF">
        <w:rPr>
          <w:b/>
        </w:rPr>
        <w:t>P</w:t>
      </w:r>
      <w:r w:rsidR="00AF2F90" w:rsidRPr="00E802AF">
        <w:rPr>
          <w:b/>
        </w:rPr>
        <w:t xml:space="preserve">rudently </w:t>
      </w:r>
      <w:r w:rsidR="007B1512" w:rsidRPr="00E802AF">
        <w:rPr>
          <w:b/>
        </w:rPr>
        <w:t>I</w:t>
      </w:r>
      <w:r w:rsidR="00AF2F90" w:rsidRPr="00E802AF">
        <w:rPr>
          <w:b/>
        </w:rPr>
        <w:t xml:space="preserve">ncurred </w:t>
      </w:r>
      <w:r w:rsidR="007B1512" w:rsidRPr="00E802AF">
        <w:rPr>
          <w:b/>
        </w:rPr>
        <w:t>C</w:t>
      </w:r>
      <w:r w:rsidR="00AF2F90" w:rsidRPr="00E802AF">
        <w:rPr>
          <w:b/>
        </w:rPr>
        <w:t xml:space="preserve">osts, if any, </w:t>
      </w:r>
      <w:r w:rsidR="007B1512" w:rsidRPr="00E802AF">
        <w:rPr>
          <w:b/>
        </w:rPr>
        <w:t>A</w:t>
      </w:r>
      <w:r w:rsidR="00AF2F90" w:rsidRPr="00E802AF">
        <w:rPr>
          <w:b/>
        </w:rPr>
        <w:t xml:space="preserve">ssociated with the CO, </w:t>
      </w:r>
      <w:r w:rsidR="00610867">
        <w:rPr>
          <w:b/>
        </w:rPr>
        <w:tab/>
      </w:r>
      <w:r w:rsidR="00AF2F90" w:rsidRPr="00E802AF">
        <w:rPr>
          <w:b/>
        </w:rPr>
        <w:t>CA, and CAA</w:t>
      </w:r>
      <w:r w:rsidR="00AF2F90" w:rsidRPr="00EE50C1">
        <w:rPr>
          <w:b/>
        </w:rPr>
        <w:t xml:space="preserve"> </w:t>
      </w:r>
      <w:bookmarkStart w:id="6" w:name="Parties"/>
    </w:p>
    <w:p w:rsidR="00686849" w:rsidRPr="00A86BAC" w:rsidRDefault="004017B8" w:rsidP="00A86BAC">
      <w:pPr>
        <w:spacing w:after="240"/>
        <w:ind w:left="720"/>
        <w:jc w:val="center"/>
        <w:rPr>
          <w:b/>
        </w:rPr>
      </w:pPr>
      <w:r w:rsidRPr="00DC64F6">
        <w:rPr>
          <w:b/>
          <w:bCs/>
          <w:iCs/>
          <w:color w:val="000000"/>
          <w:u w:val="single"/>
        </w:rPr>
        <w:t xml:space="preserve">A. </w:t>
      </w:r>
      <w:r w:rsidR="00686849" w:rsidRPr="00DC64F6">
        <w:rPr>
          <w:b/>
          <w:bCs/>
          <w:iCs/>
          <w:color w:val="000000"/>
          <w:u w:val="single"/>
        </w:rPr>
        <w:t>Parties’ Arguments</w:t>
      </w:r>
      <w:bookmarkEnd w:id="6"/>
    </w:p>
    <w:p w:rsidR="00686849" w:rsidRPr="001C6BDB" w:rsidRDefault="00DC64F6" w:rsidP="00686849">
      <w:pPr>
        <w:spacing w:after="240"/>
        <w:jc w:val="both"/>
        <w:outlineLvl w:val="1"/>
      </w:pPr>
      <w:r>
        <w:rPr>
          <w:b/>
          <w:bCs/>
          <w:i/>
          <w:iCs/>
          <w:color w:val="000000"/>
        </w:rPr>
        <w:tab/>
      </w:r>
      <w:r w:rsidR="00686849" w:rsidRPr="001C6BDB">
        <w:rPr>
          <w:bCs/>
          <w:i/>
          <w:iCs/>
          <w:color w:val="000000"/>
        </w:rPr>
        <w:t>1. FPL</w:t>
      </w:r>
      <w:r w:rsidR="00976145" w:rsidRPr="001C6BDB">
        <w:tab/>
      </w:r>
    </w:p>
    <w:p w:rsidR="00E66B09" w:rsidRPr="00E66B09" w:rsidRDefault="00686849" w:rsidP="00686849">
      <w:pPr>
        <w:spacing w:after="240"/>
        <w:jc w:val="both"/>
        <w:outlineLvl w:val="1"/>
      </w:pPr>
      <w:r>
        <w:tab/>
      </w:r>
      <w:r w:rsidR="00E66B09" w:rsidRPr="00294171">
        <w:t xml:space="preserve">FPL </w:t>
      </w:r>
      <w:r w:rsidR="00F910A9" w:rsidRPr="00294171">
        <w:t xml:space="preserve">asserts that it is </w:t>
      </w:r>
      <w:r w:rsidR="00E66B09" w:rsidRPr="00294171">
        <w:t>required to comply with the 2015 CA, 2016 CO, and 2016 CAA</w:t>
      </w:r>
      <w:r w:rsidR="00D82909">
        <w:t xml:space="preserve">, </w:t>
      </w:r>
      <w:r w:rsidR="00E66B09" w:rsidRPr="00294171">
        <w:t xml:space="preserve"> and </w:t>
      </w:r>
      <w:r w:rsidR="00D82909">
        <w:t xml:space="preserve">that </w:t>
      </w:r>
      <w:r w:rsidR="00E66B09" w:rsidRPr="00294171">
        <w:t>costs</w:t>
      </w:r>
      <w:r w:rsidR="00D82909">
        <w:t xml:space="preserve"> </w:t>
      </w:r>
      <w:r w:rsidR="00E66B09" w:rsidRPr="00294171">
        <w:t>FPL has prudently incurred as a result of these requirements are recoverable pursuant to Section 366.8255</w:t>
      </w:r>
      <w:r w:rsidR="00F910A9" w:rsidRPr="00294171">
        <w:t xml:space="preserve">, F.S. </w:t>
      </w:r>
      <w:r w:rsidR="00281637">
        <w:t>FPL argues</w:t>
      </w:r>
      <w:r w:rsidR="00F910A9" w:rsidRPr="00294171">
        <w:t xml:space="preserve"> that there </w:t>
      </w:r>
      <w:r w:rsidR="00E66B09" w:rsidRPr="00294171">
        <w:t>is no legal basis to disallow costs determined to be prudently incurred to comply with environmental requirements.</w:t>
      </w:r>
    </w:p>
    <w:p w:rsidR="00976145" w:rsidRPr="00EE50C1" w:rsidRDefault="000B76CD" w:rsidP="00976145">
      <w:pPr>
        <w:spacing w:after="240"/>
        <w:jc w:val="both"/>
      </w:pPr>
      <w:r>
        <w:tab/>
      </w:r>
      <w:r w:rsidR="00976145" w:rsidRPr="00EE50C1">
        <w:t>FPL a</w:t>
      </w:r>
      <w:r w:rsidR="00281637">
        <w:t>sserts</w:t>
      </w:r>
      <w:r w:rsidR="00976145" w:rsidRPr="00EE50C1">
        <w:t xml:space="preserve"> that as part of the Turkey Point Uprate Project, </w:t>
      </w:r>
      <w:r w:rsidR="005320E8">
        <w:t>it</w:t>
      </w:r>
      <w:r w:rsidR="00941F5E">
        <w:t xml:space="preserve"> </w:t>
      </w:r>
      <w:r w:rsidR="00976145" w:rsidRPr="00EE50C1">
        <w:t xml:space="preserve">was required by its Conditions of Certification (COC), specifically Section IX and X, to implement monitoring of various state surface and ground waters subject to the regulation of the </w:t>
      </w:r>
      <w:r w:rsidR="001F4863">
        <w:t>F</w:t>
      </w:r>
      <w:r w:rsidR="00976145" w:rsidRPr="00EE50C1">
        <w:t xml:space="preserve">DEP, DERM, and South Florida Water Management District (SFWMD). As part of implementing the COC, FPL sought, and </w:t>
      </w:r>
      <w:r w:rsidR="00686849">
        <w:t xml:space="preserve">we </w:t>
      </w:r>
      <w:r w:rsidR="00976145" w:rsidRPr="00EE50C1">
        <w:t>granted approval of the Monitoring Plan in November 2009. FPL argues that it continued to meet its regulatory requirements of monitoring and</w:t>
      </w:r>
      <w:r w:rsidR="005320E8">
        <w:t>,</w:t>
      </w:r>
      <w:r w:rsidR="00976145" w:rsidRPr="00EE50C1">
        <w:t xml:space="preserve"> as part of that monitoring process</w:t>
      </w:r>
      <w:r w:rsidR="005320E8">
        <w:t>,</w:t>
      </w:r>
      <w:r w:rsidR="00976145" w:rsidRPr="00EE50C1">
        <w:t xml:space="preserve"> in April 2013, SFWMD determined that saline water had moved into water resources outside of the plant’s boundaries. FPL was instructed to begin consultations with SFWMD to “identify measures to mitigate, abate, or remediate.” FPL states that it then began working with its environmental regulators to evaluate options which resulted in an A</w:t>
      </w:r>
      <w:r w:rsidR="00F910A9">
        <w:t>dministrative Order (A</w:t>
      </w:r>
      <w:r w:rsidR="00976145" w:rsidRPr="00EE50C1">
        <w:t>O</w:t>
      </w:r>
      <w:r w:rsidR="00F910A9">
        <w:t>)</w:t>
      </w:r>
      <w:r w:rsidR="00976145" w:rsidRPr="00EE50C1">
        <w:t xml:space="preserve"> being issued </w:t>
      </w:r>
      <w:r w:rsidR="005320E8">
        <w:t xml:space="preserve">by FDEP </w:t>
      </w:r>
      <w:r w:rsidR="00976145" w:rsidRPr="00EE50C1">
        <w:t xml:space="preserve">in December 2014.  </w:t>
      </w:r>
    </w:p>
    <w:p w:rsidR="00976145" w:rsidRPr="00EE50C1" w:rsidRDefault="00976145" w:rsidP="00976145">
      <w:pPr>
        <w:spacing w:after="240"/>
        <w:jc w:val="both"/>
      </w:pPr>
      <w:r w:rsidRPr="00EE50C1">
        <w:tab/>
        <w:t xml:space="preserve">FPL </w:t>
      </w:r>
      <w:r w:rsidR="005320E8">
        <w:t xml:space="preserve">argues that </w:t>
      </w:r>
      <w:r w:rsidRPr="00EE50C1">
        <w:t xml:space="preserve">one of its regulators, DERM, was unsatisfied with the </w:t>
      </w:r>
      <w:r w:rsidR="001F4863">
        <w:t>F</w:t>
      </w:r>
      <w:r w:rsidRPr="00EE50C1">
        <w:t>DEP’s AO. As a result, DERM challenged the AO and issued a Notice of Violation (NOV) in October 2015. The challenge to the AO resulted in a Final Administrative Order</w:t>
      </w:r>
      <w:r w:rsidR="00003666">
        <w:t xml:space="preserve"> </w:t>
      </w:r>
      <w:r w:rsidRPr="00EE50C1">
        <w:t>that led to the FDEP issuing a separate NOV in April 2016. FPL a</w:t>
      </w:r>
      <w:r w:rsidR="005320E8">
        <w:t xml:space="preserve">sserts </w:t>
      </w:r>
      <w:r w:rsidRPr="00EE50C1">
        <w:t xml:space="preserve">that both DERM’s and the </w:t>
      </w:r>
      <w:r w:rsidR="001F4863">
        <w:t>F</w:t>
      </w:r>
      <w:r w:rsidRPr="00EE50C1">
        <w:t>DEP’s NOVs were resolved by entering into the CO in June 2016 and the amended CAA in August 2016. Further, FPL contends that the actions required by the CAA and CO</w:t>
      </w:r>
      <w:r w:rsidR="00686849">
        <w:t>,</w:t>
      </w:r>
      <w:r w:rsidRPr="00EE50C1">
        <w:t xml:space="preserve"> </w:t>
      </w:r>
      <w:r w:rsidR="00281637">
        <w:t>which</w:t>
      </w:r>
      <w:r w:rsidRPr="00EE50C1">
        <w:t xml:space="preserve"> </w:t>
      </w:r>
      <w:r w:rsidR="005320E8">
        <w:t>result in</w:t>
      </w:r>
      <w:r w:rsidRPr="00EE50C1">
        <w:t xml:space="preserve"> the </w:t>
      </w:r>
      <w:r w:rsidR="00016B04" w:rsidRPr="00EE50C1">
        <w:t xml:space="preserve">Monitoring </w:t>
      </w:r>
      <w:r w:rsidR="008750E4" w:rsidRPr="00EE50C1">
        <w:t>Plan Disputed</w:t>
      </w:r>
      <w:r w:rsidRPr="00EE50C1">
        <w:t xml:space="preserve"> Costs, are direct consequences of </w:t>
      </w:r>
      <w:r w:rsidR="000A1F7C">
        <w:t>FPL’s</w:t>
      </w:r>
      <w:r w:rsidRPr="00EE50C1">
        <w:t xml:space="preserve"> COC. </w:t>
      </w:r>
    </w:p>
    <w:p w:rsidR="00976145" w:rsidRPr="00EE50C1" w:rsidRDefault="00976145" w:rsidP="00976145">
      <w:pPr>
        <w:spacing w:after="240"/>
        <w:jc w:val="both"/>
      </w:pPr>
      <w:r w:rsidRPr="00EE50C1">
        <w:lastRenderedPageBreak/>
        <w:tab/>
        <w:t xml:space="preserve">FPL alleges </w:t>
      </w:r>
      <w:r w:rsidR="005320E8">
        <w:t xml:space="preserve">that </w:t>
      </w:r>
      <w:r w:rsidRPr="00EE50C1">
        <w:t>it is overly simplistic for the Intervenor Parties to claim that the NOVs are violations of law.  First, FPL contends that the environmental standard</w:t>
      </w:r>
      <w:r w:rsidR="005320E8">
        <w:t>s</w:t>
      </w:r>
      <w:r w:rsidRPr="00EE50C1">
        <w:t xml:space="preserve"> cited by all three of its environmental regulators are narrative standards that require the agency’s judgement to determine if a violation ha</w:t>
      </w:r>
      <w:r w:rsidR="005320E8">
        <w:t>s</w:t>
      </w:r>
      <w:r w:rsidRPr="00EE50C1">
        <w:t xml:space="preserve"> occurred, and </w:t>
      </w:r>
      <w:r w:rsidR="00281637">
        <w:t xml:space="preserve">that </w:t>
      </w:r>
      <w:r w:rsidRPr="00EE50C1">
        <w:t xml:space="preserve">there </w:t>
      </w:r>
      <w:r w:rsidR="005320E8">
        <w:t>is</w:t>
      </w:r>
      <w:r w:rsidRPr="00EE50C1">
        <w:t xml:space="preserve"> no bright line defining a violation of law. Second, FPL argues that it operated the CCS in full compliance with its regulations and that the environmental degradation is an unintended consequence. Last, FPL asserts that the NOVs are not the sole reason for the </w:t>
      </w:r>
      <w:r w:rsidR="00016B04" w:rsidRPr="00EE50C1">
        <w:t xml:space="preserve">Monitoring Plan </w:t>
      </w:r>
      <w:r w:rsidRPr="00EE50C1">
        <w:t xml:space="preserve">Disputed Costs, and that FPL would be obligated by its COC to perform the same actions. </w:t>
      </w:r>
    </w:p>
    <w:p w:rsidR="00976145" w:rsidRPr="00EE50C1" w:rsidRDefault="00976145" w:rsidP="00976145">
      <w:pPr>
        <w:spacing w:after="240"/>
        <w:jc w:val="both"/>
      </w:pPr>
      <w:r w:rsidRPr="00EE50C1">
        <w:tab/>
        <w:t>FPL also argues that OPC is mistaken regarding th</w:t>
      </w:r>
      <w:r w:rsidR="00F53D2F">
        <w:t>is</w:t>
      </w:r>
      <w:r w:rsidRPr="00EE50C1">
        <w:t xml:space="preserve"> Commission’s discretion regarding recovery, and that if </w:t>
      </w:r>
      <w:r w:rsidR="00F53D2F">
        <w:t>we</w:t>
      </w:r>
      <w:r w:rsidRPr="00EE50C1">
        <w:t xml:space="preserve"> approve the Company’s activities, </w:t>
      </w:r>
      <w:r w:rsidR="00F53D2F">
        <w:t>we</w:t>
      </w:r>
      <w:r w:rsidRPr="00EE50C1">
        <w:t xml:space="preserve"> must allow cost recovery through the ECRC pursuant to Section 366.8255, F.S. </w:t>
      </w:r>
    </w:p>
    <w:p w:rsidR="00E66B09" w:rsidRPr="001C6BDB" w:rsidRDefault="00DC64F6" w:rsidP="00E66B09">
      <w:pPr>
        <w:spacing w:after="240"/>
        <w:jc w:val="both"/>
        <w:outlineLvl w:val="1"/>
        <w:rPr>
          <w:bCs/>
          <w:i/>
          <w:iCs/>
        </w:rPr>
      </w:pPr>
      <w:r w:rsidRPr="001C6BDB">
        <w:rPr>
          <w:bCs/>
          <w:i/>
          <w:iCs/>
        </w:rPr>
        <w:tab/>
      </w:r>
      <w:r w:rsidR="00686849" w:rsidRPr="001C6BDB">
        <w:rPr>
          <w:bCs/>
          <w:i/>
          <w:iCs/>
        </w:rPr>
        <w:t>2. OPC/FIPUG</w:t>
      </w:r>
      <w:r w:rsidR="00E66B09" w:rsidRPr="001C6BDB">
        <w:rPr>
          <w:bCs/>
          <w:i/>
          <w:iCs/>
        </w:rPr>
        <w:tab/>
      </w:r>
    </w:p>
    <w:p w:rsidR="00E66B09" w:rsidRPr="00686849" w:rsidRDefault="00610867" w:rsidP="00E66B09">
      <w:pPr>
        <w:spacing w:after="240"/>
        <w:jc w:val="both"/>
      </w:pPr>
      <w:r>
        <w:tab/>
      </w:r>
      <w:r w:rsidR="00A9327D" w:rsidRPr="00686849">
        <w:t>OPC/FIPUG assert that t</w:t>
      </w:r>
      <w:r w:rsidR="00E66B09" w:rsidRPr="00686849">
        <w:t>he jurisdictional portion of approximately 95 percent of the total O&amp;M and capital expenditures of $132,577,031 in remediation costs to clean up the Biscayne Aquifer should be disallowed.</w:t>
      </w:r>
    </w:p>
    <w:p w:rsidR="00976145" w:rsidRPr="00EE50C1" w:rsidRDefault="000B76CD" w:rsidP="00976145">
      <w:pPr>
        <w:spacing w:after="240"/>
        <w:jc w:val="both"/>
      </w:pPr>
      <w:r>
        <w:tab/>
      </w:r>
      <w:r w:rsidR="00976145" w:rsidRPr="00EE50C1">
        <w:t xml:space="preserve">OPC/FIPUG argue that FPL has not met its burden of proof to be eligible for recovery of the </w:t>
      </w:r>
      <w:r w:rsidR="00016B04" w:rsidRPr="00EE50C1">
        <w:t>Monitoring Plan</w:t>
      </w:r>
      <w:r w:rsidR="00016B04">
        <w:t xml:space="preserve"> </w:t>
      </w:r>
      <w:r w:rsidR="00976145" w:rsidRPr="00EE50C1">
        <w:t xml:space="preserve">Disputed Costs, which OPC/FIPUG refer to as the Retraction and Freshening Remediation Project (RFRP). OPC/FIPUG assert that in its original 1972 permitting, FPL was responsible for both monitoring and preventing the spread of saltwater from the CCS. </w:t>
      </w:r>
    </w:p>
    <w:p w:rsidR="00976145" w:rsidRPr="00EE50C1" w:rsidRDefault="00976145" w:rsidP="00976145">
      <w:pPr>
        <w:spacing w:after="240"/>
        <w:jc w:val="both"/>
      </w:pPr>
      <w:r w:rsidRPr="00EE50C1">
        <w:tab/>
        <w:t>OPC/FIPUG contend that</w:t>
      </w:r>
      <w:r w:rsidR="00F53D2F">
        <w:t>,</w:t>
      </w:r>
      <w:r w:rsidRPr="00EE50C1">
        <w:t xml:space="preserve"> while a Consent Order or Agreement does not preclude recovery through the ECRC, costs implementing remediation activities to correct violations of law are not eligible. OPC/FIPUG argue that FPL specifically justifies its activities by relying on the </w:t>
      </w:r>
      <w:r w:rsidR="001F4863">
        <w:t>F</w:t>
      </w:r>
      <w:r w:rsidRPr="00EE50C1">
        <w:t>DEP CO which resulted from an NOV. OPC/FIPUG assert that</w:t>
      </w:r>
      <w:r w:rsidR="00F53D2F">
        <w:t>,</w:t>
      </w:r>
      <w:r w:rsidRPr="00EE50C1">
        <w:t xml:space="preserve"> as a result of the NOV, FPL would have been liable to the </w:t>
      </w:r>
      <w:r w:rsidR="00F53D2F">
        <w:t>S</w:t>
      </w:r>
      <w:r w:rsidRPr="00EE50C1">
        <w:t>tate of Florida for damage to the Biscayne Aquifer, and therefore</w:t>
      </w:r>
      <w:r w:rsidR="00F53D2F">
        <w:t>,</w:t>
      </w:r>
      <w:r w:rsidRPr="00EE50C1">
        <w:t xml:space="preserve"> should not be eligible for recovery as though RFRP costs were payment of damages for unlawful conduct. OPC/FIPUG note that Section 366.8255, F.S., requires that costs must be “designed to protect the environment.” </w:t>
      </w:r>
    </w:p>
    <w:p w:rsidR="00976145" w:rsidRPr="00EE50C1" w:rsidRDefault="00976145" w:rsidP="00976145">
      <w:pPr>
        <w:spacing w:after="240"/>
        <w:jc w:val="both"/>
      </w:pPr>
      <w:r w:rsidRPr="00EE50C1">
        <w:tab/>
        <w:t xml:space="preserve">OPC/FIPUG argue that the ECRC recovery standard includes both prudence and public policy elements, and that </w:t>
      </w:r>
      <w:r w:rsidR="00F53D2F">
        <w:t>we</w:t>
      </w:r>
      <w:r w:rsidRPr="00EE50C1">
        <w:t xml:space="preserve"> must be vigilant about improper efforts to recover costs through the ECRC.</w:t>
      </w:r>
      <w:r w:rsidRPr="00EE50C1">
        <w:rPr>
          <w:vertAlign w:val="superscript"/>
        </w:rPr>
        <w:footnoteReference w:id="4"/>
      </w:r>
      <w:r w:rsidRPr="00EE50C1">
        <w:t xml:space="preserve"> </w:t>
      </w:r>
    </w:p>
    <w:p w:rsidR="008A03AF" w:rsidRDefault="00976145" w:rsidP="008A03AF">
      <w:pPr>
        <w:spacing w:after="240"/>
        <w:jc w:val="both"/>
      </w:pPr>
      <w:r w:rsidRPr="00EE50C1">
        <w:tab/>
        <w:t xml:space="preserve">OPC/FIPUG state that the ECRC is an inappropriate method to recover costs associated with past harms. Instead, </w:t>
      </w:r>
      <w:r w:rsidR="00D82909">
        <w:t xml:space="preserve">they contend that </w:t>
      </w:r>
      <w:r w:rsidRPr="00EE50C1">
        <w:t xml:space="preserve">the clause is meant to allow recovery of costs required by new regulations to prevent future harm. OPC/FIPUG refer to </w:t>
      </w:r>
      <w:r w:rsidR="00F53D2F">
        <w:t xml:space="preserve">our prior </w:t>
      </w:r>
      <w:r w:rsidRPr="00EE50C1">
        <w:t xml:space="preserve">decisions </w:t>
      </w:r>
      <w:r w:rsidR="00F53D2F">
        <w:t xml:space="preserve">in which we reference </w:t>
      </w:r>
      <w:r w:rsidRPr="00EE50C1">
        <w:t>maintaining compliance or continuing compliance</w:t>
      </w:r>
      <w:r w:rsidR="00F53D2F">
        <w:t xml:space="preserve">. OPC/FIPUG </w:t>
      </w:r>
      <w:r w:rsidRPr="00EE50C1">
        <w:t xml:space="preserve">suggest </w:t>
      </w:r>
      <w:r w:rsidRPr="00EE50C1">
        <w:lastRenderedPageBreak/>
        <w:t>that</w:t>
      </w:r>
      <w:r w:rsidR="00F53D2F">
        <w:t>,</w:t>
      </w:r>
      <w:r w:rsidRPr="00EE50C1">
        <w:t xml:space="preserve"> because FPL has committed a violation and is out of compliance, FPL’s costs are now ineligible under the ECRC.</w:t>
      </w:r>
      <w:r w:rsidR="00F53D2F">
        <w:t xml:space="preserve"> </w:t>
      </w:r>
      <w:r w:rsidRPr="00EE50C1">
        <w:t xml:space="preserve">OPC/FIPUG acknowledge that </w:t>
      </w:r>
      <w:r w:rsidR="00F53D2F">
        <w:t>we have</w:t>
      </w:r>
      <w:r w:rsidRPr="00EE50C1">
        <w:t xml:space="preserve"> allowed remediation costs before, but suggest that those circumstances were with specific regulations that are not similar to the circumstances </w:t>
      </w:r>
      <w:r w:rsidR="00F53D2F">
        <w:t xml:space="preserve">presented by </w:t>
      </w:r>
      <w:r w:rsidRPr="00EE50C1">
        <w:t xml:space="preserve">the </w:t>
      </w:r>
      <w:r w:rsidR="00016B04" w:rsidRPr="00EE50C1">
        <w:t xml:space="preserve">Monitoring Plan </w:t>
      </w:r>
      <w:r w:rsidRPr="00EE50C1">
        <w:t xml:space="preserve">Disputed Costs. OPC/FIPUG further argue that a Consent Order or Agreement is the equivalent of an environmental regulation when it has a prospective application to abate or eliminate future harm, and that in prior instances when </w:t>
      </w:r>
      <w:r w:rsidR="00F53D2F">
        <w:t>we have</w:t>
      </w:r>
      <w:r w:rsidRPr="00EE50C1">
        <w:t xml:space="preserve"> approved cost recovery for a Consent Decree</w:t>
      </w:r>
      <w:r w:rsidR="00F53D2F">
        <w:t>,</w:t>
      </w:r>
      <w:r w:rsidRPr="00EE50C1">
        <w:t xml:space="preserve"> such costs covered </w:t>
      </w:r>
      <w:r w:rsidR="00686849">
        <w:t xml:space="preserve">only </w:t>
      </w:r>
      <w:r w:rsidRPr="00EE50C1">
        <w:t xml:space="preserve">prospective actions. </w:t>
      </w:r>
    </w:p>
    <w:p w:rsidR="00686849" w:rsidRPr="001C6BDB" w:rsidRDefault="00DC64F6" w:rsidP="00294171">
      <w:pPr>
        <w:spacing w:after="240"/>
        <w:jc w:val="both"/>
        <w:rPr>
          <w:i/>
        </w:rPr>
      </w:pPr>
      <w:r>
        <w:rPr>
          <w:b/>
          <w:i/>
        </w:rPr>
        <w:tab/>
      </w:r>
      <w:r w:rsidR="00686849" w:rsidRPr="001C6BDB">
        <w:rPr>
          <w:i/>
        </w:rPr>
        <w:t>3. SACE</w:t>
      </w:r>
    </w:p>
    <w:p w:rsidR="00E66B09" w:rsidRDefault="00686849" w:rsidP="00294171">
      <w:pPr>
        <w:spacing w:after="240"/>
        <w:jc w:val="both"/>
        <w:rPr>
          <w:b/>
          <w:bCs/>
          <w:iCs/>
          <w:color w:val="000000"/>
        </w:rPr>
      </w:pPr>
      <w:r>
        <w:tab/>
      </w:r>
      <w:r w:rsidR="00A9327D" w:rsidRPr="00A9327D">
        <w:rPr>
          <w:bCs/>
          <w:iCs/>
          <w:color w:val="000000"/>
        </w:rPr>
        <w:t xml:space="preserve">SACE asserts that </w:t>
      </w:r>
      <w:r w:rsidR="00E66B09" w:rsidRPr="00A9327D">
        <w:rPr>
          <w:bCs/>
          <w:iCs/>
          <w:color w:val="000000"/>
        </w:rPr>
        <w:t>FPL was issued a</w:t>
      </w:r>
      <w:r w:rsidR="00DF0C1E">
        <w:rPr>
          <w:bCs/>
          <w:iCs/>
          <w:color w:val="000000"/>
        </w:rPr>
        <w:t>n NOV</w:t>
      </w:r>
      <w:r w:rsidR="00E66B09" w:rsidRPr="00A9327D">
        <w:rPr>
          <w:bCs/>
          <w:iCs/>
          <w:color w:val="000000"/>
        </w:rPr>
        <w:t xml:space="preserve"> by the FDEP in 2016 and by Miami-Dade County in 2015. </w:t>
      </w:r>
      <w:r w:rsidR="00A9327D" w:rsidRPr="00A9327D">
        <w:rPr>
          <w:bCs/>
          <w:iCs/>
          <w:color w:val="000000"/>
        </w:rPr>
        <w:t xml:space="preserve">SACE argues that </w:t>
      </w:r>
      <w:r w:rsidR="00252E2A">
        <w:rPr>
          <w:bCs/>
          <w:iCs/>
          <w:color w:val="000000"/>
        </w:rPr>
        <w:t>we have</w:t>
      </w:r>
      <w:r w:rsidR="00E66B09" w:rsidRPr="00A9327D">
        <w:rPr>
          <w:bCs/>
          <w:iCs/>
          <w:color w:val="000000"/>
        </w:rPr>
        <w:t xml:space="preserve"> never allowed a utility to recover costs through the ECRC for compliance costs arising from a violation of law</w:t>
      </w:r>
      <w:r w:rsidR="00D82909">
        <w:rPr>
          <w:bCs/>
          <w:iCs/>
          <w:color w:val="000000"/>
        </w:rPr>
        <w:t>,</w:t>
      </w:r>
      <w:r w:rsidR="00A9327D" w:rsidRPr="00A9327D">
        <w:rPr>
          <w:bCs/>
          <w:iCs/>
          <w:color w:val="000000"/>
        </w:rPr>
        <w:t xml:space="preserve"> and that d</w:t>
      </w:r>
      <w:r w:rsidR="00E66B09" w:rsidRPr="00A9327D">
        <w:rPr>
          <w:bCs/>
          <w:iCs/>
          <w:color w:val="000000"/>
        </w:rPr>
        <w:t xml:space="preserve">oing so in this case would establish a dangerous precedent in future ECRC proceedings. </w:t>
      </w:r>
      <w:r w:rsidR="00A9327D" w:rsidRPr="00A9327D">
        <w:rPr>
          <w:bCs/>
          <w:iCs/>
          <w:color w:val="000000"/>
        </w:rPr>
        <w:t xml:space="preserve">Moreover, SACE contends that </w:t>
      </w:r>
      <w:r w:rsidR="00E66B09" w:rsidRPr="00A9327D">
        <w:rPr>
          <w:bCs/>
          <w:iCs/>
          <w:color w:val="000000"/>
        </w:rPr>
        <w:t xml:space="preserve">recovery of costs should not be allowed because FPL’s failure to mitigate the impact of </w:t>
      </w:r>
      <w:r w:rsidR="00D82909">
        <w:rPr>
          <w:bCs/>
          <w:iCs/>
          <w:color w:val="000000"/>
        </w:rPr>
        <w:t xml:space="preserve">the </w:t>
      </w:r>
      <w:r w:rsidR="00E66B09" w:rsidRPr="00A9327D">
        <w:rPr>
          <w:bCs/>
          <w:iCs/>
          <w:color w:val="000000"/>
        </w:rPr>
        <w:t>CCS-caused hyper-saline plume before 2014 was imprudent</w:t>
      </w:r>
      <w:r w:rsidR="00E66B09" w:rsidRPr="00A9327D">
        <w:rPr>
          <w:b/>
          <w:bCs/>
          <w:iCs/>
          <w:color w:val="000000"/>
        </w:rPr>
        <w:t>.</w:t>
      </w:r>
    </w:p>
    <w:p w:rsidR="00976145" w:rsidRPr="00EE50C1" w:rsidRDefault="00E66B09" w:rsidP="00976145">
      <w:pPr>
        <w:spacing w:after="240"/>
        <w:jc w:val="both"/>
      </w:pPr>
      <w:r>
        <w:tab/>
      </w:r>
      <w:r w:rsidR="00976145" w:rsidRPr="00F53D2F">
        <w:t>SACE</w:t>
      </w:r>
      <w:r w:rsidR="00976145" w:rsidRPr="00EE50C1">
        <w:t xml:space="preserve"> alleges that FPL knew</w:t>
      </w:r>
      <w:r w:rsidR="006E6A8D">
        <w:t>,</w:t>
      </w:r>
      <w:r w:rsidR="00976145" w:rsidRPr="00EE50C1">
        <w:t xml:space="preserve"> or should have known</w:t>
      </w:r>
      <w:r w:rsidR="006E6A8D">
        <w:t>,</w:t>
      </w:r>
      <w:r w:rsidR="00976145" w:rsidRPr="00EE50C1">
        <w:t xml:space="preserve"> by 1992 that the operation of the CCS was causing an adverse impact to waters adjacent to the CCS. SACE argues that FPL </w:t>
      </w:r>
      <w:r w:rsidR="006E6A8D">
        <w:t xml:space="preserve">failed to provide </w:t>
      </w:r>
      <w:r w:rsidR="00976145" w:rsidRPr="00EE50C1">
        <w:t xml:space="preserve">information </w:t>
      </w:r>
      <w:r w:rsidR="006E6A8D">
        <w:t xml:space="preserve">to </w:t>
      </w:r>
      <w:r w:rsidR="006E6A8D" w:rsidRPr="00EE50C1">
        <w:t>both SFWMD and</w:t>
      </w:r>
      <w:r w:rsidR="006E6A8D">
        <w:t xml:space="preserve"> </w:t>
      </w:r>
      <w:r w:rsidR="006E6A8D" w:rsidRPr="00EE50C1">
        <w:t>th</w:t>
      </w:r>
      <w:r w:rsidR="006E6A8D">
        <w:t xml:space="preserve">is </w:t>
      </w:r>
      <w:r w:rsidR="006E6A8D" w:rsidRPr="00EE50C1">
        <w:t>Commission</w:t>
      </w:r>
      <w:r w:rsidR="00FC2621">
        <w:t xml:space="preserve"> </w:t>
      </w:r>
      <w:r w:rsidR="00CA7D3A">
        <w:t xml:space="preserve">regarding </w:t>
      </w:r>
      <w:r w:rsidR="00976145" w:rsidRPr="00EE50C1">
        <w:t>the scale of the environmental impacts of the CCS</w:t>
      </w:r>
      <w:r w:rsidR="006E6A8D">
        <w:t>.</w:t>
      </w:r>
      <w:r w:rsidR="00976145" w:rsidRPr="00EE50C1">
        <w:t xml:space="preserve"> SACE contends that FPL’s imprudence caused the environmental compliance requirements </w:t>
      </w:r>
      <w:r w:rsidR="00DF0C1E">
        <w:t>of</w:t>
      </w:r>
      <w:r w:rsidR="00976145" w:rsidRPr="00EE50C1">
        <w:t xml:space="preserve"> the CO and CA, and therefore</w:t>
      </w:r>
      <w:r w:rsidR="00CA7D3A">
        <w:t>,</w:t>
      </w:r>
      <w:r w:rsidR="00976145" w:rsidRPr="00EE50C1">
        <w:t xml:space="preserve"> </w:t>
      </w:r>
      <w:r w:rsidR="00CA7D3A">
        <w:t xml:space="preserve">cost recovery should not be allowed. </w:t>
      </w:r>
    </w:p>
    <w:p w:rsidR="008A03AF" w:rsidRDefault="00976145" w:rsidP="00A9327D">
      <w:pPr>
        <w:spacing w:after="240"/>
        <w:jc w:val="both"/>
      </w:pPr>
      <w:r w:rsidRPr="00EE50C1">
        <w:tab/>
        <w:t>SACE alleges that FPL downplayed</w:t>
      </w:r>
      <w:r w:rsidR="00CA7D3A">
        <w:t>,</w:t>
      </w:r>
      <w:r w:rsidRPr="00EE50C1">
        <w:t xml:space="preserve"> or even ignored</w:t>
      </w:r>
      <w:r w:rsidR="00CA7D3A">
        <w:t>,</w:t>
      </w:r>
      <w:r w:rsidRPr="00EE50C1">
        <w:t xml:space="preserve"> the conclusions of annual monitoring reports that were filed with environmental regulators. SACE asserts that had environmental regulators been provided with a complete analysis of the monitoring data, FPL’s Turkey Point Uprate Project might not have been approved. Therefore</w:t>
      </w:r>
      <w:r w:rsidR="000A1F7C">
        <w:t>,</w:t>
      </w:r>
      <w:r w:rsidRPr="00EE50C1">
        <w:t xml:space="preserve"> the COC FPL relies upon as an environmental requirement would not have been </w:t>
      </w:r>
      <w:r w:rsidR="006E6A8D">
        <w:t>in place</w:t>
      </w:r>
      <w:r w:rsidRPr="00EE50C1">
        <w:t xml:space="preserve">.  </w:t>
      </w:r>
    </w:p>
    <w:p w:rsidR="00686849" w:rsidRPr="00DC64F6" w:rsidRDefault="00686849" w:rsidP="001C6BDB">
      <w:pPr>
        <w:spacing w:after="240"/>
        <w:jc w:val="center"/>
        <w:rPr>
          <w:b/>
          <w:bCs/>
          <w:iCs/>
          <w:u w:val="single"/>
        </w:rPr>
      </w:pPr>
      <w:r w:rsidRPr="00DC64F6">
        <w:rPr>
          <w:b/>
          <w:u w:val="single"/>
        </w:rPr>
        <w:t>B. Analysis</w:t>
      </w:r>
    </w:p>
    <w:p w:rsidR="00976145" w:rsidRPr="00EE50C1" w:rsidRDefault="00976145" w:rsidP="00976145">
      <w:pPr>
        <w:spacing w:after="240"/>
        <w:jc w:val="both"/>
      </w:pPr>
      <w:r w:rsidRPr="00EE50C1">
        <w:tab/>
        <w:t xml:space="preserve">The ECRC, enacted into law in 1993, provides an investor-owned utility the opportunity to recover the costs associated with changes in environmental regulations between rate cases. The statute authorizes </w:t>
      </w:r>
      <w:r w:rsidR="00252E2A">
        <w:t>us</w:t>
      </w:r>
      <w:r w:rsidRPr="00EE50C1">
        <w:t xml:space="preserve"> to review and decide whether a utility’s environmental compliance costs are recoverable through an environmental cost recovery factor. When </w:t>
      </w:r>
      <w:r w:rsidR="003677F4">
        <w:t>we</w:t>
      </w:r>
      <w:r w:rsidRPr="00EE50C1">
        <w:t xml:space="preserve"> first implemented the provisions of Section 366.8255, F.S., </w:t>
      </w:r>
      <w:r w:rsidR="003677F4">
        <w:t>we</w:t>
      </w:r>
      <w:r w:rsidRPr="00EE50C1">
        <w:t xml:space="preserve"> identified the criteria required to demonstrate eligibility for cost recovery under the ECRC</w:t>
      </w:r>
      <w:r w:rsidR="00C646B0">
        <w:t>,</w:t>
      </w:r>
      <w:r w:rsidRPr="00EE50C1">
        <w:t xml:space="preserve"> and interpreted the statute to </w:t>
      </w:r>
      <w:r w:rsidR="003677F4">
        <w:t>have</w:t>
      </w:r>
      <w:r w:rsidRPr="00EE50C1">
        <w:t xml:space="preserve"> three requirements for recovery of environmental compliance costs through the clause, as detailed below:</w:t>
      </w:r>
      <w:r w:rsidRPr="00EE50C1">
        <w:rPr>
          <w:vertAlign w:val="superscript"/>
        </w:rPr>
        <w:t xml:space="preserve"> </w:t>
      </w:r>
    </w:p>
    <w:p w:rsidR="00976145" w:rsidRDefault="00976145" w:rsidP="000A1F7C">
      <w:pPr>
        <w:ind w:left="1440" w:right="1440"/>
        <w:jc w:val="both"/>
      </w:pPr>
      <w:r w:rsidRPr="00EE50C1">
        <w:t>Upon petition, we shall allow the recovery of costs associated with an environmental compliance activity if:</w:t>
      </w:r>
    </w:p>
    <w:p w:rsidR="000A1F7C" w:rsidRPr="00EE50C1" w:rsidRDefault="000A1F7C" w:rsidP="00E4641C">
      <w:pPr>
        <w:ind w:left="720" w:right="720"/>
        <w:jc w:val="both"/>
      </w:pPr>
    </w:p>
    <w:p w:rsidR="00976145" w:rsidRPr="00EE50C1" w:rsidRDefault="000A1F7C" w:rsidP="00E4641C">
      <w:pPr>
        <w:ind w:left="720" w:right="720"/>
        <w:jc w:val="both"/>
      </w:pPr>
      <w:r>
        <w:tab/>
      </w:r>
      <w:r w:rsidR="00976145" w:rsidRPr="00EE50C1">
        <w:t>1.  such costs were prudently incurred after April 13, 1993;</w:t>
      </w:r>
    </w:p>
    <w:p w:rsidR="00594BC2" w:rsidRDefault="00594BC2" w:rsidP="000A1F7C">
      <w:pPr>
        <w:ind w:left="1440" w:right="1440"/>
        <w:jc w:val="both"/>
      </w:pPr>
    </w:p>
    <w:p w:rsidR="00976145" w:rsidRDefault="00976145" w:rsidP="000A1F7C">
      <w:pPr>
        <w:ind w:left="1440" w:right="1440"/>
        <w:jc w:val="both"/>
      </w:pPr>
      <w:r w:rsidRPr="00EE50C1">
        <w:lastRenderedPageBreak/>
        <w:t>2. the activity is legally required to comply with a governmentally imposed environmental regulation enacted, became effective, or whose effect was triggered after the Company’s last test year upon which rates are based; and,</w:t>
      </w:r>
    </w:p>
    <w:p w:rsidR="000A1F7C" w:rsidRPr="00EE50C1" w:rsidRDefault="000A1F7C" w:rsidP="000A1F7C">
      <w:pPr>
        <w:ind w:left="1440" w:right="1440"/>
        <w:jc w:val="both"/>
      </w:pPr>
    </w:p>
    <w:p w:rsidR="003677F4" w:rsidRDefault="00976145" w:rsidP="000A1F7C">
      <w:pPr>
        <w:ind w:left="1440" w:right="1440"/>
        <w:jc w:val="both"/>
      </w:pPr>
      <w:r w:rsidRPr="00EE50C1">
        <w:t>3. such costs are not recovered through some other cost recovery mechanism or through base rates.</w:t>
      </w:r>
      <w:r w:rsidR="003677F4" w:rsidRPr="003677F4">
        <w:rPr>
          <w:vertAlign w:val="superscript"/>
        </w:rPr>
        <w:footnoteReference w:id="5"/>
      </w:r>
    </w:p>
    <w:p w:rsidR="00E4641C" w:rsidRPr="003677F4" w:rsidRDefault="00E4641C" w:rsidP="00E4641C">
      <w:pPr>
        <w:ind w:left="720" w:right="720"/>
        <w:jc w:val="both"/>
      </w:pPr>
    </w:p>
    <w:p w:rsidR="004017B8" w:rsidRDefault="00976145" w:rsidP="004017B8">
      <w:pPr>
        <w:spacing w:after="240"/>
        <w:jc w:val="both"/>
      </w:pPr>
      <w:r w:rsidRPr="00EE50C1">
        <w:tab/>
        <w:t>Pursuant to Section 366.8255, F.S., only the utility’s prudently incurred environmental compliance costs are allowed to be recovered through the ECRC.</w:t>
      </w:r>
      <w:r w:rsidRPr="00EE50C1">
        <w:rPr>
          <w:vertAlign w:val="superscript"/>
        </w:rPr>
        <w:footnoteReference w:id="6"/>
      </w:r>
      <w:r w:rsidRPr="00EE50C1">
        <w:t xml:space="preserve"> The prudency of the </w:t>
      </w:r>
      <w:r w:rsidR="00016B04" w:rsidRPr="00EE50C1">
        <w:t xml:space="preserve">Monitoring Plan </w:t>
      </w:r>
      <w:r w:rsidRPr="00EE50C1">
        <w:t xml:space="preserve">Disputed Costs is discussed </w:t>
      </w:r>
      <w:r w:rsidR="003677F4">
        <w:t xml:space="preserve">below </w:t>
      </w:r>
      <w:r w:rsidR="00C646B0">
        <w:t>in Section II</w:t>
      </w:r>
      <w:r w:rsidRPr="00EE50C1">
        <w:t>.</w:t>
      </w:r>
    </w:p>
    <w:p w:rsidR="00976145" w:rsidRPr="001C6BDB" w:rsidRDefault="00DC64F6" w:rsidP="004017B8">
      <w:pPr>
        <w:spacing w:after="240"/>
        <w:jc w:val="both"/>
        <w:rPr>
          <w:i/>
        </w:rPr>
      </w:pPr>
      <w:r>
        <w:rPr>
          <w:b/>
          <w:bCs/>
          <w:i/>
          <w:iCs/>
        </w:rPr>
        <w:tab/>
      </w:r>
      <w:r w:rsidR="00F910A9" w:rsidRPr="001C6BDB">
        <w:rPr>
          <w:bCs/>
          <w:i/>
          <w:iCs/>
        </w:rPr>
        <w:t>1.</w:t>
      </w:r>
      <w:r w:rsidR="004017B8" w:rsidRPr="001C6BDB">
        <w:rPr>
          <w:bCs/>
          <w:i/>
          <w:iCs/>
        </w:rPr>
        <w:t xml:space="preserve"> </w:t>
      </w:r>
      <w:r w:rsidR="00976145" w:rsidRPr="001C6BDB">
        <w:rPr>
          <w:bCs/>
          <w:i/>
          <w:iCs/>
        </w:rPr>
        <w:t>Timing</w:t>
      </w:r>
    </w:p>
    <w:p w:rsidR="00976145" w:rsidRPr="00EE50C1" w:rsidRDefault="00976145" w:rsidP="00976145">
      <w:pPr>
        <w:spacing w:after="240"/>
        <w:jc w:val="both"/>
        <w:rPr>
          <w:color w:val="000000"/>
        </w:rPr>
      </w:pPr>
      <w:r w:rsidRPr="00EE50C1">
        <w:tab/>
        <w:t xml:space="preserve">To be eligible </w:t>
      </w:r>
      <w:r w:rsidR="003677F4">
        <w:t xml:space="preserve">for recovery under </w:t>
      </w:r>
      <w:r w:rsidRPr="00EE50C1">
        <w:t xml:space="preserve">the ECRC, costs must have been </w:t>
      </w:r>
      <w:r w:rsidR="003677F4">
        <w:t xml:space="preserve">prudently </w:t>
      </w:r>
      <w:r w:rsidRPr="00EE50C1">
        <w:t>incurred after April 13, 1993</w:t>
      </w:r>
      <w:r w:rsidR="003677F4">
        <w:t>,</w:t>
      </w:r>
      <w:r w:rsidRPr="00EE50C1">
        <w:t xml:space="preserve"> </w:t>
      </w:r>
      <w:r w:rsidRPr="00EE50C1">
        <w:rPr>
          <w:color w:val="000000"/>
        </w:rPr>
        <w:t>the effective date of Section 7, Chapter 93-35, Laws of Florida, which created Section 366.8255, F.S.</w:t>
      </w:r>
      <w:r w:rsidRPr="00EE50C1">
        <w:rPr>
          <w:color w:val="000000"/>
          <w:vertAlign w:val="superscript"/>
        </w:rPr>
        <w:footnoteReference w:id="7"/>
      </w:r>
      <w:r w:rsidRPr="00EE50C1">
        <w:rPr>
          <w:color w:val="000000"/>
        </w:rPr>
        <w:t xml:space="preserve"> This threshold date has been applied by </w:t>
      </w:r>
      <w:r w:rsidR="003677F4">
        <w:rPr>
          <w:color w:val="000000"/>
        </w:rPr>
        <w:t>us</w:t>
      </w:r>
      <w:r w:rsidRPr="00EE50C1">
        <w:rPr>
          <w:color w:val="000000"/>
        </w:rPr>
        <w:t xml:space="preserve"> many times since it was originally</w:t>
      </w:r>
      <w:r w:rsidR="003677F4">
        <w:rPr>
          <w:color w:val="000000"/>
        </w:rPr>
        <w:t xml:space="preserve"> </w:t>
      </w:r>
      <w:r w:rsidRPr="00EE50C1">
        <w:rPr>
          <w:color w:val="000000"/>
        </w:rPr>
        <w:t>established.</w:t>
      </w:r>
      <w:r w:rsidRPr="00EE50C1">
        <w:rPr>
          <w:vertAlign w:val="superscript"/>
        </w:rPr>
        <w:footnoteReference w:id="8"/>
      </w:r>
    </w:p>
    <w:p w:rsidR="004017B8" w:rsidRDefault="00976145" w:rsidP="004017B8">
      <w:pPr>
        <w:spacing w:after="240"/>
        <w:jc w:val="both"/>
      </w:pPr>
      <w:r w:rsidRPr="00EE50C1">
        <w:tab/>
        <w:t>No party argues</w:t>
      </w:r>
      <w:r w:rsidR="003677F4">
        <w:t>,</w:t>
      </w:r>
      <w:r w:rsidRPr="00EE50C1">
        <w:t xml:space="preserve"> a</w:t>
      </w:r>
      <w:r w:rsidRPr="00594BC2">
        <w:t xml:space="preserve">nd there is no </w:t>
      </w:r>
      <w:r w:rsidR="00594BC2" w:rsidRPr="00594BC2">
        <w:t xml:space="preserve">substantial </w:t>
      </w:r>
      <w:r w:rsidRPr="00594BC2">
        <w:t>evidence in the record</w:t>
      </w:r>
      <w:r w:rsidR="003677F4" w:rsidRPr="00594BC2">
        <w:t>,</w:t>
      </w:r>
      <w:r w:rsidRPr="00594BC2">
        <w:t xml:space="preserve"> that the </w:t>
      </w:r>
      <w:r w:rsidR="00016B04" w:rsidRPr="00EE50C1">
        <w:t>Monitoring Plan</w:t>
      </w:r>
      <w:r w:rsidR="00016B04" w:rsidRPr="00594BC2">
        <w:t xml:space="preserve"> </w:t>
      </w:r>
      <w:r w:rsidRPr="00594BC2">
        <w:t>Disputed Costs were incurred prior to this date.</w:t>
      </w:r>
      <w:r w:rsidRPr="00EE50C1">
        <w:t xml:space="preserve"> Therefore, </w:t>
      </w:r>
      <w:r w:rsidR="003677F4">
        <w:t xml:space="preserve">we find that </w:t>
      </w:r>
      <w:r w:rsidRPr="00EE50C1">
        <w:t xml:space="preserve">the </w:t>
      </w:r>
      <w:r w:rsidR="00016B04" w:rsidRPr="00EE50C1">
        <w:t xml:space="preserve">Monitoring Plan </w:t>
      </w:r>
      <w:r w:rsidRPr="00EE50C1">
        <w:t>Disputed Costs meet the first criteri</w:t>
      </w:r>
      <w:r w:rsidR="00FE0834">
        <w:t>on</w:t>
      </w:r>
      <w:r w:rsidRPr="00EE50C1">
        <w:t xml:space="preserve"> of ECRC eligibility.</w:t>
      </w:r>
    </w:p>
    <w:p w:rsidR="00976145" w:rsidRPr="001C6BDB" w:rsidRDefault="00DC64F6" w:rsidP="004017B8">
      <w:pPr>
        <w:spacing w:after="240"/>
        <w:jc w:val="both"/>
        <w:rPr>
          <w:i/>
        </w:rPr>
      </w:pPr>
      <w:r>
        <w:rPr>
          <w:b/>
          <w:bCs/>
          <w:i/>
          <w:iCs/>
        </w:rPr>
        <w:tab/>
      </w:r>
      <w:r w:rsidR="00F910A9" w:rsidRPr="001C6BDB">
        <w:rPr>
          <w:bCs/>
          <w:i/>
          <w:iCs/>
        </w:rPr>
        <w:t xml:space="preserve">2. </w:t>
      </w:r>
      <w:r w:rsidR="004017B8" w:rsidRPr="001C6BDB">
        <w:rPr>
          <w:bCs/>
          <w:i/>
          <w:iCs/>
        </w:rPr>
        <w:t xml:space="preserve"> </w:t>
      </w:r>
      <w:r w:rsidR="00976145" w:rsidRPr="001C6BDB">
        <w:rPr>
          <w:bCs/>
          <w:i/>
          <w:iCs/>
        </w:rPr>
        <w:t>Regulatory Requirement</w:t>
      </w:r>
      <w:r w:rsidR="00DF0C1E" w:rsidRPr="001C6BDB">
        <w:rPr>
          <w:bCs/>
          <w:i/>
          <w:iCs/>
        </w:rPr>
        <w:t>/Test Year</w:t>
      </w:r>
    </w:p>
    <w:p w:rsidR="00976145" w:rsidRPr="00EE50C1" w:rsidRDefault="00976145" w:rsidP="00976145">
      <w:pPr>
        <w:spacing w:after="240"/>
        <w:jc w:val="both"/>
      </w:pPr>
      <w:r w:rsidRPr="00EE50C1">
        <w:tab/>
        <w:t xml:space="preserve">To be eligible for the ECRC, costs must be for activities that are legally required to comply with a governmentally imposed regulation that has been enacted, or become effective, or whose effect was triggered after the Company’s last test year upon which rates are based. Therefore, to determine eligibility of the </w:t>
      </w:r>
      <w:r w:rsidR="00016B04" w:rsidRPr="00EE50C1">
        <w:t xml:space="preserve">Monitoring Plan </w:t>
      </w:r>
      <w:r w:rsidRPr="00EE50C1">
        <w:t xml:space="preserve">Disputed Costs, </w:t>
      </w:r>
      <w:r w:rsidR="003677F4">
        <w:t>we</w:t>
      </w:r>
      <w:r w:rsidRPr="00EE50C1">
        <w:t xml:space="preserve"> must first identify the new regulations and then determine if the date</w:t>
      </w:r>
      <w:r w:rsidR="000A1F7C">
        <w:t>s</w:t>
      </w:r>
      <w:r w:rsidRPr="00EE50C1">
        <w:t xml:space="preserve"> of such regulations </w:t>
      </w:r>
      <w:r w:rsidR="000A1F7C">
        <w:t>are</w:t>
      </w:r>
      <w:r w:rsidRPr="00EE50C1">
        <w:t xml:space="preserve"> after the Company’s last test year.</w:t>
      </w:r>
    </w:p>
    <w:p w:rsidR="00976145" w:rsidRPr="00EE50C1" w:rsidRDefault="00976145" w:rsidP="00976145">
      <w:pPr>
        <w:spacing w:after="240"/>
        <w:jc w:val="both"/>
        <w:rPr>
          <w:highlight w:val="yellow"/>
        </w:rPr>
      </w:pPr>
      <w:r w:rsidRPr="00EE50C1">
        <w:tab/>
        <w:t xml:space="preserve">Section 366.8255 (1)(c), F.S., defines environmental laws or regulations to include “all federal, state, or local statutes, administrative regulations, orders, ordinances, resolutions, or other requirements that apply to electric utilities and are designed to protect the environment.” The FDEP and DERM are state and local environmental regulators, respectively, with the </w:t>
      </w:r>
      <w:r w:rsidRPr="00EE50C1">
        <w:lastRenderedPageBreak/>
        <w:t>authority to impose requirements on FPL’s operations of the CCS and other relevant plant</w:t>
      </w:r>
      <w:r w:rsidR="00C646B0">
        <w:t>s</w:t>
      </w:r>
      <w:r w:rsidRPr="00EE50C1">
        <w:t xml:space="preserve">. The CO, CA, and CAA all include specific new requirements that apply to FPL in relation to its function as an electric utility. These are primarily detailed in Sections 20 through 33 of the </w:t>
      </w:r>
      <w:r w:rsidR="001F4863">
        <w:t>F</w:t>
      </w:r>
      <w:r w:rsidRPr="00EE50C1">
        <w:t xml:space="preserve">DEP’s CO and Sections 17 and 34 in DERM’s CA, as amended by the CAA. These requirements include items such as implementing plans to meet salinity thresholds, installation and operation of freshening projects, improving thermal efficiency, and engaging in remediation projects including a recovery well system. </w:t>
      </w:r>
    </w:p>
    <w:p w:rsidR="005A042D" w:rsidRDefault="00976145" w:rsidP="00976145">
      <w:pPr>
        <w:spacing w:after="240"/>
        <w:jc w:val="both"/>
      </w:pPr>
      <w:r w:rsidRPr="00EE50C1">
        <w:tab/>
      </w:r>
      <w:r w:rsidR="005A042D">
        <w:t xml:space="preserve">We have </w:t>
      </w:r>
      <w:r w:rsidRPr="00EE50C1">
        <w:t>previously interpreted a Consent Decree to be a qualifying requirement under the ECRC.</w:t>
      </w:r>
      <w:r w:rsidRPr="00EE50C1">
        <w:rPr>
          <w:vertAlign w:val="superscript"/>
        </w:rPr>
        <w:footnoteReference w:id="9"/>
      </w:r>
      <w:r w:rsidRPr="00EE50C1">
        <w:t xml:space="preserve"> In another instance, </w:t>
      </w:r>
      <w:r w:rsidR="005A042D">
        <w:t>we</w:t>
      </w:r>
      <w:r w:rsidRPr="00EE50C1">
        <w:t xml:space="preserve"> allowed ECRC cost recovery based on an agreement reached as a result of alleged violations of the Clean Air Act.</w:t>
      </w:r>
      <w:r w:rsidRPr="00EE50C1">
        <w:rPr>
          <w:vertAlign w:val="superscript"/>
        </w:rPr>
        <w:footnoteReference w:id="10"/>
      </w:r>
      <w:r w:rsidRPr="00EE50C1">
        <w:t xml:space="preserve"> </w:t>
      </w:r>
      <w:r w:rsidR="005A042D">
        <w:t xml:space="preserve">The </w:t>
      </w:r>
      <w:r w:rsidR="00FC2621">
        <w:t>record</w:t>
      </w:r>
      <w:r w:rsidR="005A042D">
        <w:t xml:space="preserve"> reflects that </w:t>
      </w:r>
      <w:r w:rsidRPr="00EE50C1">
        <w:t xml:space="preserve">without the </w:t>
      </w:r>
      <w:r w:rsidR="001F4863">
        <w:t>F</w:t>
      </w:r>
      <w:r w:rsidRPr="00EE50C1">
        <w:t xml:space="preserve">DEP’s NOV, FPL would not have signed a Consent Order. </w:t>
      </w:r>
      <w:r w:rsidR="001F4863">
        <w:t>F</w:t>
      </w:r>
      <w:r w:rsidRPr="00EE50C1">
        <w:t>DEP’s NOV directed FPL to enter into a Consent Order or equivalent</w:t>
      </w:r>
      <w:r w:rsidR="00C646B0">
        <w:t>,</w:t>
      </w:r>
      <w:r w:rsidR="005A042D">
        <w:t xml:space="preserve"> and </w:t>
      </w:r>
      <w:r w:rsidRPr="00EE50C1">
        <w:t xml:space="preserve">FPL is engaging in the </w:t>
      </w:r>
      <w:r w:rsidR="00F3777B" w:rsidRPr="00EE50C1">
        <w:t xml:space="preserve">Monitoring Plan </w:t>
      </w:r>
      <w:r w:rsidRPr="00EE50C1">
        <w:t xml:space="preserve">Disputed Cost activities pursuant to the CO and CA. </w:t>
      </w:r>
    </w:p>
    <w:p w:rsidR="00DF0C1E" w:rsidRDefault="00976145" w:rsidP="00130E18">
      <w:pPr>
        <w:spacing w:after="240"/>
        <w:jc w:val="both"/>
      </w:pPr>
      <w:r w:rsidRPr="00EE50C1">
        <w:tab/>
      </w:r>
      <w:r w:rsidR="005A042D">
        <w:t>T</w:t>
      </w:r>
      <w:r w:rsidRPr="00EE50C1">
        <w:t xml:space="preserve">he CO, CA, and CAA expressly require FPL to engage in remediation activities. </w:t>
      </w:r>
      <w:r w:rsidR="005A042D">
        <w:t xml:space="preserve">We have </w:t>
      </w:r>
      <w:r w:rsidRPr="00EE50C1">
        <w:t>previously approved recovery of costs associated with remediation activities under the ECRC.</w:t>
      </w:r>
      <w:r w:rsidRPr="00EE50C1">
        <w:rPr>
          <w:vertAlign w:val="superscript"/>
        </w:rPr>
        <w:footnoteReference w:id="11"/>
      </w:r>
      <w:r w:rsidRPr="00EE50C1">
        <w:rPr>
          <w:color w:val="212121"/>
        </w:rPr>
        <w:t xml:space="preserve"> </w:t>
      </w:r>
      <w:r w:rsidRPr="00EE50C1">
        <w:t xml:space="preserve">Based on the statutory definition, </w:t>
      </w:r>
      <w:r w:rsidR="005A042D">
        <w:t xml:space="preserve">our </w:t>
      </w:r>
      <w:r w:rsidRPr="00EE50C1">
        <w:t xml:space="preserve">past </w:t>
      </w:r>
      <w:r w:rsidR="005A042D">
        <w:t xml:space="preserve">interpretation of the statute, and </w:t>
      </w:r>
      <w:r w:rsidRPr="00EE50C1">
        <w:t xml:space="preserve">the record in this docket, </w:t>
      </w:r>
      <w:r w:rsidR="005A042D">
        <w:t xml:space="preserve">we find that </w:t>
      </w:r>
      <w:r w:rsidRPr="00EE50C1">
        <w:t xml:space="preserve">the CO, CA, and CAA </w:t>
      </w:r>
      <w:r w:rsidR="005A042D">
        <w:t xml:space="preserve">are </w:t>
      </w:r>
      <w:r w:rsidRPr="00EE50C1">
        <w:t>new environmental regulations</w:t>
      </w:r>
      <w:r w:rsidR="00DF0C1E">
        <w:t>.</w:t>
      </w:r>
    </w:p>
    <w:p w:rsidR="004017B8" w:rsidRDefault="00DF0C1E" w:rsidP="004017B8">
      <w:pPr>
        <w:spacing w:after="240"/>
        <w:jc w:val="both"/>
      </w:pPr>
      <w:r>
        <w:tab/>
      </w:r>
      <w:r w:rsidR="00976145" w:rsidRPr="00EE50C1">
        <w:t xml:space="preserve">FPL’s most recent rate case was resolved by a settlement between many parties, including FPL and OPC, and </w:t>
      </w:r>
      <w:r w:rsidR="0058688E">
        <w:t xml:space="preserve">was </w:t>
      </w:r>
      <w:r w:rsidR="00976145" w:rsidRPr="00EE50C1">
        <w:t xml:space="preserve">approved by </w:t>
      </w:r>
      <w:r w:rsidR="00252E2A">
        <w:t>us</w:t>
      </w:r>
      <w:r w:rsidR="00976145" w:rsidRPr="00EE50C1">
        <w:t xml:space="preserve"> </w:t>
      </w:r>
      <w:r w:rsidR="005A042D">
        <w:t xml:space="preserve">by </w:t>
      </w:r>
      <w:r w:rsidR="00976145" w:rsidRPr="00EE50C1">
        <w:t>Order No. PSC-16-0560-AS-EI.</w:t>
      </w:r>
      <w:r w:rsidR="00976145" w:rsidRPr="00EE50C1">
        <w:rPr>
          <w:vertAlign w:val="superscript"/>
        </w:rPr>
        <w:footnoteReference w:id="12"/>
      </w:r>
      <w:r w:rsidR="00976145" w:rsidRPr="00EE50C1">
        <w:t xml:space="preserve"> No party argues</w:t>
      </w:r>
      <w:r w:rsidR="005A042D">
        <w:t>,</w:t>
      </w:r>
      <w:r w:rsidR="00976145" w:rsidRPr="00EE50C1">
        <w:t xml:space="preserve"> and </w:t>
      </w:r>
      <w:r w:rsidR="00976145" w:rsidRPr="00594BC2">
        <w:t xml:space="preserve">there is no </w:t>
      </w:r>
      <w:r w:rsidR="007642F1">
        <w:t xml:space="preserve">substantial </w:t>
      </w:r>
      <w:r w:rsidR="00976145" w:rsidRPr="00594BC2">
        <w:t>evidence in the record</w:t>
      </w:r>
      <w:r w:rsidR="005A042D" w:rsidRPr="00594BC2">
        <w:t>,</w:t>
      </w:r>
      <w:r w:rsidR="00976145" w:rsidRPr="00594BC2">
        <w:t xml:space="preserve"> that the </w:t>
      </w:r>
      <w:r w:rsidR="00016B04" w:rsidRPr="00EE50C1">
        <w:t>Monitoring Plan</w:t>
      </w:r>
      <w:r w:rsidR="00016B04" w:rsidRPr="00594BC2">
        <w:t xml:space="preserve"> </w:t>
      </w:r>
      <w:r w:rsidR="00976145" w:rsidRPr="00594BC2">
        <w:t>Disputed Costs were triggered prior to FPL’s last test year upon which rates are based.</w:t>
      </w:r>
      <w:r w:rsidR="00976145" w:rsidRPr="00EE50C1">
        <w:t xml:space="preserve"> Therefore, the </w:t>
      </w:r>
      <w:r w:rsidR="00016B04" w:rsidRPr="00EE50C1">
        <w:t xml:space="preserve">Monitoring Plan </w:t>
      </w:r>
      <w:r w:rsidR="00976145" w:rsidRPr="00EE50C1">
        <w:t>Disputed Costs meet the second criteri</w:t>
      </w:r>
      <w:r w:rsidR="00FE0834">
        <w:t>on</w:t>
      </w:r>
      <w:r w:rsidR="00976145" w:rsidRPr="00EE50C1">
        <w:t xml:space="preserve"> of ECRC eligibility. </w:t>
      </w:r>
    </w:p>
    <w:p w:rsidR="00976145" w:rsidRPr="001C6BDB" w:rsidRDefault="00DC64F6" w:rsidP="004017B8">
      <w:pPr>
        <w:spacing w:after="240"/>
        <w:jc w:val="both"/>
        <w:rPr>
          <w:i/>
        </w:rPr>
      </w:pPr>
      <w:r w:rsidRPr="001C6BDB">
        <w:rPr>
          <w:bCs/>
          <w:i/>
          <w:iCs/>
        </w:rPr>
        <w:tab/>
      </w:r>
      <w:r w:rsidR="00DF0C1E" w:rsidRPr="001C6BDB">
        <w:rPr>
          <w:bCs/>
          <w:i/>
          <w:iCs/>
        </w:rPr>
        <w:t>3</w:t>
      </w:r>
      <w:r w:rsidR="00F910A9" w:rsidRPr="001C6BDB">
        <w:rPr>
          <w:bCs/>
          <w:i/>
          <w:iCs/>
        </w:rPr>
        <w:t xml:space="preserve">. </w:t>
      </w:r>
      <w:r w:rsidR="004017B8" w:rsidRPr="001C6BDB">
        <w:rPr>
          <w:bCs/>
          <w:i/>
          <w:iCs/>
        </w:rPr>
        <w:t xml:space="preserve"> </w:t>
      </w:r>
      <w:r w:rsidR="00976145" w:rsidRPr="001C6BDB">
        <w:rPr>
          <w:bCs/>
          <w:i/>
          <w:iCs/>
        </w:rPr>
        <w:t>Costs Not Recovered</w:t>
      </w:r>
    </w:p>
    <w:p w:rsidR="00976145" w:rsidRDefault="00976145" w:rsidP="00976145">
      <w:pPr>
        <w:spacing w:after="240"/>
        <w:jc w:val="both"/>
      </w:pPr>
      <w:r w:rsidRPr="00EE50C1">
        <w:tab/>
        <w:t>To be eligible for the ECRC, costs also must not be recovered through some other cost recovery mechanism or through base rates. No party argues</w:t>
      </w:r>
      <w:r w:rsidR="005A042D">
        <w:t>,</w:t>
      </w:r>
      <w:r w:rsidRPr="00EE50C1">
        <w:t xml:space="preserve"> and </w:t>
      </w:r>
      <w:r w:rsidRPr="00594BC2">
        <w:t xml:space="preserve">there is no </w:t>
      </w:r>
      <w:r w:rsidR="00594BC2" w:rsidRPr="00594BC2">
        <w:t xml:space="preserve">substantial </w:t>
      </w:r>
      <w:r w:rsidRPr="00594BC2">
        <w:t>evidence in the record</w:t>
      </w:r>
      <w:r w:rsidR="005A042D" w:rsidRPr="00594BC2">
        <w:t>,</w:t>
      </w:r>
      <w:r w:rsidRPr="00594BC2">
        <w:t xml:space="preserve"> that the </w:t>
      </w:r>
      <w:r w:rsidR="00016B04" w:rsidRPr="00EE50C1">
        <w:t>Monitoring Plan</w:t>
      </w:r>
      <w:r w:rsidR="00016B04" w:rsidRPr="00594BC2">
        <w:t xml:space="preserve"> </w:t>
      </w:r>
      <w:r w:rsidRPr="00594BC2">
        <w:t>Disputed Costs are being recovered through base rates or an alternate clause mechanism.</w:t>
      </w:r>
      <w:r w:rsidRPr="00EE50C1">
        <w:t xml:space="preserve"> Therefore, </w:t>
      </w:r>
      <w:r w:rsidR="005A042D">
        <w:t>we fin</w:t>
      </w:r>
      <w:r w:rsidR="0058688E">
        <w:t>d</w:t>
      </w:r>
      <w:r w:rsidR="005A042D">
        <w:t xml:space="preserve"> t</w:t>
      </w:r>
      <w:r w:rsidRPr="00EE50C1">
        <w:t xml:space="preserve">hat the </w:t>
      </w:r>
      <w:r w:rsidR="00016B04" w:rsidRPr="00EE50C1">
        <w:t xml:space="preserve">Monitoring Plan </w:t>
      </w:r>
      <w:r w:rsidRPr="00EE50C1">
        <w:t>Disput</w:t>
      </w:r>
      <w:r w:rsidR="00FE0834">
        <w:t>ed Costs meet the third criterion</w:t>
      </w:r>
      <w:r w:rsidRPr="00EE50C1">
        <w:t xml:space="preserve"> of ECRC eligibility.</w:t>
      </w:r>
    </w:p>
    <w:p w:rsidR="00610867" w:rsidRDefault="00610867" w:rsidP="00976145">
      <w:pPr>
        <w:spacing w:after="240"/>
        <w:jc w:val="both"/>
      </w:pPr>
    </w:p>
    <w:p w:rsidR="00610867" w:rsidRPr="00EE50C1" w:rsidRDefault="00610867" w:rsidP="00976145">
      <w:pPr>
        <w:spacing w:after="240"/>
        <w:jc w:val="both"/>
      </w:pPr>
    </w:p>
    <w:p w:rsidR="00976145" w:rsidRPr="00DC64F6" w:rsidRDefault="00252E2A" w:rsidP="001C6BDB">
      <w:pPr>
        <w:jc w:val="center"/>
        <w:outlineLvl w:val="2"/>
        <w:rPr>
          <w:b/>
          <w:bCs/>
          <w:iCs/>
          <w:u w:val="single"/>
        </w:rPr>
      </w:pPr>
      <w:r w:rsidRPr="00DC64F6">
        <w:rPr>
          <w:b/>
          <w:bCs/>
          <w:iCs/>
          <w:u w:val="single"/>
        </w:rPr>
        <w:lastRenderedPageBreak/>
        <w:t>C</w:t>
      </w:r>
      <w:r w:rsidR="004017B8" w:rsidRPr="00DC64F6">
        <w:rPr>
          <w:b/>
          <w:bCs/>
          <w:iCs/>
          <w:u w:val="single"/>
        </w:rPr>
        <w:t xml:space="preserve">. </w:t>
      </w:r>
      <w:r w:rsidR="00E66B09" w:rsidRPr="00DC64F6">
        <w:rPr>
          <w:b/>
          <w:bCs/>
          <w:iCs/>
          <w:u w:val="single"/>
        </w:rPr>
        <w:t>Decision</w:t>
      </w:r>
    </w:p>
    <w:p w:rsidR="000D3AF7" w:rsidRPr="00EE50C1" w:rsidRDefault="000D3AF7" w:rsidP="008A03AF">
      <w:pPr>
        <w:jc w:val="center"/>
        <w:outlineLvl w:val="2"/>
        <w:rPr>
          <w:b/>
          <w:bCs/>
          <w:iCs/>
        </w:rPr>
      </w:pPr>
    </w:p>
    <w:p w:rsidR="00E802AF" w:rsidRDefault="00976145" w:rsidP="00610867">
      <w:pPr>
        <w:jc w:val="both"/>
      </w:pPr>
      <w:r w:rsidRPr="00EE50C1">
        <w:tab/>
        <w:t>Based on the foregoing</w:t>
      </w:r>
      <w:r w:rsidR="000D3AF7">
        <w:t xml:space="preserve">, </w:t>
      </w:r>
      <w:r w:rsidRPr="00EE50C1">
        <w:t xml:space="preserve">FPL </w:t>
      </w:r>
      <w:r w:rsidR="00FC2621" w:rsidRPr="00EE50C1">
        <w:t>sh</w:t>
      </w:r>
      <w:r w:rsidR="00FC2621">
        <w:t>all</w:t>
      </w:r>
      <w:r w:rsidRPr="00EE50C1">
        <w:t xml:space="preserve"> be allowed to recover the </w:t>
      </w:r>
      <w:r w:rsidR="00016B04" w:rsidRPr="00EE50C1">
        <w:t xml:space="preserve">Monitoring Plan </w:t>
      </w:r>
      <w:r w:rsidRPr="00EE50C1">
        <w:t xml:space="preserve">Disputed Costs, if prudently incurred, through the ECRC. The </w:t>
      </w:r>
      <w:r w:rsidR="00016B04" w:rsidRPr="00EE50C1">
        <w:t xml:space="preserve">Monitoring Plan </w:t>
      </w:r>
      <w:r w:rsidRPr="00EE50C1">
        <w:t>Disputed Costs are costs incurred after the inception of the ECRC and are not being recovered through another clause mechanism or base rates. FPL is subject to new governmentally imposed requirements enacted after FPL’s last test year</w:t>
      </w:r>
      <w:r w:rsidR="00DF0C1E">
        <w:t>.</w:t>
      </w:r>
      <w:r w:rsidRPr="00EE50C1">
        <w:t xml:space="preserve"> Whether the </w:t>
      </w:r>
      <w:r w:rsidR="00016B04" w:rsidRPr="00EE50C1">
        <w:t xml:space="preserve">Monitoring Plan </w:t>
      </w:r>
      <w:r w:rsidRPr="00EE50C1">
        <w:t xml:space="preserve">Disputed Cost activities are prudent is addressed </w:t>
      </w:r>
      <w:r w:rsidR="0058688E">
        <w:t xml:space="preserve">immediately </w:t>
      </w:r>
      <w:r w:rsidR="000D3AF7">
        <w:t>below</w:t>
      </w:r>
      <w:r w:rsidR="00DF0C1E">
        <w:t xml:space="preserve"> in Section II.</w:t>
      </w:r>
    </w:p>
    <w:p w:rsidR="00610867" w:rsidRPr="00EE50C1" w:rsidRDefault="00610867" w:rsidP="00610867">
      <w:pPr>
        <w:jc w:val="both"/>
      </w:pPr>
    </w:p>
    <w:p w:rsidR="00294171" w:rsidRDefault="00294171" w:rsidP="00610867">
      <w:pPr>
        <w:jc w:val="both"/>
        <w:outlineLvl w:val="0"/>
        <w:rPr>
          <w:b/>
          <w:bCs/>
          <w:kern w:val="32"/>
        </w:rPr>
      </w:pPr>
    </w:p>
    <w:p w:rsidR="00976145" w:rsidRPr="00130E18" w:rsidRDefault="00991425" w:rsidP="00E4641C">
      <w:pPr>
        <w:spacing w:after="240"/>
        <w:jc w:val="both"/>
        <w:outlineLvl w:val="0"/>
        <w:rPr>
          <w:b/>
        </w:rPr>
      </w:pPr>
      <w:r>
        <w:rPr>
          <w:b/>
          <w:bCs/>
          <w:kern w:val="32"/>
        </w:rPr>
        <w:t>I</w:t>
      </w:r>
      <w:r w:rsidR="00BD12D6">
        <w:rPr>
          <w:b/>
          <w:bCs/>
          <w:kern w:val="32"/>
        </w:rPr>
        <w:t>I</w:t>
      </w:r>
      <w:r w:rsidR="00047D7A">
        <w:rPr>
          <w:b/>
          <w:bCs/>
          <w:kern w:val="32"/>
        </w:rPr>
        <w:t>.</w:t>
      </w:r>
      <w:r w:rsidR="00D22EBB" w:rsidRPr="00E802AF">
        <w:rPr>
          <w:b/>
          <w:bCs/>
          <w:kern w:val="32"/>
        </w:rPr>
        <w:t xml:space="preserve"> </w:t>
      </w:r>
      <w:r w:rsidR="00130E18" w:rsidRPr="00E802AF">
        <w:rPr>
          <w:b/>
          <w:bCs/>
          <w:kern w:val="32"/>
        </w:rPr>
        <w:t xml:space="preserve"> Prudence of </w:t>
      </w:r>
      <w:r w:rsidR="00E4641C" w:rsidRPr="00E802AF">
        <w:rPr>
          <w:b/>
        </w:rPr>
        <w:t xml:space="preserve">FPL </w:t>
      </w:r>
      <w:r w:rsidR="00130E18" w:rsidRPr="00E802AF">
        <w:rPr>
          <w:b/>
        </w:rPr>
        <w:t>C</w:t>
      </w:r>
      <w:r w:rsidR="00976145" w:rsidRPr="00E802AF">
        <w:rPr>
          <w:b/>
        </w:rPr>
        <w:t>osts</w:t>
      </w:r>
      <w:r w:rsidR="00130E18" w:rsidRPr="00E802AF">
        <w:rPr>
          <w:b/>
        </w:rPr>
        <w:t xml:space="preserve"> </w:t>
      </w:r>
      <w:r w:rsidR="00E4641C" w:rsidRPr="00E802AF">
        <w:rPr>
          <w:b/>
        </w:rPr>
        <w:t>Associated with the CO, CA, and CAA</w:t>
      </w:r>
      <w:r w:rsidR="00D22EBB" w:rsidRPr="00130E18">
        <w:rPr>
          <w:b/>
        </w:rPr>
        <w:t xml:space="preserve">  </w:t>
      </w:r>
    </w:p>
    <w:p w:rsidR="00252E2A" w:rsidRPr="00DC64F6" w:rsidRDefault="004017B8" w:rsidP="001C6BDB">
      <w:pPr>
        <w:spacing w:after="240"/>
        <w:jc w:val="center"/>
        <w:outlineLvl w:val="1"/>
        <w:rPr>
          <w:b/>
          <w:bCs/>
          <w:iCs/>
          <w:u w:val="single"/>
        </w:rPr>
      </w:pPr>
      <w:r w:rsidRPr="00DC64F6">
        <w:rPr>
          <w:b/>
          <w:bCs/>
          <w:iCs/>
          <w:u w:val="single"/>
        </w:rPr>
        <w:t xml:space="preserve">A. </w:t>
      </w:r>
      <w:r w:rsidR="00252E2A" w:rsidRPr="00DC64F6">
        <w:rPr>
          <w:b/>
          <w:bCs/>
          <w:iCs/>
          <w:u w:val="single"/>
        </w:rPr>
        <w:t>Parties’ Arguments</w:t>
      </w:r>
    </w:p>
    <w:p w:rsidR="00130E18" w:rsidRPr="001C6BDB" w:rsidRDefault="00DC64F6" w:rsidP="00294171">
      <w:pPr>
        <w:spacing w:after="240"/>
        <w:jc w:val="both"/>
        <w:outlineLvl w:val="1"/>
        <w:rPr>
          <w:bCs/>
          <w:i/>
          <w:iCs/>
        </w:rPr>
      </w:pPr>
      <w:r>
        <w:rPr>
          <w:b/>
          <w:bCs/>
          <w:i/>
          <w:iCs/>
        </w:rPr>
        <w:tab/>
      </w:r>
      <w:r w:rsidR="00252E2A" w:rsidRPr="001C6BDB">
        <w:rPr>
          <w:bCs/>
          <w:i/>
          <w:iCs/>
        </w:rPr>
        <w:t>1. FPL</w:t>
      </w:r>
    </w:p>
    <w:p w:rsidR="00976145" w:rsidRPr="00EE50C1" w:rsidRDefault="00E66B09" w:rsidP="00976145">
      <w:pPr>
        <w:spacing w:after="240"/>
        <w:jc w:val="both"/>
      </w:pPr>
      <w:r w:rsidRPr="00A9327D">
        <w:tab/>
      </w:r>
      <w:r w:rsidR="00976145" w:rsidRPr="00EE50C1">
        <w:t xml:space="preserve">FPL </w:t>
      </w:r>
      <w:r w:rsidR="00AF27A1">
        <w:t>argues</w:t>
      </w:r>
      <w:r w:rsidR="00976145" w:rsidRPr="00EE50C1">
        <w:t xml:space="preserve"> that </w:t>
      </w:r>
      <w:r w:rsidR="00AF27A1">
        <w:t xml:space="preserve">the Company </w:t>
      </w:r>
      <w:r w:rsidR="00976145" w:rsidRPr="00EE50C1">
        <w:t xml:space="preserve">has prudently operated the CCS in compliance with its permits and applicable regulations and has cooperated with environmental regulators throughout its service life. </w:t>
      </w:r>
      <w:r w:rsidR="00976145" w:rsidRPr="00594BC2">
        <w:t>FPL</w:t>
      </w:r>
      <w:r w:rsidR="00DF0C1E">
        <w:t xml:space="preserve"> </w:t>
      </w:r>
      <w:r w:rsidR="0058688E" w:rsidRPr="00594BC2">
        <w:t>a</w:t>
      </w:r>
      <w:r w:rsidR="00DF0C1E">
        <w:t>sserts</w:t>
      </w:r>
      <w:r w:rsidR="00976145" w:rsidRPr="00594BC2">
        <w:t xml:space="preserve"> that it has n</w:t>
      </w:r>
      <w:r w:rsidR="00594BC2" w:rsidRPr="00594BC2">
        <w:t>ot</w:t>
      </w:r>
      <w:r w:rsidR="00976145" w:rsidRPr="00594BC2">
        <w:t xml:space="preserve"> violated </w:t>
      </w:r>
      <w:r w:rsidR="0058688E" w:rsidRPr="00594BC2">
        <w:t>the</w:t>
      </w:r>
      <w:r w:rsidR="00976145" w:rsidRPr="00594BC2">
        <w:t xml:space="preserve"> operational requirements in its environmental permits.</w:t>
      </w:r>
      <w:r w:rsidR="00976145" w:rsidRPr="00EE50C1">
        <w:t xml:space="preserve"> FPL argues that, pursuant to regulatory requirements, it engaged in increased monitoring that resulted in the determination that corrective action was required, and that </w:t>
      </w:r>
      <w:r w:rsidR="00AF27A1">
        <w:t xml:space="preserve">the </w:t>
      </w:r>
      <w:r w:rsidR="00FC2621">
        <w:t xml:space="preserve">Company </w:t>
      </w:r>
      <w:r w:rsidR="00FC2621" w:rsidRPr="00EE50C1">
        <w:t>is</w:t>
      </w:r>
      <w:r w:rsidR="00976145" w:rsidRPr="00EE50C1">
        <w:t xml:space="preserve"> now engaging in corrective actions.</w:t>
      </w:r>
      <w:r w:rsidR="00DF0C1E">
        <w:t xml:space="preserve"> </w:t>
      </w:r>
      <w:r w:rsidR="00976145" w:rsidRPr="003A55D1">
        <w:t>FPL contends t</w:t>
      </w:r>
      <w:r w:rsidR="00976145" w:rsidRPr="00EE50C1">
        <w:t xml:space="preserve">hat the </w:t>
      </w:r>
      <w:r w:rsidR="00016B04" w:rsidRPr="00EE50C1">
        <w:t xml:space="preserve">Monitoring Plan </w:t>
      </w:r>
      <w:r w:rsidR="00976145" w:rsidRPr="00EE50C1">
        <w:t xml:space="preserve">Disputed Costs are prudently incurred and that it is inappropriate for the Intervenor Parties to second guess the requirements of </w:t>
      </w:r>
      <w:r w:rsidR="003A55D1">
        <w:t>the Company’s</w:t>
      </w:r>
      <w:r w:rsidR="00976145" w:rsidRPr="00EE50C1">
        <w:t xml:space="preserve"> environmental regulators. FPL </w:t>
      </w:r>
      <w:r w:rsidR="003A55D1">
        <w:t xml:space="preserve">argues </w:t>
      </w:r>
      <w:r w:rsidR="00976145" w:rsidRPr="00EE50C1">
        <w:t xml:space="preserve">that the environmental actions required by the CO, CA, and CAA have significant overlap and that they require similar monitoring and corrective actions. </w:t>
      </w:r>
    </w:p>
    <w:p w:rsidR="00976145" w:rsidRPr="00EE50C1" w:rsidRDefault="00976145" w:rsidP="00976145">
      <w:pPr>
        <w:spacing w:after="240"/>
        <w:jc w:val="both"/>
      </w:pPr>
      <w:r w:rsidRPr="00EE50C1">
        <w:tab/>
        <w:t>FPL a</w:t>
      </w:r>
      <w:r w:rsidR="003A55D1">
        <w:t xml:space="preserve">vers </w:t>
      </w:r>
      <w:r w:rsidRPr="00EE50C1">
        <w:t xml:space="preserve">that OPC failed to identify any imprudent management decisions that resulted in the </w:t>
      </w:r>
      <w:r w:rsidR="00016B04" w:rsidRPr="00EE50C1">
        <w:t xml:space="preserve">Monitoring Plan </w:t>
      </w:r>
      <w:r w:rsidRPr="00EE50C1">
        <w:t>Disputed Costs</w:t>
      </w:r>
      <w:r w:rsidR="00DF0C1E">
        <w:t>. FPL contends t</w:t>
      </w:r>
      <w:r w:rsidRPr="00EE50C1">
        <w:t xml:space="preserve">hat </w:t>
      </w:r>
      <w:r w:rsidR="003A55D1">
        <w:t>the Company</w:t>
      </w:r>
      <w:r w:rsidRPr="00EE50C1">
        <w:t xml:space="preserve"> operated the system in compliance with regulations, which is acknowledged by its environmental regulators. FPL asserts that OPC’s arguments are made with the benefit of hindsight using FPL’s groundwater monitoring reports, </w:t>
      </w:r>
      <w:r w:rsidRPr="00594BC2">
        <w:t xml:space="preserve">that the COC acknowledges the </w:t>
      </w:r>
      <w:r w:rsidR="00594BC2" w:rsidRPr="00594BC2">
        <w:t>exist</w:t>
      </w:r>
      <w:r w:rsidR="00594BC2">
        <w:t>e</w:t>
      </w:r>
      <w:r w:rsidR="00BD12D6">
        <w:t>nce of a hy</w:t>
      </w:r>
      <w:r w:rsidR="00594BC2" w:rsidRPr="00594BC2">
        <w:t>per</w:t>
      </w:r>
      <w:r w:rsidR="00991425">
        <w:t>-</w:t>
      </w:r>
      <w:r w:rsidR="00594BC2" w:rsidRPr="00594BC2">
        <w:t>saline plume</w:t>
      </w:r>
      <w:r w:rsidR="00594BC2">
        <w:t xml:space="preserve">, </w:t>
      </w:r>
      <w:r w:rsidRPr="00EE50C1">
        <w:t xml:space="preserve">and that </w:t>
      </w:r>
      <w:r w:rsidR="003A55D1">
        <w:t xml:space="preserve">the </w:t>
      </w:r>
      <w:r w:rsidRPr="00EE50C1">
        <w:t xml:space="preserve">enhanced monitoring requirements were the result of </w:t>
      </w:r>
      <w:r w:rsidR="003A55D1">
        <w:t xml:space="preserve">the </w:t>
      </w:r>
      <w:r w:rsidR="00FC2621">
        <w:t xml:space="preserve">Company’s </w:t>
      </w:r>
      <w:r w:rsidR="00FC2621" w:rsidRPr="00EE50C1">
        <w:t>environmental</w:t>
      </w:r>
      <w:r w:rsidRPr="00EE50C1">
        <w:t xml:space="preserve"> regulators having insufficient data to determine what actions, if any, would need to be taken. </w:t>
      </w:r>
    </w:p>
    <w:p w:rsidR="00976145" w:rsidRPr="00EE50C1" w:rsidRDefault="00976145" w:rsidP="00976145">
      <w:pPr>
        <w:spacing w:after="240"/>
        <w:jc w:val="both"/>
      </w:pPr>
      <w:r w:rsidRPr="00EE50C1">
        <w:tab/>
        <w:t>FPL specifically defends the prudence of the Recovery Well System (RWS) and related costs as a well understood remediation method that was the result of consensus between FPL and its environmental regulators. FPL argues that OPC’s review of the RWS impacts on the hyper</w:t>
      </w:r>
      <w:r w:rsidR="00991425">
        <w:t>-</w:t>
      </w:r>
      <w:r w:rsidRPr="00EE50C1">
        <w:t xml:space="preserve">saline plume uses invalid assumptions and misinterprets the modeling done to analyze it. FPL acknowledges that while uncertainty exists regarding the impact upon some layers of the </w:t>
      </w:r>
      <w:r w:rsidR="00D82909">
        <w:t>a</w:t>
      </w:r>
      <w:r w:rsidRPr="00EE50C1">
        <w:t>quifer</w:t>
      </w:r>
      <w:r w:rsidR="003A55D1">
        <w:t>,</w:t>
      </w:r>
      <w:r w:rsidRPr="00EE50C1">
        <w:t xml:space="preserve"> the operation of the RWS is subject to further review of </w:t>
      </w:r>
      <w:r w:rsidR="003A55D1">
        <w:t>the Company’s</w:t>
      </w:r>
      <w:r w:rsidRPr="00EE50C1">
        <w:t xml:space="preserve"> environmental regulators and should move forward. FPL </w:t>
      </w:r>
      <w:r w:rsidR="00DF0C1E">
        <w:t>asserts</w:t>
      </w:r>
      <w:r w:rsidRPr="00EE50C1">
        <w:t xml:space="preserve"> that the need for future modification of its corrective actions is appropriate and does not undermine a determination of prudence for those activities. FPL asserts that regardless of the impact of the RWS, it is a specific requirement by the CO and CA and the associated modeling has been approved by DERM. </w:t>
      </w:r>
    </w:p>
    <w:p w:rsidR="00252E2A" w:rsidRPr="001C6BDB" w:rsidRDefault="00DC64F6" w:rsidP="00E66B09">
      <w:pPr>
        <w:spacing w:after="240"/>
        <w:jc w:val="both"/>
      </w:pPr>
      <w:r w:rsidRPr="001C6BDB">
        <w:rPr>
          <w:i/>
        </w:rPr>
        <w:lastRenderedPageBreak/>
        <w:tab/>
      </w:r>
      <w:r w:rsidR="00252E2A" w:rsidRPr="001C6BDB">
        <w:rPr>
          <w:i/>
        </w:rPr>
        <w:t>2. OPC/FIPUG</w:t>
      </w:r>
      <w:r w:rsidR="00A9327D" w:rsidRPr="001C6BDB">
        <w:tab/>
      </w:r>
    </w:p>
    <w:p w:rsidR="00E66B09" w:rsidRPr="00EE50C1" w:rsidRDefault="00252E2A" w:rsidP="00E66B09">
      <w:pPr>
        <w:spacing w:after="240"/>
        <w:jc w:val="both"/>
      </w:pPr>
      <w:r>
        <w:tab/>
      </w:r>
      <w:r w:rsidR="00A9327D" w:rsidRPr="00843FD4">
        <w:t>OPC/FIPUG argue that</w:t>
      </w:r>
      <w:r w:rsidR="00DA0925">
        <w:t xml:space="preserve"> </w:t>
      </w:r>
      <w:r w:rsidR="00A9327D" w:rsidRPr="00843FD4">
        <w:t>t</w:t>
      </w:r>
      <w:r w:rsidR="00E66B09" w:rsidRPr="00843FD4">
        <w:t>he costs of the Retraction Well System are remedial in nature and should not be imposed on FPL’s customers</w:t>
      </w:r>
      <w:r w:rsidR="00DA0925">
        <w:t xml:space="preserve">. OPC/FIPUG assert that </w:t>
      </w:r>
      <w:r w:rsidR="00E66B09" w:rsidRPr="00843FD4">
        <w:t>FPL’s management knew or should have known that its actions in operating the CCS were creating material harm to the Biscayne Aquifer</w:t>
      </w:r>
      <w:r w:rsidR="00A9327D" w:rsidRPr="00843FD4">
        <w:t>. OPC</w:t>
      </w:r>
      <w:r w:rsidR="008F376A">
        <w:t>/</w:t>
      </w:r>
      <w:r w:rsidR="00A9327D" w:rsidRPr="00843FD4">
        <w:t>FIPUG a</w:t>
      </w:r>
      <w:r w:rsidR="00DA0925">
        <w:t>ver</w:t>
      </w:r>
      <w:r w:rsidR="00A9327D" w:rsidRPr="00843FD4">
        <w:t xml:space="preserve"> that </w:t>
      </w:r>
      <w:r w:rsidR="00E66B09" w:rsidRPr="00843FD4">
        <w:t>FPL’s actions and inaction over time placed the Company in violation of law</w:t>
      </w:r>
      <w:r w:rsidR="00A9327D" w:rsidRPr="00843FD4">
        <w:t xml:space="preserve"> and, therefore, </w:t>
      </w:r>
      <w:r w:rsidR="00E66B09" w:rsidRPr="00843FD4">
        <w:t>constitute imprudence</w:t>
      </w:r>
      <w:r w:rsidR="008F376A">
        <w:t>. OPC/</w:t>
      </w:r>
      <w:r w:rsidR="00843FD4" w:rsidRPr="00843FD4">
        <w:t xml:space="preserve">FIPUG conclude that </w:t>
      </w:r>
      <w:r w:rsidR="00E66B09" w:rsidRPr="00843FD4">
        <w:t xml:space="preserve">the costs of addressing the consequences of </w:t>
      </w:r>
      <w:r w:rsidR="00843FD4" w:rsidRPr="00843FD4">
        <w:t xml:space="preserve">FPL’s </w:t>
      </w:r>
      <w:r w:rsidR="00E66B09" w:rsidRPr="00843FD4">
        <w:t>imprudence are not appropriate costs that should be borne by customers.</w:t>
      </w:r>
    </w:p>
    <w:p w:rsidR="00976145" w:rsidRPr="00EE50C1" w:rsidRDefault="00976145" w:rsidP="00976145">
      <w:pPr>
        <w:spacing w:after="240"/>
        <w:jc w:val="both"/>
      </w:pPr>
      <w:r w:rsidRPr="00EE50C1">
        <w:tab/>
        <w:t xml:space="preserve">OPC/FIPUG </w:t>
      </w:r>
      <w:r w:rsidR="009415CE" w:rsidRPr="00EE50C1">
        <w:t>contend</w:t>
      </w:r>
      <w:r w:rsidRPr="00EE50C1">
        <w:t xml:space="preserve"> that the build-up of salt from the CCS was foreseeable </w:t>
      </w:r>
      <w:r w:rsidRPr="003A55D1">
        <w:t>and would occur ab</w:t>
      </w:r>
      <w:r w:rsidRPr="00EE50C1">
        <w:t xml:space="preserve">sent the attention and intervention by FPL. OPC/FIPUG argue that FPL failed to take actions on its own to prevent harm despite being required to monitor its wastewater and propose modifications to prevent such harm. OPC/FIPUG </w:t>
      </w:r>
      <w:r w:rsidR="009415CE">
        <w:t>argue</w:t>
      </w:r>
      <w:r w:rsidR="003A55D1">
        <w:t xml:space="preserve"> that </w:t>
      </w:r>
      <w:r w:rsidRPr="00EE50C1">
        <w:t>FPL follow</w:t>
      </w:r>
      <w:r w:rsidR="003A55D1">
        <w:t>ed</w:t>
      </w:r>
      <w:r w:rsidRPr="00EE50C1">
        <w:t xml:space="preserve"> faulty advice from consultants and fail</w:t>
      </w:r>
      <w:r w:rsidR="003A55D1">
        <w:t>ed</w:t>
      </w:r>
      <w:r w:rsidRPr="00EE50C1">
        <w:t xml:space="preserve"> to follow recommendations to monitor trends and verify assumptions. OPC/FIPUG </w:t>
      </w:r>
      <w:r w:rsidR="009415CE" w:rsidRPr="00EE50C1">
        <w:t>contend</w:t>
      </w:r>
      <w:r w:rsidRPr="00EE50C1">
        <w:t xml:space="preserve"> that </w:t>
      </w:r>
      <w:r w:rsidR="003A55D1">
        <w:t>OPC’s</w:t>
      </w:r>
      <w:r w:rsidRPr="00EE50C1">
        <w:t xml:space="preserve"> observations are not hindsight, but are consistent with FPL’s historic obligations under its environmental agreements. OPC/FIPUG also argue that FPL failed to prudently plan and execute tasks to avoid foreseeable damage, and that </w:t>
      </w:r>
      <w:r w:rsidR="003A55D1">
        <w:t xml:space="preserve">in the past, </w:t>
      </w:r>
      <w:r w:rsidRPr="00EE50C1">
        <w:t>th</w:t>
      </w:r>
      <w:r w:rsidR="003A55D1">
        <w:t>is</w:t>
      </w:r>
      <w:r w:rsidRPr="00EE50C1">
        <w:t xml:space="preserve"> Commission has </w:t>
      </w:r>
      <w:r w:rsidR="003A55D1">
        <w:t xml:space="preserve">found </w:t>
      </w:r>
      <w:r w:rsidRPr="00EE50C1">
        <w:t xml:space="preserve">such failure </w:t>
      </w:r>
      <w:r w:rsidR="003A55D1">
        <w:t>to be</w:t>
      </w:r>
      <w:r w:rsidRPr="00EE50C1">
        <w:t xml:space="preserve"> imprudent. </w:t>
      </w:r>
    </w:p>
    <w:p w:rsidR="004C1F42" w:rsidRDefault="00976145" w:rsidP="00976145">
      <w:pPr>
        <w:spacing w:after="240"/>
        <w:jc w:val="both"/>
      </w:pPr>
      <w:r w:rsidRPr="00EE50C1">
        <w:tab/>
        <w:t xml:space="preserve">OPC/FIPUG assert that FPL broke the law by violating groundwater protection rules and </w:t>
      </w:r>
      <w:r w:rsidR="003A55D1">
        <w:t xml:space="preserve">the Company’s </w:t>
      </w:r>
      <w:r w:rsidRPr="00EE50C1">
        <w:t xml:space="preserve">permit conditions causing damage to the aquifer, and </w:t>
      </w:r>
      <w:r w:rsidR="003A55D1">
        <w:t xml:space="preserve">that FPL </w:t>
      </w:r>
      <w:r w:rsidRPr="00EE50C1">
        <w:t>is attempting to recover repair costs through customers for its violations.</w:t>
      </w:r>
      <w:r w:rsidR="004C1F42">
        <w:t xml:space="preserve"> </w:t>
      </w:r>
      <w:r w:rsidRPr="00EE50C1">
        <w:t xml:space="preserve">OPC/FIPUG </w:t>
      </w:r>
      <w:r w:rsidR="009415CE" w:rsidRPr="00EE50C1">
        <w:t>argue</w:t>
      </w:r>
      <w:r w:rsidRPr="00EE50C1">
        <w:t xml:space="preserve"> </w:t>
      </w:r>
      <w:r w:rsidR="004C1F42">
        <w:t>that it</w:t>
      </w:r>
      <w:r w:rsidRPr="00EE50C1">
        <w:t xml:space="preserve"> is FPL’s responsibility to pay for damages caused by its poor management of the situation that allowed the damage to occur. OPC/FIPUG contend that costs to remediate harm are ineligible for cost recovery through the ECRC </w:t>
      </w:r>
      <w:r w:rsidR="004C1F42">
        <w:t>(</w:t>
      </w:r>
      <w:r w:rsidRPr="00EE50C1">
        <w:t>or any other mechanism</w:t>
      </w:r>
      <w:r w:rsidR="004C1F42">
        <w:t xml:space="preserve">) because of </w:t>
      </w:r>
      <w:r w:rsidRPr="00EE50C1">
        <w:t xml:space="preserve">FPL’s ability to foresee harm, if not violations of law, caused by </w:t>
      </w:r>
      <w:r w:rsidR="004C1F42">
        <w:t xml:space="preserve">the Company’s </w:t>
      </w:r>
      <w:r w:rsidRPr="00EE50C1">
        <w:t xml:space="preserve">operation of the CCS. </w:t>
      </w:r>
    </w:p>
    <w:p w:rsidR="004C1F42" w:rsidRDefault="00976145" w:rsidP="00976145">
      <w:pPr>
        <w:spacing w:after="240"/>
        <w:jc w:val="both"/>
      </w:pPr>
      <w:r w:rsidRPr="00EE50C1">
        <w:tab/>
        <w:t xml:space="preserve">OPC/FIPUG </w:t>
      </w:r>
      <w:r w:rsidR="009415CE">
        <w:t>aver</w:t>
      </w:r>
      <w:r w:rsidR="004C1F42">
        <w:t xml:space="preserve"> that </w:t>
      </w:r>
      <w:r w:rsidRPr="00EE50C1">
        <w:t xml:space="preserve">it is inappropriate for FPL to suggest that it relied upon environmental regulators to provide the requirement to act to address the damage caused by operation of the CCS. OPC/FIPUG </w:t>
      </w:r>
      <w:r w:rsidR="009415CE" w:rsidRPr="00EE50C1">
        <w:t>argue</w:t>
      </w:r>
      <w:r w:rsidRPr="00EE50C1">
        <w:t xml:space="preserve"> that because FPL was in possession of the data and did not put forward any testimony from a manager of the water monitoring regulatory program, it has failed to meet its burden of proof. OPC/FIPUG assert that given the three-year lapse of reporting by FPL, not resulting in any action by SFWMD, that the regulator was not actively monitoring the environmental situation, and therefore</w:t>
      </w:r>
      <w:r w:rsidR="004C1F42">
        <w:t>,</w:t>
      </w:r>
      <w:r w:rsidRPr="00EE50C1">
        <w:t xml:space="preserve"> could not be relied upon to provide a requirement to act. OPC/FIPUG argue that reliance on the regulator’s guidance was at the Company’s risk and inappropriate, given that the regulator relied upon the Company’s data and analysis.</w:t>
      </w:r>
    </w:p>
    <w:p w:rsidR="004C1F42" w:rsidRDefault="00976145" w:rsidP="00976145">
      <w:pPr>
        <w:spacing w:after="240"/>
        <w:jc w:val="both"/>
      </w:pPr>
      <w:r w:rsidRPr="00EE50C1">
        <w:tab/>
        <w:t xml:space="preserve">OPC/FIPUG contend that the $1.5 million escrow payment required by the CO is akin to a donation, </w:t>
      </w:r>
      <w:r w:rsidR="0058688E">
        <w:t>that</w:t>
      </w:r>
      <w:r w:rsidRPr="00EE50C1">
        <w:t xml:space="preserve"> the funds m</w:t>
      </w:r>
      <w:r w:rsidR="004C1F42">
        <w:t xml:space="preserve">ight </w:t>
      </w:r>
      <w:r w:rsidRPr="00EE50C1">
        <w:t>not be used towards mitigation of saltwater intrusion caused by FPL, and therefore</w:t>
      </w:r>
      <w:r w:rsidR="0058688E">
        <w:t>, should</w:t>
      </w:r>
      <w:r w:rsidRPr="00EE50C1">
        <w:t xml:space="preserve"> be ineligible for recovery. Furthermore, OPC/FIPUG argue that land donations required by the CO, while not sought for recovery at this time, might result in a below market value transaction</w:t>
      </w:r>
      <w:r w:rsidR="00BD12D6">
        <w:t>,</w:t>
      </w:r>
      <w:r w:rsidRPr="00EE50C1">
        <w:t xml:space="preserve"> and that such losses should be reviewed in a future proceeding and not determined at this time.</w:t>
      </w:r>
    </w:p>
    <w:p w:rsidR="00252E2A" w:rsidRPr="001C6BDB" w:rsidRDefault="00E66B09" w:rsidP="00E66B09">
      <w:pPr>
        <w:spacing w:after="240"/>
        <w:jc w:val="both"/>
        <w:rPr>
          <w:i/>
        </w:rPr>
      </w:pPr>
      <w:r w:rsidRPr="001C6BDB">
        <w:rPr>
          <w:i/>
        </w:rPr>
        <w:lastRenderedPageBreak/>
        <w:t xml:space="preserve"> </w:t>
      </w:r>
      <w:r w:rsidR="00610867">
        <w:rPr>
          <w:i/>
        </w:rPr>
        <w:tab/>
      </w:r>
      <w:r w:rsidR="00252E2A" w:rsidRPr="001C6BDB">
        <w:rPr>
          <w:i/>
        </w:rPr>
        <w:t>3. SACE</w:t>
      </w:r>
    </w:p>
    <w:p w:rsidR="00E66B09" w:rsidRDefault="00843FD4" w:rsidP="00E66B09">
      <w:pPr>
        <w:spacing w:after="240"/>
        <w:jc w:val="both"/>
        <w:rPr>
          <w:b/>
        </w:rPr>
      </w:pPr>
      <w:r w:rsidRPr="00843FD4">
        <w:rPr>
          <w:bCs/>
          <w:color w:val="000000"/>
        </w:rPr>
        <w:tab/>
        <w:t>SACE asserts that</w:t>
      </w:r>
      <w:r>
        <w:rPr>
          <w:bCs/>
          <w:color w:val="000000"/>
        </w:rPr>
        <w:t>:</w:t>
      </w:r>
      <w:r w:rsidRPr="00843FD4">
        <w:rPr>
          <w:bCs/>
          <w:color w:val="000000"/>
        </w:rPr>
        <w:t xml:space="preserve"> c</w:t>
      </w:r>
      <w:r w:rsidR="00E66B09" w:rsidRPr="00843FD4">
        <w:rPr>
          <w:bCs/>
          <w:color w:val="000000"/>
        </w:rPr>
        <w:t>ustomers should not have to pay for FPL’s mistakes</w:t>
      </w:r>
      <w:r>
        <w:rPr>
          <w:bCs/>
          <w:color w:val="000000"/>
        </w:rPr>
        <w:t xml:space="preserve">; </w:t>
      </w:r>
      <w:r w:rsidR="00E66B09" w:rsidRPr="00843FD4">
        <w:t>FPL knew or should have known that the CCS was causing an underground hyper-saline contamination plume spreading from its Turkey Point plant property by 1978, and certainly by 1992 at the latest</w:t>
      </w:r>
      <w:r>
        <w:t xml:space="preserve">; FPL failed </w:t>
      </w:r>
      <w:r w:rsidR="00E66B09" w:rsidRPr="00843FD4">
        <w:t xml:space="preserve">to take any action to mitigate the impacts of the CCS on the Biscayne Aquifer (a G-II water source) until 2014. </w:t>
      </w:r>
      <w:r>
        <w:t>SACE argues that a</w:t>
      </w:r>
      <w:r w:rsidR="00E66B09" w:rsidRPr="00843FD4">
        <w:t xml:space="preserve"> prudent utility manager would have acted promptly and proactively well before 2014 to mitigate and/or remediate the growing hyper-salinity contamination plume outside the CCS boundary</w:t>
      </w:r>
      <w:r w:rsidR="00E66B09" w:rsidRPr="00843FD4">
        <w:rPr>
          <w:b/>
        </w:rPr>
        <w:t>.</w:t>
      </w:r>
    </w:p>
    <w:p w:rsidR="00976145" w:rsidRPr="00EE50C1" w:rsidRDefault="00E66B09" w:rsidP="00976145">
      <w:pPr>
        <w:spacing w:after="240"/>
        <w:jc w:val="both"/>
      </w:pPr>
      <w:r>
        <w:tab/>
      </w:r>
      <w:r w:rsidR="00976145" w:rsidRPr="00EE50C1">
        <w:t xml:space="preserve">SACE argues that FPL </w:t>
      </w:r>
      <w:r w:rsidR="004C1F42">
        <w:t>failed to provide i</w:t>
      </w:r>
      <w:r w:rsidR="00976145" w:rsidRPr="00EE50C1">
        <w:t xml:space="preserve">nformation </w:t>
      </w:r>
      <w:r w:rsidR="004C1F42">
        <w:t xml:space="preserve">to </w:t>
      </w:r>
      <w:r w:rsidR="004C1F42" w:rsidRPr="00EE50C1">
        <w:t>both SFWMD and th</w:t>
      </w:r>
      <w:r w:rsidR="004C1F42">
        <w:t>is</w:t>
      </w:r>
      <w:r w:rsidR="004C1F42" w:rsidRPr="00EE50C1">
        <w:t xml:space="preserve"> Commission</w:t>
      </w:r>
      <w:r w:rsidR="004C1F42">
        <w:t xml:space="preserve"> regarding </w:t>
      </w:r>
      <w:r w:rsidR="00976145" w:rsidRPr="00EE50C1">
        <w:t>the scale of the environmental impacts of the CCS</w:t>
      </w:r>
      <w:r w:rsidR="004C1F42">
        <w:t xml:space="preserve">. </w:t>
      </w:r>
      <w:r w:rsidR="00976145" w:rsidRPr="00EE50C1">
        <w:t xml:space="preserve">SACE contends that FPL’s imprudence caused the environmental compliance requirements </w:t>
      </w:r>
      <w:r w:rsidR="00C40FA6">
        <w:t>of</w:t>
      </w:r>
      <w:r w:rsidR="00976145" w:rsidRPr="00EE50C1">
        <w:t xml:space="preserve"> the CO and CA, and therefore</w:t>
      </w:r>
      <w:r w:rsidR="004C1F42">
        <w:t xml:space="preserve">, the </w:t>
      </w:r>
      <w:r w:rsidR="00FC2621">
        <w:t xml:space="preserve">Company </w:t>
      </w:r>
      <w:r w:rsidR="00FC2621" w:rsidRPr="00EE50C1">
        <w:t>should</w:t>
      </w:r>
      <w:r w:rsidR="00BD12D6">
        <w:t xml:space="preserve"> not be</w:t>
      </w:r>
      <w:r w:rsidR="00976145" w:rsidRPr="00EE50C1">
        <w:t xml:space="preserve"> allowed cost recovery. </w:t>
      </w:r>
    </w:p>
    <w:p w:rsidR="00976145" w:rsidRPr="00EE50C1" w:rsidRDefault="00976145" w:rsidP="00976145">
      <w:pPr>
        <w:spacing w:after="240"/>
        <w:jc w:val="both"/>
      </w:pPr>
      <w:r w:rsidRPr="00EE50C1">
        <w:tab/>
        <w:t xml:space="preserve">SACE argues that FPL is imprudent by its inaction </w:t>
      </w:r>
      <w:r w:rsidR="00866447">
        <w:t xml:space="preserve">because </w:t>
      </w:r>
      <w:r w:rsidRPr="00EE50C1">
        <w:t xml:space="preserve">a reasonable utility manager would have attempted corrective actions prior to 2014, instead of </w:t>
      </w:r>
      <w:r w:rsidR="00BD12D6">
        <w:t>failing to act despite</w:t>
      </w:r>
      <w:r w:rsidRPr="00EE50C1">
        <w:t xml:space="preserve"> </w:t>
      </w:r>
      <w:r w:rsidR="00866447">
        <w:t xml:space="preserve">having </w:t>
      </w:r>
      <w:r w:rsidRPr="00EE50C1">
        <w:t>information about the environmental damage</w:t>
      </w:r>
      <w:r w:rsidR="00866447">
        <w:t xml:space="preserve">. SACE contends that FPL’s failure to act </w:t>
      </w:r>
      <w:r w:rsidRPr="00EE50C1">
        <w:t xml:space="preserve">allowed </w:t>
      </w:r>
      <w:r w:rsidR="004C1F42">
        <w:t xml:space="preserve">the damage </w:t>
      </w:r>
      <w:r w:rsidRPr="00EE50C1">
        <w:t>to increase in size and concentration. SACE asserts that as late as 2010, FPL consultants provided a feasibility analysis that identified a solution that would have addressed the hyper</w:t>
      </w:r>
      <w:r w:rsidR="00991425">
        <w:t>-</w:t>
      </w:r>
      <w:r w:rsidRPr="00EE50C1">
        <w:t xml:space="preserve">saline conditions within three years, but </w:t>
      </w:r>
      <w:r w:rsidR="004C1F42">
        <w:t xml:space="preserve">the Company </w:t>
      </w:r>
      <w:r w:rsidRPr="00EE50C1">
        <w:t xml:space="preserve">failed to act. </w:t>
      </w:r>
    </w:p>
    <w:p w:rsidR="00976145" w:rsidRPr="00EE50C1" w:rsidRDefault="00976145" w:rsidP="00976145">
      <w:pPr>
        <w:spacing w:after="240"/>
        <w:jc w:val="both"/>
      </w:pPr>
      <w:r w:rsidRPr="00EE50C1">
        <w:tab/>
        <w:t xml:space="preserve">SACE argues that FPL intentionally misled regulators by failing to provide SFWMD with reports for several years, and when those reports were provided, failed to provide analysis regarding the effectiveness of </w:t>
      </w:r>
      <w:r w:rsidR="004C1F42">
        <w:t xml:space="preserve">the Company’s </w:t>
      </w:r>
      <w:r w:rsidRPr="00EE50C1">
        <w:t xml:space="preserve">actions in preventing environmental damage, </w:t>
      </w:r>
      <w:r w:rsidR="004C1F42">
        <w:t xml:space="preserve">and instead </w:t>
      </w:r>
      <w:r w:rsidRPr="00EE50C1">
        <w:t xml:space="preserve">attributed </w:t>
      </w:r>
      <w:r w:rsidR="004C1F42">
        <w:t xml:space="preserve">the </w:t>
      </w:r>
      <w:r w:rsidRPr="00EE50C1">
        <w:t>greater salinity to seasonal conditions. SACE asserts that had environmental regulators been provided with a complete analysis of the monitoring data, FPL’s Turkey Point Uprate Project might not have been approved</w:t>
      </w:r>
      <w:r w:rsidR="00FC2621">
        <w:t>;</w:t>
      </w:r>
      <w:r w:rsidRPr="00EE50C1">
        <w:t xml:space="preserve"> </w:t>
      </w:r>
      <w:r w:rsidR="00FC2621">
        <w:t xml:space="preserve">thereby negating </w:t>
      </w:r>
      <w:r w:rsidRPr="00EE50C1">
        <w:t xml:space="preserve">the COC FPL relies upon as an environmental requirement. </w:t>
      </w:r>
      <w:r w:rsidR="00866447">
        <w:t xml:space="preserve">Moreover, </w:t>
      </w:r>
      <w:r w:rsidRPr="00EE50C1">
        <w:t>SACE argues that FPL intentionally misled th</w:t>
      </w:r>
      <w:r w:rsidR="00CE71D4">
        <w:t>is</w:t>
      </w:r>
      <w:r w:rsidRPr="00EE50C1">
        <w:t xml:space="preserve"> Commission regarding the potential for mitigation measures in </w:t>
      </w:r>
      <w:r w:rsidR="00CE71D4">
        <w:t xml:space="preserve">our </w:t>
      </w:r>
      <w:r w:rsidRPr="00EE50C1">
        <w:t xml:space="preserve">review of the </w:t>
      </w:r>
      <w:r w:rsidR="00F3777B" w:rsidRPr="00EE50C1">
        <w:t>Monitoring Plan</w:t>
      </w:r>
      <w:r w:rsidRPr="00EE50C1">
        <w:t xml:space="preserve">. </w:t>
      </w:r>
    </w:p>
    <w:p w:rsidR="00610867" w:rsidRDefault="00976145" w:rsidP="00A12922">
      <w:pPr>
        <w:spacing w:after="240"/>
        <w:jc w:val="both"/>
        <w:rPr>
          <w:b/>
        </w:rPr>
      </w:pPr>
      <w:r w:rsidRPr="00EE50C1">
        <w:tab/>
        <w:t xml:space="preserve">SACE alleges that the overall regulatory process associated with the CCS is poor, with FPL failing to provide monitoring data, using poor monitoring standards, and co-writing its AO which was deficient of charges. SACE argues that there was no provision in any of </w:t>
      </w:r>
      <w:r w:rsidR="00CE71D4">
        <w:t xml:space="preserve">the Company’s </w:t>
      </w:r>
      <w:r w:rsidRPr="00EE50C1">
        <w:t xml:space="preserve">agreements with regulators that prevented FPL from altering the operation of the CCS, improving its monitoring and analysis, or proactively engaging its regulators regarding the </w:t>
      </w:r>
      <w:r w:rsidRPr="00FE0834">
        <w:t xml:space="preserve">need for corrective action. </w:t>
      </w:r>
    </w:p>
    <w:p w:rsidR="00610867" w:rsidRDefault="00610867">
      <w:pPr>
        <w:rPr>
          <w:b/>
        </w:rPr>
      </w:pPr>
      <w:r>
        <w:rPr>
          <w:b/>
        </w:rPr>
        <w:br w:type="page"/>
      </w:r>
    </w:p>
    <w:p w:rsidR="00252E2A" w:rsidRPr="00DC64F6" w:rsidRDefault="00252E2A" w:rsidP="001C6BDB">
      <w:pPr>
        <w:spacing w:after="240"/>
        <w:jc w:val="center"/>
        <w:rPr>
          <w:b/>
          <w:bCs/>
          <w:iCs/>
          <w:u w:val="single"/>
        </w:rPr>
      </w:pPr>
      <w:r w:rsidRPr="00DC64F6">
        <w:rPr>
          <w:b/>
          <w:u w:val="single"/>
        </w:rPr>
        <w:lastRenderedPageBreak/>
        <w:t>B. Analysis</w:t>
      </w:r>
    </w:p>
    <w:p w:rsidR="00976145" w:rsidRPr="001C6BDB" w:rsidRDefault="00DC64F6" w:rsidP="002F74F4">
      <w:pPr>
        <w:spacing w:after="240"/>
        <w:jc w:val="both"/>
        <w:outlineLvl w:val="2"/>
        <w:rPr>
          <w:bCs/>
          <w:i/>
          <w:iCs/>
        </w:rPr>
      </w:pPr>
      <w:r>
        <w:rPr>
          <w:b/>
          <w:bCs/>
          <w:i/>
          <w:iCs/>
        </w:rPr>
        <w:tab/>
      </w:r>
      <w:r w:rsidR="004017B8" w:rsidRPr="001C6BDB">
        <w:rPr>
          <w:bCs/>
          <w:i/>
          <w:iCs/>
        </w:rPr>
        <w:t xml:space="preserve">1. </w:t>
      </w:r>
      <w:r w:rsidR="00257880" w:rsidRPr="001C6BDB">
        <w:rPr>
          <w:bCs/>
          <w:i/>
          <w:iCs/>
        </w:rPr>
        <w:t>Standard</w:t>
      </w:r>
    </w:p>
    <w:p w:rsidR="00976145" w:rsidRPr="00EE50C1" w:rsidRDefault="00976145" w:rsidP="00976145">
      <w:pPr>
        <w:spacing w:after="240"/>
        <w:jc w:val="both"/>
        <w:rPr>
          <w:color w:val="212121"/>
        </w:rPr>
      </w:pPr>
      <w:r w:rsidRPr="00EE50C1">
        <w:tab/>
        <w:t>Pursuant to Section 366.8255, F.S., th</w:t>
      </w:r>
      <w:r w:rsidR="0071101A">
        <w:t xml:space="preserve">is </w:t>
      </w:r>
      <w:r w:rsidRPr="00EE50C1">
        <w:t>Commission “shall allow recovery of the utility's prudently incurred environmental compliance costs.”</w:t>
      </w:r>
      <w:r w:rsidRPr="00EE50C1">
        <w:rPr>
          <w:vertAlign w:val="superscript"/>
        </w:rPr>
        <w:footnoteReference w:id="13"/>
      </w:r>
      <w:r w:rsidRPr="00EE50C1">
        <w:t xml:space="preserve"> Environmental compliance costs include </w:t>
      </w:r>
      <w:r w:rsidRPr="00EE50C1">
        <w:rPr>
          <w:color w:val="212121"/>
        </w:rPr>
        <w:t>“all costs or expenses incurred by an electric utility in complying with environmental laws or regulations.”</w:t>
      </w:r>
      <w:r w:rsidRPr="00EE50C1">
        <w:rPr>
          <w:color w:val="212121"/>
          <w:vertAlign w:val="superscript"/>
        </w:rPr>
        <w:footnoteReference w:id="14"/>
      </w:r>
      <w:r w:rsidRPr="00EE50C1">
        <w:rPr>
          <w:color w:val="212121"/>
        </w:rPr>
        <w:t xml:space="preserve"> As discussed </w:t>
      </w:r>
      <w:r w:rsidR="0071101A">
        <w:rPr>
          <w:color w:val="212121"/>
        </w:rPr>
        <w:t>at</w:t>
      </w:r>
      <w:r w:rsidR="0058688E">
        <w:rPr>
          <w:color w:val="212121"/>
        </w:rPr>
        <w:t xml:space="preserve"> </w:t>
      </w:r>
      <w:r w:rsidR="00225C62">
        <w:rPr>
          <w:color w:val="212121"/>
        </w:rPr>
        <w:t xml:space="preserve">Section I of this Order, </w:t>
      </w:r>
      <w:r w:rsidRPr="00EE50C1">
        <w:rPr>
          <w:color w:val="212121"/>
        </w:rPr>
        <w:t xml:space="preserve">FPL incurred the </w:t>
      </w:r>
      <w:r w:rsidR="00016B04" w:rsidRPr="00EE50C1">
        <w:t>Monitoring Plan</w:t>
      </w:r>
      <w:r w:rsidR="00016B04" w:rsidRPr="00EE50C1">
        <w:rPr>
          <w:color w:val="212121"/>
        </w:rPr>
        <w:t xml:space="preserve"> </w:t>
      </w:r>
      <w:r w:rsidRPr="00EE50C1">
        <w:rPr>
          <w:color w:val="212121"/>
        </w:rPr>
        <w:t xml:space="preserve">Disputed Costs in response to new environmental requirements. </w:t>
      </w:r>
    </w:p>
    <w:p w:rsidR="00976145" w:rsidRPr="00EE50C1" w:rsidRDefault="00976145" w:rsidP="00976145">
      <w:pPr>
        <w:spacing w:after="240"/>
        <w:jc w:val="both"/>
        <w:rPr>
          <w:color w:val="212121"/>
        </w:rPr>
      </w:pPr>
      <w:r w:rsidRPr="00EE50C1">
        <w:rPr>
          <w:color w:val="212121"/>
        </w:rPr>
        <w:tab/>
      </w:r>
      <w:r w:rsidR="0071101A">
        <w:rPr>
          <w:color w:val="212121"/>
        </w:rPr>
        <w:t xml:space="preserve">Because there </w:t>
      </w:r>
      <w:r w:rsidR="00FC2621">
        <w:rPr>
          <w:color w:val="212121"/>
        </w:rPr>
        <w:t xml:space="preserve">are </w:t>
      </w:r>
      <w:r w:rsidR="00FC2621" w:rsidRPr="00EE50C1">
        <w:rPr>
          <w:color w:val="212121"/>
        </w:rPr>
        <w:t>varying</w:t>
      </w:r>
      <w:r w:rsidRPr="00EE50C1">
        <w:rPr>
          <w:color w:val="212121"/>
        </w:rPr>
        <w:t xml:space="preserve"> time periods </w:t>
      </w:r>
      <w:r w:rsidR="0071101A">
        <w:rPr>
          <w:color w:val="212121"/>
        </w:rPr>
        <w:t xml:space="preserve">in which </w:t>
      </w:r>
      <w:r w:rsidRPr="00EE50C1">
        <w:rPr>
          <w:color w:val="212121"/>
        </w:rPr>
        <w:t>costs were</w:t>
      </w:r>
      <w:r w:rsidR="0058688E">
        <w:rPr>
          <w:color w:val="212121"/>
        </w:rPr>
        <w:t>,</w:t>
      </w:r>
      <w:r w:rsidRPr="00EE50C1">
        <w:rPr>
          <w:color w:val="212121"/>
        </w:rPr>
        <w:t xml:space="preserve"> or are to be incurred, </w:t>
      </w:r>
      <w:r w:rsidR="0071101A">
        <w:rPr>
          <w:color w:val="212121"/>
        </w:rPr>
        <w:t>we must</w:t>
      </w:r>
      <w:r w:rsidRPr="00EE50C1">
        <w:rPr>
          <w:color w:val="212121"/>
        </w:rPr>
        <w:t xml:space="preserve"> apply separate standards of review to the </w:t>
      </w:r>
      <w:r w:rsidR="00016B04" w:rsidRPr="00EE50C1">
        <w:t>Monitoring Plan</w:t>
      </w:r>
      <w:r w:rsidR="00016B04" w:rsidRPr="00EE50C1">
        <w:rPr>
          <w:color w:val="212121"/>
        </w:rPr>
        <w:t xml:space="preserve"> </w:t>
      </w:r>
      <w:r w:rsidRPr="00EE50C1">
        <w:rPr>
          <w:color w:val="212121"/>
        </w:rPr>
        <w:t xml:space="preserve">Disputed Costs. This is consistent with </w:t>
      </w:r>
      <w:r w:rsidR="0071101A">
        <w:rPr>
          <w:color w:val="212121"/>
        </w:rPr>
        <w:t xml:space="preserve">our </w:t>
      </w:r>
      <w:r w:rsidRPr="00EE50C1">
        <w:rPr>
          <w:color w:val="212121"/>
        </w:rPr>
        <w:t xml:space="preserve">decision when </w:t>
      </w:r>
      <w:r w:rsidR="0002274E">
        <w:rPr>
          <w:color w:val="212121"/>
        </w:rPr>
        <w:t xml:space="preserve">we first addressed the </w:t>
      </w:r>
      <w:r w:rsidRPr="00EE50C1">
        <w:rPr>
          <w:color w:val="212121"/>
        </w:rPr>
        <w:t>ECRC</w:t>
      </w:r>
      <w:r w:rsidR="0002274E">
        <w:rPr>
          <w:color w:val="212121"/>
        </w:rPr>
        <w:t>:</w:t>
      </w:r>
      <w:r w:rsidRPr="00EE50C1">
        <w:rPr>
          <w:vertAlign w:val="superscript"/>
        </w:rPr>
        <w:t xml:space="preserve"> </w:t>
      </w:r>
    </w:p>
    <w:p w:rsidR="00976145" w:rsidRPr="00EE50C1" w:rsidRDefault="00976145" w:rsidP="00976145">
      <w:pPr>
        <w:spacing w:after="240"/>
        <w:ind w:left="720" w:right="720"/>
        <w:jc w:val="both"/>
        <w:rPr>
          <w:color w:val="212121"/>
        </w:rPr>
      </w:pPr>
      <w:r w:rsidRPr="00EE50C1">
        <w:rPr>
          <w:color w:val="212121"/>
        </w:rPr>
        <w:t>We shall not make a specific finding of prudence for any activity included in Gulf's petition at this time.  There are several reasons for this.  First, many of the costs included in Gulf's petition are based on projections, and some of the projects have not yet been implemented.  Thus, it is premature to establish prudence for a project that has not been completed.  Second, the environmental cost recovery clause, like the fuel cost recovery clause, will be an on-going docket involving trueing-up projected costs.  We retain jurisdiction in the fuel cost recovery clause because of the true-up provisions associated with fuel filings.</w:t>
      </w:r>
      <w:r w:rsidRPr="00EE50C1">
        <w:rPr>
          <w:vertAlign w:val="superscript"/>
        </w:rPr>
        <w:footnoteReference w:id="15"/>
      </w:r>
    </w:p>
    <w:p w:rsidR="00976145" w:rsidRPr="00EE50C1" w:rsidRDefault="00976145" w:rsidP="00976145">
      <w:pPr>
        <w:spacing w:after="240"/>
        <w:jc w:val="both"/>
      </w:pPr>
      <w:r w:rsidRPr="00EE50C1">
        <w:rPr>
          <w:color w:val="212121"/>
        </w:rPr>
        <w:tab/>
        <w:t xml:space="preserve">FPL’s Witness Deaton testified in support of FPL’s actual costs for 2016, actual/estimated costs for 2017, and projected costs for 2018. As 2015 and 2016 represent actual expenditures by FPL, these are subject to a full prudence determination at this time. However, 2017 and 2018 </w:t>
      </w:r>
      <w:r w:rsidR="00016B04" w:rsidRPr="00EE50C1">
        <w:t>Monitoring Plan</w:t>
      </w:r>
      <w:r w:rsidR="00016B04" w:rsidRPr="00EE50C1">
        <w:rPr>
          <w:color w:val="212121"/>
        </w:rPr>
        <w:t xml:space="preserve"> </w:t>
      </w:r>
      <w:r w:rsidRPr="00EE50C1">
        <w:rPr>
          <w:color w:val="212121"/>
        </w:rPr>
        <w:t xml:space="preserve">Disputed Costs cannot be determined as prudent or imprudent. </w:t>
      </w:r>
      <w:r w:rsidR="0002274E">
        <w:rPr>
          <w:color w:val="212121"/>
        </w:rPr>
        <w:t>I</w:t>
      </w:r>
      <w:r w:rsidRPr="00EE50C1">
        <w:rPr>
          <w:color w:val="212121"/>
        </w:rPr>
        <w:t xml:space="preserve">nstead </w:t>
      </w:r>
      <w:r w:rsidR="0002274E">
        <w:rPr>
          <w:color w:val="212121"/>
        </w:rPr>
        <w:t xml:space="preserve">we </w:t>
      </w:r>
      <w:r w:rsidRPr="00EE50C1">
        <w:rPr>
          <w:color w:val="212121"/>
        </w:rPr>
        <w:t xml:space="preserve">subject these costs to a reasonableness test for inclusion in clause recovery, with prudency to be determined in a future ECRC proceeding as part of the traditional true-up mechanism. </w:t>
      </w:r>
    </w:p>
    <w:p w:rsidR="00866447" w:rsidRDefault="00976145" w:rsidP="004017B8">
      <w:pPr>
        <w:spacing w:after="240"/>
        <w:jc w:val="both"/>
      </w:pPr>
      <w:r w:rsidRPr="00EE50C1">
        <w:tab/>
        <w:t xml:space="preserve">FPL is currently recovering costs through the ECRC factor that include the </w:t>
      </w:r>
      <w:r w:rsidR="00016B04" w:rsidRPr="00EE50C1">
        <w:t xml:space="preserve">Monitoring Plan </w:t>
      </w:r>
      <w:r w:rsidRPr="00EE50C1">
        <w:t xml:space="preserve">Disputed Costs pursuant to a stipulation approved </w:t>
      </w:r>
      <w:r w:rsidR="0002274E">
        <w:t>a</w:t>
      </w:r>
      <w:r w:rsidRPr="00EE50C1">
        <w:t xml:space="preserve">t the October 25, 2017 evidentiary hearing. Any adjustments or modifications </w:t>
      </w:r>
      <w:r w:rsidR="0002274E">
        <w:t>we</w:t>
      </w:r>
      <w:r w:rsidRPr="00EE50C1">
        <w:t xml:space="preserve"> make </w:t>
      </w:r>
      <w:r w:rsidR="00FC2621">
        <w:t>regarding</w:t>
      </w:r>
      <w:r w:rsidR="0002274E">
        <w:t xml:space="preserve"> the disputed issues </w:t>
      </w:r>
      <w:r w:rsidRPr="00EE50C1">
        <w:t>sh</w:t>
      </w:r>
      <w:r w:rsidR="0002274E">
        <w:t>all</w:t>
      </w:r>
      <w:r w:rsidRPr="00EE50C1">
        <w:t xml:space="preserve"> be addressed </w:t>
      </w:r>
      <w:r w:rsidR="0002274E">
        <w:t>as a true</w:t>
      </w:r>
      <w:r w:rsidR="00991425">
        <w:t>-</w:t>
      </w:r>
      <w:r w:rsidR="0002274E">
        <w:t xml:space="preserve">up </w:t>
      </w:r>
      <w:r w:rsidRPr="00EE50C1">
        <w:t xml:space="preserve">in a future ECRC proceeding. </w:t>
      </w:r>
      <w:r w:rsidR="0002274E">
        <w:t xml:space="preserve">The </w:t>
      </w:r>
      <w:r w:rsidRPr="00EE50C1">
        <w:t xml:space="preserve">allocation between O&amp;M and capital is addressed separately </w:t>
      </w:r>
      <w:r w:rsidR="00BD12D6">
        <w:t>in this Order in Section IV</w:t>
      </w:r>
      <w:r w:rsidRPr="00EE50C1">
        <w:t>, and may also impact the annual amount for cost recovery.</w:t>
      </w:r>
    </w:p>
    <w:p w:rsidR="00866447" w:rsidRPr="001C6BDB" w:rsidRDefault="00DC64F6" w:rsidP="004017B8">
      <w:pPr>
        <w:spacing w:after="240"/>
        <w:jc w:val="both"/>
      </w:pPr>
      <w:r>
        <w:rPr>
          <w:b/>
          <w:bCs/>
          <w:i/>
          <w:iCs/>
        </w:rPr>
        <w:tab/>
      </w:r>
      <w:r w:rsidR="004017B8" w:rsidRPr="001C6BDB">
        <w:rPr>
          <w:bCs/>
          <w:i/>
          <w:iCs/>
        </w:rPr>
        <w:t xml:space="preserve">2. </w:t>
      </w:r>
      <w:r w:rsidR="00976145" w:rsidRPr="001C6BDB">
        <w:rPr>
          <w:bCs/>
          <w:i/>
          <w:iCs/>
        </w:rPr>
        <w:t>Activities</w:t>
      </w:r>
    </w:p>
    <w:p w:rsidR="004017B8" w:rsidRDefault="00866447" w:rsidP="004017B8">
      <w:pPr>
        <w:spacing w:after="240"/>
        <w:jc w:val="both"/>
      </w:pPr>
      <w:r w:rsidRPr="00E343F4">
        <w:tab/>
      </w:r>
      <w:r w:rsidR="00976145" w:rsidRPr="00DD3649">
        <w:t>As discussed</w:t>
      </w:r>
      <w:r w:rsidR="00BD12D6" w:rsidRPr="00DD3649">
        <w:t xml:space="preserve"> </w:t>
      </w:r>
      <w:r w:rsidR="0002274E" w:rsidRPr="00DD3649">
        <w:t>above</w:t>
      </w:r>
      <w:r w:rsidR="00E90B82" w:rsidRPr="00DD3649">
        <w:t xml:space="preserve"> in Sections I.</w:t>
      </w:r>
      <w:r w:rsidR="00DD3649" w:rsidRPr="00DD3649">
        <w:t>B</w:t>
      </w:r>
      <w:r w:rsidR="00E90B82" w:rsidRPr="00DD3649">
        <w:t>.-</w:t>
      </w:r>
      <w:r w:rsidR="00DD3649" w:rsidRPr="00DD3649">
        <w:t>C</w:t>
      </w:r>
      <w:r w:rsidR="00E90B82" w:rsidRPr="00DD3649">
        <w:t>.</w:t>
      </w:r>
      <w:r w:rsidR="0002274E" w:rsidRPr="00DD3649">
        <w:t xml:space="preserve">, </w:t>
      </w:r>
      <w:r w:rsidR="00976145" w:rsidRPr="00DD3649">
        <w:t xml:space="preserve">the </w:t>
      </w:r>
      <w:r w:rsidR="00E90B82" w:rsidRPr="00DD3649">
        <w:t xml:space="preserve">2015 </w:t>
      </w:r>
      <w:r w:rsidR="00976145" w:rsidRPr="00DD3649">
        <w:t xml:space="preserve">CO, </w:t>
      </w:r>
      <w:r w:rsidR="00E90B82" w:rsidRPr="00DD3649">
        <w:t xml:space="preserve">2016 </w:t>
      </w:r>
      <w:r w:rsidR="00976145" w:rsidRPr="00DD3649">
        <w:t xml:space="preserve">CA, and </w:t>
      </w:r>
      <w:r w:rsidR="00E90B82" w:rsidRPr="00DD3649">
        <w:t xml:space="preserve">2016 </w:t>
      </w:r>
      <w:r w:rsidR="00976145" w:rsidRPr="00DD3649">
        <w:t>CAA</w:t>
      </w:r>
      <w:r w:rsidR="00976145" w:rsidRPr="00E343F4">
        <w:t xml:space="preserve"> introduce new regulatory requirements and are therefore eligible for potential recovery through the ECRC </w:t>
      </w:r>
      <w:r w:rsidR="00976145" w:rsidRPr="00E343F4">
        <w:lastRenderedPageBreak/>
        <w:t>subject to a prudency review. As part of th</w:t>
      </w:r>
      <w:r w:rsidR="0002274E" w:rsidRPr="00E343F4">
        <w:t>is</w:t>
      </w:r>
      <w:r w:rsidR="00976145" w:rsidRPr="00E343F4">
        <w:t xml:space="preserve"> review, </w:t>
      </w:r>
      <w:r w:rsidR="0002274E" w:rsidRPr="00E343F4">
        <w:t>we</w:t>
      </w:r>
      <w:r w:rsidR="00976145" w:rsidRPr="00E343F4">
        <w:t xml:space="preserve"> must analyze the Company’s activities leading up to </w:t>
      </w:r>
      <w:r w:rsidR="001B18DD" w:rsidRPr="00E343F4">
        <w:t xml:space="preserve">the </w:t>
      </w:r>
      <w:r w:rsidR="00976145" w:rsidRPr="00E343F4">
        <w:t xml:space="preserve">CO, CA, and CAA. If prudently managed prior to the issuance of the CO, CA, and CAA, </w:t>
      </w:r>
      <w:r w:rsidR="0002274E" w:rsidRPr="00E343F4">
        <w:t xml:space="preserve">we must </w:t>
      </w:r>
      <w:r w:rsidR="00FC2621" w:rsidRPr="00E343F4">
        <w:t>review whether</w:t>
      </w:r>
      <w:r w:rsidR="00976145" w:rsidRPr="00E343F4">
        <w:t xml:space="preserve"> FPL’</w:t>
      </w:r>
      <w:r w:rsidR="00976145" w:rsidRPr="00EE50C1">
        <w:t>s expenditures for compliance are prudent and reasonable for recovery through the ECRC.</w:t>
      </w:r>
    </w:p>
    <w:p w:rsidR="00976145" w:rsidRPr="004017B8" w:rsidRDefault="001C6BDB" w:rsidP="004017B8">
      <w:pPr>
        <w:spacing w:after="240"/>
        <w:jc w:val="both"/>
      </w:pPr>
      <w:r w:rsidRPr="001C6BDB">
        <w:rPr>
          <w:bCs/>
          <w:iCs/>
        </w:rPr>
        <w:tab/>
      </w:r>
      <w:r w:rsidRPr="001C6BDB">
        <w:rPr>
          <w:bCs/>
          <w:iCs/>
        </w:rPr>
        <w:tab/>
      </w:r>
      <w:r w:rsidR="004017B8">
        <w:rPr>
          <w:bCs/>
          <w:iCs/>
          <w:u w:val="single"/>
        </w:rPr>
        <w:t xml:space="preserve">a. </w:t>
      </w:r>
      <w:r w:rsidR="00D82909">
        <w:rPr>
          <w:bCs/>
          <w:iCs/>
          <w:u w:val="single"/>
        </w:rPr>
        <w:t xml:space="preserve">Activities </w:t>
      </w:r>
      <w:r w:rsidR="00976145" w:rsidRPr="002F74F4">
        <w:rPr>
          <w:bCs/>
          <w:iCs/>
          <w:u w:val="single"/>
        </w:rPr>
        <w:t>Prior to New Requirements</w:t>
      </w:r>
    </w:p>
    <w:p w:rsidR="00976145" w:rsidRPr="00EE50C1" w:rsidRDefault="00976145" w:rsidP="00976145">
      <w:pPr>
        <w:spacing w:after="240"/>
        <w:jc w:val="both"/>
      </w:pPr>
      <w:r w:rsidRPr="00EE50C1">
        <w:tab/>
        <w:t xml:space="preserve">The Intervenors </w:t>
      </w:r>
      <w:r w:rsidR="001B18DD">
        <w:t xml:space="preserve">assert that </w:t>
      </w:r>
      <w:r w:rsidRPr="00EE50C1">
        <w:t xml:space="preserve">FPL was imprudent because it either knew or should have known about deteriorating environmental conditions, and that FPL should have taken action prior to the requirements of the CO, CA, and CAA. </w:t>
      </w:r>
      <w:r w:rsidR="00FC2621">
        <w:t xml:space="preserve">We </w:t>
      </w:r>
      <w:r w:rsidR="00FC2621" w:rsidRPr="00EE50C1">
        <w:t>review</w:t>
      </w:r>
      <w:r w:rsidRPr="00EE50C1">
        <w:t xml:space="preserve"> these </w:t>
      </w:r>
      <w:r w:rsidR="001B18DD">
        <w:t>assertions</w:t>
      </w:r>
      <w:r w:rsidRPr="00EE50C1">
        <w:t xml:space="preserve"> below.</w:t>
      </w:r>
    </w:p>
    <w:p w:rsidR="00976145" w:rsidRPr="00EE50C1" w:rsidRDefault="00976145" w:rsidP="00976145">
      <w:pPr>
        <w:spacing w:after="240"/>
        <w:jc w:val="both"/>
      </w:pPr>
      <w:r w:rsidRPr="00EE50C1">
        <w:tab/>
        <w:t>FPL’s Witness Sole outline</w:t>
      </w:r>
      <w:r w:rsidR="001B18DD">
        <w:t>d</w:t>
      </w:r>
      <w:r w:rsidRPr="00EE50C1">
        <w:t xml:space="preserve"> FPL’s compliance with its monitoring requirements since the start of the Company’s operation of the CCS, including well and surface water monitoring and quarterly reports. Witness Sole </w:t>
      </w:r>
      <w:r w:rsidR="001B18DD">
        <w:t xml:space="preserve">testified </w:t>
      </w:r>
      <w:r w:rsidRPr="00EE50C1">
        <w:t xml:space="preserve">that monitoring data was provided to SFWMD on at least an annual basis. FPL’s Witness Sole and OPC’s Witness Panday agree that a three year gap in providing monitoring reports existed between 2005 and 2007, and was resolved in 2008.  SFWMD did not take additional action once the monitoring oversight had been corrected. </w:t>
      </w:r>
    </w:p>
    <w:p w:rsidR="00976145" w:rsidRPr="00EE50C1" w:rsidRDefault="00976145" w:rsidP="00976145">
      <w:pPr>
        <w:spacing w:after="240"/>
        <w:jc w:val="both"/>
      </w:pPr>
      <w:r w:rsidRPr="00EE50C1">
        <w:tab/>
      </w:r>
      <w:r w:rsidR="001B18DD">
        <w:t xml:space="preserve">Neither </w:t>
      </w:r>
      <w:r w:rsidRPr="00EE50C1">
        <w:t xml:space="preserve">the </w:t>
      </w:r>
      <w:r w:rsidR="001F4863">
        <w:t>F</w:t>
      </w:r>
      <w:r w:rsidRPr="00EE50C1">
        <w:t xml:space="preserve">DEP </w:t>
      </w:r>
      <w:r w:rsidR="001B18DD">
        <w:t xml:space="preserve">nor the </w:t>
      </w:r>
      <w:r w:rsidRPr="00EE50C1">
        <w:t xml:space="preserve">DERM NOV </w:t>
      </w:r>
      <w:r w:rsidR="00FC2621" w:rsidRPr="00EE50C1">
        <w:t>identif</w:t>
      </w:r>
      <w:r w:rsidR="00FC2621">
        <w:t>ied</w:t>
      </w:r>
      <w:r w:rsidRPr="00EE50C1">
        <w:t xml:space="preserve"> attempts to mislead or failure to provide data as </w:t>
      </w:r>
      <w:r w:rsidR="0058688E">
        <w:t>a</w:t>
      </w:r>
      <w:r w:rsidRPr="00EE50C1">
        <w:t xml:space="preserve"> violation. The </w:t>
      </w:r>
      <w:r w:rsidR="001F4863">
        <w:t>F</w:t>
      </w:r>
      <w:r w:rsidRPr="00EE50C1">
        <w:t xml:space="preserve">DEP NOV identifies Rule 62-520.400, Florida Administrative Code, and </w:t>
      </w:r>
      <w:r w:rsidR="001B18DD">
        <w:t>the D</w:t>
      </w:r>
      <w:r w:rsidRPr="00EE50C1">
        <w:t xml:space="preserve">ERM NOV identifies Section 24-42(3) of the Code of Miami-Dade County, both of which address the water quality criteria. </w:t>
      </w:r>
    </w:p>
    <w:p w:rsidR="00976145" w:rsidRPr="00EE50C1" w:rsidRDefault="00976145" w:rsidP="00976145">
      <w:pPr>
        <w:spacing w:after="240"/>
        <w:jc w:val="both"/>
      </w:pPr>
      <w:r w:rsidRPr="00EE50C1">
        <w:tab/>
        <w:t xml:space="preserve">FPL’s Witness Sole </w:t>
      </w:r>
      <w:r w:rsidR="001B18DD">
        <w:t>asserts that</w:t>
      </w:r>
      <w:r w:rsidR="0058688E">
        <w:t>,</w:t>
      </w:r>
      <w:r w:rsidR="001B18DD">
        <w:t xml:space="preserve"> </w:t>
      </w:r>
      <w:r w:rsidRPr="00EE50C1">
        <w:t xml:space="preserve">with the exception of the NOVs received from the </w:t>
      </w:r>
      <w:r w:rsidR="001F4863">
        <w:t>F</w:t>
      </w:r>
      <w:r w:rsidRPr="00EE50C1">
        <w:t xml:space="preserve">DEP and DERM, FPL has operated the CCS in compliance with its regulatory permits. OPC’s Witness Panday agreed that at no time did SFWMD direct the utility to engage in consultation prior to its April 16, 2013 letter requesting consultation. </w:t>
      </w:r>
      <w:r w:rsidR="001B18DD">
        <w:t>T</w:t>
      </w:r>
      <w:r w:rsidRPr="00EE50C1">
        <w:t>he data collected during th</w:t>
      </w:r>
      <w:r w:rsidR="0058688E">
        <w:t>e</w:t>
      </w:r>
      <w:r w:rsidRPr="00EE50C1">
        <w:t xml:space="preserve"> three years was available to FPL’s environmental regulators prior to SFWMD’s letter requesting consultation. The record indicates that the regulatory bodies responsible for water quality were sufficiently informed of the condition of the Biscayne Aquifer, </w:t>
      </w:r>
      <w:r w:rsidRPr="00594BC2">
        <w:t xml:space="preserve">and no </w:t>
      </w:r>
      <w:r w:rsidR="00594BC2" w:rsidRPr="00594BC2">
        <w:t xml:space="preserve">substantial </w:t>
      </w:r>
      <w:r w:rsidRPr="00594BC2">
        <w:t xml:space="preserve">evidence was provided that FPL </w:t>
      </w:r>
      <w:r w:rsidR="009415CE">
        <w:t>intentionally</w:t>
      </w:r>
      <w:r w:rsidR="0058688E" w:rsidRPr="00594BC2">
        <w:t xml:space="preserve"> </w:t>
      </w:r>
      <w:r w:rsidRPr="00594BC2">
        <w:t>withheld evidence or submitted false data.</w:t>
      </w:r>
    </w:p>
    <w:p w:rsidR="00976145" w:rsidRPr="00EE50C1" w:rsidRDefault="00976145" w:rsidP="00976145">
      <w:pPr>
        <w:spacing w:after="240"/>
        <w:jc w:val="both"/>
      </w:pPr>
      <w:r w:rsidRPr="00EE50C1">
        <w:tab/>
        <w:t>OPC’s Witness Panday argues that</w:t>
      </w:r>
      <w:r w:rsidR="00657947">
        <w:t>,</w:t>
      </w:r>
      <w:r w:rsidRPr="00EE50C1">
        <w:t xml:space="preserve"> </w:t>
      </w:r>
      <w:r w:rsidR="00657947" w:rsidRPr="00EE50C1">
        <w:t>based on its monitoring reports that showed hyper</w:t>
      </w:r>
      <w:r w:rsidR="00991425">
        <w:t>-</w:t>
      </w:r>
      <w:r w:rsidR="00657947" w:rsidRPr="00EE50C1">
        <w:t>salinity outside the boundaries of the CCS</w:t>
      </w:r>
      <w:r w:rsidR="00657947">
        <w:t>,</w:t>
      </w:r>
      <w:r w:rsidR="00657947" w:rsidRPr="00EE50C1">
        <w:t xml:space="preserve"> </w:t>
      </w:r>
      <w:r w:rsidRPr="00EE50C1">
        <w:t xml:space="preserve">FPL should have known, as early as 1990, that the salinity within the CCS exceeded the maximum level proposed in the 1978 Dames and Moore Report. Witness Panday asserts that the long-term trends were unmistakable signs that damage was occurring. Witness Panday alleges that by at least 1992, FPL should have known that the CCS was causing harm, but that FPL willfully or carelessly ignored these results. Witness Panday alleges that by failing to follow its experts’ </w:t>
      </w:r>
      <w:r w:rsidR="00FC2621" w:rsidRPr="00EE50C1">
        <w:t>advice</w:t>
      </w:r>
      <w:r w:rsidRPr="00EE50C1">
        <w:t xml:space="preserve"> to track salinity changes, FPL failed in its obligations. </w:t>
      </w:r>
    </w:p>
    <w:p w:rsidR="00976145" w:rsidRPr="00EE50C1" w:rsidRDefault="00976145" w:rsidP="00976145">
      <w:pPr>
        <w:spacing w:after="240"/>
        <w:jc w:val="both"/>
      </w:pPr>
      <w:r w:rsidRPr="00EE50C1">
        <w:tab/>
        <w:t xml:space="preserve">FPL’s Witness Sole argues that if FPL had acted without prior direction from an environmental regulator, OPC or another party could have argued against cost recovery. </w:t>
      </w:r>
      <w:r w:rsidR="00657947">
        <w:t xml:space="preserve">We agree with this </w:t>
      </w:r>
      <w:r w:rsidRPr="00EE50C1">
        <w:t>a</w:t>
      </w:r>
      <w:r w:rsidR="00657947">
        <w:t xml:space="preserve">ssertion </w:t>
      </w:r>
      <w:r w:rsidRPr="00EE50C1">
        <w:t>because a clear governmental requirement is necessary for recovery of costs through the ECRC.</w:t>
      </w:r>
    </w:p>
    <w:p w:rsidR="004017B8" w:rsidRDefault="00976145" w:rsidP="004017B8">
      <w:pPr>
        <w:spacing w:after="240"/>
        <w:jc w:val="both"/>
      </w:pPr>
      <w:r w:rsidRPr="00EE50C1">
        <w:lastRenderedPageBreak/>
        <w:tab/>
      </w:r>
      <w:r w:rsidR="00657947">
        <w:t xml:space="preserve">The </w:t>
      </w:r>
      <w:r w:rsidRPr="00EE50C1">
        <w:t>Intervenors argue that FPL should have engaged in action prior to the CO, CA, and CAA</w:t>
      </w:r>
      <w:r w:rsidR="00657947">
        <w:t>; however</w:t>
      </w:r>
      <w:r w:rsidRPr="00EE50C1">
        <w:t xml:space="preserve">, </w:t>
      </w:r>
      <w:r w:rsidRPr="00594BC2">
        <w:t xml:space="preserve">no </w:t>
      </w:r>
      <w:r w:rsidR="00594BC2" w:rsidRPr="00594BC2">
        <w:t xml:space="preserve">substantial </w:t>
      </w:r>
      <w:r w:rsidRPr="00594BC2">
        <w:t xml:space="preserve">evidence was provided in the record </w:t>
      </w:r>
      <w:r w:rsidR="00657947" w:rsidRPr="00594BC2">
        <w:t xml:space="preserve">as to </w:t>
      </w:r>
      <w:r w:rsidRPr="00594BC2">
        <w:t xml:space="preserve">what </w:t>
      </w:r>
      <w:r w:rsidR="00FC2621" w:rsidRPr="00594BC2">
        <w:t>actions</w:t>
      </w:r>
      <w:r w:rsidR="00657947" w:rsidRPr="00594BC2">
        <w:t xml:space="preserve"> should have been</w:t>
      </w:r>
      <w:r w:rsidR="00657947">
        <w:t xml:space="preserve"> taken </w:t>
      </w:r>
      <w:r w:rsidRPr="00EE50C1">
        <w:t xml:space="preserve">and the potential alternatives or cost savings measures that FPL could or should have implemented prior to engaging in the activities that resulted in the </w:t>
      </w:r>
      <w:r w:rsidR="00016B04" w:rsidRPr="00EE50C1">
        <w:t xml:space="preserve">Monitoring Plan </w:t>
      </w:r>
      <w:r w:rsidRPr="00EE50C1">
        <w:t xml:space="preserve">Disputed Costs. </w:t>
      </w:r>
      <w:r w:rsidR="00657947">
        <w:t>T</w:t>
      </w:r>
      <w:r w:rsidRPr="00EE50C1">
        <w:t xml:space="preserve">he record indicates that FPL adhered to the monitoring requirements and was under the continuous oversight </w:t>
      </w:r>
      <w:r w:rsidRPr="00DD3649">
        <w:t xml:space="preserve">of </w:t>
      </w:r>
      <w:r w:rsidR="00E90B82" w:rsidRPr="00DD3649">
        <w:t>environmental regulators from the inception of the power plant in the 1970s; these re</w:t>
      </w:r>
      <w:r w:rsidR="00DD3649" w:rsidRPr="00DD3649">
        <w:t>g</w:t>
      </w:r>
      <w:r w:rsidR="00E90B82" w:rsidRPr="00DD3649">
        <w:t xml:space="preserve">ulators included </w:t>
      </w:r>
      <w:r w:rsidRPr="00DD3649">
        <w:t>FDEP, DERM, and SWFMD.</w:t>
      </w:r>
      <w:r w:rsidRPr="00EE50C1">
        <w:t xml:space="preserve"> </w:t>
      </w:r>
      <w:r w:rsidRPr="00594BC2">
        <w:t xml:space="preserve">No </w:t>
      </w:r>
      <w:r w:rsidR="00594BC2" w:rsidRPr="00594BC2">
        <w:t xml:space="preserve">substantial </w:t>
      </w:r>
      <w:r w:rsidRPr="00594BC2">
        <w:t>evidence was provided that FPL intentionally</w:t>
      </w:r>
      <w:r w:rsidRPr="00EE50C1">
        <w:t xml:space="preserve"> withheld or submitted false data to environmental regulators or </w:t>
      </w:r>
      <w:r w:rsidR="00657947">
        <w:t xml:space="preserve">to this </w:t>
      </w:r>
      <w:r w:rsidRPr="00EE50C1">
        <w:t xml:space="preserve">Commission. Based on our review of the record, given what FPL knew or should have known at the time, </w:t>
      </w:r>
      <w:r w:rsidR="00CD3117">
        <w:t>we f</w:t>
      </w:r>
      <w:r w:rsidR="00FC2621">
        <w:t>ind</w:t>
      </w:r>
      <w:r w:rsidR="00CD3117">
        <w:t xml:space="preserve"> </w:t>
      </w:r>
      <w:r w:rsidRPr="00EE50C1">
        <w:t>FPL was prudent in its actions regarding the historic operation of the CCS.</w:t>
      </w:r>
    </w:p>
    <w:p w:rsidR="00257880" w:rsidRPr="00EE50C1" w:rsidRDefault="001C6BDB" w:rsidP="00E343F4">
      <w:pPr>
        <w:spacing w:after="240"/>
        <w:jc w:val="both"/>
        <w:rPr>
          <w:b/>
          <w:bCs/>
          <w:i/>
          <w:iCs/>
        </w:rPr>
      </w:pPr>
      <w:r w:rsidRPr="001C6BDB">
        <w:rPr>
          <w:bCs/>
          <w:iCs/>
        </w:rPr>
        <w:tab/>
      </w:r>
      <w:r w:rsidRPr="001C6BDB">
        <w:rPr>
          <w:bCs/>
          <w:iCs/>
        </w:rPr>
        <w:tab/>
      </w:r>
      <w:r w:rsidR="004017B8">
        <w:rPr>
          <w:bCs/>
          <w:iCs/>
          <w:u w:val="single"/>
        </w:rPr>
        <w:t xml:space="preserve">b. </w:t>
      </w:r>
      <w:r w:rsidR="00CD3117" w:rsidRPr="002F74F4">
        <w:rPr>
          <w:bCs/>
          <w:iCs/>
          <w:u w:val="single"/>
        </w:rPr>
        <w:t xml:space="preserve">Compliance with </w:t>
      </w:r>
      <w:r w:rsidR="00976145" w:rsidRPr="002F74F4">
        <w:rPr>
          <w:bCs/>
          <w:iCs/>
          <w:u w:val="single"/>
        </w:rPr>
        <w:t>New Requirements</w:t>
      </w:r>
    </w:p>
    <w:p w:rsidR="00CD3117" w:rsidRDefault="00976145" w:rsidP="00976145">
      <w:pPr>
        <w:spacing w:after="240"/>
        <w:jc w:val="both"/>
      </w:pPr>
      <w:r w:rsidRPr="00EE50C1">
        <w:tab/>
        <w:t>OPC’s Witness Panday argues that FPL’s RWS</w:t>
      </w:r>
      <w:r w:rsidR="00E90B82">
        <w:t xml:space="preserve">, </w:t>
      </w:r>
      <w:r w:rsidR="00E90B82" w:rsidRPr="00DD3649">
        <w:t>a requirement of the CO, CA, and CAA,</w:t>
      </w:r>
      <w:r w:rsidRPr="00EE50C1">
        <w:t xml:space="preserve"> w</w:t>
      </w:r>
      <w:r w:rsidR="00CD3117">
        <w:t>ill</w:t>
      </w:r>
      <w:r w:rsidRPr="00EE50C1">
        <w:t xml:space="preserve"> have only a marginal effect on the hyper</w:t>
      </w:r>
      <w:r w:rsidR="00991425">
        <w:t>-</w:t>
      </w:r>
      <w:r w:rsidRPr="00EE50C1">
        <w:t>saline plume, and even when combined with freshening will not accomplish the retraction of the hyper</w:t>
      </w:r>
      <w:r w:rsidR="00991425">
        <w:t>-</w:t>
      </w:r>
      <w:r w:rsidRPr="00EE50C1">
        <w:t xml:space="preserve">saline plume to the boundaries of the CCS. FPL’s Witness </w:t>
      </w:r>
      <w:r w:rsidR="00BD12D6">
        <w:t>Sole defends the use of the RWS</w:t>
      </w:r>
      <w:r w:rsidRPr="00EE50C1">
        <w:t xml:space="preserve"> </w:t>
      </w:r>
      <w:r w:rsidR="00CD3117">
        <w:t xml:space="preserve">as </w:t>
      </w:r>
      <w:r w:rsidRPr="00EE50C1">
        <w:t xml:space="preserve">a common remediation method </w:t>
      </w:r>
      <w:r w:rsidR="00CD3117">
        <w:t xml:space="preserve">that </w:t>
      </w:r>
      <w:r w:rsidRPr="00EE50C1">
        <w:t xml:space="preserve">was selected after evaluating other alternatives.  </w:t>
      </w:r>
    </w:p>
    <w:p w:rsidR="00976145" w:rsidRPr="00EE50C1" w:rsidRDefault="00976145" w:rsidP="00976145">
      <w:pPr>
        <w:spacing w:after="240"/>
        <w:jc w:val="both"/>
      </w:pPr>
      <w:r w:rsidRPr="00EE50C1">
        <w:tab/>
      </w:r>
      <w:r w:rsidR="00CD3117">
        <w:t>T</w:t>
      </w:r>
      <w:r w:rsidRPr="00EE50C1">
        <w:t>he CO at Section 20(c) states that FPL shall “[i]mplement a remediation project that shall include a recovery well system</w:t>
      </w:r>
      <w:r w:rsidR="00BD12D6">
        <w:t>.</w:t>
      </w:r>
      <w:r w:rsidR="00CD3117">
        <w:t>”</w:t>
      </w:r>
      <w:r w:rsidRPr="00EE50C1">
        <w:t xml:space="preserve"> Section 20(c) also contains several milestones leading to the construction of the RWS. Witness Panday agreed that DERM had approved the use of the RWS as of May 2017. </w:t>
      </w:r>
      <w:r w:rsidR="00CD3117">
        <w:t>Thus, r</w:t>
      </w:r>
      <w:r w:rsidRPr="00EE50C1">
        <w:t>egardless of the efficacy of the RWS, it is a requirement imposed by a governmental authority as part of FPL’s remediation efforts.</w:t>
      </w:r>
    </w:p>
    <w:p w:rsidR="004017B8" w:rsidRDefault="00976145" w:rsidP="004017B8">
      <w:pPr>
        <w:spacing w:after="240"/>
        <w:jc w:val="both"/>
      </w:pPr>
      <w:r w:rsidRPr="00EE50C1">
        <w:tab/>
      </w:r>
      <w:r w:rsidR="00CD3117">
        <w:t>T</w:t>
      </w:r>
      <w:r w:rsidRPr="00EE50C1">
        <w:t xml:space="preserve">he </w:t>
      </w:r>
      <w:r w:rsidR="00E90B82" w:rsidRPr="00DD3649">
        <w:t xml:space="preserve">2015 </w:t>
      </w:r>
      <w:r w:rsidRPr="00DD3649">
        <w:t xml:space="preserve">CO, </w:t>
      </w:r>
      <w:r w:rsidR="00E90B82" w:rsidRPr="00DD3649">
        <w:t xml:space="preserve">2016 </w:t>
      </w:r>
      <w:r w:rsidRPr="00DD3649">
        <w:t xml:space="preserve">CA, and </w:t>
      </w:r>
      <w:r w:rsidR="00E90B82" w:rsidRPr="00DD3649">
        <w:t xml:space="preserve">2016 </w:t>
      </w:r>
      <w:r w:rsidRPr="00DD3649">
        <w:t>CAA</w:t>
      </w:r>
      <w:r w:rsidRPr="00EE50C1">
        <w:t xml:space="preserve"> introduce a variety of new requirements for inspections, monitoring, data analysis, reporting, planning, construction, operation, and other activities associated with the operation of the CCS and remediation of environmental damage. The requirements also include a deposit of funds with the Florida Department of Financial Services and the conveyance of land to SFWMD. Excluding the escrow deposit and the land conveyance </w:t>
      </w:r>
      <w:r w:rsidR="00D82909">
        <w:t xml:space="preserve">which are </w:t>
      </w:r>
      <w:r w:rsidRPr="00EE50C1">
        <w:t xml:space="preserve">discussed in more detail below, </w:t>
      </w:r>
      <w:r w:rsidR="00CD3117">
        <w:t xml:space="preserve">we find that the </w:t>
      </w:r>
      <w:r w:rsidR="00016B04" w:rsidRPr="00EE50C1">
        <w:t xml:space="preserve">Monitoring Plan </w:t>
      </w:r>
      <w:r w:rsidRPr="00EE50C1">
        <w:t xml:space="preserve">Disputed Costs comply with the requirements of FPL’s continued monitoring under the Monitoring Plan </w:t>
      </w:r>
      <w:r w:rsidR="00D82909">
        <w:t>and</w:t>
      </w:r>
      <w:r w:rsidRPr="00EE50C1">
        <w:t xml:space="preserve"> the new requirements of the CO, CA, or CAA. It is not </w:t>
      </w:r>
      <w:r w:rsidR="00252E2A">
        <w:t>our</w:t>
      </w:r>
      <w:r w:rsidRPr="00EE50C1">
        <w:t xml:space="preserve"> role to determine if the requirements of the CO, CA, or CAA are appropriate or will be effective at mitigating saltwater intrusion from the CCS. </w:t>
      </w:r>
      <w:r w:rsidR="00D56A67">
        <w:t>T</w:t>
      </w:r>
      <w:r w:rsidRPr="00EE50C1">
        <w:t xml:space="preserve">he record indicates that FPL adhered to the monitoring requirements and the associated continuous oversight of FDEP, DERM, and SWFMD. In addition, </w:t>
      </w:r>
      <w:r w:rsidRPr="00594BC2">
        <w:t xml:space="preserve">no </w:t>
      </w:r>
      <w:r w:rsidR="00594BC2" w:rsidRPr="00594BC2">
        <w:t xml:space="preserve">substantial </w:t>
      </w:r>
      <w:r w:rsidRPr="00594BC2">
        <w:t>evidence was presented that FPL intentionally withheld or provided false or misleading data to environmental regulators.</w:t>
      </w:r>
      <w:r w:rsidRPr="00EE50C1">
        <w:t xml:space="preserve"> Therefore, </w:t>
      </w:r>
      <w:r w:rsidR="00D56A67">
        <w:t xml:space="preserve">we find that </w:t>
      </w:r>
      <w:r w:rsidRPr="00EE50C1">
        <w:t xml:space="preserve">the actual </w:t>
      </w:r>
      <w:r w:rsidR="00016B04" w:rsidRPr="00EE50C1">
        <w:t xml:space="preserve">Monitoring Plan </w:t>
      </w:r>
      <w:r w:rsidRPr="00EE50C1">
        <w:t>Disputed Costs for 2015 and 2016 expenditures are prudent, and that FPL’s actual/estimated 2017 expenditures and projected 2018 expenditures are reasonable such that they are eligible for recovery through the ECRC.</w:t>
      </w:r>
    </w:p>
    <w:p w:rsidR="003D6F99" w:rsidRDefault="003D6F99" w:rsidP="004017B8">
      <w:pPr>
        <w:spacing w:after="240"/>
        <w:jc w:val="both"/>
        <w:rPr>
          <w:b/>
          <w:bCs/>
          <w:i/>
          <w:iCs/>
        </w:rPr>
      </w:pPr>
    </w:p>
    <w:p w:rsidR="00F40710" w:rsidRDefault="00F40710" w:rsidP="004017B8">
      <w:pPr>
        <w:spacing w:after="240"/>
        <w:jc w:val="both"/>
        <w:rPr>
          <w:b/>
          <w:bCs/>
          <w:i/>
          <w:iCs/>
        </w:rPr>
      </w:pPr>
    </w:p>
    <w:p w:rsidR="00F40710" w:rsidRDefault="00F40710" w:rsidP="004017B8">
      <w:pPr>
        <w:spacing w:after="240"/>
        <w:jc w:val="both"/>
        <w:rPr>
          <w:b/>
          <w:bCs/>
          <w:i/>
          <w:iCs/>
        </w:rPr>
      </w:pPr>
    </w:p>
    <w:p w:rsidR="00976145" w:rsidRPr="001C6BDB" w:rsidRDefault="00DC64F6" w:rsidP="004017B8">
      <w:pPr>
        <w:spacing w:after="240"/>
        <w:jc w:val="both"/>
        <w:rPr>
          <w:i/>
        </w:rPr>
      </w:pPr>
      <w:r>
        <w:rPr>
          <w:b/>
          <w:bCs/>
          <w:i/>
          <w:iCs/>
        </w:rPr>
        <w:tab/>
      </w:r>
      <w:r w:rsidR="004017B8" w:rsidRPr="001C6BDB">
        <w:rPr>
          <w:bCs/>
          <w:i/>
          <w:iCs/>
        </w:rPr>
        <w:t xml:space="preserve">3. </w:t>
      </w:r>
      <w:r w:rsidR="00976145" w:rsidRPr="001C6BDB">
        <w:rPr>
          <w:bCs/>
          <w:i/>
          <w:iCs/>
        </w:rPr>
        <w:t>Adjustments for Escrow and Land Conveyance</w:t>
      </w:r>
    </w:p>
    <w:p w:rsidR="00976145" w:rsidRPr="00EE50C1" w:rsidRDefault="00976145" w:rsidP="00976145">
      <w:pPr>
        <w:spacing w:after="240"/>
        <w:jc w:val="both"/>
      </w:pPr>
      <w:r w:rsidRPr="00EE50C1">
        <w:tab/>
        <w:t xml:space="preserve">Section 23(c) of the CO requires FPL to deposit $1.5 million in a Florida Department of Financial Services escrow account. FPL projected payment of the $1.5 million is to be completed in December 2017. FPL’s Witness Sole </w:t>
      </w:r>
      <w:r w:rsidR="00B644C8">
        <w:t xml:space="preserve">testified </w:t>
      </w:r>
      <w:r w:rsidRPr="00EE50C1">
        <w:t>that these funds may be used by the DEP to address projects that do not have any relation to FPL’s CCS or the related hyper</w:t>
      </w:r>
      <w:r w:rsidR="00991425">
        <w:t>-</w:t>
      </w:r>
      <w:r w:rsidRPr="00EE50C1">
        <w:t xml:space="preserve">saline plume. Witness Sole also </w:t>
      </w:r>
      <w:r w:rsidR="00B644C8">
        <w:t xml:space="preserve">testified </w:t>
      </w:r>
      <w:r w:rsidRPr="00EE50C1">
        <w:t xml:space="preserve">that the $1.5 million is not a fine or administrative penalty. OPC/FIPUG </w:t>
      </w:r>
      <w:r w:rsidR="00D56A67">
        <w:t xml:space="preserve">argue that </w:t>
      </w:r>
      <w:r w:rsidRPr="00EE50C1">
        <w:t>FPL failed to meet its burden of proof that the $1.5 million deposit is a reasonable cost that will directly benefit FPL’s customers.</w:t>
      </w:r>
      <w:r w:rsidR="00B644C8">
        <w:t xml:space="preserve"> </w:t>
      </w:r>
      <w:r w:rsidRPr="00EE50C1">
        <w:t xml:space="preserve">While the $1.5 million escrow deposit is a requirement of the CO, </w:t>
      </w:r>
      <w:r w:rsidR="00D56A67">
        <w:t xml:space="preserve">we find that </w:t>
      </w:r>
      <w:r w:rsidRPr="00EE50C1">
        <w:t>the $1.5 million component is not associated with the operation of the CCS for the benefit of FPL’s customers</w:t>
      </w:r>
      <w:r w:rsidR="00D56A67">
        <w:t xml:space="preserve"> and that </w:t>
      </w:r>
      <w:r w:rsidRPr="00EE50C1">
        <w:t>FPL failed to meet its burden of proof for the recovery of the $1.5 million.</w:t>
      </w:r>
    </w:p>
    <w:p w:rsidR="00976145" w:rsidRPr="00EE50C1" w:rsidRDefault="00976145" w:rsidP="00976145">
      <w:pPr>
        <w:spacing w:after="240"/>
        <w:jc w:val="both"/>
      </w:pPr>
      <w:r w:rsidRPr="00EE50C1">
        <w:tab/>
      </w:r>
      <w:r w:rsidR="00CA06C1">
        <w:t>Regarding</w:t>
      </w:r>
      <w:r w:rsidRPr="00EE50C1">
        <w:t xml:space="preserve"> the land conveyance, Section 23(b) of the CO requires FPL to provide land to SFWMD if requested. OPC/FIPUG</w:t>
      </w:r>
      <w:r w:rsidR="00D56A67">
        <w:t xml:space="preserve"> argue that </w:t>
      </w:r>
      <w:r w:rsidRPr="00EE50C1">
        <w:t xml:space="preserve">approval </w:t>
      </w:r>
      <w:r w:rsidR="00252E2A">
        <w:t xml:space="preserve">of </w:t>
      </w:r>
      <w:r w:rsidRPr="00EE50C1">
        <w:t xml:space="preserve">such </w:t>
      </w:r>
      <w:r w:rsidR="00D56A67">
        <w:t xml:space="preserve">a </w:t>
      </w:r>
      <w:r w:rsidRPr="00EE50C1">
        <w:t xml:space="preserve">transaction should be withheld until a later review. </w:t>
      </w:r>
      <w:r w:rsidR="00D56A67">
        <w:t>We agree with OPC/FIPUG; thus, i</w:t>
      </w:r>
      <w:r w:rsidR="00DC1ECA">
        <w:t>n this d</w:t>
      </w:r>
      <w:r w:rsidR="00D56A67">
        <w:t xml:space="preserve">ocket, we neither </w:t>
      </w:r>
      <w:r w:rsidRPr="00EE50C1">
        <w:t>approv</w:t>
      </w:r>
      <w:r w:rsidR="00D56A67">
        <w:t>e</w:t>
      </w:r>
      <w:r w:rsidRPr="00EE50C1">
        <w:t xml:space="preserve"> </w:t>
      </w:r>
      <w:r w:rsidR="00D56A67">
        <w:t>n</w:t>
      </w:r>
      <w:r w:rsidRPr="00EE50C1">
        <w:t>or disapprov</w:t>
      </w:r>
      <w:r w:rsidR="00D56A67">
        <w:t>e</w:t>
      </w:r>
      <w:r w:rsidRPr="00EE50C1">
        <w:t xml:space="preserve"> cost recovery for this component of the CO</w:t>
      </w:r>
      <w:r w:rsidR="00D56A67">
        <w:t xml:space="preserve">. </w:t>
      </w:r>
      <w:r w:rsidR="003C2049">
        <w:t xml:space="preserve">An </w:t>
      </w:r>
      <w:r w:rsidRPr="00EE50C1">
        <w:t xml:space="preserve">accounting review of </w:t>
      </w:r>
      <w:r w:rsidR="003C2049">
        <w:t xml:space="preserve">such a </w:t>
      </w:r>
      <w:r w:rsidRPr="00EE50C1">
        <w:t xml:space="preserve">land transaction </w:t>
      </w:r>
      <w:r w:rsidR="00D56A67">
        <w:t xml:space="preserve">would </w:t>
      </w:r>
      <w:r w:rsidR="003C2049">
        <w:t xml:space="preserve">be more appropriate </w:t>
      </w:r>
      <w:r w:rsidR="00D56A67">
        <w:t xml:space="preserve">in the </w:t>
      </w:r>
      <w:r w:rsidRPr="00EE50C1">
        <w:t>Company’s next base rate proceeding.</w:t>
      </w:r>
    </w:p>
    <w:p w:rsidR="00976145" w:rsidRPr="00DC64F6" w:rsidRDefault="00252E2A" w:rsidP="001C6BDB">
      <w:pPr>
        <w:keepNext/>
        <w:jc w:val="center"/>
        <w:outlineLvl w:val="2"/>
        <w:rPr>
          <w:b/>
          <w:bCs/>
          <w:iCs/>
          <w:u w:val="single"/>
        </w:rPr>
      </w:pPr>
      <w:r w:rsidRPr="00DC64F6">
        <w:rPr>
          <w:b/>
          <w:bCs/>
          <w:iCs/>
          <w:u w:val="single"/>
        </w:rPr>
        <w:t>C</w:t>
      </w:r>
      <w:r w:rsidR="004017B8" w:rsidRPr="00DC64F6">
        <w:rPr>
          <w:b/>
          <w:bCs/>
          <w:iCs/>
          <w:u w:val="single"/>
        </w:rPr>
        <w:t xml:space="preserve">. </w:t>
      </w:r>
      <w:r w:rsidR="00E66B09" w:rsidRPr="00DC64F6">
        <w:rPr>
          <w:b/>
          <w:bCs/>
          <w:iCs/>
          <w:u w:val="single"/>
        </w:rPr>
        <w:t>Decision</w:t>
      </w:r>
    </w:p>
    <w:p w:rsidR="00257880" w:rsidRPr="00EE50C1" w:rsidRDefault="00257880" w:rsidP="00257880">
      <w:pPr>
        <w:keepNext/>
        <w:jc w:val="center"/>
        <w:outlineLvl w:val="2"/>
        <w:rPr>
          <w:b/>
          <w:bCs/>
          <w:iCs/>
        </w:rPr>
      </w:pPr>
    </w:p>
    <w:p w:rsidR="00976145" w:rsidRDefault="00976145" w:rsidP="00610867">
      <w:pPr>
        <w:jc w:val="both"/>
      </w:pPr>
      <w:r w:rsidRPr="00EE50C1">
        <w:tab/>
      </w:r>
      <w:r w:rsidR="003C2049">
        <w:t xml:space="preserve">Upon review, </w:t>
      </w:r>
      <w:r w:rsidR="00CA06C1">
        <w:t xml:space="preserve">except for the $1.5 million escrow deposit and land conveyance discussed above, we </w:t>
      </w:r>
      <w:r w:rsidR="003C2049">
        <w:t xml:space="preserve">find that </w:t>
      </w:r>
      <w:r w:rsidRPr="00EE50C1">
        <w:t xml:space="preserve">FPL has prudently incurred the 2015 and 2016 </w:t>
      </w:r>
      <w:r w:rsidR="00016B04" w:rsidRPr="00EE50C1">
        <w:t>Monitoring Plan</w:t>
      </w:r>
      <w:r w:rsidRPr="00EE50C1">
        <w:t xml:space="preserve"> Disputed Costs, and that its request for 2017 and 2018 </w:t>
      </w:r>
      <w:r w:rsidR="00016B04" w:rsidRPr="00EE50C1">
        <w:t xml:space="preserve">Monitoring Plan </w:t>
      </w:r>
      <w:r w:rsidRPr="00EE50C1">
        <w:t xml:space="preserve">Disputed Costs are reasonable. </w:t>
      </w:r>
      <w:r w:rsidR="003C2049">
        <w:t>T</w:t>
      </w:r>
      <w:r w:rsidRPr="00EE50C1">
        <w:t xml:space="preserve">he 2017 and 2018 </w:t>
      </w:r>
      <w:r w:rsidR="00016B04" w:rsidRPr="00EE50C1">
        <w:t xml:space="preserve">Monitoring Plan </w:t>
      </w:r>
      <w:r w:rsidRPr="00EE50C1">
        <w:t xml:space="preserve">Disputed Costs and removal of the </w:t>
      </w:r>
      <w:r w:rsidR="003C2049">
        <w:t xml:space="preserve">$1.5 million </w:t>
      </w:r>
      <w:r w:rsidRPr="00EE50C1">
        <w:t>escrow payment are subject to true-up in future ECRC proceedings.</w:t>
      </w:r>
    </w:p>
    <w:p w:rsidR="00610867" w:rsidRDefault="00610867" w:rsidP="00610867">
      <w:pPr>
        <w:jc w:val="both"/>
      </w:pPr>
    </w:p>
    <w:p w:rsidR="00E802AF" w:rsidRPr="00EE50C1" w:rsidRDefault="00E802AF" w:rsidP="00610867">
      <w:pPr>
        <w:jc w:val="both"/>
      </w:pPr>
    </w:p>
    <w:p w:rsidR="00976145" w:rsidRPr="009D021A" w:rsidRDefault="00976145" w:rsidP="00976145">
      <w:pPr>
        <w:spacing w:after="240"/>
        <w:jc w:val="both"/>
        <w:rPr>
          <w:b/>
        </w:rPr>
      </w:pPr>
      <w:r w:rsidRPr="00E802AF">
        <w:rPr>
          <w:b/>
          <w:bCs/>
          <w:kern w:val="32"/>
        </w:rPr>
        <w:t xml:space="preserve"> </w:t>
      </w:r>
      <w:r w:rsidR="00BD12D6" w:rsidRPr="00BD12D6">
        <w:rPr>
          <w:b/>
          <w:bCs/>
          <w:kern w:val="32"/>
        </w:rPr>
        <w:t>III</w:t>
      </w:r>
      <w:r w:rsidR="00047D7A" w:rsidRPr="00BD12D6">
        <w:rPr>
          <w:b/>
          <w:bCs/>
          <w:kern w:val="32"/>
        </w:rPr>
        <w:t>.</w:t>
      </w:r>
      <w:r w:rsidR="009D021A" w:rsidRPr="00E802AF">
        <w:rPr>
          <w:b/>
          <w:bCs/>
          <w:kern w:val="32"/>
        </w:rPr>
        <w:t xml:space="preserve"> </w:t>
      </w:r>
      <w:r w:rsidR="009D021A" w:rsidRPr="00E802AF">
        <w:rPr>
          <w:b/>
          <w:bCs/>
          <w:kern w:val="32"/>
        </w:rPr>
        <w:tab/>
        <w:t xml:space="preserve">Costs Within Scope of FPL </w:t>
      </w:r>
      <w:r w:rsidRPr="00E802AF">
        <w:rPr>
          <w:b/>
        </w:rPr>
        <w:t xml:space="preserve">Turkey Point Cooling Canal Monitoring Plan </w:t>
      </w:r>
      <w:r w:rsidR="009D021A" w:rsidRPr="00E802AF">
        <w:rPr>
          <w:b/>
        </w:rPr>
        <w:t>P</w:t>
      </w:r>
      <w:r w:rsidRPr="00E802AF">
        <w:rPr>
          <w:b/>
        </w:rPr>
        <w:t>rojec</w:t>
      </w:r>
      <w:r w:rsidR="009D021A" w:rsidRPr="00E802AF">
        <w:rPr>
          <w:b/>
        </w:rPr>
        <w:t>t</w:t>
      </w:r>
    </w:p>
    <w:p w:rsidR="00976145" w:rsidRPr="00DC64F6" w:rsidRDefault="004017B8" w:rsidP="001C6BDB">
      <w:pPr>
        <w:keepNext/>
        <w:spacing w:after="240"/>
        <w:jc w:val="center"/>
        <w:outlineLvl w:val="1"/>
        <w:rPr>
          <w:b/>
          <w:bCs/>
          <w:u w:val="single"/>
        </w:rPr>
      </w:pPr>
      <w:r w:rsidRPr="00DC64F6">
        <w:rPr>
          <w:b/>
          <w:bCs/>
          <w:u w:val="single"/>
        </w:rPr>
        <w:t xml:space="preserve">A. </w:t>
      </w:r>
      <w:r w:rsidR="00252E2A" w:rsidRPr="00DC64F6">
        <w:rPr>
          <w:b/>
          <w:bCs/>
          <w:u w:val="single"/>
        </w:rPr>
        <w:t>Parties’ Arguments</w:t>
      </w:r>
    </w:p>
    <w:p w:rsidR="00252E2A" w:rsidRPr="001C6BDB" w:rsidRDefault="00DC64F6" w:rsidP="00E66B09">
      <w:pPr>
        <w:spacing w:after="240"/>
        <w:jc w:val="both"/>
        <w:rPr>
          <w:i/>
        </w:rPr>
      </w:pPr>
      <w:r>
        <w:rPr>
          <w:b/>
          <w:i/>
        </w:rPr>
        <w:tab/>
      </w:r>
      <w:r w:rsidR="00252E2A" w:rsidRPr="001C6BDB">
        <w:rPr>
          <w:i/>
        </w:rPr>
        <w:t>1. FPL</w:t>
      </w:r>
    </w:p>
    <w:p w:rsidR="00E66B09" w:rsidRPr="009D021A" w:rsidRDefault="00252E2A" w:rsidP="00E66B09">
      <w:pPr>
        <w:spacing w:after="240"/>
        <w:jc w:val="both"/>
      </w:pPr>
      <w:r>
        <w:tab/>
      </w:r>
      <w:r w:rsidR="00843FD4" w:rsidRPr="00843FD4">
        <w:t>FPL asserts that r</w:t>
      </w:r>
      <w:r w:rsidR="00E66B09" w:rsidRPr="00843FD4">
        <w:t xml:space="preserve">equirements for the Monitoring Plan project have progressed from monitoring to implementing corrective actions. At the time the Monitoring Plan project was approved for recovery through the ECRC in 2009, FPL made clear that such a progression was a potential outcome. </w:t>
      </w:r>
      <w:r w:rsidR="00843FD4" w:rsidRPr="00843FD4">
        <w:t xml:space="preserve">FPL argues that </w:t>
      </w:r>
      <w:r w:rsidR="00E66B09" w:rsidRPr="00843FD4">
        <w:t>the 2009 Order</w:t>
      </w:r>
      <w:r w:rsidR="00843FD4" w:rsidRPr="00843FD4">
        <w:t xml:space="preserve"> makes clear that </w:t>
      </w:r>
      <w:r w:rsidR="00E66B09" w:rsidRPr="00843FD4">
        <w:t>the scope of the project extended to historic impacts of the CCS generally – not just those related to the</w:t>
      </w:r>
      <w:r w:rsidR="00843FD4" w:rsidRPr="00843FD4">
        <w:t xml:space="preserve"> U</w:t>
      </w:r>
      <w:r w:rsidR="00E66B09" w:rsidRPr="00843FD4">
        <w:t xml:space="preserve">prate </w:t>
      </w:r>
      <w:r w:rsidR="00843FD4" w:rsidRPr="00843FD4">
        <w:t>P</w:t>
      </w:r>
      <w:r w:rsidR="00E66B09" w:rsidRPr="00843FD4">
        <w:t xml:space="preserve">roject. FPL </w:t>
      </w:r>
      <w:r w:rsidR="00843FD4" w:rsidRPr="00843FD4">
        <w:t xml:space="preserve">contends that it </w:t>
      </w:r>
      <w:r w:rsidR="00E66B09" w:rsidRPr="00843FD4">
        <w:t xml:space="preserve">provided testimony at key project expansion points and reflected incremental costs for the expansion of </w:t>
      </w:r>
      <w:r w:rsidR="00843FD4" w:rsidRPr="00843FD4">
        <w:t>its</w:t>
      </w:r>
      <w:r w:rsidR="00E66B09" w:rsidRPr="00843FD4">
        <w:t xml:space="preserve"> compliance activities each year in its ECRC filings.</w:t>
      </w:r>
    </w:p>
    <w:p w:rsidR="00976145" w:rsidRPr="00EE50C1" w:rsidRDefault="00976145" w:rsidP="00976145">
      <w:pPr>
        <w:spacing w:after="240"/>
        <w:jc w:val="both"/>
      </w:pPr>
      <w:r w:rsidRPr="00EE50C1">
        <w:tab/>
        <w:t xml:space="preserve">FPL asserts that in </w:t>
      </w:r>
      <w:r w:rsidR="00A12922">
        <w:t xml:space="preserve">our </w:t>
      </w:r>
      <w:r w:rsidRPr="00EE50C1">
        <w:t>Approval Order</w:t>
      </w:r>
      <w:r w:rsidR="00A12922">
        <w:t xml:space="preserve"> we </w:t>
      </w:r>
      <w:r w:rsidRPr="00EE50C1">
        <w:t xml:space="preserve">acknowledged the potential for </w:t>
      </w:r>
      <w:r w:rsidR="00A12922">
        <w:t xml:space="preserve">the </w:t>
      </w:r>
      <w:r w:rsidR="00016B04" w:rsidRPr="00EE50C1">
        <w:t>Monitoring Plan</w:t>
      </w:r>
      <w:r w:rsidR="00016B04" w:rsidRPr="009D021A">
        <w:t xml:space="preserve"> </w:t>
      </w:r>
      <w:r w:rsidR="00A12922" w:rsidRPr="009D021A">
        <w:t>project</w:t>
      </w:r>
      <w:r w:rsidR="00A12922">
        <w:t xml:space="preserve"> </w:t>
      </w:r>
      <w:r w:rsidRPr="00EE50C1">
        <w:t xml:space="preserve">to include corrective actions. FPL argues that its request for the Monitoring Program </w:t>
      </w:r>
      <w:r w:rsidRPr="00EE50C1">
        <w:lastRenderedPageBreak/>
        <w:t xml:space="preserve">included the Conditions of Certification IX and X which </w:t>
      </w:r>
      <w:r w:rsidR="00A12922">
        <w:t xml:space="preserve">contained </w:t>
      </w:r>
      <w:r w:rsidRPr="00EE50C1">
        <w:t>specific language that would require FPL to engage in corrective action.</w:t>
      </w:r>
      <w:r w:rsidR="00A12922">
        <w:t xml:space="preserve"> </w:t>
      </w:r>
      <w:r w:rsidRPr="00EE50C1">
        <w:t xml:space="preserve">FPL states that its monitoring activities in the Monitoring Program directly </w:t>
      </w:r>
      <w:r w:rsidR="00CA06C1">
        <w:t xml:space="preserve">produced </w:t>
      </w:r>
      <w:r w:rsidRPr="00EE50C1">
        <w:t xml:space="preserve">information </w:t>
      </w:r>
      <w:r w:rsidR="001F43A7">
        <w:t xml:space="preserve">used by its environmental regulators </w:t>
      </w:r>
      <w:r w:rsidR="008750E4">
        <w:t xml:space="preserve">to </w:t>
      </w:r>
      <w:r w:rsidR="008750E4" w:rsidRPr="00EE50C1">
        <w:t>determine</w:t>
      </w:r>
      <w:r w:rsidRPr="00EE50C1">
        <w:t xml:space="preserve"> th</w:t>
      </w:r>
      <w:r w:rsidR="001F43A7">
        <w:t>at</w:t>
      </w:r>
      <w:r w:rsidRPr="00EE50C1">
        <w:t xml:space="preserve"> additional actions were necessary</w:t>
      </w:r>
      <w:r w:rsidR="001F43A7">
        <w:t>.</w:t>
      </w:r>
      <w:r w:rsidRPr="00EE50C1">
        <w:t xml:space="preserve"> FPL </w:t>
      </w:r>
      <w:r w:rsidR="004941B3">
        <w:t xml:space="preserve">argues </w:t>
      </w:r>
      <w:r w:rsidRPr="00EE50C1">
        <w:t>that similar activities were app</w:t>
      </w:r>
      <w:r w:rsidR="00DC1ECA">
        <w:t>roved as part of the 2015 ECRC d</w:t>
      </w:r>
      <w:r w:rsidRPr="00EE50C1">
        <w:t xml:space="preserve">ocket, specifically water delivery projects and sediment management. FPL argues that while the Approval Order states that “the eligibility of ECRC recovery for any similar project will depend on individual circumstances and shall, therefore, be considered on a case-by-case basis,” this is a reference to a potential disagreement of the location of recovery, through the ECRC or through the Nuclear Cost Recovery Clause, not that costs would be unrecoverable in general. </w:t>
      </w:r>
    </w:p>
    <w:p w:rsidR="00252E2A" w:rsidRPr="001C6BDB" w:rsidRDefault="00DC64F6" w:rsidP="001F43A7">
      <w:pPr>
        <w:spacing w:after="240"/>
        <w:jc w:val="both"/>
      </w:pPr>
      <w:r>
        <w:rPr>
          <w:b/>
          <w:i/>
        </w:rPr>
        <w:tab/>
      </w:r>
      <w:r w:rsidR="00252E2A" w:rsidRPr="001C6BDB">
        <w:rPr>
          <w:i/>
        </w:rPr>
        <w:t>2. OPC/FIPUG</w:t>
      </w:r>
    </w:p>
    <w:p w:rsidR="001F43A7" w:rsidRDefault="00252E2A" w:rsidP="001F43A7">
      <w:pPr>
        <w:spacing w:after="240"/>
        <w:jc w:val="both"/>
      </w:pPr>
      <w:r>
        <w:tab/>
      </w:r>
      <w:r w:rsidR="00976145" w:rsidRPr="00EE50C1">
        <w:t xml:space="preserve">OPC/FIPUG contend that </w:t>
      </w:r>
      <w:r w:rsidR="00A12922">
        <w:t>our</w:t>
      </w:r>
      <w:r w:rsidR="00976145" w:rsidRPr="00EE50C1">
        <w:t xml:space="preserve"> </w:t>
      </w:r>
      <w:r w:rsidR="00A12922">
        <w:t xml:space="preserve">Approval </w:t>
      </w:r>
      <w:r w:rsidR="00976145" w:rsidRPr="00EE50C1">
        <w:t xml:space="preserve">Order was strictly limited to monitoring impacts associated with the Turkey Point Uprate Project. OPC/FIPUG argue that the scale of the </w:t>
      </w:r>
      <w:r w:rsidR="00016B04" w:rsidRPr="00EE50C1">
        <w:t>Monitoring Plan</w:t>
      </w:r>
      <w:r w:rsidR="00016B04">
        <w:t xml:space="preserve"> </w:t>
      </w:r>
      <w:r w:rsidR="00976145" w:rsidRPr="00EE50C1">
        <w:t xml:space="preserve">Disputed Costs compared to Monitoring Program costs requires review independent of that conducted </w:t>
      </w:r>
      <w:r w:rsidR="001F43A7">
        <w:t>for</w:t>
      </w:r>
      <w:r w:rsidR="00976145" w:rsidRPr="00EE50C1">
        <w:t xml:space="preserve"> the </w:t>
      </w:r>
      <w:r w:rsidR="00016B04" w:rsidRPr="00EE50C1">
        <w:t xml:space="preserve">Monitoring Plan </w:t>
      </w:r>
      <w:r w:rsidR="00976145" w:rsidRPr="00EE50C1">
        <w:t xml:space="preserve">in 2009. Further, OPC/FIPUG assert that the Company did not disclose the full scope of the remediation projects, and that when the Company agreed to the CA, CAA, and CO the environmental regulators did not approve specific </w:t>
      </w:r>
      <w:r w:rsidR="00976145" w:rsidRPr="00E66B09">
        <w:t xml:space="preserve">actions such as the RWS system. OPC/FIPUG argue that the </w:t>
      </w:r>
      <w:r w:rsidR="00F3777B" w:rsidRPr="00E66B09">
        <w:t xml:space="preserve">Monitoring Plan </w:t>
      </w:r>
      <w:r w:rsidR="00976145" w:rsidRPr="00E66B09">
        <w:t>Disputed Costs are not related to the Monitoring Program and inclusion in the Monitoring Program is an attempt to evade scrutiny and the Company’s burden of proof that costs are reasonable and prudent. OPC/FIPUG note that a change of scope has been considered a new activity in prior cases, and that therefore</w:t>
      </w:r>
      <w:r w:rsidR="00976145" w:rsidRPr="00EE50C1">
        <w:t xml:space="preserve"> the </w:t>
      </w:r>
      <w:r w:rsidR="00F3777B" w:rsidRPr="00EE50C1">
        <w:t xml:space="preserve">Monitoring Plan </w:t>
      </w:r>
      <w:r w:rsidR="00976145" w:rsidRPr="00EE50C1">
        <w:t>Disputed Costs constitute a new program, with a separate evaluation necessary for recover</w:t>
      </w:r>
      <w:r w:rsidR="00A12922">
        <w:t>y</w:t>
      </w:r>
      <w:r w:rsidR="00976145" w:rsidRPr="00EE50C1">
        <w:t>. OPC/FIPUG contend that the Approval Order</w:t>
      </w:r>
      <w:r w:rsidR="004941B3">
        <w:t xml:space="preserve"> </w:t>
      </w:r>
      <w:r w:rsidR="00976145" w:rsidRPr="00EE50C1">
        <w:t>d</w:t>
      </w:r>
      <w:r w:rsidR="00A12922">
        <w:t>id</w:t>
      </w:r>
      <w:r w:rsidR="00976145" w:rsidRPr="00EE50C1">
        <w:t xml:space="preserve"> not mention remediation, correction, or corrective action. OPC/FIPUG argue that the Monitoring Program should not include costs to halt and retract the hyper</w:t>
      </w:r>
      <w:r w:rsidR="00991425">
        <w:t>-</w:t>
      </w:r>
      <w:r w:rsidR="00976145" w:rsidRPr="00EE50C1">
        <w:t xml:space="preserve">saline plume as they are unassociated with the Turkey Point Uprate Project. OPC/FIPUG note that the Approval Order states that new projects would be considered on a case-by-case basis. </w:t>
      </w:r>
    </w:p>
    <w:p w:rsidR="00252E2A" w:rsidRPr="001C6BDB" w:rsidRDefault="00DC64F6" w:rsidP="00E66B09">
      <w:pPr>
        <w:spacing w:after="240"/>
        <w:jc w:val="both"/>
        <w:outlineLvl w:val="1"/>
        <w:rPr>
          <w:bCs/>
          <w:i/>
          <w:iCs/>
        </w:rPr>
      </w:pPr>
      <w:r>
        <w:rPr>
          <w:b/>
          <w:bCs/>
          <w:i/>
          <w:iCs/>
        </w:rPr>
        <w:tab/>
      </w:r>
      <w:r w:rsidR="00252E2A" w:rsidRPr="001C6BDB">
        <w:rPr>
          <w:bCs/>
          <w:i/>
          <w:iCs/>
        </w:rPr>
        <w:t>3. SACE</w:t>
      </w:r>
    </w:p>
    <w:p w:rsidR="00E66B09" w:rsidRDefault="00252E2A" w:rsidP="00E66B09">
      <w:pPr>
        <w:spacing w:after="240"/>
        <w:jc w:val="both"/>
        <w:outlineLvl w:val="1"/>
        <w:rPr>
          <w:bCs/>
          <w:color w:val="000000"/>
        </w:rPr>
      </w:pPr>
      <w:r>
        <w:rPr>
          <w:bCs/>
          <w:iCs/>
        </w:rPr>
        <w:tab/>
      </w:r>
      <w:r w:rsidR="00843FD4" w:rsidRPr="00843FD4">
        <w:rPr>
          <w:bCs/>
          <w:iCs/>
        </w:rPr>
        <w:t xml:space="preserve">SACE argues that </w:t>
      </w:r>
      <w:r w:rsidR="00E66B09" w:rsidRPr="00843FD4">
        <w:rPr>
          <w:bCs/>
          <w:color w:val="000000"/>
        </w:rPr>
        <w:t>FPL omitted material information on its exposure to significant environmental corrective action and costs related to its operation of the CCS.</w:t>
      </w:r>
      <w:r w:rsidR="008F376A">
        <w:rPr>
          <w:bCs/>
          <w:color w:val="000000"/>
        </w:rPr>
        <w:t xml:space="preserve"> </w:t>
      </w:r>
      <w:r w:rsidR="00843FD4" w:rsidRPr="00843FD4">
        <w:rPr>
          <w:bCs/>
          <w:color w:val="000000"/>
        </w:rPr>
        <w:t xml:space="preserve">SACE contends </w:t>
      </w:r>
      <w:r w:rsidR="008750E4" w:rsidRPr="00843FD4">
        <w:rPr>
          <w:bCs/>
          <w:color w:val="000000"/>
        </w:rPr>
        <w:t>that FPL</w:t>
      </w:r>
      <w:r w:rsidR="00E66B09" w:rsidRPr="00843FD4">
        <w:rPr>
          <w:bCs/>
          <w:color w:val="000000"/>
        </w:rPr>
        <w:t xml:space="preserve"> knew that the CCS-caused hyper-saline plume had pushed the saltwater interface well west of the boundary of the CCS in 2009</w:t>
      </w:r>
      <w:r w:rsidR="00843FD4" w:rsidRPr="00843FD4">
        <w:rPr>
          <w:bCs/>
          <w:color w:val="000000"/>
        </w:rPr>
        <w:t xml:space="preserve"> and that </w:t>
      </w:r>
      <w:r w:rsidR="00E66B09" w:rsidRPr="00843FD4">
        <w:rPr>
          <w:bCs/>
          <w:color w:val="000000"/>
        </w:rPr>
        <w:t xml:space="preserve">the Company’s consultants started developing remediation plans months after the Commission approved the project. </w:t>
      </w:r>
      <w:r w:rsidR="00843FD4" w:rsidRPr="00843FD4">
        <w:rPr>
          <w:bCs/>
          <w:color w:val="000000"/>
        </w:rPr>
        <w:t xml:space="preserve">SACE concludes </w:t>
      </w:r>
      <w:r w:rsidR="008750E4" w:rsidRPr="00843FD4">
        <w:rPr>
          <w:bCs/>
          <w:color w:val="000000"/>
        </w:rPr>
        <w:t>that recovery</w:t>
      </w:r>
      <w:r w:rsidR="00E66B09" w:rsidRPr="00843FD4">
        <w:rPr>
          <w:bCs/>
          <w:color w:val="000000"/>
        </w:rPr>
        <w:t xml:space="preserve"> of costs should not be allowed because FPL’s failure to mitigate the impact of CCS-caused hyper-saline plume before 2014 was imprudent.</w:t>
      </w:r>
    </w:p>
    <w:p w:rsidR="00976145" w:rsidRDefault="001F43A7" w:rsidP="001F43A7">
      <w:pPr>
        <w:spacing w:after="240"/>
        <w:jc w:val="both"/>
      </w:pPr>
      <w:r>
        <w:tab/>
      </w:r>
      <w:r w:rsidR="00976145" w:rsidRPr="00EE50C1">
        <w:t>SACE alleges that FPL was aware</w:t>
      </w:r>
      <w:r w:rsidR="00A12922">
        <w:t>,</w:t>
      </w:r>
      <w:r w:rsidR="00976145" w:rsidRPr="00EE50C1">
        <w:t xml:space="preserve"> or should have been aware</w:t>
      </w:r>
      <w:r w:rsidR="00A12922">
        <w:t>,</w:t>
      </w:r>
      <w:r w:rsidR="00976145" w:rsidRPr="00EE50C1">
        <w:t xml:space="preserve"> that measures would be required to address the hyper</w:t>
      </w:r>
      <w:r w:rsidR="00991425">
        <w:t>-</w:t>
      </w:r>
      <w:r w:rsidR="00976145" w:rsidRPr="00EE50C1">
        <w:t xml:space="preserve">saline plume prior to </w:t>
      </w:r>
      <w:r w:rsidR="002046A0">
        <w:t>our</w:t>
      </w:r>
      <w:r w:rsidR="00976145" w:rsidRPr="00EE50C1">
        <w:t xml:space="preserve"> approval of the </w:t>
      </w:r>
      <w:r w:rsidR="00F3777B" w:rsidRPr="00EE50C1">
        <w:t>Monitoring Plan</w:t>
      </w:r>
      <w:r w:rsidR="00976145" w:rsidRPr="00EE50C1">
        <w:t xml:space="preserve">. SACE argues that the Company failed to mention the potential magnitude of costs that would be associated with the CCS. SACE contends that </w:t>
      </w:r>
      <w:r w:rsidR="002046A0">
        <w:t>we</w:t>
      </w:r>
      <w:r w:rsidR="00976145" w:rsidRPr="00EE50C1">
        <w:t xml:space="preserve"> approved the</w:t>
      </w:r>
      <w:r w:rsidR="00F3777B" w:rsidRPr="00F3777B">
        <w:t xml:space="preserve"> </w:t>
      </w:r>
      <w:r w:rsidR="00F3777B" w:rsidRPr="00EE50C1">
        <w:t>Monitoring Plan</w:t>
      </w:r>
      <w:r w:rsidR="00976145" w:rsidRPr="00EE50C1">
        <w:t xml:space="preserve"> with incomplete information due to intentional omissions by the Company. </w:t>
      </w:r>
    </w:p>
    <w:p w:rsidR="00DC64F6" w:rsidRDefault="00252E2A" w:rsidP="001C6BDB">
      <w:pPr>
        <w:jc w:val="center"/>
      </w:pPr>
      <w:r w:rsidRPr="00DC64F6">
        <w:rPr>
          <w:b/>
          <w:u w:val="single"/>
        </w:rPr>
        <w:lastRenderedPageBreak/>
        <w:t>B. Analysis</w:t>
      </w:r>
    </w:p>
    <w:p w:rsidR="00DC64F6" w:rsidRDefault="00DC64F6" w:rsidP="00976145">
      <w:pPr>
        <w:jc w:val="both"/>
      </w:pPr>
    </w:p>
    <w:p w:rsidR="00976145" w:rsidRDefault="00DC64F6" w:rsidP="00976145">
      <w:pPr>
        <w:jc w:val="both"/>
        <w:rPr>
          <w:vertAlign w:val="superscript"/>
        </w:rPr>
      </w:pPr>
      <w:r>
        <w:tab/>
      </w:r>
      <w:r w:rsidR="00FC2621">
        <w:t>T</w:t>
      </w:r>
      <w:r w:rsidR="00FC2621" w:rsidRPr="00EE50C1">
        <w:t>he</w:t>
      </w:r>
      <w:r w:rsidR="00976145" w:rsidRPr="00EE50C1">
        <w:t xml:space="preserve"> </w:t>
      </w:r>
      <w:r w:rsidR="00F3777B" w:rsidRPr="00EE50C1">
        <w:t xml:space="preserve">Monitoring Plan </w:t>
      </w:r>
      <w:r w:rsidR="00976145" w:rsidRPr="00EE50C1">
        <w:t xml:space="preserve">Approval Order specifically included discussion of the potential for mitigation costs. The </w:t>
      </w:r>
      <w:r w:rsidR="00F3777B" w:rsidRPr="00EE50C1">
        <w:t xml:space="preserve">Monitoring Plan </w:t>
      </w:r>
      <w:r w:rsidR="00976145" w:rsidRPr="00EE50C1">
        <w:t>Approval Order included a stipulation between FPL, OPC, FIPUG, and the Federal Executive Agencies</w:t>
      </w:r>
      <w:r w:rsidR="004E33A9">
        <w:t xml:space="preserve"> (FEA)</w:t>
      </w:r>
      <w:r w:rsidR="00976145" w:rsidRPr="00EE50C1">
        <w:t xml:space="preserve">, in which OPC, FIPUG, and FEA took no position on the approval of the program. Specifically, the </w:t>
      </w:r>
      <w:r w:rsidR="00F3777B" w:rsidRPr="00EE50C1">
        <w:t xml:space="preserve">Monitoring Plan </w:t>
      </w:r>
      <w:r w:rsidR="00976145" w:rsidRPr="00EE50C1">
        <w:t>Approval Order states, in relevant part:</w:t>
      </w:r>
      <w:r w:rsidR="00976145" w:rsidRPr="00EE50C1">
        <w:rPr>
          <w:vertAlign w:val="superscript"/>
        </w:rPr>
        <w:t xml:space="preserve"> </w:t>
      </w:r>
    </w:p>
    <w:p w:rsidR="00843FD4" w:rsidRPr="00EE50C1" w:rsidRDefault="00843FD4" w:rsidP="00976145">
      <w:pPr>
        <w:jc w:val="both"/>
      </w:pPr>
    </w:p>
    <w:p w:rsidR="00594BC2" w:rsidRPr="00594BC2" w:rsidRDefault="00976145" w:rsidP="00594BC2">
      <w:pPr>
        <w:ind w:left="1440" w:right="1440"/>
        <w:jc w:val="both"/>
      </w:pPr>
      <w:r w:rsidRPr="00EE50C1">
        <w:t xml:space="preserve">These activities will be incremental to FPL’s current monitoring efforts. . . . The CCM Plan has been designed to focus on the objectives as they relate to the cooling canal system and the Uprate Project and those resources that may be affected adjacent to the cooling system. . . . [R]eports will be submitted every six months during the pre Uprate period and initially during the post Uprate period. . . . The potential additional measures that might be required include . . . the development and application of a 3-dimensional coupled surface and groundwater model to further assess impacts of the Uprate Project on ground and surface waters . . .  </w:t>
      </w:r>
      <w:r w:rsidRPr="00EE50C1">
        <w:rPr>
          <w:b/>
        </w:rPr>
        <w:t>[and] mitigation measures to offset such impacts of the Uprate Project necessary to comply with State and local water quality standards</w:t>
      </w:r>
      <w:r w:rsidRPr="00EE50C1">
        <w:t xml:space="preserve">. </w:t>
      </w:r>
      <w:r w:rsidR="00594BC2" w:rsidRPr="00594BC2">
        <w:rPr>
          <w:vertAlign w:val="superscript"/>
        </w:rPr>
        <w:footnoteReference w:id="16"/>
      </w:r>
    </w:p>
    <w:p w:rsidR="00976145" w:rsidRPr="00EE50C1" w:rsidRDefault="00976145" w:rsidP="00976145">
      <w:pPr>
        <w:ind w:right="1440"/>
        <w:jc w:val="both"/>
        <w:rPr>
          <w:b/>
        </w:rPr>
      </w:pPr>
    </w:p>
    <w:p w:rsidR="00976145" w:rsidRPr="00EE50C1" w:rsidRDefault="00976145" w:rsidP="00976145">
      <w:pPr>
        <w:ind w:right="1440"/>
        <w:jc w:val="both"/>
        <w:rPr>
          <w:i/>
        </w:rPr>
      </w:pPr>
      <w:r w:rsidRPr="00EE50C1">
        <w:rPr>
          <w:i/>
        </w:rPr>
        <w:t>(emphasis added)</w:t>
      </w:r>
    </w:p>
    <w:p w:rsidR="00976145" w:rsidRPr="00EE50C1" w:rsidRDefault="00976145" w:rsidP="00976145">
      <w:pPr>
        <w:jc w:val="both"/>
      </w:pPr>
    </w:p>
    <w:p w:rsidR="004E33A9" w:rsidRDefault="00976145" w:rsidP="00976145">
      <w:pPr>
        <w:spacing w:after="240"/>
        <w:jc w:val="both"/>
      </w:pPr>
      <w:r w:rsidRPr="00EE50C1">
        <w:tab/>
      </w:r>
      <w:r w:rsidR="004E33A9">
        <w:t>T</w:t>
      </w:r>
      <w:r w:rsidRPr="00EE50C1">
        <w:t xml:space="preserve">he bold portion of the text above is also a quotation from the Conditions of Certification, Section X, </w:t>
      </w:r>
      <w:r w:rsidR="00A64BC0">
        <w:t>S</w:t>
      </w:r>
      <w:r w:rsidRPr="00EE50C1">
        <w:t>ubsection D.2.</w:t>
      </w:r>
    </w:p>
    <w:p w:rsidR="00976145" w:rsidRPr="00EE50C1" w:rsidRDefault="00976145" w:rsidP="00976145">
      <w:pPr>
        <w:spacing w:after="240"/>
        <w:jc w:val="both"/>
      </w:pPr>
      <w:r w:rsidRPr="00EE50C1">
        <w:tab/>
      </w:r>
      <w:r w:rsidR="004E33A9">
        <w:t xml:space="preserve">The Intervenors </w:t>
      </w:r>
      <w:r w:rsidRPr="00EE50C1">
        <w:t xml:space="preserve">are correct </w:t>
      </w:r>
      <w:r w:rsidR="004E33A9">
        <w:t xml:space="preserve">in their argument that </w:t>
      </w:r>
      <w:r w:rsidRPr="00EE50C1">
        <w:t xml:space="preserve">the costs for O&amp;M and capital have increased for the Monitoring Plan. </w:t>
      </w:r>
      <w:r w:rsidR="004E33A9">
        <w:t xml:space="preserve">However, we find that </w:t>
      </w:r>
      <w:r w:rsidRPr="00EE50C1">
        <w:t xml:space="preserve">an increase in costs itself is not a change </w:t>
      </w:r>
      <w:r w:rsidR="00BD12D6">
        <w:t>in</w:t>
      </w:r>
      <w:r w:rsidRPr="00EE50C1">
        <w:t xml:space="preserve"> scope of a project. </w:t>
      </w:r>
      <w:r w:rsidR="004E33A9">
        <w:t xml:space="preserve">While </w:t>
      </w:r>
      <w:r w:rsidRPr="00EE50C1">
        <w:t>OPC</w:t>
      </w:r>
      <w:r w:rsidR="004E33A9">
        <w:t>/</w:t>
      </w:r>
      <w:r w:rsidRPr="00EE50C1">
        <w:t xml:space="preserve">FIPUG assert that the </w:t>
      </w:r>
      <w:r w:rsidR="00F3777B" w:rsidRPr="00EE50C1">
        <w:t xml:space="preserve">Monitoring Plan </w:t>
      </w:r>
      <w:r w:rsidRPr="00EE50C1">
        <w:t>is specifically referencing the Turkey Point Uprate Project and does not mention remediation, correction, or corrective action</w:t>
      </w:r>
      <w:r w:rsidR="004E33A9">
        <w:t xml:space="preserve">, our </w:t>
      </w:r>
      <w:r w:rsidRPr="00EE50C1">
        <w:t>Approval Order stated the following:</w:t>
      </w:r>
    </w:p>
    <w:p w:rsidR="00976145" w:rsidRPr="00EE50C1" w:rsidRDefault="00976145" w:rsidP="001D5F83">
      <w:pPr>
        <w:spacing w:after="240"/>
        <w:ind w:left="1440" w:right="1440"/>
        <w:jc w:val="both"/>
      </w:pPr>
      <w:r w:rsidRPr="00EE50C1">
        <w:t xml:space="preserve">Because the costs for the TP-CCMP Project are predominantly O&amp;M expenses that will continue for an uncertain duration, and because the water-quality issues the Project is being undertaken to address relate to operation of the Turkey Point </w:t>
      </w:r>
      <w:r w:rsidRPr="00EE50C1">
        <w:rPr>
          <w:b/>
        </w:rPr>
        <w:t>plant as a whole and not just the TP Nuclear Uprate</w:t>
      </w:r>
      <w:r w:rsidRPr="00EE50C1">
        <w:t>, FPL should be allowed to recover the costs associated with the TP-CCMP Project through the ECRC.</w:t>
      </w:r>
      <w:r w:rsidRPr="00EE50C1">
        <w:rPr>
          <w:i/>
          <w:vertAlign w:val="superscript"/>
        </w:rPr>
        <w:t xml:space="preserve"> </w:t>
      </w:r>
      <w:r w:rsidRPr="00594BC2">
        <w:rPr>
          <w:vertAlign w:val="superscript"/>
        </w:rPr>
        <w:footnoteReference w:id="17"/>
      </w:r>
    </w:p>
    <w:p w:rsidR="00976145" w:rsidRPr="00EE50C1" w:rsidRDefault="00976145" w:rsidP="00976145">
      <w:pPr>
        <w:spacing w:after="240"/>
        <w:ind w:right="720"/>
        <w:jc w:val="both"/>
        <w:rPr>
          <w:i/>
        </w:rPr>
      </w:pPr>
      <w:r w:rsidRPr="00EE50C1">
        <w:rPr>
          <w:i/>
        </w:rPr>
        <w:t>(emphasis added)</w:t>
      </w:r>
    </w:p>
    <w:p w:rsidR="00976145" w:rsidRPr="00EE50C1" w:rsidRDefault="00976145" w:rsidP="00976145">
      <w:pPr>
        <w:spacing w:after="240"/>
        <w:jc w:val="both"/>
      </w:pPr>
      <w:r w:rsidRPr="00EE50C1">
        <w:lastRenderedPageBreak/>
        <w:tab/>
      </w:r>
      <w:r w:rsidR="004E33A9">
        <w:t xml:space="preserve">Thus, by the </w:t>
      </w:r>
      <w:r w:rsidRPr="00EE50C1">
        <w:t xml:space="preserve">Approval Order </w:t>
      </w:r>
      <w:r w:rsidR="004E33A9">
        <w:t xml:space="preserve">we considered </w:t>
      </w:r>
      <w:r w:rsidRPr="00EE50C1">
        <w:t xml:space="preserve">the concern </w:t>
      </w:r>
      <w:r w:rsidR="004E33A9">
        <w:t xml:space="preserve">raised by </w:t>
      </w:r>
      <w:r w:rsidRPr="00EE50C1">
        <w:t>OPC</w:t>
      </w:r>
      <w:r w:rsidR="004E33A9">
        <w:t>/FIPUG</w:t>
      </w:r>
      <w:r w:rsidRPr="00EE50C1">
        <w:t xml:space="preserve"> and addressed the concern directly by providing that the Monitoring Program is inclusive of the plant as a whole. As stated by FPL’s Witness Sole, environmental compliance programs evolve based upon information that determines the next appropriate action. The costs FPL is requesting to recover are the result of the anticipated evolution of the original Monitoring Program. The Intervenors concerns regarding prudency of the </w:t>
      </w:r>
      <w:r w:rsidR="00F3777B" w:rsidRPr="00EE50C1">
        <w:t xml:space="preserve">Monitoring Plan </w:t>
      </w:r>
      <w:r w:rsidRPr="00EE50C1">
        <w:t xml:space="preserve">Disputed Costs are addressed </w:t>
      </w:r>
      <w:r w:rsidR="004E33A9">
        <w:t xml:space="preserve">at </w:t>
      </w:r>
      <w:r w:rsidR="00843FD4">
        <w:t xml:space="preserve">Section II </w:t>
      </w:r>
      <w:r w:rsidR="008F376A">
        <w:t>of this</w:t>
      </w:r>
      <w:r w:rsidR="00843FD4">
        <w:t xml:space="preserve"> Order</w:t>
      </w:r>
      <w:r w:rsidRPr="00EE50C1">
        <w:t>.</w:t>
      </w:r>
    </w:p>
    <w:p w:rsidR="00976145" w:rsidRPr="00DC64F6" w:rsidRDefault="00252E2A" w:rsidP="001C6BDB">
      <w:pPr>
        <w:jc w:val="center"/>
        <w:outlineLvl w:val="2"/>
        <w:rPr>
          <w:b/>
          <w:bCs/>
          <w:iCs/>
          <w:u w:val="single"/>
        </w:rPr>
      </w:pPr>
      <w:r w:rsidRPr="00DC64F6">
        <w:rPr>
          <w:b/>
          <w:bCs/>
          <w:iCs/>
          <w:u w:val="single"/>
        </w:rPr>
        <w:t>C.</w:t>
      </w:r>
      <w:r w:rsidR="004017B8" w:rsidRPr="00DC64F6">
        <w:rPr>
          <w:b/>
          <w:bCs/>
          <w:iCs/>
          <w:u w:val="single"/>
        </w:rPr>
        <w:t xml:space="preserve"> </w:t>
      </w:r>
      <w:r w:rsidR="00E66B09" w:rsidRPr="00DC64F6">
        <w:rPr>
          <w:b/>
          <w:bCs/>
          <w:iCs/>
          <w:u w:val="single"/>
        </w:rPr>
        <w:t>Decision</w:t>
      </w:r>
    </w:p>
    <w:p w:rsidR="002046A0" w:rsidRPr="00EE50C1" w:rsidRDefault="002046A0" w:rsidP="009D021A">
      <w:pPr>
        <w:jc w:val="center"/>
        <w:outlineLvl w:val="2"/>
        <w:rPr>
          <w:b/>
          <w:bCs/>
          <w:iCs/>
        </w:rPr>
      </w:pPr>
    </w:p>
    <w:p w:rsidR="00976145" w:rsidRDefault="00976145" w:rsidP="00610867">
      <w:pPr>
        <w:jc w:val="both"/>
      </w:pPr>
      <w:r w:rsidRPr="00EE50C1">
        <w:tab/>
        <w:t xml:space="preserve">Based on the </w:t>
      </w:r>
      <w:r w:rsidR="001F43A7">
        <w:t xml:space="preserve">record and the </w:t>
      </w:r>
      <w:r w:rsidRPr="00EE50C1">
        <w:t xml:space="preserve">Approval Order, </w:t>
      </w:r>
      <w:r w:rsidRPr="001D5F83">
        <w:t xml:space="preserve">the </w:t>
      </w:r>
      <w:r w:rsidR="00F3777B" w:rsidRPr="00EE50C1">
        <w:t>Monitoring Plan</w:t>
      </w:r>
      <w:r w:rsidR="00F3777B" w:rsidRPr="001D5F83">
        <w:t xml:space="preserve"> </w:t>
      </w:r>
      <w:r w:rsidRPr="001D5F83">
        <w:t>Disputed Cost</w:t>
      </w:r>
      <w:r w:rsidRPr="00EE50C1">
        <w:t>s sh</w:t>
      </w:r>
      <w:r w:rsidR="004E33A9">
        <w:t xml:space="preserve">all </w:t>
      </w:r>
      <w:r w:rsidRPr="00EE50C1">
        <w:t xml:space="preserve">be considered part of the existing Monitoring Program. The costs FPL is requesting to recover are the result of the </w:t>
      </w:r>
      <w:r w:rsidRPr="00986565">
        <w:t>anticipated</w:t>
      </w:r>
      <w:r w:rsidRPr="00EE50C1">
        <w:t xml:space="preserve"> evolution of the original Monitoring Program</w:t>
      </w:r>
      <w:r w:rsidR="004E33A9">
        <w:t>.</w:t>
      </w:r>
    </w:p>
    <w:p w:rsidR="00610867" w:rsidRDefault="00610867" w:rsidP="00610867">
      <w:pPr>
        <w:jc w:val="both"/>
      </w:pPr>
    </w:p>
    <w:p w:rsidR="00610867" w:rsidRDefault="00610867" w:rsidP="00610867">
      <w:pPr>
        <w:jc w:val="both"/>
      </w:pPr>
    </w:p>
    <w:p w:rsidR="004941B3" w:rsidRDefault="00BD12D6" w:rsidP="004941B3">
      <w:pPr>
        <w:spacing w:after="240"/>
        <w:jc w:val="both"/>
        <w:outlineLvl w:val="0"/>
      </w:pPr>
      <w:r w:rsidRPr="00BD12D6">
        <w:rPr>
          <w:b/>
          <w:bCs/>
          <w:kern w:val="32"/>
        </w:rPr>
        <w:t>IV</w:t>
      </w:r>
      <w:r w:rsidR="00047D7A" w:rsidRPr="00BD12D6">
        <w:rPr>
          <w:b/>
          <w:bCs/>
          <w:kern w:val="32"/>
        </w:rPr>
        <w:t>.</w:t>
      </w:r>
      <w:r w:rsidR="00047D7A">
        <w:rPr>
          <w:b/>
          <w:bCs/>
          <w:kern w:val="32"/>
        </w:rPr>
        <w:tab/>
      </w:r>
      <w:r w:rsidR="009D021A" w:rsidRPr="00E802AF">
        <w:rPr>
          <w:b/>
          <w:bCs/>
          <w:kern w:val="32"/>
        </w:rPr>
        <w:t xml:space="preserve"> </w:t>
      </w:r>
      <w:r w:rsidR="001D5F83" w:rsidRPr="00E802AF">
        <w:rPr>
          <w:b/>
          <w:bCs/>
          <w:kern w:val="32"/>
        </w:rPr>
        <w:t xml:space="preserve">Allocation of FPL’s Disputed Costs between </w:t>
      </w:r>
      <w:r w:rsidR="001D5F83" w:rsidRPr="00E802AF">
        <w:rPr>
          <w:b/>
        </w:rPr>
        <w:t>O&amp;M and Capital</w:t>
      </w:r>
      <w:r w:rsidR="001D5F83" w:rsidRPr="00E802AF">
        <w:t xml:space="preserve"> </w:t>
      </w:r>
    </w:p>
    <w:p w:rsidR="00294171" w:rsidRDefault="004017B8" w:rsidP="001C6BDB">
      <w:pPr>
        <w:spacing w:after="240"/>
        <w:jc w:val="center"/>
        <w:outlineLvl w:val="0"/>
        <w:rPr>
          <w:b/>
          <w:bCs/>
          <w:iCs/>
          <w:u w:val="single"/>
        </w:rPr>
      </w:pPr>
      <w:r w:rsidRPr="00DC64F6">
        <w:rPr>
          <w:b/>
          <w:bCs/>
          <w:iCs/>
          <w:u w:val="single"/>
        </w:rPr>
        <w:t xml:space="preserve">A. </w:t>
      </w:r>
      <w:r w:rsidR="00252E2A" w:rsidRPr="00DC64F6">
        <w:rPr>
          <w:b/>
          <w:bCs/>
          <w:iCs/>
          <w:u w:val="single"/>
        </w:rPr>
        <w:t>Parties’ Arguments</w:t>
      </w:r>
    </w:p>
    <w:p w:rsidR="00252E2A" w:rsidRPr="001C6BDB" w:rsidRDefault="00DC64F6" w:rsidP="00E66B09">
      <w:pPr>
        <w:spacing w:after="240"/>
        <w:jc w:val="both"/>
        <w:rPr>
          <w:i/>
        </w:rPr>
      </w:pPr>
      <w:r>
        <w:rPr>
          <w:b/>
          <w:i/>
        </w:rPr>
        <w:tab/>
      </w:r>
      <w:r w:rsidR="00252E2A" w:rsidRPr="001C6BDB">
        <w:rPr>
          <w:i/>
        </w:rPr>
        <w:t>1. FPL</w:t>
      </w:r>
    </w:p>
    <w:p w:rsidR="00E66B09" w:rsidRPr="00EE50C1" w:rsidRDefault="004941B3" w:rsidP="00E66B09">
      <w:pPr>
        <w:spacing w:after="240"/>
        <w:jc w:val="both"/>
      </w:pPr>
      <w:r>
        <w:tab/>
      </w:r>
      <w:r w:rsidR="00225C62" w:rsidRPr="00225C62">
        <w:t>FPL asserts that its</w:t>
      </w:r>
      <w:r w:rsidR="00E66B09" w:rsidRPr="00225C62">
        <w:t xml:space="preserve"> proposed allocation between O&amp;M and capital appropriately identifies the extent to which the RWS will achieve retraction of the hyper</w:t>
      </w:r>
      <w:r w:rsidR="00991425">
        <w:t>-</w:t>
      </w:r>
      <w:r w:rsidR="00E66B09" w:rsidRPr="00225C62">
        <w:t>saline plume back to the FPL CCS boundaries (O&amp;M) versus containment of the hyper</w:t>
      </w:r>
      <w:r w:rsidR="00991425">
        <w:t>-</w:t>
      </w:r>
      <w:r w:rsidR="00E66B09" w:rsidRPr="00225C62">
        <w:t xml:space="preserve">saline plume within the FPL CCS boundaries (capital). </w:t>
      </w:r>
      <w:r w:rsidR="00225C62" w:rsidRPr="00225C62">
        <w:t>FPL argues that c</w:t>
      </w:r>
      <w:r w:rsidR="00E66B09" w:rsidRPr="00225C62">
        <w:t>apitalization will appropriately spread the cost recovery of the asset over the expected life of the asset.</w:t>
      </w:r>
    </w:p>
    <w:p w:rsidR="000032CE" w:rsidRDefault="00976145" w:rsidP="000032CE">
      <w:pPr>
        <w:spacing w:after="240"/>
        <w:jc w:val="both"/>
      </w:pPr>
      <w:r w:rsidRPr="00EE50C1">
        <w:tab/>
        <w:t xml:space="preserve">FPL argues that the RWS must be allocated to both capital and O&amp;M because it serves both containment and remediation functions. FPL contends that it used a conservative approach based on Tetra Tech’s analysis of the salt mass removal to produce a 74 percent prevention (capital) and 26 percent remediation (O&amp;M) allocation of costs for the RWS project. FPL proposes that its recovery of capital for prevention or mitigation expenses is appropriate and similar to the treatment of emissions control equipment. FPL </w:t>
      </w:r>
      <w:r w:rsidR="0050760B">
        <w:t>asserts</w:t>
      </w:r>
      <w:r w:rsidRPr="00EE50C1">
        <w:t xml:space="preserve"> that a volumetric approach would result in a higher capital percentage. FPL argues that OPC’s Witness Panday’s suggested approach of revisiting the allocation periodically is inappropriate and not consistent with </w:t>
      </w:r>
      <w:r w:rsidR="00DC64F6">
        <w:t>generally accepted accounting principles (</w:t>
      </w:r>
      <w:r w:rsidR="00BD12D6">
        <w:t>GAAP</w:t>
      </w:r>
      <w:r w:rsidR="00DC64F6">
        <w:t>)</w:t>
      </w:r>
      <w:r w:rsidRPr="00EE50C1">
        <w:t>.</w:t>
      </w:r>
    </w:p>
    <w:p w:rsidR="00252E2A" w:rsidRPr="001C6BDB" w:rsidRDefault="00DC64F6" w:rsidP="00225C62">
      <w:pPr>
        <w:spacing w:after="240"/>
        <w:jc w:val="both"/>
        <w:outlineLvl w:val="1"/>
        <w:rPr>
          <w:bCs/>
          <w:i/>
          <w:iCs/>
        </w:rPr>
      </w:pPr>
      <w:r>
        <w:rPr>
          <w:b/>
          <w:bCs/>
          <w:i/>
          <w:iCs/>
        </w:rPr>
        <w:tab/>
      </w:r>
      <w:r w:rsidR="00252E2A" w:rsidRPr="001C6BDB">
        <w:rPr>
          <w:bCs/>
          <w:i/>
          <w:iCs/>
        </w:rPr>
        <w:t>2. OPC/FIPUG</w:t>
      </w:r>
    </w:p>
    <w:p w:rsidR="00E66B09" w:rsidRPr="00EE50C1" w:rsidRDefault="00252E2A" w:rsidP="00225C62">
      <w:pPr>
        <w:spacing w:after="240"/>
        <w:jc w:val="both"/>
        <w:outlineLvl w:val="1"/>
      </w:pPr>
      <w:r>
        <w:rPr>
          <w:b/>
          <w:bCs/>
          <w:i/>
          <w:iCs/>
        </w:rPr>
        <w:tab/>
      </w:r>
      <w:r w:rsidR="00225C62" w:rsidRPr="00225C62">
        <w:t>OPC/FIPUG assert that: t</w:t>
      </w:r>
      <w:r w:rsidR="00E66B09" w:rsidRPr="00225C62">
        <w:t>he costs of the Retraction Well System are remedial in nature and should not be imposed on FPL’s customers</w:t>
      </w:r>
      <w:r w:rsidR="00225C62" w:rsidRPr="00225C62">
        <w:t xml:space="preserve">; </w:t>
      </w:r>
      <w:r w:rsidR="00E66B09" w:rsidRPr="00225C62">
        <w:t>FPL’s management knew or should have known that its actions in operating the CCS were creating material harm to the Biscayne Aquifer</w:t>
      </w:r>
      <w:r w:rsidR="004941B3">
        <w:t>;</w:t>
      </w:r>
      <w:r w:rsidR="00225C62" w:rsidRPr="00225C62">
        <w:t xml:space="preserve"> and</w:t>
      </w:r>
      <w:r w:rsidR="004941B3">
        <w:t>,</w:t>
      </w:r>
      <w:r w:rsidR="00225C62" w:rsidRPr="00225C62">
        <w:t xml:space="preserve"> </w:t>
      </w:r>
      <w:r w:rsidR="00E66B09" w:rsidRPr="00225C62">
        <w:t>FPL’s actions and inaction over time placed the Company in violation of law</w:t>
      </w:r>
      <w:r w:rsidR="00225C62" w:rsidRPr="00225C62">
        <w:t xml:space="preserve"> </w:t>
      </w:r>
      <w:r w:rsidR="00E66B09" w:rsidRPr="00225C62">
        <w:t>and</w:t>
      </w:r>
      <w:r w:rsidR="00DC64F6">
        <w:t>,</w:t>
      </w:r>
      <w:r w:rsidR="00E66B09" w:rsidRPr="00225C62">
        <w:t xml:space="preserve"> therefore, constitute imprudence. </w:t>
      </w:r>
      <w:r w:rsidR="00225C62" w:rsidRPr="00225C62">
        <w:t>OPC/FI</w:t>
      </w:r>
      <w:r w:rsidR="008F376A">
        <w:t>P</w:t>
      </w:r>
      <w:r w:rsidR="00225C62" w:rsidRPr="00225C62">
        <w:t xml:space="preserve">UG conclude that </w:t>
      </w:r>
      <w:r w:rsidR="00E66B09" w:rsidRPr="00225C62">
        <w:t xml:space="preserve">the costs of addressing the consequences of </w:t>
      </w:r>
      <w:r w:rsidR="00225C62" w:rsidRPr="00225C62">
        <w:t>FPL’s</w:t>
      </w:r>
      <w:r w:rsidR="00E66B09" w:rsidRPr="00225C62">
        <w:t xml:space="preserve"> i</w:t>
      </w:r>
      <w:r w:rsidR="00225C62" w:rsidRPr="00225C62">
        <w:t>m</w:t>
      </w:r>
      <w:r w:rsidR="00E66B09" w:rsidRPr="00225C62">
        <w:t>prudence are not properly costs that should be borne by customers.</w:t>
      </w:r>
    </w:p>
    <w:p w:rsidR="0050760B" w:rsidRDefault="00225C62" w:rsidP="00976145">
      <w:pPr>
        <w:spacing w:after="240"/>
        <w:jc w:val="both"/>
      </w:pPr>
      <w:r>
        <w:lastRenderedPageBreak/>
        <w:tab/>
      </w:r>
      <w:r w:rsidR="00976145" w:rsidRPr="00EE50C1">
        <w:t xml:space="preserve">OPC/FIPUG argue that the consideration of allocation between expense and capital is not appropriate, as it relates to the Monitoring Program. OPC/FIPUG assert that FPL’s analysis shows that under the Company’s proposed remediation methods, FPL will be unable to complete its remediation efforts within the 10 year period required by the CO. OPC/FIPUG argue that FPL is ignoring the Company’s own models </w:t>
      </w:r>
      <w:r w:rsidR="0050760B">
        <w:t xml:space="preserve">with respect to </w:t>
      </w:r>
      <w:r w:rsidR="00976145" w:rsidRPr="00EE50C1">
        <w:t xml:space="preserve">the impacts of the CCS on the deepest portions of the </w:t>
      </w:r>
      <w:r w:rsidR="00991425">
        <w:t>a</w:t>
      </w:r>
      <w:r w:rsidR="00976145" w:rsidRPr="00EE50C1">
        <w:t>quifer.</w:t>
      </w:r>
    </w:p>
    <w:p w:rsidR="00976145" w:rsidRPr="00EE50C1" w:rsidRDefault="00976145" w:rsidP="00976145">
      <w:pPr>
        <w:spacing w:after="240"/>
        <w:jc w:val="both"/>
      </w:pPr>
      <w:r w:rsidRPr="00EE50C1">
        <w:tab/>
        <w:t xml:space="preserve">OPC/FIPUG contend that the proposed freshening activities </w:t>
      </w:r>
      <w:r w:rsidR="001F43A7">
        <w:t>are</w:t>
      </w:r>
      <w:r w:rsidRPr="00EE50C1">
        <w:t xml:space="preserve"> more effective than the RWS </w:t>
      </w:r>
      <w:r w:rsidR="001F43A7">
        <w:t>for</w:t>
      </w:r>
      <w:r w:rsidRPr="00EE50C1">
        <w:t xml:space="preserve"> remediation for the initial ten years of operation. OPC/FIPUG argue that freshening activities eliminate the need for containment except in the deepest layers of the </w:t>
      </w:r>
      <w:r w:rsidR="00991425">
        <w:t>a</w:t>
      </w:r>
      <w:r w:rsidRPr="00EE50C1">
        <w:t xml:space="preserve">quifer. OPC/FIPUG contend that the RWS will be ineffective because it will not adequately impact the </w:t>
      </w:r>
      <w:r w:rsidR="00991425">
        <w:t>a</w:t>
      </w:r>
      <w:r w:rsidRPr="00EE50C1">
        <w:t>quifer’s upper or lower layers, and that it is an imprudent activity that should be disallowed.</w:t>
      </w:r>
      <w:r w:rsidR="0050760B">
        <w:t xml:space="preserve"> </w:t>
      </w:r>
      <w:r w:rsidRPr="00EE50C1">
        <w:t xml:space="preserve">In contrast, OPC/FIPUG </w:t>
      </w:r>
      <w:r w:rsidR="00FC2621" w:rsidRPr="00EE50C1">
        <w:t>assert</w:t>
      </w:r>
      <w:r w:rsidRPr="00EE50C1">
        <w:t xml:space="preserve"> that FPL’s proposed RWS would serve a remediation function for the first ten years of its operation, followed by a potential ten years as a containment function.</w:t>
      </w:r>
    </w:p>
    <w:p w:rsidR="00976145" w:rsidRPr="00EE50C1" w:rsidRDefault="00976145" w:rsidP="0050760B">
      <w:pPr>
        <w:spacing w:after="240"/>
        <w:jc w:val="both"/>
        <w:rPr>
          <w:b/>
          <w:bCs/>
          <w:i/>
          <w:iCs/>
        </w:rPr>
      </w:pPr>
      <w:r w:rsidRPr="00EE50C1">
        <w:tab/>
        <w:t xml:space="preserve">OPC/FIPUG argue that compliance with the CO merely resolves FPL’s prior </w:t>
      </w:r>
      <w:r w:rsidR="00D01743">
        <w:t xml:space="preserve">DEP NOV; </w:t>
      </w:r>
      <w:r w:rsidRPr="00EE50C1">
        <w:t xml:space="preserve"> </w:t>
      </w:r>
      <w:r w:rsidR="00D01743">
        <w:t>t</w:t>
      </w:r>
      <w:r w:rsidR="0050760B">
        <w:t xml:space="preserve">herefore, </w:t>
      </w:r>
      <w:r w:rsidRPr="00EE50C1">
        <w:t xml:space="preserve">the containment phase of FPL’s remediation project should be considered a separate project from the remediation project, and not recoverable from customers during the first ten years of operation. </w:t>
      </w:r>
    </w:p>
    <w:p w:rsidR="005F5C6A" w:rsidRPr="001C6BDB" w:rsidRDefault="00DC64F6" w:rsidP="00E66B09">
      <w:pPr>
        <w:spacing w:after="240"/>
        <w:jc w:val="both"/>
        <w:rPr>
          <w:bCs/>
          <w:color w:val="000000"/>
        </w:rPr>
      </w:pPr>
      <w:r>
        <w:rPr>
          <w:b/>
          <w:bCs/>
          <w:i/>
          <w:color w:val="000000"/>
        </w:rPr>
        <w:tab/>
      </w:r>
      <w:r w:rsidR="005F5C6A" w:rsidRPr="001C6BDB">
        <w:rPr>
          <w:bCs/>
          <w:i/>
          <w:color w:val="000000"/>
        </w:rPr>
        <w:t>3. SACE</w:t>
      </w:r>
    </w:p>
    <w:p w:rsidR="00E66B09" w:rsidRPr="00EE50C1" w:rsidRDefault="005F5C6A" w:rsidP="00E66B09">
      <w:pPr>
        <w:spacing w:after="240"/>
        <w:jc w:val="both"/>
      </w:pPr>
      <w:r>
        <w:rPr>
          <w:bCs/>
          <w:color w:val="000000"/>
        </w:rPr>
        <w:tab/>
      </w:r>
      <w:r w:rsidR="00225C62" w:rsidRPr="00225C62">
        <w:rPr>
          <w:bCs/>
          <w:color w:val="000000"/>
        </w:rPr>
        <w:t xml:space="preserve">SACE asserts that </w:t>
      </w:r>
      <w:r w:rsidR="00E66B09" w:rsidRPr="00225C62">
        <w:rPr>
          <w:bCs/>
          <w:color w:val="000000"/>
        </w:rPr>
        <w:t>FPL shareholders should not be permitted to benefit from FPL’s mistakes</w:t>
      </w:r>
      <w:r w:rsidR="00225C62" w:rsidRPr="00225C62">
        <w:rPr>
          <w:bCs/>
          <w:color w:val="000000"/>
        </w:rPr>
        <w:t xml:space="preserve"> and that while </w:t>
      </w:r>
      <w:r w:rsidR="00E66B09" w:rsidRPr="00225C62">
        <w:rPr>
          <w:bCs/>
          <w:color w:val="000000"/>
        </w:rPr>
        <w:t>FPL argues that its Recovery Well System is preventative</w:t>
      </w:r>
      <w:r w:rsidR="00225C62" w:rsidRPr="00225C62">
        <w:rPr>
          <w:bCs/>
          <w:color w:val="000000"/>
        </w:rPr>
        <w:t xml:space="preserve">, </w:t>
      </w:r>
      <w:r w:rsidR="00E66B09" w:rsidRPr="00225C62">
        <w:rPr>
          <w:bCs/>
          <w:color w:val="000000"/>
        </w:rPr>
        <w:t xml:space="preserve">the requirements stemming from the Consent Order and Consent Agreement are not preventative. </w:t>
      </w:r>
      <w:r w:rsidR="00225C62" w:rsidRPr="00225C62">
        <w:rPr>
          <w:bCs/>
          <w:color w:val="000000"/>
        </w:rPr>
        <w:t>SACE argues that t</w:t>
      </w:r>
      <w:r w:rsidR="00E66B09" w:rsidRPr="00225C62">
        <w:rPr>
          <w:bCs/>
          <w:color w:val="000000"/>
        </w:rPr>
        <w:t xml:space="preserve">he term “abatement” as used in the Consent Order means to “minimize” </w:t>
      </w:r>
      <w:r w:rsidR="00225C62" w:rsidRPr="00225C62">
        <w:rPr>
          <w:bCs/>
          <w:color w:val="000000"/>
        </w:rPr>
        <w:t>and that the</w:t>
      </w:r>
      <w:r w:rsidR="00E66B09" w:rsidRPr="00225C62">
        <w:rPr>
          <w:bCs/>
          <w:color w:val="000000"/>
        </w:rPr>
        <w:t xml:space="preserve"> Recovery Well </w:t>
      </w:r>
      <w:r w:rsidR="008F376A" w:rsidRPr="00225C62">
        <w:rPr>
          <w:bCs/>
          <w:color w:val="000000"/>
        </w:rPr>
        <w:t>System that</w:t>
      </w:r>
      <w:r w:rsidR="00E66B09" w:rsidRPr="00225C62">
        <w:rPr>
          <w:bCs/>
          <w:color w:val="000000"/>
        </w:rPr>
        <w:t xml:space="preserve"> is intended to “remediate” will not prevent hyper-salinity in deeper layers from migrating westward. </w:t>
      </w:r>
      <w:r w:rsidR="00225C62" w:rsidRPr="00225C62">
        <w:rPr>
          <w:bCs/>
          <w:color w:val="000000"/>
        </w:rPr>
        <w:t xml:space="preserve">SACE contends that </w:t>
      </w:r>
      <w:r w:rsidR="00E66B09" w:rsidRPr="00225C62">
        <w:rPr>
          <w:bCs/>
          <w:color w:val="000000"/>
        </w:rPr>
        <w:t>GAAP accounting principles are permissive on allocating costs to capital investment</w:t>
      </w:r>
      <w:r w:rsidR="00225C62">
        <w:rPr>
          <w:bCs/>
          <w:color w:val="000000"/>
        </w:rPr>
        <w:t xml:space="preserve">. SACE concludes that </w:t>
      </w:r>
      <w:r w:rsidR="00E66B09" w:rsidRPr="00225C62">
        <w:rPr>
          <w:bCs/>
          <w:color w:val="000000"/>
        </w:rPr>
        <w:t>recovery of costs should not be allowed because FPL’s failure to mitigate the impact of CCS-caused hyper-saline plume before 2014 was imprudent.</w:t>
      </w:r>
    </w:p>
    <w:p w:rsidR="00976145" w:rsidRDefault="00E66B09" w:rsidP="00976145">
      <w:pPr>
        <w:spacing w:after="240"/>
        <w:jc w:val="both"/>
      </w:pPr>
      <w:r>
        <w:tab/>
      </w:r>
      <w:r w:rsidR="00976145" w:rsidRPr="00EE50C1">
        <w:t>SACE argues that</w:t>
      </w:r>
      <w:r w:rsidR="00D01743">
        <w:t xml:space="preserve"> we</w:t>
      </w:r>
      <w:r w:rsidR="00976145" w:rsidRPr="00EE50C1">
        <w:t xml:space="preserve"> cannot approve cost recovery if a utility is imprudent. SACE alleges </w:t>
      </w:r>
      <w:r w:rsidR="00D01743">
        <w:t xml:space="preserve">that </w:t>
      </w:r>
      <w:r w:rsidR="00976145" w:rsidRPr="00EE50C1">
        <w:t xml:space="preserve">FPL was imprudent in its actions and inactions with regards to the Turkey Point CCS that resulted in the </w:t>
      </w:r>
      <w:r w:rsidR="00F3777B" w:rsidRPr="00EE50C1">
        <w:t xml:space="preserve">Monitoring Plan </w:t>
      </w:r>
      <w:r w:rsidR="00976145" w:rsidRPr="00EE50C1">
        <w:t xml:space="preserve">Disputed Costs. SACE also asserts </w:t>
      </w:r>
      <w:r w:rsidR="00D01743">
        <w:t xml:space="preserve">that </w:t>
      </w:r>
      <w:r w:rsidR="00976145" w:rsidRPr="00EE50C1">
        <w:t xml:space="preserve">it is inappropriate for FPL to capitalize any of the </w:t>
      </w:r>
      <w:r w:rsidR="00F3777B" w:rsidRPr="00EE50C1">
        <w:t xml:space="preserve">Monitoring Plan </w:t>
      </w:r>
      <w:r w:rsidR="00F3777B">
        <w:t>D</w:t>
      </w:r>
      <w:r w:rsidR="00976145" w:rsidRPr="00EE50C1">
        <w:t xml:space="preserve">isputed Costs as </w:t>
      </w:r>
      <w:r w:rsidR="00D01743">
        <w:t xml:space="preserve">activities associated with these costs </w:t>
      </w:r>
      <w:r w:rsidR="00976145" w:rsidRPr="00EE50C1">
        <w:t>will fail to prevent or retract the hyper</w:t>
      </w:r>
      <w:r w:rsidR="00991425">
        <w:t>-</w:t>
      </w:r>
      <w:r w:rsidR="00976145" w:rsidRPr="00EE50C1">
        <w:t xml:space="preserve">saline plume in deeper layers of the aquifer. </w:t>
      </w:r>
    </w:p>
    <w:p w:rsidR="00DC64F6" w:rsidRPr="00DC64F6" w:rsidRDefault="00DC64F6" w:rsidP="001C6BDB">
      <w:pPr>
        <w:spacing w:after="240"/>
        <w:jc w:val="center"/>
        <w:rPr>
          <w:b/>
          <w:u w:val="single"/>
        </w:rPr>
      </w:pPr>
      <w:r w:rsidRPr="00DC64F6">
        <w:rPr>
          <w:b/>
          <w:u w:val="single"/>
        </w:rPr>
        <w:t>B. Analysis</w:t>
      </w:r>
    </w:p>
    <w:p w:rsidR="009415CE" w:rsidRDefault="00976145" w:rsidP="00294171">
      <w:pPr>
        <w:spacing w:after="240"/>
        <w:jc w:val="both"/>
        <w:rPr>
          <w:b/>
          <w:bCs/>
          <w:i/>
          <w:iCs/>
        </w:rPr>
      </w:pPr>
      <w:r w:rsidRPr="00EE50C1">
        <w:tab/>
      </w:r>
      <w:r w:rsidR="00D01743">
        <w:t>T</w:t>
      </w:r>
      <w:r w:rsidRPr="00EE50C1">
        <w:t xml:space="preserve">he RWS is required by the </w:t>
      </w:r>
      <w:r w:rsidR="001F4863">
        <w:t>F</w:t>
      </w:r>
      <w:r w:rsidR="00D01743">
        <w:t xml:space="preserve">DEP </w:t>
      </w:r>
      <w:r w:rsidRPr="00EE50C1">
        <w:t>CO</w:t>
      </w:r>
      <w:r w:rsidR="00D01743">
        <w:t>.</w:t>
      </w:r>
      <w:r w:rsidRPr="00EE50C1">
        <w:t xml:space="preserve"> FPL is also required by the CO to implement the Nutrient Management Plan and a Thermal Efficiency Plan, and construct an Upper Floridian Aquifer well system to provide freshening water. FPL asserts that all of these functions serve to decrease salinity entering the Biscayne Aquifer from the CCS and result in both remediation and containment. </w:t>
      </w:r>
      <w:r w:rsidR="00D01743">
        <w:t xml:space="preserve">FPL </w:t>
      </w:r>
      <w:r w:rsidRPr="00EE50C1">
        <w:t xml:space="preserve">Witness Ferguson testified that the RWS serves both a remediation and preventive function. Based on the record, </w:t>
      </w:r>
      <w:r w:rsidR="00D01743">
        <w:t xml:space="preserve">we find that </w:t>
      </w:r>
      <w:r w:rsidRPr="00EE50C1">
        <w:t xml:space="preserve">the RWS and related systems </w:t>
      </w:r>
      <w:r w:rsidRPr="00EE50C1">
        <w:lastRenderedPageBreak/>
        <w:t>simultaneously serve both the function of containment of the hyper</w:t>
      </w:r>
      <w:r w:rsidR="00991425">
        <w:t>-</w:t>
      </w:r>
      <w:r w:rsidRPr="00EE50C1">
        <w:t>saline plume within the boundaries of the CCS and retraction or remediation of the hyper</w:t>
      </w:r>
      <w:r w:rsidR="00991425">
        <w:t>-</w:t>
      </w:r>
      <w:r w:rsidRPr="00EE50C1">
        <w:t>saline plume outside the boundaries of the CCS. Therefore, costs associated with these functions sh</w:t>
      </w:r>
      <w:r w:rsidR="00D01743">
        <w:t>all</w:t>
      </w:r>
      <w:r w:rsidRPr="00EE50C1">
        <w:t xml:space="preserve"> be allocated to both containment and remediation activities. </w:t>
      </w:r>
      <w:r w:rsidRPr="00594BC2">
        <w:rPr>
          <w:bCs/>
        </w:rPr>
        <w:t xml:space="preserve">The CO also requires the completion of projects associated with Barge Canal and Turkey Point Canal. FPL </w:t>
      </w:r>
      <w:r w:rsidR="00D01743" w:rsidRPr="00594BC2">
        <w:rPr>
          <w:bCs/>
        </w:rPr>
        <w:t xml:space="preserve">has allocated </w:t>
      </w:r>
      <w:r w:rsidRPr="00594BC2">
        <w:rPr>
          <w:bCs/>
        </w:rPr>
        <w:t xml:space="preserve">these projects to containment. FPL </w:t>
      </w:r>
      <w:r w:rsidR="00FC2621" w:rsidRPr="00594BC2">
        <w:rPr>
          <w:bCs/>
        </w:rPr>
        <w:t>asserts</w:t>
      </w:r>
      <w:r w:rsidR="00D01743" w:rsidRPr="00594BC2">
        <w:rPr>
          <w:bCs/>
        </w:rPr>
        <w:t xml:space="preserve"> that </w:t>
      </w:r>
      <w:r w:rsidRPr="00594BC2">
        <w:t>all of the costs associated with the Barge Canal Turning Basin Back Fill should be capitalized because that project is preventive in nature</w:t>
      </w:r>
      <w:r w:rsidR="00594BC2">
        <w:t>.</w:t>
      </w:r>
      <w:r w:rsidRPr="00EE50C1">
        <w:t xml:space="preserve"> </w:t>
      </w:r>
    </w:p>
    <w:p w:rsidR="00976145" w:rsidRPr="001C6BDB" w:rsidRDefault="00DC64F6" w:rsidP="00600546">
      <w:pPr>
        <w:jc w:val="both"/>
        <w:outlineLvl w:val="2"/>
        <w:rPr>
          <w:bCs/>
          <w:i/>
          <w:iCs/>
        </w:rPr>
      </w:pPr>
      <w:r w:rsidRPr="001C6BDB">
        <w:rPr>
          <w:bCs/>
          <w:i/>
          <w:iCs/>
        </w:rPr>
        <w:tab/>
      </w:r>
      <w:r w:rsidR="004017B8" w:rsidRPr="001C6BDB">
        <w:rPr>
          <w:bCs/>
          <w:i/>
          <w:iCs/>
        </w:rPr>
        <w:t xml:space="preserve">1. </w:t>
      </w:r>
      <w:r w:rsidR="00976145" w:rsidRPr="001C6BDB">
        <w:rPr>
          <w:bCs/>
          <w:i/>
          <w:iCs/>
        </w:rPr>
        <w:t>Allocation Percentage</w:t>
      </w:r>
    </w:p>
    <w:p w:rsidR="00D01743" w:rsidRPr="00EE50C1" w:rsidRDefault="00D01743" w:rsidP="00976145">
      <w:pPr>
        <w:jc w:val="both"/>
        <w:outlineLvl w:val="2"/>
        <w:rPr>
          <w:b/>
          <w:bCs/>
          <w:iCs/>
        </w:rPr>
      </w:pPr>
    </w:p>
    <w:p w:rsidR="00976145" w:rsidRPr="00EE50C1" w:rsidRDefault="00976145" w:rsidP="00976145">
      <w:pPr>
        <w:spacing w:after="240"/>
        <w:jc w:val="both"/>
      </w:pPr>
      <w:r w:rsidRPr="00EE50C1">
        <w:tab/>
        <w:t xml:space="preserve">Both FPL’s Witness Ferguson and OPC’s Witness Panday rely upon a model of salt mass removal developed by Tetra Tech to determine the appropriate cost allocation between capital and O&amp;M. The Tetra Tech model attempts to determine the total mass of salt removed from various layers of the </w:t>
      </w:r>
      <w:r w:rsidR="00991425">
        <w:t>a</w:t>
      </w:r>
      <w:r w:rsidRPr="00EE50C1">
        <w:t xml:space="preserve">quifer, and allocates them to remediation or containment based on whether the salt mass originated inside or outside the boundaries of the CCS. The primary difference in analysis </w:t>
      </w:r>
      <w:r w:rsidR="000C7A7E">
        <w:t xml:space="preserve">between these witnesses </w:t>
      </w:r>
      <w:r w:rsidRPr="00EE50C1">
        <w:t>is the timeframe used. FPL Witness Ferguson asserts that the appropriate period to consider is 20</w:t>
      </w:r>
      <w:r w:rsidR="000C7A7E">
        <w:t xml:space="preserve"> years</w:t>
      </w:r>
      <w:r w:rsidRPr="00EE50C1">
        <w:t>, the expected life of the RWS</w:t>
      </w:r>
      <w:r w:rsidR="000C7A7E">
        <w:t>; this</w:t>
      </w:r>
      <w:r w:rsidRPr="00EE50C1">
        <w:t xml:space="preserve"> </w:t>
      </w:r>
      <w:r w:rsidR="000C7A7E">
        <w:t>results</w:t>
      </w:r>
      <w:r w:rsidRPr="00EE50C1">
        <w:t xml:space="preserve"> in a</w:t>
      </w:r>
      <w:r w:rsidR="00FC2621">
        <w:t xml:space="preserve"> </w:t>
      </w:r>
      <w:r w:rsidRPr="00EE50C1">
        <w:t xml:space="preserve">74 percent containment, </w:t>
      </w:r>
      <w:r w:rsidR="000C7A7E">
        <w:t xml:space="preserve">and a </w:t>
      </w:r>
      <w:r w:rsidRPr="00EE50C1">
        <w:t xml:space="preserve">26 percent remediation allocation. OPC Witness Panday argues instead for </w:t>
      </w:r>
      <w:r w:rsidR="000C7A7E">
        <w:t xml:space="preserve">11 </w:t>
      </w:r>
      <w:r w:rsidRPr="00EE50C1">
        <w:t>year</w:t>
      </w:r>
      <w:r w:rsidR="000C7A7E">
        <w:t>s</w:t>
      </w:r>
      <w:r w:rsidRPr="00EE50C1">
        <w:t>, when the hyper</w:t>
      </w:r>
      <w:r w:rsidR="00991425">
        <w:t>-</w:t>
      </w:r>
      <w:r w:rsidRPr="00EE50C1">
        <w:t>saline mass is anticipated to be fully removed</w:t>
      </w:r>
      <w:r w:rsidR="000C7A7E">
        <w:t xml:space="preserve">; this </w:t>
      </w:r>
      <w:r w:rsidRPr="00EE50C1">
        <w:t>result</w:t>
      </w:r>
      <w:r w:rsidR="000C7A7E">
        <w:t>s</w:t>
      </w:r>
      <w:r w:rsidRPr="00EE50C1">
        <w:t xml:space="preserve"> in a 65 percent containment, </w:t>
      </w:r>
      <w:r w:rsidR="000C7A7E">
        <w:t xml:space="preserve">and a </w:t>
      </w:r>
      <w:r w:rsidRPr="00EE50C1">
        <w:t xml:space="preserve">35 percent remediation allocation. FPL </w:t>
      </w:r>
      <w:r w:rsidR="000C7A7E">
        <w:t xml:space="preserve">argues that </w:t>
      </w:r>
      <w:r w:rsidRPr="00EE50C1">
        <w:t xml:space="preserve">the use of 11 years does not acknowledge that the RWS will be operating in a containment function for the remaining nine years of its operational life. </w:t>
      </w:r>
    </w:p>
    <w:p w:rsidR="00D01743" w:rsidRDefault="00976145" w:rsidP="00D01743">
      <w:pPr>
        <w:spacing w:after="240"/>
        <w:jc w:val="both"/>
      </w:pPr>
      <w:r w:rsidRPr="00EE50C1">
        <w:tab/>
        <w:t xml:space="preserve">OPC’s Witness Panday testified that the allocation between remediation and prevention should be reevaluated on a more regular basis. Witness Panday testified that this is particularly true after the first two years of operating the RWS. For the initial two-year period, </w:t>
      </w:r>
      <w:r w:rsidR="000C7A7E">
        <w:t>W</w:t>
      </w:r>
      <w:r w:rsidRPr="00EE50C1">
        <w:t>itness Panday proposes an alternative of using the first two years of the Tetra Tech model to allocate 41 percent to containment and 59 percent to remediation. OPC/FIPUG do not support the use of this methodology</w:t>
      </w:r>
      <w:r w:rsidR="000C7A7E">
        <w:t xml:space="preserve"> and instead advocate that </w:t>
      </w:r>
      <w:r w:rsidRPr="00EE50C1">
        <w:t xml:space="preserve">all activities </w:t>
      </w:r>
      <w:r w:rsidR="000C7A7E">
        <w:t xml:space="preserve">should be </w:t>
      </w:r>
      <w:r w:rsidRPr="00EE50C1">
        <w:t>categorized as either remediation or containment until the end of all remediation activities.</w:t>
      </w:r>
    </w:p>
    <w:p w:rsidR="00976145" w:rsidRPr="001C6BDB" w:rsidRDefault="00DC64F6" w:rsidP="00D01743">
      <w:pPr>
        <w:spacing w:after="240"/>
        <w:jc w:val="both"/>
        <w:rPr>
          <w:i/>
        </w:rPr>
      </w:pPr>
      <w:r>
        <w:rPr>
          <w:b/>
          <w:bCs/>
          <w:i/>
          <w:iCs/>
        </w:rPr>
        <w:tab/>
      </w:r>
      <w:r w:rsidR="004017B8" w:rsidRPr="001C6BDB">
        <w:rPr>
          <w:bCs/>
          <w:i/>
          <w:iCs/>
        </w:rPr>
        <w:t xml:space="preserve">2. </w:t>
      </w:r>
      <w:r w:rsidR="00976145" w:rsidRPr="001C6BDB">
        <w:rPr>
          <w:bCs/>
          <w:i/>
          <w:iCs/>
        </w:rPr>
        <w:t>Accounting Treatment</w:t>
      </w:r>
    </w:p>
    <w:p w:rsidR="00976145" w:rsidRPr="00EE50C1" w:rsidRDefault="00976145" w:rsidP="00976145">
      <w:pPr>
        <w:spacing w:after="240"/>
        <w:jc w:val="both"/>
      </w:pPr>
      <w:r w:rsidRPr="00EE50C1">
        <w:tab/>
        <w:t xml:space="preserve">Accounting Standards Codification 410-30-25-16 to 18 (ASC 410-30) </w:t>
      </w:r>
      <w:r w:rsidRPr="00EE50C1">
        <w:rPr>
          <w:bCs/>
        </w:rPr>
        <w:t xml:space="preserve">describes the conditions that must be met in order to capitalize all or a portion of the costs related to environmental contamination treatment. It </w:t>
      </w:r>
      <w:r w:rsidR="00861544">
        <w:rPr>
          <w:bCs/>
        </w:rPr>
        <w:t xml:space="preserve">provides that </w:t>
      </w:r>
      <w:r w:rsidRPr="00EE50C1">
        <w:rPr>
          <w:bCs/>
        </w:rPr>
        <w:t xml:space="preserve">the costs can be capitalized if “the costs mitigate or prevent environmental contamination that has yet to occur and that otherwise may result from the future operation or activities.” </w:t>
      </w:r>
      <w:r w:rsidRPr="00EE50C1">
        <w:t xml:space="preserve">FPL Witness Ferguson </w:t>
      </w:r>
      <w:r w:rsidR="00861544">
        <w:t>testified</w:t>
      </w:r>
      <w:r w:rsidRPr="00EE50C1">
        <w:t xml:space="preserve"> that costs related to mitigation or prevention can be capitalized</w:t>
      </w:r>
      <w:r w:rsidR="00986565">
        <w:t>,</w:t>
      </w:r>
      <w:r w:rsidRPr="00EE50C1">
        <w:t xml:space="preserve"> and costs related to remediation should be expensed. </w:t>
      </w:r>
    </w:p>
    <w:p w:rsidR="00976145" w:rsidRPr="00EE50C1" w:rsidRDefault="00976145" w:rsidP="00976145">
      <w:pPr>
        <w:spacing w:after="240"/>
        <w:jc w:val="both"/>
        <w:rPr>
          <w:bCs/>
        </w:rPr>
      </w:pPr>
      <w:r w:rsidRPr="00EE50C1">
        <w:rPr>
          <w:bCs/>
        </w:rPr>
        <w:tab/>
        <w:t xml:space="preserve">OPC’s Witness Panday did not testify as to whether the costs should be capitalized or expensed. However, Witness Panday did </w:t>
      </w:r>
      <w:r w:rsidR="00861544">
        <w:rPr>
          <w:bCs/>
        </w:rPr>
        <w:t>advocate</w:t>
      </w:r>
      <w:r w:rsidRPr="00EE50C1">
        <w:rPr>
          <w:bCs/>
        </w:rPr>
        <w:t xml:space="preserve"> reevaluating the allocation between expense and capitalization after two years of operation. FPL </w:t>
      </w:r>
      <w:r w:rsidR="00861544">
        <w:rPr>
          <w:bCs/>
        </w:rPr>
        <w:t xml:space="preserve">argued </w:t>
      </w:r>
      <w:r w:rsidRPr="00EE50C1">
        <w:rPr>
          <w:bCs/>
        </w:rPr>
        <w:t xml:space="preserve">that Witness Panday’s proposed treatment is not consistent with </w:t>
      </w:r>
      <w:r w:rsidRPr="00EE50C1">
        <w:t>GAAP</w:t>
      </w:r>
      <w:r w:rsidRPr="00EE50C1">
        <w:rPr>
          <w:bCs/>
        </w:rPr>
        <w:t xml:space="preserve"> or </w:t>
      </w:r>
      <w:r w:rsidR="00861544">
        <w:rPr>
          <w:bCs/>
        </w:rPr>
        <w:t xml:space="preserve">the </w:t>
      </w:r>
      <w:r w:rsidRPr="00EE50C1">
        <w:rPr>
          <w:bCs/>
        </w:rPr>
        <w:t xml:space="preserve">Federal Energy Regulatory Commission (FERC) Uniform System of Accounts (USOA) because </w:t>
      </w:r>
      <w:r w:rsidR="00861544">
        <w:rPr>
          <w:bCs/>
        </w:rPr>
        <w:t>Witness Panday</w:t>
      </w:r>
      <w:r w:rsidR="00F122D7">
        <w:rPr>
          <w:bCs/>
        </w:rPr>
        <w:t xml:space="preserve">’s approach </w:t>
      </w:r>
      <w:r w:rsidRPr="00EE50C1">
        <w:rPr>
          <w:bCs/>
        </w:rPr>
        <w:t xml:space="preserve">could change the </w:t>
      </w:r>
      <w:r w:rsidRPr="00EE50C1">
        <w:rPr>
          <w:bCs/>
        </w:rPr>
        <w:lastRenderedPageBreak/>
        <w:t xml:space="preserve">historical cost of an asset already placed into service. FERC USOA account 101 A specifically states: </w:t>
      </w:r>
    </w:p>
    <w:p w:rsidR="00976145" w:rsidRPr="00EE50C1" w:rsidRDefault="00976145" w:rsidP="00976145">
      <w:pPr>
        <w:spacing w:after="240"/>
        <w:ind w:left="720" w:right="720"/>
        <w:jc w:val="both"/>
        <w:rPr>
          <w:bCs/>
        </w:rPr>
      </w:pPr>
      <w:r w:rsidRPr="00EE50C1">
        <w:rPr>
          <w:bCs/>
        </w:rPr>
        <w:t>This account shall include the original cost of electric plant, included in accounts 301 to 399, prescribed here-in, owned and used by the utility in its electric utility operations, and having an expectation of life in service of more than one year from date of installation, including such property owned by the utility but held by nominees.</w:t>
      </w:r>
    </w:p>
    <w:p w:rsidR="00976145" w:rsidRPr="00EE50C1" w:rsidRDefault="00976145" w:rsidP="00976145">
      <w:pPr>
        <w:spacing w:after="240"/>
        <w:jc w:val="both"/>
        <w:rPr>
          <w:bCs/>
        </w:rPr>
      </w:pPr>
      <w:r w:rsidRPr="00EE50C1">
        <w:rPr>
          <w:bCs/>
        </w:rPr>
        <w:tab/>
      </w:r>
      <w:r w:rsidR="00F122D7">
        <w:rPr>
          <w:bCs/>
        </w:rPr>
        <w:t>N</w:t>
      </w:r>
      <w:r w:rsidRPr="00EE50C1">
        <w:rPr>
          <w:bCs/>
        </w:rPr>
        <w:t>either OPC Witness Panday nor any other Intervenor offered any alternative accounting treatment for this project that is consistent with GAAP.</w:t>
      </w:r>
    </w:p>
    <w:p w:rsidR="004941B3" w:rsidRDefault="00976145" w:rsidP="00976145">
      <w:pPr>
        <w:spacing w:after="240"/>
        <w:jc w:val="both"/>
        <w:rPr>
          <w:bCs/>
        </w:rPr>
      </w:pPr>
      <w:r w:rsidRPr="00EE50C1">
        <w:rPr>
          <w:bCs/>
        </w:rPr>
        <w:tab/>
      </w:r>
      <w:r w:rsidR="00F122D7">
        <w:rPr>
          <w:bCs/>
        </w:rPr>
        <w:t xml:space="preserve">Upon review, we find that the </w:t>
      </w:r>
      <w:r w:rsidRPr="00EE50C1">
        <w:t xml:space="preserve">accounting treatment </w:t>
      </w:r>
      <w:r w:rsidR="00F122D7">
        <w:t xml:space="preserve">proposed by FPL </w:t>
      </w:r>
      <w:r w:rsidRPr="00EE50C1">
        <w:t xml:space="preserve">for the costs associated with the RWS and </w:t>
      </w:r>
      <w:r w:rsidRPr="00EE50C1">
        <w:rPr>
          <w:bCs/>
        </w:rPr>
        <w:t>Barge Canal Turning Basin Back Fill Project</w:t>
      </w:r>
      <w:r w:rsidR="00F122D7">
        <w:rPr>
          <w:bCs/>
        </w:rPr>
        <w:t xml:space="preserve"> </w:t>
      </w:r>
      <w:r w:rsidRPr="00EE50C1">
        <w:rPr>
          <w:bCs/>
        </w:rPr>
        <w:t xml:space="preserve">is appropriate. </w:t>
      </w:r>
    </w:p>
    <w:p w:rsidR="004941B3" w:rsidRDefault="00DC64F6" w:rsidP="001C6BDB">
      <w:pPr>
        <w:spacing w:after="240"/>
        <w:jc w:val="center"/>
        <w:rPr>
          <w:u w:val="single"/>
        </w:rPr>
      </w:pPr>
      <w:r w:rsidRPr="00DC64F6">
        <w:rPr>
          <w:b/>
          <w:bCs/>
          <w:iCs/>
          <w:u w:val="single"/>
        </w:rPr>
        <w:t>C.</w:t>
      </w:r>
      <w:r w:rsidR="004017B8" w:rsidRPr="00DC64F6">
        <w:rPr>
          <w:b/>
          <w:bCs/>
          <w:iCs/>
          <w:u w:val="single"/>
        </w:rPr>
        <w:t xml:space="preserve"> </w:t>
      </w:r>
      <w:r w:rsidR="00E66B09" w:rsidRPr="00DC64F6">
        <w:rPr>
          <w:b/>
          <w:bCs/>
          <w:iCs/>
          <w:u w:val="single"/>
        </w:rPr>
        <w:t>Decision</w:t>
      </w:r>
    </w:p>
    <w:p w:rsidR="00976145" w:rsidRDefault="004941B3" w:rsidP="00976145">
      <w:pPr>
        <w:spacing w:after="240"/>
        <w:jc w:val="both"/>
      </w:pPr>
      <w:r>
        <w:tab/>
      </w:r>
      <w:r w:rsidR="00F122D7">
        <w:t xml:space="preserve">We find that </w:t>
      </w:r>
      <w:r w:rsidR="00976145" w:rsidRPr="00EE50C1">
        <w:t>the RWS and related activities perform both remediation and containment functions. Consistent with accounting principles, remediation expenses sh</w:t>
      </w:r>
      <w:r w:rsidR="00F122D7">
        <w:t>all</w:t>
      </w:r>
      <w:r w:rsidR="00976145" w:rsidRPr="00EE50C1">
        <w:t xml:space="preserve"> be recovered as O&amp;M, and containment sh</w:t>
      </w:r>
      <w:r w:rsidR="00F122D7">
        <w:t>all</w:t>
      </w:r>
      <w:r w:rsidR="00976145" w:rsidRPr="00EE50C1">
        <w:t xml:space="preserve"> be recovered as capital. Based on the record, </w:t>
      </w:r>
      <w:r w:rsidR="00F122D7">
        <w:t xml:space="preserve">we find that </w:t>
      </w:r>
      <w:r w:rsidR="00976145" w:rsidRPr="00EE50C1">
        <w:t>the Company’s proposed allocation of costs are appropriate, and sh</w:t>
      </w:r>
      <w:r w:rsidR="00F122D7">
        <w:t>all</w:t>
      </w:r>
      <w:r w:rsidR="00976145" w:rsidRPr="00EE50C1">
        <w:t xml:space="preserve"> be 74 percent containment (capital) and 26 percent remediation (O&amp;M) for the RWS and related activities.</w:t>
      </w:r>
    </w:p>
    <w:p w:rsidR="00294171" w:rsidRDefault="00294171" w:rsidP="00976145">
      <w:pPr>
        <w:spacing w:after="240"/>
        <w:jc w:val="both"/>
        <w:outlineLvl w:val="0"/>
        <w:rPr>
          <w:b/>
          <w:bCs/>
          <w:kern w:val="32"/>
        </w:rPr>
      </w:pPr>
    </w:p>
    <w:p w:rsidR="00976145" w:rsidRPr="00EC725E" w:rsidRDefault="00BD12D6" w:rsidP="003D6F99">
      <w:pPr>
        <w:spacing w:after="240"/>
        <w:jc w:val="both"/>
        <w:outlineLvl w:val="0"/>
        <w:rPr>
          <w:b/>
        </w:rPr>
      </w:pPr>
      <w:r>
        <w:rPr>
          <w:b/>
          <w:bCs/>
          <w:kern w:val="32"/>
        </w:rPr>
        <w:t>V.</w:t>
      </w:r>
      <w:r w:rsidR="00976145" w:rsidRPr="00E802AF">
        <w:rPr>
          <w:b/>
        </w:rPr>
        <w:tab/>
      </w:r>
      <w:r w:rsidR="00EC725E" w:rsidRPr="00E802AF">
        <w:rPr>
          <w:b/>
        </w:rPr>
        <w:t xml:space="preserve">Allocation of FPL Disputed Costs </w:t>
      </w:r>
      <w:r w:rsidR="00976145" w:rsidRPr="00E802AF">
        <w:rPr>
          <w:b/>
        </w:rPr>
        <w:t xml:space="preserve">to </w:t>
      </w:r>
      <w:r w:rsidR="00FC2621" w:rsidRPr="00E802AF">
        <w:rPr>
          <w:b/>
        </w:rPr>
        <w:t>Rate</w:t>
      </w:r>
      <w:r w:rsidR="00976145" w:rsidRPr="00E802AF">
        <w:rPr>
          <w:b/>
        </w:rPr>
        <w:t xml:space="preserve"> </w:t>
      </w:r>
      <w:r w:rsidR="00EC725E" w:rsidRPr="00E802AF">
        <w:rPr>
          <w:b/>
        </w:rPr>
        <w:t>C</w:t>
      </w:r>
      <w:r w:rsidR="00976145" w:rsidRPr="00E802AF">
        <w:rPr>
          <w:b/>
        </w:rPr>
        <w:t>lasses</w:t>
      </w:r>
    </w:p>
    <w:p w:rsidR="00976145" w:rsidRPr="00DC64F6" w:rsidRDefault="004017B8" w:rsidP="001C6BDB">
      <w:pPr>
        <w:keepNext/>
        <w:jc w:val="center"/>
        <w:outlineLvl w:val="1"/>
        <w:rPr>
          <w:b/>
          <w:bCs/>
          <w:iCs/>
          <w:u w:val="single"/>
        </w:rPr>
      </w:pPr>
      <w:r w:rsidRPr="00DC64F6">
        <w:rPr>
          <w:b/>
          <w:bCs/>
          <w:iCs/>
          <w:u w:val="single"/>
        </w:rPr>
        <w:t xml:space="preserve">A. </w:t>
      </w:r>
      <w:r w:rsidR="00DC64F6" w:rsidRPr="00DC64F6">
        <w:rPr>
          <w:b/>
          <w:bCs/>
          <w:iCs/>
          <w:u w:val="single"/>
        </w:rPr>
        <w:t>Parties’ Arguments</w:t>
      </w:r>
    </w:p>
    <w:p w:rsidR="00CE74F6" w:rsidRPr="00EE50C1" w:rsidRDefault="00CE74F6" w:rsidP="00976145">
      <w:pPr>
        <w:keepNext/>
        <w:jc w:val="center"/>
        <w:outlineLvl w:val="2"/>
        <w:rPr>
          <w:b/>
          <w:bCs/>
          <w:iCs/>
        </w:rPr>
      </w:pPr>
    </w:p>
    <w:p w:rsidR="00DC64F6" w:rsidRPr="001C6BDB" w:rsidRDefault="00DC64F6" w:rsidP="00225C62">
      <w:pPr>
        <w:spacing w:after="240"/>
        <w:jc w:val="both"/>
        <w:rPr>
          <w:i/>
        </w:rPr>
      </w:pPr>
      <w:r w:rsidRPr="001C6BDB">
        <w:rPr>
          <w:i/>
        </w:rPr>
        <w:tab/>
        <w:t>1. FPL</w:t>
      </w:r>
    </w:p>
    <w:p w:rsidR="00225C62" w:rsidRPr="00EE50C1" w:rsidRDefault="00DC64F6" w:rsidP="00225C62">
      <w:pPr>
        <w:spacing w:after="240"/>
        <w:jc w:val="both"/>
      </w:pPr>
      <w:r>
        <w:tab/>
      </w:r>
      <w:r w:rsidR="00976145" w:rsidRPr="00EE50C1">
        <w:t xml:space="preserve">FPL argues that </w:t>
      </w:r>
      <w:r w:rsidR="00CE74F6">
        <w:t>we</w:t>
      </w:r>
      <w:r w:rsidR="00976145" w:rsidRPr="00EE50C1">
        <w:t xml:space="preserve"> established the appropriate allocation methodology for the </w:t>
      </w:r>
      <w:r w:rsidR="00F3777B" w:rsidRPr="00EE50C1">
        <w:t xml:space="preserve">Monitoring Plan </w:t>
      </w:r>
      <w:r w:rsidR="00CE74F6">
        <w:t xml:space="preserve">by </w:t>
      </w:r>
      <w:r w:rsidR="00976145" w:rsidRPr="00EE50C1">
        <w:t>Order No. PSC-09-0759-FOF-EI</w:t>
      </w:r>
      <w:r w:rsidR="00225C62">
        <w:t xml:space="preserve"> and that </w:t>
      </w:r>
      <w:r w:rsidR="00225C62" w:rsidRPr="00225C62">
        <w:t>costs associated with the 2015 CA, 2016 CO, and 2016 CAA should be allocated in the same manner as all other environmental cost recovery amounts approved for recovery under the Monitoring Plan project.</w:t>
      </w:r>
    </w:p>
    <w:p w:rsidR="00DC64F6" w:rsidRPr="001C6BDB" w:rsidRDefault="00DC64F6" w:rsidP="00976145">
      <w:pPr>
        <w:spacing w:after="240"/>
        <w:jc w:val="both"/>
        <w:rPr>
          <w:i/>
        </w:rPr>
      </w:pPr>
      <w:r>
        <w:rPr>
          <w:b/>
          <w:i/>
        </w:rPr>
        <w:tab/>
      </w:r>
      <w:r w:rsidRPr="001C6BDB">
        <w:rPr>
          <w:i/>
        </w:rPr>
        <w:t>2. OPC/FIPUG</w:t>
      </w:r>
    </w:p>
    <w:p w:rsidR="00976145" w:rsidRDefault="00DC64F6" w:rsidP="00976145">
      <w:pPr>
        <w:spacing w:after="240"/>
        <w:jc w:val="both"/>
      </w:pPr>
      <w:r>
        <w:tab/>
      </w:r>
      <w:r w:rsidR="00BD12D6">
        <w:t xml:space="preserve"> </w:t>
      </w:r>
      <w:r w:rsidR="00976145" w:rsidRPr="00EE50C1">
        <w:t>OPC</w:t>
      </w:r>
      <w:r w:rsidR="002F74F4">
        <w:t>/</w:t>
      </w:r>
      <w:r w:rsidR="00976145" w:rsidRPr="00EE50C1">
        <w:t>FIPUG did not present arguments regarding this issue.</w:t>
      </w:r>
    </w:p>
    <w:p w:rsidR="00DC64F6" w:rsidRPr="001C6BDB" w:rsidRDefault="00DC64F6" w:rsidP="00E66B09">
      <w:pPr>
        <w:spacing w:after="240"/>
        <w:jc w:val="both"/>
        <w:outlineLvl w:val="1"/>
        <w:rPr>
          <w:bCs/>
          <w:i/>
          <w:iCs/>
        </w:rPr>
      </w:pPr>
      <w:r w:rsidRPr="001C6BDB">
        <w:rPr>
          <w:bCs/>
          <w:i/>
          <w:iCs/>
        </w:rPr>
        <w:tab/>
        <w:t>3. SACE</w:t>
      </w:r>
    </w:p>
    <w:p w:rsidR="00976145" w:rsidRDefault="00225C62" w:rsidP="0023182A">
      <w:pPr>
        <w:jc w:val="both"/>
        <w:outlineLvl w:val="1"/>
      </w:pPr>
      <w:r w:rsidRPr="00294171">
        <w:rPr>
          <w:bCs/>
          <w:iCs/>
        </w:rPr>
        <w:tab/>
        <w:t>SACE asserts that:</w:t>
      </w:r>
      <w:r w:rsidR="003D6F99">
        <w:rPr>
          <w:bCs/>
          <w:iCs/>
        </w:rPr>
        <w:t xml:space="preserve"> </w:t>
      </w:r>
      <w:r w:rsidR="00610867">
        <w:rPr>
          <w:bCs/>
          <w:color w:val="000000"/>
        </w:rPr>
        <w:t>n</w:t>
      </w:r>
      <w:r w:rsidR="00E66B09" w:rsidRPr="00294171">
        <w:rPr>
          <w:bCs/>
          <w:color w:val="000000"/>
        </w:rPr>
        <w:t>o customer, regardless of class, should have to pay for FPL’s mistakes</w:t>
      </w:r>
      <w:r w:rsidR="00294171" w:rsidRPr="00294171">
        <w:rPr>
          <w:bCs/>
          <w:color w:val="000000"/>
        </w:rPr>
        <w:t xml:space="preserve">; </w:t>
      </w:r>
      <w:r w:rsidR="00E66B09" w:rsidRPr="00294171">
        <w:t>FPL knew or should have known that the CCS was causing an underground hyper-saline contamination plume spreading from its Turkey Point plant property by 1978, and certainly by 1992 at the latest</w:t>
      </w:r>
      <w:r w:rsidR="00294171" w:rsidRPr="00294171">
        <w:t xml:space="preserve">; </w:t>
      </w:r>
      <w:r w:rsidR="00DC64F6">
        <w:t xml:space="preserve">and </w:t>
      </w:r>
      <w:r w:rsidR="00294171" w:rsidRPr="00294171">
        <w:t>FPL</w:t>
      </w:r>
      <w:r w:rsidR="00E66B09" w:rsidRPr="00294171">
        <w:t xml:space="preserve"> failed to take any action to mitigate the impacts of the CCS on the Biscayne Aquifer (a G-II water source) until 2014. </w:t>
      </w:r>
      <w:r w:rsidR="00294171" w:rsidRPr="00294171">
        <w:t xml:space="preserve"> SACE concludes that a</w:t>
      </w:r>
      <w:r w:rsidR="00E66B09" w:rsidRPr="00294171">
        <w:t xml:space="preserve"> prudent </w:t>
      </w:r>
      <w:r w:rsidR="00E66B09" w:rsidRPr="00294171">
        <w:lastRenderedPageBreak/>
        <w:t>utility manager would have acted promptly and proactively well before 2014 to mitigate and</w:t>
      </w:r>
      <w:r w:rsidR="004941B3">
        <w:t>/</w:t>
      </w:r>
      <w:r w:rsidR="00E66B09" w:rsidRPr="00294171">
        <w:t>or remediate the growing hyper-salinity contamination plume outside the CCS boundary.</w:t>
      </w:r>
      <w:r w:rsidR="00294171">
        <w:t xml:space="preserve"> </w:t>
      </w:r>
      <w:r w:rsidR="00976145" w:rsidRPr="00EE50C1">
        <w:t xml:space="preserve">SACE argues that </w:t>
      </w:r>
      <w:r w:rsidR="002F74F4">
        <w:t>we</w:t>
      </w:r>
      <w:r w:rsidR="00976145" w:rsidRPr="00EE50C1">
        <w:t xml:space="preserve"> cannot approve cost recovery if a utility is imprudent</w:t>
      </w:r>
      <w:r w:rsidR="00294171">
        <w:t xml:space="preserve"> and that </w:t>
      </w:r>
      <w:r w:rsidR="00976145" w:rsidRPr="00EE50C1">
        <w:t>the Company was imprudent in its actions and inactions regard</w:t>
      </w:r>
      <w:r w:rsidR="002F74F4">
        <w:t xml:space="preserve">ing </w:t>
      </w:r>
      <w:r w:rsidR="00976145" w:rsidRPr="00EE50C1">
        <w:t xml:space="preserve">the Turkey Point CCS </w:t>
      </w:r>
      <w:r w:rsidR="002F74F4">
        <w:t>r</w:t>
      </w:r>
      <w:r w:rsidR="00976145" w:rsidRPr="00EE50C1">
        <w:t>esult</w:t>
      </w:r>
      <w:r w:rsidR="002F74F4">
        <w:t>ing</w:t>
      </w:r>
      <w:r w:rsidR="00976145" w:rsidRPr="00EE50C1">
        <w:t xml:space="preserve"> in the </w:t>
      </w:r>
      <w:r w:rsidR="00F3777B" w:rsidRPr="00EE50C1">
        <w:t xml:space="preserve">Monitoring Plan </w:t>
      </w:r>
      <w:r w:rsidR="00976145" w:rsidRPr="00EE50C1">
        <w:t xml:space="preserve">Disputed Costs. </w:t>
      </w:r>
    </w:p>
    <w:p w:rsidR="00294171" w:rsidRPr="00EE50C1" w:rsidRDefault="00294171" w:rsidP="0023182A">
      <w:pPr>
        <w:jc w:val="both"/>
      </w:pPr>
    </w:p>
    <w:p w:rsidR="00DC64F6" w:rsidRPr="00DC64F6" w:rsidRDefault="00DC64F6" w:rsidP="001C6BDB">
      <w:pPr>
        <w:spacing w:after="240"/>
        <w:jc w:val="center"/>
        <w:rPr>
          <w:b/>
          <w:u w:val="single"/>
        </w:rPr>
      </w:pPr>
      <w:r w:rsidRPr="00DC64F6">
        <w:rPr>
          <w:b/>
          <w:u w:val="single"/>
        </w:rPr>
        <w:t>B. Analysis</w:t>
      </w:r>
    </w:p>
    <w:p w:rsidR="00976145" w:rsidRPr="00EE50C1" w:rsidRDefault="00976145" w:rsidP="00976145">
      <w:pPr>
        <w:spacing w:after="240"/>
        <w:jc w:val="both"/>
      </w:pPr>
      <w:r w:rsidRPr="00EE50C1">
        <w:tab/>
      </w:r>
      <w:r w:rsidR="00CE74F6">
        <w:t xml:space="preserve">By </w:t>
      </w:r>
      <w:r w:rsidRPr="00EE50C1">
        <w:t>Order No. PSC-09-0759-FOF-EI</w:t>
      </w:r>
      <w:r w:rsidR="00CE74F6">
        <w:t xml:space="preserve">, we </w:t>
      </w:r>
      <w:r w:rsidRPr="00EE50C1">
        <w:t>approv</w:t>
      </w:r>
      <w:r w:rsidR="00CE74F6">
        <w:t>ed</w:t>
      </w:r>
      <w:r w:rsidRPr="00EE50C1">
        <w:t xml:space="preserve"> the </w:t>
      </w:r>
      <w:r w:rsidR="00F3777B" w:rsidRPr="00EE50C1">
        <w:t xml:space="preserve">Monitoring Plan </w:t>
      </w:r>
      <w:r w:rsidR="00CE74F6">
        <w:t xml:space="preserve">and how costs associated with the </w:t>
      </w:r>
      <w:r w:rsidR="006E7056" w:rsidRPr="00EE50C1">
        <w:t>Monitoring Plan</w:t>
      </w:r>
      <w:r w:rsidR="006E7056">
        <w:t xml:space="preserve"> </w:t>
      </w:r>
      <w:r w:rsidR="00CE74F6">
        <w:t>sh</w:t>
      </w:r>
      <w:r w:rsidR="00B03867">
        <w:t>all</w:t>
      </w:r>
      <w:r w:rsidR="00CE74F6">
        <w:t xml:space="preserve"> be allocated to rate classes</w:t>
      </w:r>
      <w:r w:rsidRPr="00EE50C1">
        <w:t>. It states:</w:t>
      </w:r>
    </w:p>
    <w:p w:rsidR="00976145" w:rsidRPr="00EE50C1" w:rsidRDefault="00CE74F6" w:rsidP="00CE74F6">
      <w:pPr>
        <w:ind w:left="720" w:right="720"/>
        <w:jc w:val="both"/>
      </w:pPr>
      <w:r>
        <w:rPr>
          <w:bCs/>
        </w:rPr>
        <w:tab/>
      </w:r>
      <w:r w:rsidR="00976145" w:rsidRPr="00EE50C1">
        <w:rPr>
          <w:bCs/>
        </w:rPr>
        <w:t xml:space="preserve">We approve the following stipulation regarding how the </w:t>
      </w:r>
      <w:r w:rsidR="00976145" w:rsidRPr="00EE50C1">
        <w:t xml:space="preserve">costs </w:t>
      </w:r>
      <w:r>
        <w:tab/>
      </w:r>
      <w:r w:rsidR="00976145" w:rsidRPr="00EE50C1">
        <w:t>associated with the TP-CCMP Project shall be allocated to the rate classes:</w:t>
      </w:r>
    </w:p>
    <w:p w:rsidR="00976145" w:rsidRPr="00EE50C1" w:rsidRDefault="00976145" w:rsidP="00CE74F6">
      <w:pPr>
        <w:ind w:left="720" w:right="720"/>
        <w:jc w:val="both"/>
      </w:pPr>
    </w:p>
    <w:p w:rsidR="00976145" w:rsidRPr="00EE50C1" w:rsidRDefault="00976145" w:rsidP="001F43A7">
      <w:pPr>
        <w:ind w:left="1440" w:right="720"/>
        <w:jc w:val="both"/>
      </w:pPr>
      <w:r w:rsidRPr="00EE50C1">
        <w:t>Capital costs for the TP-CCMP Project shall be allocated to the rate classes on an average 12 CP demand and 1/13</w:t>
      </w:r>
      <w:r w:rsidRPr="00EE50C1">
        <w:rPr>
          <w:vertAlign w:val="superscript"/>
        </w:rPr>
        <w:t>th</w:t>
      </w:r>
      <w:r w:rsidRPr="00EE50C1">
        <w:t xml:space="preserve"> energy basis.  O&amp;M costs shall be allocated on an energy basis.</w:t>
      </w:r>
    </w:p>
    <w:p w:rsidR="00976145" w:rsidRPr="00EE50C1" w:rsidRDefault="00976145" w:rsidP="00976145">
      <w:pPr>
        <w:ind w:right="1440"/>
        <w:jc w:val="both"/>
      </w:pPr>
    </w:p>
    <w:p w:rsidR="00976145" w:rsidRPr="00DC64F6" w:rsidRDefault="00DC64F6" w:rsidP="001C6BDB">
      <w:pPr>
        <w:jc w:val="center"/>
        <w:outlineLvl w:val="2"/>
        <w:rPr>
          <w:b/>
          <w:bCs/>
          <w:iCs/>
          <w:u w:val="single"/>
        </w:rPr>
      </w:pPr>
      <w:r w:rsidRPr="00DC64F6">
        <w:rPr>
          <w:b/>
          <w:bCs/>
          <w:iCs/>
          <w:u w:val="single"/>
        </w:rPr>
        <w:t>C</w:t>
      </w:r>
      <w:r w:rsidR="004017B8" w:rsidRPr="00DC64F6">
        <w:rPr>
          <w:b/>
          <w:bCs/>
          <w:iCs/>
          <w:u w:val="single"/>
        </w:rPr>
        <w:t>. Decision</w:t>
      </w:r>
    </w:p>
    <w:p w:rsidR="00B03867" w:rsidRDefault="00B03867" w:rsidP="00E802AF">
      <w:pPr>
        <w:jc w:val="center"/>
        <w:outlineLvl w:val="2"/>
        <w:rPr>
          <w:b/>
          <w:bCs/>
          <w:iCs/>
        </w:rPr>
      </w:pPr>
    </w:p>
    <w:p w:rsidR="00976145" w:rsidRPr="00EE50C1" w:rsidRDefault="00976145" w:rsidP="00976145">
      <w:r w:rsidRPr="00EE50C1">
        <w:tab/>
      </w:r>
      <w:r w:rsidR="00CE74F6">
        <w:t xml:space="preserve">Upon review, we find that the </w:t>
      </w:r>
      <w:r w:rsidR="00B03867">
        <w:t xml:space="preserve">approved </w:t>
      </w:r>
      <w:r w:rsidR="00F3777B" w:rsidRPr="00EE50C1">
        <w:t xml:space="preserve">Monitoring Plan </w:t>
      </w:r>
      <w:r w:rsidRPr="00EE50C1">
        <w:t>Disputed Costs sh</w:t>
      </w:r>
      <w:r w:rsidR="00CE74F6">
        <w:t>all</w:t>
      </w:r>
      <w:r w:rsidRPr="00EE50C1">
        <w:t xml:space="preserve"> be allocated pursuant to Order No. PSC-09-0759-FOF-EI.</w:t>
      </w:r>
    </w:p>
    <w:p w:rsidR="00CE74F6" w:rsidRPr="00EE50C1" w:rsidRDefault="00CE74F6" w:rsidP="00421953">
      <w:pPr>
        <w:pStyle w:val="OrderBody"/>
      </w:pPr>
    </w:p>
    <w:p w:rsidR="00421953" w:rsidRPr="00EE50C1" w:rsidRDefault="00421953" w:rsidP="00421953">
      <w:pPr>
        <w:pStyle w:val="OrderBody"/>
      </w:pPr>
      <w:r w:rsidRPr="00EE50C1">
        <w:tab/>
        <w:t>Based on the foregoing, it is</w:t>
      </w:r>
    </w:p>
    <w:p w:rsidR="00421953" w:rsidRPr="00EE50C1" w:rsidRDefault="00421953" w:rsidP="00421953">
      <w:pPr>
        <w:pStyle w:val="OrderBody"/>
      </w:pPr>
    </w:p>
    <w:p w:rsidR="00421953" w:rsidRPr="00EE50C1" w:rsidRDefault="00421953" w:rsidP="00421953">
      <w:pPr>
        <w:pStyle w:val="OrderBody"/>
      </w:pPr>
      <w:r w:rsidRPr="00EE50C1">
        <w:tab/>
        <w:t xml:space="preserve">ORDERED by the Florida Public Service Commission that the stipulations and findings set forth in </w:t>
      </w:r>
      <w:r w:rsidR="00B975B0" w:rsidRPr="00EE50C1">
        <w:t xml:space="preserve">Attachment A and </w:t>
      </w:r>
      <w:r w:rsidRPr="00EE50C1">
        <w:t xml:space="preserve">the body of this </w:t>
      </w:r>
      <w:r w:rsidR="00B975B0" w:rsidRPr="00EE50C1">
        <w:t>O</w:t>
      </w:r>
      <w:r w:rsidRPr="00EE50C1">
        <w:t>rder are hereby approved.  It is further</w:t>
      </w:r>
    </w:p>
    <w:p w:rsidR="00421953" w:rsidRPr="00EE50C1" w:rsidRDefault="00421953" w:rsidP="00421953">
      <w:pPr>
        <w:pStyle w:val="OrderBody"/>
      </w:pPr>
    </w:p>
    <w:p w:rsidR="00421953" w:rsidRDefault="00421953" w:rsidP="00421953">
      <w:pPr>
        <w:pStyle w:val="OrderBody"/>
      </w:pPr>
      <w:r w:rsidRPr="00EE50C1">
        <w:tab/>
        <w:t>ORDERED that each utility that was a party to this docket shall abide by the stipulations and findings herein which are applicable to it.  It is further</w:t>
      </w:r>
    </w:p>
    <w:p w:rsidR="009F7DE8" w:rsidRDefault="009F7DE8" w:rsidP="00E802AF">
      <w:pPr>
        <w:pStyle w:val="OrderBody"/>
      </w:pPr>
    </w:p>
    <w:p w:rsidR="009F7DE8" w:rsidRPr="00E802AF" w:rsidRDefault="009F7DE8" w:rsidP="00E802AF">
      <w:pPr>
        <w:spacing w:after="240"/>
        <w:jc w:val="both"/>
      </w:pPr>
      <w:r>
        <w:tab/>
      </w:r>
      <w:r w:rsidRPr="00E802AF">
        <w:t>ORDERED that F</w:t>
      </w:r>
      <w:r w:rsidR="00E4641C" w:rsidRPr="00E802AF">
        <w:t xml:space="preserve">lorida Power &amp; Light Company </w:t>
      </w:r>
      <w:r w:rsidRPr="00E802AF">
        <w:t xml:space="preserve">shall be allowed to recover </w:t>
      </w:r>
      <w:r w:rsidR="00374656" w:rsidRPr="00E802AF">
        <w:t xml:space="preserve">through the Environmental Cost </w:t>
      </w:r>
      <w:r w:rsidR="00FC2621" w:rsidRPr="00E802AF">
        <w:t>Recovery</w:t>
      </w:r>
      <w:r w:rsidR="00374656" w:rsidRPr="00E802AF">
        <w:t xml:space="preserve"> Clause, the </w:t>
      </w:r>
      <w:r w:rsidRPr="00E802AF">
        <w:t>Turkey Point Cooling Canal Monitoring Plan</w:t>
      </w:r>
      <w:r w:rsidR="00FC2621">
        <w:t xml:space="preserve"> </w:t>
      </w:r>
      <w:r w:rsidRPr="00E802AF">
        <w:t>costs</w:t>
      </w:r>
      <w:r w:rsidR="00374656" w:rsidRPr="00E802AF">
        <w:t xml:space="preserve">, if prudently incurred, of complying with </w:t>
      </w:r>
      <w:r w:rsidRPr="00E802AF">
        <w:t xml:space="preserve">the </w:t>
      </w:r>
      <w:r w:rsidR="00374656" w:rsidRPr="00E802AF">
        <w:t xml:space="preserve">June 20, 2016 Consent Order between FPL and the Florida Department of Environmental Protection,  the October 2015 Consent Agreement between FPL and the Miami-Dade County Department of Environmental Resources Management, as amended by the August 15, 2016 Consent Agreement Addendum. It is further </w:t>
      </w:r>
    </w:p>
    <w:p w:rsidR="00E4641C" w:rsidRDefault="00E4641C" w:rsidP="00E802AF">
      <w:pPr>
        <w:spacing w:after="240"/>
        <w:jc w:val="both"/>
      </w:pPr>
      <w:r w:rsidRPr="00E802AF">
        <w:tab/>
        <w:t xml:space="preserve">ORDERED that Florida Power &amp; Light Company prudently incurred the 2015 and 2016 </w:t>
      </w:r>
      <w:r w:rsidR="00F3777B" w:rsidRPr="00EE50C1">
        <w:t>Monitoring Plan</w:t>
      </w:r>
      <w:r w:rsidR="00F3777B" w:rsidRPr="00E802AF">
        <w:t xml:space="preserve"> </w:t>
      </w:r>
      <w:r w:rsidRPr="00E802AF">
        <w:t xml:space="preserve">Disputed Costs, and that </w:t>
      </w:r>
      <w:r w:rsidR="00920AAD" w:rsidRPr="00E802AF">
        <w:t xml:space="preserve">the Company’s </w:t>
      </w:r>
      <w:r w:rsidRPr="00E802AF">
        <w:t xml:space="preserve">request for 2017 and 2018 </w:t>
      </w:r>
      <w:r w:rsidR="00F3777B" w:rsidRPr="00EE50C1">
        <w:t>Monitoring Plan</w:t>
      </w:r>
      <w:r w:rsidR="00F3777B" w:rsidRPr="00E802AF">
        <w:t xml:space="preserve"> </w:t>
      </w:r>
      <w:r w:rsidRPr="00E802AF">
        <w:t>Disputed Costs are reasonable</w:t>
      </w:r>
      <w:r w:rsidR="00130E18" w:rsidRPr="00E802AF">
        <w:t xml:space="preserve"> except that t</w:t>
      </w:r>
      <w:r w:rsidRPr="00E802AF">
        <w:t xml:space="preserve">he $1.5 million escrow deposit component </w:t>
      </w:r>
      <w:r w:rsidR="003C055D" w:rsidRPr="00E802AF">
        <w:t xml:space="preserve">of the </w:t>
      </w:r>
      <w:r w:rsidR="00F3777B" w:rsidRPr="00EE50C1">
        <w:t>Monitoring Plan</w:t>
      </w:r>
      <w:r w:rsidR="00F3777B" w:rsidRPr="00E802AF">
        <w:t xml:space="preserve"> </w:t>
      </w:r>
      <w:r w:rsidR="003C055D" w:rsidRPr="00E802AF">
        <w:t>Disputed Costs is not recoverable under the Environmental Cost Recovery Clause</w:t>
      </w:r>
      <w:r w:rsidR="00130E18" w:rsidRPr="00E802AF">
        <w:t xml:space="preserve"> and this disallowance shall be addressed as a “true-up” in the 2018 ECRC proceeding. </w:t>
      </w:r>
      <w:r w:rsidR="003C055D" w:rsidRPr="00E802AF">
        <w:t xml:space="preserve"> It is further </w:t>
      </w:r>
    </w:p>
    <w:p w:rsidR="001F43A7" w:rsidRPr="00EE50C1" w:rsidRDefault="001F43A7" w:rsidP="001F43A7">
      <w:pPr>
        <w:spacing w:after="240"/>
        <w:jc w:val="both"/>
      </w:pPr>
      <w:r>
        <w:lastRenderedPageBreak/>
        <w:tab/>
      </w:r>
      <w:r w:rsidRPr="008A2231">
        <w:t>ORDERED that</w:t>
      </w:r>
      <w:r>
        <w:t xml:space="preserve"> we neither approve nor deny a </w:t>
      </w:r>
      <w:r w:rsidRPr="00EE50C1">
        <w:t>land conveyance</w:t>
      </w:r>
      <w:r>
        <w:t xml:space="preserve"> from Florida Power &amp; Light Company to SFWMD. </w:t>
      </w:r>
      <w:r w:rsidR="008A2231">
        <w:t xml:space="preserve">It is further </w:t>
      </w:r>
    </w:p>
    <w:p w:rsidR="0053101A" w:rsidRDefault="00E4641C" w:rsidP="00B91687">
      <w:pPr>
        <w:jc w:val="both"/>
      </w:pPr>
      <w:r w:rsidRPr="00E802AF">
        <w:t xml:space="preserve"> </w:t>
      </w:r>
      <w:r w:rsidR="00130E18" w:rsidRPr="00E802AF">
        <w:tab/>
        <w:t xml:space="preserve">ORDERED that </w:t>
      </w:r>
      <w:r w:rsidR="0053101A" w:rsidRPr="00E802AF">
        <w:t xml:space="preserve">the </w:t>
      </w:r>
      <w:r w:rsidR="0050760B" w:rsidRPr="00E802AF">
        <w:t xml:space="preserve">Florida Power &amp; Light Company’s </w:t>
      </w:r>
      <w:r w:rsidR="00EC725E" w:rsidRPr="00E802AF">
        <w:t xml:space="preserve">approved </w:t>
      </w:r>
      <w:r w:rsidR="0053101A" w:rsidRPr="00E802AF">
        <w:t xml:space="preserve">costs associated with the CA, CAA, and CO are part of the existing </w:t>
      </w:r>
      <w:r w:rsidR="00F3777B" w:rsidRPr="00EE50C1">
        <w:t>Monitoring Plan</w:t>
      </w:r>
      <w:r w:rsidR="00F3777B" w:rsidRPr="00E802AF">
        <w:t xml:space="preserve"> </w:t>
      </w:r>
      <w:r w:rsidR="0053101A" w:rsidRPr="00E802AF">
        <w:t xml:space="preserve">project. It is further </w:t>
      </w:r>
    </w:p>
    <w:p w:rsidR="00B91687" w:rsidRDefault="00B91687" w:rsidP="00B91687">
      <w:pPr>
        <w:jc w:val="both"/>
      </w:pPr>
    </w:p>
    <w:p w:rsidR="00FD0227" w:rsidRPr="00E802AF" w:rsidRDefault="001C02E7" w:rsidP="001C02E7">
      <w:pPr>
        <w:spacing w:after="240"/>
        <w:jc w:val="both"/>
      </w:pPr>
      <w:r>
        <w:tab/>
        <w:t>ORDERED that Florida Power and Light Company’s proposed allocations of costs associated with the CA, CAA, and CO are approved.  For the RWS and related activities, the allocations shall be 74 percent containment (capital) and 26 percent remediation (O&amp;M). It is further</w:t>
      </w:r>
    </w:p>
    <w:p w:rsidR="00FD0227" w:rsidRPr="00EE50C1" w:rsidRDefault="00FD0227" w:rsidP="00E802AF">
      <w:pPr>
        <w:spacing w:after="240"/>
        <w:jc w:val="both"/>
      </w:pPr>
      <w:r w:rsidRPr="00E802AF">
        <w:tab/>
        <w:t xml:space="preserve">ORDERED that </w:t>
      </w:r>
      <w:r w:rsidR="00EC725E" w:rsidRPr="00E802AF">
        <w:t>F</w:t>
      </w:r>
      <w:r w:rsidR="001F43A7">
        <w:t>lorida Power &amp; Light</w:t>
      </w:r>
      <w:r w:rsidR="004941B3">
        <w:t xml:space="preserve"> Company</w:t>
      </w:r>
      <w:r w:rsidR="001F43A7">
        <w:t xml:space="preserve">’s </w:t>
      </w:r>
      <w:r w:rsidR="00F3777B" w:rsidRPr="00EE50C1">
        <w:t>Monitoring Plan</w:t>
      </w:r>
      <w:r w:rsidR="00F3777B" w:rsidRPr="00E802AF">
        <w:t xml:space="preserve"> </w:t>
      </w:r>
      <w:r w:rsidR="00EC725E" w:rsidRPr="00E802AF">
        <w:t>approved</w:t>
      </w:r>
      <w:r w:rsidR="00E802AF" w:rsidRPr="00E802AF">
        <w:t xml:space="preserve"> costs associated with the CA, CAA, and </w:t>
      </w:r>
      <w:r w:rsidR="00FC2621" w:rsidRPr="00E802AF">
        <w:t>CO shall</w:t>
      </w:r>
      <w:r w:rsidR="00EC725E" w:rsidRPr="00E802AF">
        <w:t xml:space="preserve"> be allocated pursuant to Order No. PSC-09-0759-FOF-EI.</w:t>
      </w:r>
      <w:r w:rsidR="004B287E">
        <w:t xml:space="preserve"> It is further</w:t>
      </w:r>
    </w:p>
    <w:p w:rsidR="00421953" w:rsidRDefault="00421953" w:rsidP="00B32D06">
      <w:pPr>
        <w:spacing w:before="240" w:after="60"/>
        <w:jc w:val="both"/>
        <w:outlineLvl w:val="2"/>
      </w:pPr>
      <w:r w:rsidRPr="00EE50C1">
        <w:tab/>
        <w:t>ORDERED that the utilities named herein are authorized to collect the environmental cost recovery amounts and use the factors approved herein beginning with</w:t>
      </w:r>
      <w:r w:rsidR="00B32D06" w:rsidRPr="00EE50C1">
        <w:rPr>
          <w:bCs/>
        </w:rPr>
        <w:t xml:space="preserve"> the first billing cycle for January 2018 and thereafter through the last billing cycle for December 2018.  The first billing cycle may be read before January 1, 2018, and the last cycle may be read after December 31, 2018, so that each customer is billed for twelve months regardless of when the adjustment factor became effective. </w:t>
      </w:r>
      <w:r w:rsidR="00B32D06" w:rsidRPr="00EE50C1">
        <w:t xml:space="preserve">These charges shall continue in effect until modified by this Commission. </w:t>
      </w:r>
      <w:r w:rsidRPr="00EE50C1">
        <w:t xml:space="preserve"> It is further </w:t>
      </w:r>
    </w:p>
    <w:p w:rsidR="00E802AF" w:rsidRDefault="00E802AF" w:rsidP="00CE7B9C">
      <w:pPr>
        <w:jc w:val="both"/>
      </w:pPr>
    </w:p>
    <w:p w:rsidR="00CE7B9C" w:rsidRPr="00EE50C1" w:rsidRDefault="00CE7B9C" w:rsidP="00CE7B9C">
      <w:pPr>
        <w:jc w:val="both"/>
      </w:pPr>
      <w:r w:rsidRPr="00EE50C1">
        <w:tab/>
        <w:t>ORDERED that the revised tariffs reflecting the environmental cost recovery amounts and factors determined to be appropriate in this proceeding are hereby approved. Our staff is directed to verify that the revised tariffs are consistent with our decision.</w:t>
      </w:r>
      <w:r w:rsidR="004B287E">
        <w:t xml:space="preserve"> It is further</w:t>
      </w:r>
    </w:p>
    <w:p w:rsidR="00421953" w:rsidRPr="00EE50C1" w:rsidRDefault="00421953" w:rsidP="00421953">
      <w:pPr>
        <w:pStyle w:val="OrderBody"/>
      </w:pPr>
    </w:p>
    <w:p w:rsidR="004941B3" w:rsidRDefault="00421953" w:rsidP="004941B3">
      <w:pPr>
        <w:pStyle w:val="OrderBody"/>
      </w:pPr>
      <w:r w:rsidRPr="00EE50C1">
        <w:tab/>
        <w:t xml:space="preserve">ORDERED that the </w:t>
      </w:r>
      <w:r w:rsidRPr="00EE50C1">
        <w:rPr>
          <w:color w:val="000000"/>
        </w:rPr>
        <w:t>Environmental Cost Recovery</w:t>
      </w:r>
      <w:r w:rsidRPr="00EE50C1">
        <w:t xml:space="preserve"> Clause docket is </w:t>
      </w:r>
      <w:r w:rsidR="004B287E">
        <w:t>a continuing</w:t>
      </w:r>
      <w:r w:rsidRPr="00EE50C1">
        <w:t xml:space="preserve"> docket </w:t>
      </w:r>
      <w:r w:rsidR="003B0130" w:rsidRPr="00EE50C1">
        <w:t>and shall remain open.</w:t>
      </w:r>
    </w:p>
    <w:p w:rsidR="004941B3" w:rsidRDefault="004941B3">
      <w:r>
        <w:br w:type="page"/>
      </w:r>
    </w:p>
    <w:p w:rsidR="004941B3" w:rsidRDefault="004941B3" w:rsidP="004941B3">
      <w:pPr>
        <w:pStyle w:val="OrderBody"/>
      </w:pPr>
    </w:p>
    <w:p w:rsidR="00421953" w:rsidRDefault="00421953" w:rsidP="004941B3">
      <w:pPr>
        <w:pStyle w:val="OrderBody"/>
      </w:pPr>
      <w:r w:rsidRPr="00EE50C1">
        <w:tab/>
        <w:t xml:space="preserve">By ORDER of the Florida Public Service Commission this </w:t>
      </w:r>
      <w:bookmarkStart w:id="7" w:name="replaceDate"/>
      <w:bookmarkEnd w:id="7"/>
      <w:r w:rsidR="0092439F">
        <w:rPr>
          <w:u w:val="single"/>
        </w:rPr>
        <w:t>5th</w:t>
      </w:r>
      <w:r w:rsidR="0092439F">
        <w:t xml:space="preserve"> day of </w:t>
      </w:r>
      <w:r w:rsidR="0092439F">
        <w:rPr>
          <w:u w:val="single"/>
        </w:rPr>
        <w:t>January</w:t>
      </w:r>
      <w:r w:rsidR="0092439F">
        <w:t xml:space="preserve">, </w:t>
      </w:r>
      <w:r w:rsidR="0092439F">
        <w:rPr>
          <w:u w:val="single"/>
        </w:rPr>
        <w:t>2018</w:t>
      </w:r>
      <w:r w:rsidR="0092439F">
        <w:t>.</w:t>
      </w:r>
    </w:p>
    <w:p w:rsidR="0092439F" w:rsidRPr="0092439F" w:rsidRDefault="0092439F" w:rsidP="004941B3">
      <w:pPr>
        <w:pStyle w:val="OrderBody"/>
      </w:pPr>
    </w:p>
    <w:p w:rsidR="00421953" w:rsidRPr="00EE50C1" w:rsidRDefault="00421953" w:rsidP="00421953">
      <w:pPr>
        <w:pStyle w:val="OrderBody"/>
        <w:keepNext/>
        <w:keepLines/>
      </w:pPr>
    </w:p>
    <w:p w:rsidR="00B32D06" w:rsidRPr="00EE50C1" w:rsidRDefault="00B32D06" w:rsidP="00421953">
      <w:pPr>
        <w:pStyle w:val="OrderBody"/>
        <w:keepNext/>
        <w:keepLines/>
      </w:pPr>
    </w:p>
    <w:p w:rsidR="00B32D06" w:rsidRPr="00EE50C1" w:rsidRDefault="00B32D06" w:rsidP="00421953">
      <w:pPr>
        <w:pStyle w:val="OrderBody"/>
        <w:keepNext/>
        <w:keepLines/>
      </w:pPr>
    </w:p>
    <w:p w:rsidR="00421953" w:rsidRPr="00EE50C1" w:rsidRDefault="00421953" w:rsidP="00421953">
      <w:pPr>
        <w:pStyle w:val="OrderBody"/>
        <w:keepNext/>
        <w:keepLines/>
      </w:pPr>
    </w:p>
    <w:p w:rsidR="00421953" w:rsidRPr="00EE50C1" w:rsidRDefault="00421953" w:rsidP="0042195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21953" w:rsidRPr="00EE50C1" w:rsidTr="00421953">
        <w:tc>
          <w:tcPr>
            <w:tcW w:w="720" w:type="dxa"/>
            <w:shd w:val="clear" w:color="auto" w:fill="auto"/>
          </w:tcPr>
          <w:p w:rsidR="00421953" w:rsidRPr="00EE50C1" w:rsidRDefault="00421953" w:rsidP="00421953">
            <w:pPr>
              <w:pStyle w:val="OrderBody"/>
              <w:keepNext/>
              <w:keepLines/>
            </w:pPr>
            <w:bookmarkStart w:id="8" w:name="bkmrkSignature" w:colFirst="0" w:colLast="0"/>
          </w:p>
        </w:tc>
        <w:tc>
          <w:tcPr>
            <w:tcW w:w="4320" w:type="dxa"/>
            <w:tcBorders>
              <w:bottom w:val="single" w:sz="4" w:space="0" w:color="auto"/>
            </w:tcBorders>
            <w:shd w:val="clear" w:color="auto" w:fill="auto"/>
          </w:tcPr>
          <w:p w:rsidR="00421953" w:rsidRPr="00EE50C1" w:rsidRDefault="0092439F" w:rsidP="00421953">
            <w:pPr>
              <w:pStyle w:val="OrderBody"/>
              <w:keepNext/>
              <w:keepLines/>
            </w:pPr>
            <w:r>
              <w:t>/s/ Carlotta S. Stauffer</w:t>
            </w:r>
            <w:bookmarkStart w:id="9" w:name="_GoBack"/>
            <w:bookmarkEnd w:id="9"/>
          </w:p>
        </w:tc>
      </w:tr>
      <w:bookmarkEnd w:id="8"/>
      <w:tr w:rsidR="00421953" w:rsidRPr="00EE50C1" w:rsidTr="00421953">
        <w:tc>
          <w:tcPr>
            <w:tcW w:w="720" w:type="dxa"/>
            <w:shd w:val="clear" w:color="auto" w:fill="auto"/>
          </w:tcPr>
          <w:p w:rsidR="00421953" w:rsidRPr="00EE50C1" w:rsidRDefault="00421953" w:rsidP="00421953">
            <w:pPr>
              <w:pStyle w:val="OrderBody"/>
              <w:keepNext/>
              <w:keepLines/>
            </w:pPr>
          </w:p>
        </w:tc>
        <w:tc>
          <w:tcPr>
            <w:tcW w:w="4320" w:type="dxa"/>
            <w:tcBorders>
              <w:top w:val="single" w:sz="4" w:space="0" w:color="auto"/>
            </w:tcBorders>
            <w:shd w:val="clear" w:color="auto" w:fill="auto"/>
          </w:tcPr>
          <w:p w:rsidR="00421953" w:rsidRPr="00EE50C1" w:rsidRDefault="00421953" w:rsidP="00421953">
            <w:pPr>
              <w:pStyle w:val="OrderBody"/>
              <w:keepNext/>
              <w:keepLines/>
            </w:pPr>
            <w:r w:rsidRPr="00EE50C1">
              <w:t>CARLOTTA S. STAUFFER</w:t>
            </w:r>
          </w:p>
          <w:p w:rsidR="00421953" w:rsidRPr="00EE50C1" w:rsidRDefault="00421953" w:rsidP="00421953">
            <w:pPr>
              <w:pStyle w:val="OrderBody"/>
              <w:keepNext/>
              <w:keepLines/>
            </w:pPr>
            <w:r w:rsidRPr="00EE50C1">
              <w:t>Commission Clerk</w:t>
            </w:r>
          </w:p>
        </w:tc>
      </w:tr>
    </w:tbl>
    <w:p w:rsidR="00421953" w:rsidRPr="00EE50C1" w:rsidRDefault="00421953" w:rsidP="00421953">
      <w:pPr>
        <w:pStyle w:val="OrderSigInfo"/>
        <w:keepNext/>
        <w:keepLines/>
        <w:rPr>
          <w:szCs w:val="24"/>
        </w:rPr>
      </w:pPr>
      <w:r w:rsidRPr="00EE50C1">
        <w:rPr>
          <w:szCs w:val="24"/>
        </w:rPr>
        <w:t>Florida Public Service Commission</w:t>
      </w:r>
    </w:p>
    <w:p w:rsidR="00421953" w:rsidRPr="00EE50C1" w:rsidRDefault="00421953" w:rsidP="00421953">
      <w:pPr>
        <w:pStyle w:val="OrderSigInfo"/>
        <w:keepNext/>
        <w:keepLines/>
        <w:rPr>
          <w:szCs w:val="24"/>
        </w:rPr>
      </w:pPr>
      <w:r w:rsidRPr="00EE50C1">
        <w:rPr>
          <w:szCs w:val="24"/>
        </w:rPr>
        <w:t>2540 Shumard Oak Boulevard</w:t>
      </w:r>
    </w:p>
    <w:p w:rsidR="00421953" w:rsidRPr="00EE50C1" w:rsidRDefault="00421953" w:rsidP="00421953">
      <w:pPr>
        <w:pStyle w:val="OrderSigInfo"/>
        <w:keepNext/>
        <w:keepLines/>
        <w:rPr>
          <w:szCs w:val="24"/>
        </w:rPr>
      </w:pPr>
      <w:r w:rsidRPr="00EE50C1">
        <w:rPr>
          <w:szCs w:val="24"/>
        </w:rPr>
        <w:t>Tallahassee, Florida  32399</w:t>
      </w:r>
    </w:p>
    <w:p w:rsidR="00421953" w:rsidRPr="00EE50C1" w:rsidRDefault="00421953" w:rsidP="00421953">
      <w:pPr>
        <w:pStyle w:val="OrderSigInfo"/>
        <w:keepNext/>
        <w:keepLines/>
        <w:rPr>
          <w:szCs w:val="24"/>
        </w:rPr>
      </w:pPr>
      <w:r w:rsidRPr="00EE50C1">
        <w:rPr>
          <w:szCs w:val="24"/>
        </w:rPr>
        <w:t>(850) 413</w:t>
      </w:r>
      <w:r w:rsidRPr="00EE50C1">
        <w:rPr>
          <w:szCs w:val="24"/>
        </w:rPr>
        <w:noBreakHyphen/>
        <w:t>6770</w:t>
      </w:r>
    </w:p>
    <w:p w:rsidR="00421953" w:rsidRPr="00EE50C1" w:rsidRDefault="00421953" w:rsidP="00421953">
      <w:pPr>
        <w:pStyle w:val="OrderSigInfo"/>
        <w:keepNext/>
        <w:keepLines/>
        <w:rPr>
          <w:szCs w:val="24"/>
        </w:rPr>
      </w:pPr>
      <w:r w:rsidRPr="00EE50C1">
        <w:rPr>
          <w:szCs w:val="24"/>
        </w:rPr>
        <w:t>www.floridapsc.com</w:t>
      </w:r>
    </w:p>
    <w:p w:rsidR="00421953" w:rsidRPr="00EE50C1" w:rsidRDefault="00421953" w:rsidP="00421953">
      <w:pPr>
        <w:pStyle w:val="OrderSigInfo"/>
        <w:keepNext/>
        <w:keepLines/>
        <w:rPr>
          <w:szCs w:val="24"/>
        </w:rPr>
      </w:pPr>
    </w:p>
    <w:p w:rsidR="00421953" w:rsidRPr="00EE50C1" w:rsidRDefault="00421953" w:rsidP="00421953">
      <w:pPr>
        <w:pStyle w:val="OrderSigInfo"/>
        <w:keepNext/>
        <w:keepLines/>
        <w:rPr>
          <w:szCs w:val="24"/>
        </w:rPr>
      </w:pPr>
      <w:r w:rsidRPr="00EE50C1">
        <w:rPr>
          <w:szCs w:val="24"/>
        </w:rPr>
        <w:t>Copies furnished:  A copy of this document is provided to the parties of record at the time of issuance and, if applicable, interested persons.</w:t>
      </w:r>
    </w:p>
    <w:p w:rsidR="00421953" w:rsidRPr="00EE50C1" w:rsidRDefault="00421953" w:rsidP="00421953">
      <w:pPr>
        <w:pStyle w:val="OrderBody"/>
        <w:keepNext/>
        <w:keepLines/>
      </w:pPr>
    </w:p>
    <w:p w:rsidR="00421953" w:rsidRPr="00EE50C1" w:rsidRDefault="00421953" w:rsidP="00421953">
      <w:pPr>
        <w:pStyle w:val="OrderBody"/>
        <w:keepNext/>
        <w:keepLines/>
      </w:pPr>
    </w:p>
    <w:p w:rsidR="00421953" w:rsidRPr="00EE50C1" w:rsidRDefault="00421953" w:rsidP="00421953">
      <w:pPr>
        <w:pStyle w:val="OrderBody"/>
        <w:keepNext/>
        <w:keepLines/>
      </w:pPr>
      <w:r w:rsidRPr="00EE50C1">
        <w:t>CWM</w:t>
      </w:r>
    </w:p>
    <w:p w:rsidR="00294171" w:rsidRDefault="00294171">
      <w:pPr>
        <w:rPr>
          <w:u w:val="single"/>
        </w:rPr>
      </w:pPr>
    </w:p>
    <w:p w:rsidR="00421953" w:rsidRPr="00EE50C1" w:rsidRDefault="00421953" w:rsidP="00421953">
      <w:pPr>
        <w:pStyle w:val="CenterUnderline"/>
      </w:pPr>
      <w:r w:rsidRPr="00EE50C1">
        <w:t>NOTICE OF FURTHER PROCEEDINGS OR JUDICIAL REVIEW</w:t>
      </w:r>
    </w:p>
    <w:p w:rsidR="00421953" w:rsidRPr="00EE50C1" w:rsidRDefault="00421953" w:rsidP="00421953">
      <w:pPr>
        <w:pStyle w:val="CenterUnderline"/>
      </w:pPr>
    </w:p>
    <w:p w:rsidR="00421953" w:rsidRPr="00EE50C1" w:rsidRDefault="00421953" w:rsidP="00421953">
      <w:pPr>
        <w:pStyle w:val="OrderBody"/>
      </w:pPr>
    </w:p>
    <w:p w:rsidR="00421953" w:rsidRPr="00EE50C1" w:rsidRDefault="00421953" w:rsidP="00421953">
      <w:pPr>
        <w:pStyle w:val="OrderBody"/>
      </w:pPr>
      <w:r w:rsidRPr="00EE50C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21953" w:rsidRPr="00EE50C1" w:rsidRDefault="00421953" w:rsidP="00421953">
      <w:pPr>
        <w:pStyle w:val="OrderBody"/>
      </w:pPr>
    </w:p>
    <w:p w:rsidR="00421953" w:rsidRPr="00EE50C1" w:rsidRDefault="00421953" w:rsidP="00421953">
      <w:pPr>
        <w:pStyle w:val="OrderBody"/>
      </w:pPr>
      <w:r w:rsidRPr="00EE50C1">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B08CE" w:rsidRPr="00EE50C1" w:rsidRDefault="00EB08CE">
      <w:r w:rsidRPr="00EE50C1">
        <w:br w:type="page"/>
      </w:r>
    </w:p>
    <w:p w:rsidR="00EB08CE" w:rsidRPr="004941B3" w:rsidRDefault="00EB08CE" w:rsidP="00DC64F6">
      <w:pPr>
        <w:jc w:val="center"/>
        <w:rPr>
          <w:b/>
          <w:u w:val="single"/>
        </w:rPr>
      </w:pPr>
      <w:r w:rsidRPr="004941B3">
        <w:rPr>
          <w:b/>
          <w:u w:val="single"/>
        </w:rPr>
        <w:lastRenderedPageBreak/>
        <w:t>ATTACHMENT A</w:t>
      </w:r>
      <w:r w:rsidR="008A2231" w:rsidRPr="004941B3">
        <w:rPr>
          <w:b/>
          <w:u w:val="single"/>
        </w:rPr>
        <w:t xml:space="preserve">    </w:t>
      </w:r>
      <w:r w:rsidR="006A6A28" w:rsidRPr="004941B3">
        <w:rPr>
          <w:b/>
          <w:u w:val="single"/>
        </w:rPr>
        <w:t xml:space="preserve">APPROVED </w:t>
      </w:r>
      <w:r w:rsidRPr="004941B3">
        <w:rPr>
          <w:b/>
          <w:u w:val="single"/>
        </w:rPr>
        <w:t>STIPULATED ISSUES</w:t>
      </w:r>
    </w:p>
    <w:p w:rsidR="00EB08CE" w:rsidRPr="00EE50C1" w:rsidRDefault="00EB08CE" w:rsidP="00EB08CE">
      <w:pPr>
        <w:ind w:left="1440" w:hanging="1440"/>
        <w:rPr>
          <w:b/>
          <w:bCs/>
          <w:u w:val="single"/>
        </w:rPr>
      </w:pPr>
    </w:p>
    <w:p w:rsidR="00EB08CE" w:rsidRPr="00EE50C1" w:rsidRDefault="00EB08CE" w:rsidP="00EB08CE">
      <w:pPr>
        <w:tabs>
          <w:tab w:val="left" w:pos="0"/>
        </w:tabs>
      </w:pPr>
      <w:r w:rsidRPr="00EE50C1">
        <w:rPr>
          <w:b/>
        </w:rPr>
        <w:t xml:space="preserve">1. </w:t>
      </w:r>
      <w:r w:rsidRPr="00EE50C1">
        <w:rPr>
          <w:b/>
        </w:rPr>
        <w:tab/>
        <w:t xml:space="preserve">Final Environmental Cost Recovery True-Up Amounts for January 2016 through </w:t>
      </w:r>
      <w:r w:rsidRPr="00EE50C1">
        <w:rPr>
          <w:b/>
        </w:rPr>
        <w:tab/>
        <w:t>December 2016</w:t>
      </w:r>
    </w:p>
    <w:p w:rsidR="00EB08CE" w:rsidRPr="00EE50C1" w:rsidRDefault="00EB08CE" w:rsidP="00EB08CE">
      <w:pPr>
        <w:tabs>
          <w:tab w:val="left" w:pos="0"/>
        </w:tabs>
      </w:pPr>
    </w:p>
    <w:p w:rsidR="00EB08CE" w:rsidRPr="00EE50C1" w:rsidRDefault="00EB08CE" w:rsidP="00EB08CE">
      <w:pPr>
        <w:spacing w:after="240"/>
        <w:jc w:val="both"/>
      </w:pPr>
      <w:r w:rsidRPr="00EE50C1">
        <w:tab/>
        <w:t>The appropriate final environmental cost recovery true-up amounts for the period January 2016 through December 2016 are as follows:</w:t>
      </w:r>
    </w:p>
    <w:p w:rsidR="00EB08CE" w:rsidRPr="00EE50C1" w:rsidRDefault="00EB08CE" w:rsidP="00EB08CE">
      <w:pPr>
        <w:spacing w:after="240"/>
        <w:jc w:val="both"/>
      </w:pPr>
      <w:r w:rsidRPr="00EE50C1">
        <w:t>FPL: $23,872,381 over-recovery</w:t>
      </w:r>
    </w:p>
    <w:p w:rsidR="00EB08CE" w:rsidRPr="00EE50C1" w:rsidRDefault="00EB08CE" w:rsidP="00EB08CE">
      <w:pPr>
        <w:spacing w:after="240"/>
        <w:jc w:val="both"/>
      </w:pPr>
      <w:r w:rsidRPr="00EE50C1">
        <w:t xml:space="preserve">DEF: </w:t>
      </w:r>
      <w:r w:rsidRPr="00EE50C1">
        <w:rPr>
          <w:bCs/>
        </w:rPr>
        <w:t>$1,266,492 over-recovery</w:t>
      </w:r>
    </w:p>
    <w:p w:rsidR="00EB08CE" w:rsidRPr="00EE50C1" w:rsidRDefault="00EB08CE" w:rsidP="00EB08CE">
      <w:pPr>
        <w:spacing w:after="240"/>
        <w:jc w:val="both"/>
      </w:pPr>
      <w:r w:rsidRPr="00EE50C1">
        <w:t>TECO: $658,080 under-recovery</w:t>
      </w:r>
    </w:p>
    <w:p w:rsidR="00EB08CE" w:rsidRPr="00EE50C1" w:rsidRDefault="00EB08CE" w:rsidP="00EB08CE">
      <w:pPr>
        <w:spacing w:after="240"/>
        <w:jc w:val="both"/>
      </w:pPr>
      <w:r w:rsidRPr="00EE50C1">
        <w:t>GULF: $3,262,290 under-recovery</w:t>
      </w:r>
    </w:p>
    <w:p w:rsidR="00EB08CE" w:rsidRPr="00EE50C1" w:rsidRDefault="00EB08CE" w:rsidP="00EB08CE">
      <w:pPr>
        <w:spacing w:before="240" w:after="60"/>
        <w:jc w:val="both"/>
        <w:outlineLvl w:val="2"/>
        <w:rPr>
          <w:b/>
          <w:bCs/>
          <w:u w:val="single"/>
        </w:rPr>
      </w:pPr>
    </w:p>
    <w:p w:rsidR="00EB08CE" w:rsidRPr="00EE50C1" w:rsidRDefault="00EB08CE" w:rsidP="00EB08CE">
      <w:pPr>
        <w:spacing w:after="240"/>
        <w:jc w:val="both"/>
        <w:rPr>
          <w:b/>
        </w:rPr>
      </w:pPr>
      <w:r w:rsidRPr="00EE50C1">
        <w:rPr>
          <w:b/>
        </w:rPr>
        <w:t>2.</w:t>
      </w:r>
      <w:r w:rsidRPr="00EE50C1">
        <w:rPr>
          <w:b/>
        </w:rPr>
        <w:tab/>
        <w:t xml:space="preserve">Estimated/Actual Environmental Cost Recovery True-Up Amounts for January </w:t>
      </w:r>
      <w:r w:rsidRPr="00EE50C1">
        <w:rPr>
          <w:b/>
        </w:rPr>
        <w:tab/>
        <w:t>2017 through December 2017</w:t>
      </w:r>
    </w:p>
    <w:p w:rsidR="00EB08CE" w:rsidRPr="00EE50C1" w:rsidRDefault="00EB08CE" w:rsidP="00EB08CE">
      <w:pPr>
        <w:spacing w:after="240"/>
        <w:jc w:val="both"/>
      </w:pPr>
      <w:r w:rsidRPr="00EE50C1">
        <w:tab/>
        <w:t>The appropriate estimated/actual environmental cost recovery true-up amounts for the period January 2017 through December 2017 are as follows:</w:t>
      </w:r>
    </w:p>
    <w:p w:rsidR="00EB08CE" w:rsidRPr="00EE50C1" w:rsidRDefault="00EB08CE" w:rsidP="00EB08CE">
      <w:pPr>
        <w:spacing w:after="240"/>
        <w:jc w:val="both"/>
      </w:pPr>
      <w:r w:rsidRPr="00EE50C1">
        <w:t>*FPL: $28,797,701 over-recovery</w:t>
      </w:r>
    </w:p>
    <w:p w:rsidR="00EB08CE" w:rsidRPr="00EE50C1" w:rsidRDefault="00EB08CE" w:rsidP="00EB08CE">
      <w:pPr>
        <w:spacing w:after="240"/>
        <w:jc w:val="both"/>
      </w:pPr>
      <w:r w:rsidRPr="00EE50C1">
        <w:t xml:space="preserve">DEF: </w:t>
      </w:r>
      <w:r w:rsidRPr="00EE50C1">
        <w:rPr>
          <w:bCs/>
        </w:rPr>
        <w:t>$1,751,015 over-recovery</w:t>
      </w:r>
    </w:p>
    <w:p w:rsidR="00EB08CE" w:rsidRPr="00EE50C1" w:rsidRDefault="00EB08CE" w:rsidP="00EB08CE">
      <w:pPr>
        <w:spacing w:after="240"/>
        <w:jc w:val="both"/>
      </w:pPr>
      <w:r w:rsidRPr="00EE50C1">
        <w:t>TECO: $6,759,424 over-recovery</w:t>
      </w:r>
    </w:p>
    <w:p w:rsidR="00EB08CE" w:rsidRPr="00EE50C1" w:rsidRDefault="00EB08CE" w:rsidP="00EB08CE">
      <w:pPr>
        <w:spacing w:after="240"/>
        <w:jc w:val="both"/>
      </w:pPr>
      <w:r w:rsidRPr="00EE50C1">
        <w:t>GULF: $11,475,260 over-recovery</w:t>
      </w:r>
    </w:p>
    <w:p w:rsidR="00EB08CE" w:rsidRPr="00EE50C1" w:rsidRDefault="00EB08CE" w:rsidP="00EB08CE">
      <w:pPr>
        <w:jc w:val="both"/>
      </w:pPr>
      <w:r w:rsidRPr="00EE50C1">
        <w:t>* Subject to modification from company-specific issues.</w:t>
      </w:r>
    </w:p>
    <w:p w:rsidR="00EB08CE" w:rsidRPr="00EE50C1" w:rsidRDefault="00EB08CE" w:rsidP="00EB08CE">
      <w:pPr>
        <w:jc w:val="both"/>
        <w:outlineLvl w:val="2"/>
        <w:rPr>
          <w:b/>
          <w:bCs/>
          <w:u w:val="single"/>
        </w:rPr>
      </w:pPr>
    </w:p>
    <w:p w:rsidR="00EB08CE" w:rsidRPr="00EE50C1" w:rsidRDefault="00EB08CE" w:rsidP="00EB08CE">
      <w:pPr>
        <w:rPr>
          <w:b/>
        </w:rPr>
      </w:pPr>
      <w:r w:rsidRPr="00EE50C1">
        <w:rPr>
          <w:b/>
        </w:rPr>
        <w:br w:type="page"/>
      </w:r>
    </w:p>
    <w:p w:rsidR="00EB08CE" w:rsidRPr="00EE50C1" w:rsidRDefault="00EB08CE" w:rsidP="00EB08CE">
      <w:pPr>
        <w:spacing w:after="240"/>
        <w:jc w:val="both"/>
        <w:rPr>
          <w:b/>
        </w:rPr>
      </w:pPr>
      <w:r w:rsidRPr="00EE50C1">
        <w:rPr>
          <w:b/>
        </w:rPr>
        <w:lastRenderedPageBreak/>
        <w:t>3.</w:t>
      </w:r>
      <w:r w:rsidRPr="00EE50C1">
        <w:rPr>
          <w:b/>
        </w:rPr>
        <w:tab/>
        <w:t xml:space="preserve">Projected Environmental Cost Recovery Amounts for January 2018 through </w:t>
      </w:r>
      <w:r w:rsidRPr="00EE50C1">
        <w:rPr>
          <w:b/>
        </w:rPr>
        <w:tab/>
        <w:t>December 2018</w:t>
      </w:r>
    </w:p>
    <w:p w:rsidR="00EB08CE" w:rsidRPr="00EE50C1" w:rsidRDefault="00EB08CE" w:rsidP="00EB08CE">
      <w:pPr>
        <w:spacing w:after="240"/>
        <w:jc w:val="both"/>
      </w:pPr>
      <w:r w:rsidRPr="00EE50C1">
        <w:tab/>
        <w:t>The appropriate projected environmental cost recovery amounts for the period January 2018 through December 2018 are as follows:</w:t>
      </w:r>
    </w:p>
    <w:p w:rsidR="00EB08CE" w:rsidRPr="00EE50C1" w:rsidRDefault="00EB08CE" w:rsidP="00EB08CE">
      <w:pPr>
        <w:spacing w:after="240"/>
        <w:jc w:val="both"/>
      </w:pPr>
      <w:r w:rsidRPr="00EE50C1">
        <w:t>*FPL: $212,389,989</w:t>
      </w:r>
    </w:p>
    <w:p w:rsidR="00EB08CE" w:rsidRPr="00EE50C1" w:rsidRDefault="00EB08CE" w:rsidP="00EB08CE">
      <w:pPr>
        <w:spacing w:after="240"/>
        <w:jc w:val="both"/>
      </w:pPr>
      <w:r w:rsidRPr="00EE50C1">
        <w:t xml:space="preserve">DEF: </w:t>
      </w:r>
      <w:r w:rsidRPr="00EE50C1">
        <w:rPr>
          <w:bCs/>
        </w:rPr>
        <w:t>$62,786,148</w:t>
      </w:r>
    </w:p>
    <w:p w:rsidR="00EB08CE" w:rsidRPr="00EE50C1" w:rsidRDefault="00EB08CE" w:rsidP="00EB08CE">
      <w:pPr>
        <w:spacing w:after="240"/>
        <w:jc w:val="both"/>
      </w:pPr>
      <w:r w:rsidRPr="00EE50C1">
        <w:t>TECO: $72,821,226</w:t>
      </w:r>
    </w:p>
    <w:p w:rsidR="00EB08CE" w:rsidRPr="00EE50C1" w:rsidRDefault="00EB08CE" w:rsidP="00EB08CE">
      <w:pPr>
        <w:spacing w:after="240"/>
        <w:jc w:val="both"/>
      </w:pPr>
      <w:r w:rsidRPr="00EE50C1">
        <w:t>GULF: $211,656,376</w:t>
      </w:r>
    </w:p>
    <w:p w:rsidR="00EB08CE" w:rsidRPr="00EE50C1" w:rsidRDefault="00EB08CE" w:rsidP="00EB08CE">
      <w:pPr>
        <w:jc w:val="both"/>
      </w:pPr>
      <w:r w:rsidRPr="00EE50C1">
        <w:t>* Subject to modification from company-specific issues.</w:t>
      </w:r>
    </w:p>
    <w:p w:rsidR="00EB08CE" w:rsidRPr="00EE50C1" w:rsidRDefault="00EB08CE" w:rsidP="00EB08CE">
      <w:pPr>
        <w:jc w:val="both"/>
        <w:outlineLvl w:val="2"/>
        <w:rPr>
          <w:b/>
          <w:bCs/>
          <w:u w:val="single"/>
        </w:rPr>
      </w:pPr>
    </w:p>
    <w:p w:rsidR="00EB08CE" w:rsidRPr="00EE50C1" w:rsidRDefault="00EB08CE" w:rsidP="00EB08CE">
      <w:pPr>
        <w:jc w:val="both"/>
        <w:outlineLvl w:val="2"/>
        <w:rPr>
          <w:b/>
          <w:bCs/>
          <w:u w:val="single"/>
        </w:rPr>
      </w:pPr>
    </w:p>
    <w:p w:rsidR="00EB08CE" w:rsidRPr="00EE50C1" w:rsidRDefault="00EB08CE" w:rsidP="00EB08CE">
      <w:pPr>
        <w:spacing w:after="240"/>
        <w:jc w:val="both"/>
        <w:rPr>
          <w:b/>
        </w:rPr>
      </w:pPr>
      <w:r w:rsidRPr="00EE50C1">
        <w:rPr>
          <w:b/>
        </w:rPr>
        <w:t>4.</w:t>
      </w:r>
      <w:r w:rsidRPr="00EE50C1">
        <w:rPr>
          <w:b/>
        </w:rPr>
        <w:tab/>
        <w:t xml:space="preserve">Environmental Cost Recovery Amounts, Including True-Up Amounts, for January </w:t>
      </w:r>
      <w:r w:rsidRPr="00EE50C1">
        <w:rPr>
          <w:b/>
        </w:rPr>
        <w:tab/>
        <w:t>2018 through December 2018</w:t>
      </w:r>
    </w:p>
    <w:p w:rsidR="00EB08CE" w:rsidRPr="00EE50C1" w:rsidRDefault="00EB08CE" w:rsidP="00EB08CE">
      <w:pPr>
        <w:jc w:val="both"/>
      </w:pPr>
      <w:r w:rsidRPr="00EE50C1">
        <w:tab/>
        <w:t>The appropriate environmental cost recovery amount, including true-up amounts, for the period January 2018 through December 2018, are as follows:</w:t>
      </w:r>
    </w:p>
    <w:p w:rsidR="00EB08CE" w:rsidRPr="00EE50C1" w:rsidRDefault="00EB08CE" w:rsidP="00EB08CE">
      <w:pPr>
        <w:jc w:val="both"/>
      </w:pPr>
    </w:p>
    <w:p w:rsidR="00EB08CE" w:rsidRPr="00EE50C1" w:rsidRDefault="00EB08CE" w:rsidP="00EB08CE">
      <w:pPr>
        <w:jc w:val="both"/>
      </w:pPr>
      <w:r w:rsidRPr="00EE50C1">
        <w:t>*FPL: $159,834,905</w:t>
      </w:r>
    </w:p>
    <w:p w:rsidR="00EB08CE" w:rsidRPr="00EE50C1" w:rsidRDefault="00EB08CE" w:rsidP="00EB08CE">
      <w:pPr>
        <w:jc w:val="both"/>
      </w:pPr>
    </w:p>
    <w:p w:rsidR="00EB08CE" w:rsidRPr="00EE50C1" w:rsidRDefault="00EB08CE" w:rsidP="00EB08CE">
      <w:pPr>
        <w:spacing w:after="240"/>
        <w:jc w:val="both"/>
      </w:pPr>
      <w:r w:rsidRPr="00EE50C1">
        <w:t xml:space="preserve">DEF: </w:t>
      </w:r>
      <w:r w:rsidRPr="00EE50C1">
        <w:rPr>
          <w:bCs/>
        </w:rPr>
        <w:t>$59,811,674</w:t>
      </w:r>
    </w:p>
    <w:p w:rsidR="00EB08CE" w:rsidRPr="00EE50C1" w:rsidRDefault="00EB08CE" w:rsidP="00EB08CE">
      <w:pPr>
        <w:spacing w:after="240"/>
        <w:jc w:val="both"/>
      </w:pPr>
      <w:r w:rsidRPr="00EE50C1">
        <w:t>TECO: $66,767,920</w:t>
      </w:r>
    </w:p>
    <w:p w:rsidR="00EB08CE" w:rsidRPr="00EE50C1" w:rsidRDefault="00EB08CE" w:rsidP="00EB08CE">
      <w:pPr>
        <w:spacing w:after="240"/>
        <w:jc w:val="both"/>
      </w:pPr>
      <w:r w:rsidRPr="00EE50C1">
        <w:t>GULF: $203,589,886</w:t>
      </w:r>
    </w:p>
    <w:p w:rsidR="00EB08CE" w:rsidRPr="00EE50C1" w:rsidRDefault="00EB08CE" w:rsidP="00EB08CE">
      <w:pPr>
        <w:spacing w:after="240"/>
        <w:jc w:val="both"/>
      </w:pPr>
      <w:r w:rsidRPr="00EE50C1">
        <w:t>* Subject to modification from company-specific issues.</w:t>
      </w:r>
    </w:p>
    <w:p w:rsidR="00EB08CE" w:rsidRPr="00EE50C1" w:rsidRDefault="00EB08CE" w:rsidP="00EB08CE">
      <w:pPr>
        <w:jc w:val="both"/>
        <w:outlineLvl w:val="2"/>
        <w:rPr>
          <w:b/>
          <w:bCs/>
          <w:u w:val="single"/>
        </w:rPr>
      </w:pPr>
    </w:p>
    <w:p w:rsidR="00EB08CE" w:rsidRPr="00EE50C1" w:rsidRDefault="00EB08CE" w:rsidP="00EB08CE">
      <w:pPr>
        <w:jc w:val="both"/>
        <w:rPr>
          <w:b/>
        </w:rPr>
      </w:pPr>
      <w:r w:rsidRPr="00EE50C1">
        <w:rPr>
          <w:b/>
        </w:rPr>
        <w:t>5.</w:t>
      </w:r>
      <w:r w:rsidRPr="00EE50C1">
        <w:rPr>
          <w:b/>
        </w:rPr>
        <w:tab/>
        <w:t xml:space="preserve">Depreciation Rates Used to Develop the Depreciation Expense Included in the Total </w:t>
      </w:r>
      <w:r w:rsidRPr="00EE50C1">
        <w:rPr>
          <w:b/>
        </w:rPr>
        <w:tab/>
        <w:t>Environmental Cost Recovery Amounts for January 2018 through December 2018</w:t>
      </w:r>
    </w:p>
    <w:p w:rsidR="00EB08CE" w:rsidRPr="00EE50C1" w:rsidRDefault="00EB08CE" w:rsidP="00EB08CE">
      <w:pPr>
        <w:spacing w:before="240" w:after="60"/>
        <w:jc w:val="both"/>
        <w:outlineLvl w:val="2"/>
        <w:rPr>
          <w:bCs/>
          <w:u w:val="single"/>
        </w:rPr>
      </w:pPr>
      <w:r w:rsidRPr="00EE50C1">
        <w:rPr>
          <w:bCs/>
        </w:rPr>
        <w:tab/>
        <w:t>For the period January 2018 through December 2018, the depreciation rates used to calculate the depreciation expense shall be the rates that are in effect during the period the allowed capital investment is in service.</w:t>
      </w:r>
    </w:p>
    <w:p w:rsidR="00EB08CE" w:rsidRPr="00EE50C1" w:rsidRDefault="00EB08CE" w:rsidP="00EB08CE">
      <w:pPr>
        <w:rPr>
          <w:b/>
          <w:bCs/>
          <w:u w:val="single"/>
        </w:rPr>
      </w:pPr>
    </w:p>
    <w:p w:rsidR="00EB08CE" w:rsidRPr="00EE50C1" w:rsidRDefault="00EB08CE" w:rsidP="00EB08CE">
      <w:pPr>
        <w:spacing w:after="240"/>
        <w:jc w:val="both"/>
        <w:rPr>
          <w:b/>
        </w:rPr>
      </w:pPr>
    </w:p>
    <w:p w:rsidR="00EB08CE" w:rsidRPr="00EE50C1" w:rsidRDefault="00EB08CE" w:rsidP="00EB08CE">
      <w:pPr>
        <w:spacing w:after="240"/>
        <w:jc w:val="both"/>
        <w:rPr>
          <w:b/>
        </w:rPr>
      </w:pPr>
    </w:p>
    <w:p w:rsidR="00EB08CE" w:rsidRPr="00EE50C1" w:rsidRDefault="00EB08CE" w:rsidP="00EB08CE">
      <w:pPr>
        <w:rPr>
          <w:b/>
        </w:rPr>
      </w:pPr>
      <w:r w:rsidRPr="00EE50C1">
        <w:rPr>
          <w:b/>
        </w:rPr>
        <w:br w:type="page"/>
      </w:r>
    </w:p>
    <w:p w:rsidR="00EB08CE" w:rsidRPr="00EE50C1" w:rsidRDefault="00EB08CE" w:rsidP="00EB08CE">
      <w:pPr>
        <w:spacing w:after="240"/>
        <w:jc w:val="both"/>
        <w:rPr>
          <w:b/>
        </w:rPr>
      </w:pPr>
      <w:r w:rsidRPr="00EE50C1">
        <w:rPr>
          <w:b/>
        </w:rPr>
        <w:lastRenderedPageBreak/>
        <w:t>6.</w:t>
      </w:r>
      <w:r w:rsidRPr="00EE50C1">
        <w:rPr>
          <w:b/>
        </w:rPr>
        <w:tab/>
        <w:t xml:space="preserve">Appropriate Jurisdictional Separation Factors for the Projected Period January </w:t>
      </w:r>
      <w:r w:rsidRPr="00EE50C1">
        <w:rPr>
          <w:b/>
        </w:rPr>
        <w:tab/>
        <w:t>2018 through December 2018</w:t>
      </w:r>
    </w:p>
    <w:p w:rsidR="00EB08CE" w:rsidRPr="00EE50C1" w:rsidRDefault="00EB08CE" w:rsidP="00EB08CE">
      <w:pPr>
        <w:spacing w:after="240"/>
        <w:jc w:val="both"/>
      </w:pPr>
      <w:r w:rsidRPr="00EE50C1">
        <w:tab/>
        <w:t>The appropriate jurisdictional separation factors for the projected period January 2018 through December 2018 are as follows:</w:t>
      </w:r>
    </w:p>
    <w:p w:rsidR="00EB08CE" w:rsidRPr="00EE50C1" w:rsidRDefault="00EB08CE" w:rsidP="00EB08CE">
      <w:pPr>
        <w:spacing w:after="240"/>
        <w:jc w:val="both"/>
      </w:pPr>
      <w:r w:rsidRPr="00EE50C1">
        <w:rPr>
          <w:b/>
        </w:rPr>
        <w:t>FPL</w:t>
      </w:r>
    </w:p>
    <w:p w:rsidR="00EB08CE" w:rsidRPr="00EE50C1" w:rsidRDefault="00EB08CE" w:rsidP="00EB08CE">
      <w:pPr>
        <w:jc w:val="both"/>
      </w:pPr>
      <w:r w:rsidRPr="00EE50C1">
        <w:t xml:space="preserve">Retail Energy Jurisdictional Factor - Base  </w:t>
      </w:r>
      <w:r w:rsidRPr="00EE50C1">
        <w:tab/>
      </w:r>
      <w:r w:rsidRPr="00EE50C1">
        <w:tab/>
        <w:t xml:space="preserve"> </w:t>
      </w:r>
      <w:r w:rsidRPr="00EE50C1">
        <w:tab/>
        <w:t xml:space="preserve"> 95.7811% </w:t>
      </w:r>
    </w:p>
    <w:p w:rsidR="00EB08CE" w:rsidRPr="00EE50C1" w:rsidRDefault="00EB08CE" w:rsidP="00EB08CE">
      <w:pPr>
        <w:jc w:val="both"/>
      </w:pPr>
      <w:r w:rsidRPr="00EE50C1">
        <w:t xml:space="preserve">Retail Energy Jurisdictional Factor - Intermediate  </w:t>
      </w:r>
      <w:r w:rsidRPr="00EE50C1">
        <w:tab/>
      </w:r>
      <w:r w:rsidRPr="00EE50C1">
        <w:tab/>
        <w:t xml:space="preserve"> 94.2579%</w:t>
      </w:r>
    </w:p>
    <w:p w:rsidR="00EB08CE" w:rsidRPr="00EE50C1" w:rsidRDefault="00EB08CE" w:rsidP="00EB08CE">
      <w:pPr>
        <w:jc w:val="both"/>
        <w:rPr>
          <w:b/>
        </w:rPr>
      </w:pPr>
      <w:r w:rsidRPr="00EE50C1">
        <w:t>Retail Energy Jurisdictional Factor - Peaking</w:t>
      </w:r>
      <w:r w:rsidRPr="00EE50C1">
        <w:tab/>
        <w:t xml:space="preserve"> </w:t>
      </w:r>
      <w:r w:rsidRPr="00EE50C1">
        <w:tab/>
        <w:t xml:space="preserve"> 94.8545%</w:t>
      </w:r>
    </w:p>
    <w:p w:rsidR="00EB08CE" w:rsidRPr="00EE50C1" w:rsidRDefault="00EB08CE" w:rsidP="00EB08CE">
      <w:pPr>
        <w:jc w:val="both"/>
      </w:pPr>
      <w:r w:rsidRPr="00EE50C1">
        <w:t xml:space="preserve">Retail Demand Jurisdictional Factor - Transmission    </w:t>
      </w:r>
      <w:r w:rsidRPr="00EE50C1">
        <w:tab/>
        <w:t xml:space="preserve"> 88.7974%</w:t>
      </w:r>
    </w:p>
    <w:p w:rsidR="00EB08CE" w:rsidRPr="00EE50C1" w:rsidRDefault="00EB08CE" w:rsidP="00EB08CE">
      <w:pPr>
        <w:jc w:val="both"/>
      </w:pPr>
      <w:r w:rsidRPr="00EE50C1">
        <w:t xml:space="preserve">Retail Demand Jurisdictional Factor - Base/Solar      </w:t>
      </w:r>
      <w:r w:rsidRPr="00EE50C1">
        <w:tab/>
        <w:t xml:space="preserve"> 95.6652%</w:t>
      </w:r>
    </w:p>
    <w:p w:rsidR="00EB08CE" w:rsidRPr="00EE50C1" w:rsidRDefault="00EB08CE" w:rsidP="00EB08CE">
      <w:pPr>
        <w:jc w:val="both"/>
      </w:pPr>
      <w:r w:rsidRPr="00EE50C1">
        <w:t xml:space="preserve">Retail Demand Jurisdictional Factor - Intermediate     </w:t>
      </w:r>
      <w:r w:rsidRPr="00EE50C1">
        <w:tab/>
        <w:t xml:space="preserve"> 94.1431%</w:t>
      </w:r>
    </w:p>
    <w:p w:rsidR="00EB08CE" w:rsidRPr="00EE50C1" w:rsidRDefault="00EB08CE" w:rsidP="00EB08CE">
      <w:pPr>
        <w:jc w:val="both"/>
      </w:pPr>
      <w:r w:rsidRPr="00EE50C1">
        <w:t xml:space="preserve">Retail Demand Jurisdictional Factor - Peaking       </w:t>
      </w:r>
      <w:r w:rsidRPr="00EE50C1">
        <w:tab/>
      </w:r>
      <w:r w:rsidRPr="00EE50C1">
        <w:tab/>
        <w:t xml:space="preserve"> 94.7386%</w:t>
      </w:r>
    </w:p>
    <w:p w:rsidR="00EB08CE" w:rsidRPr="00EE50C1" w:rsidRDefault="00EB08CE" w:rsidP="00EB08CE">
      <w:pPr>
        <w:jc w:val="both"/>
        <w:rPr>
          <w:b/>
          <w:bCs/>
        </w:rPr>
      </w:pPr>
      <w:r w:rsidRPr="00EE50C1">
        <w:t xml:space="preserve">Retail Demand Jurisdictional Factor - Distribution   </w:t>
      </w:r>
      <w:r w:rsidRPr="00EE50C1">
        <w:tab/>
      </w:r>
      <w:r w:rsidRPr="00EE50C1">
        <w:tab/>
        <w:t>100.0000%</w:t>
      </w:r>
    </w:p>
    <w:p w:rsidR="00EB08CE" w:rsidRPr="00EE50C1" w:rsidRDefault="00EB08CE" w:rsidP="00EB08CE">
      <w:pPr>
        <w:jc w:val="both"/>
        <w:rPr>
          <w:b/>
          <w:bCs/>
        </w:rPr>
      </w:pPr>
    </w:p>
    <w:p w:rsidR="00EB08CE" w:rsidRDefault="00EB08CE" w:rsidP="00EB08CE">
      <w:pPr>
        <w:jc w:val="both"/>
        <w:rPr>
          <w:b/>
        </w:rPr>
      </w:pPr>
      <w:r w:rsidRPr="00EE50C1">
        <w:rPr>
          <w:b/>
        </w:rPr>
        <w:t>DEF</w:t>
      </w:r>
    </w:p>
    <w:p w:rsidR="00DC64F6" w:rsidRPr="00EE50C1" w:rsidRDefault="00DC64F6" w:rsidP="00EB08CE">
      <w:pPr>
        <w:jc w:val="both"/>
        <w:rPr>
          <w:b/>
          <w:bCs/>
        </w:rPr>
      </w:pPr>
    </w:p>
    <w:p w:rsidR="00EB08CE" w:rsidRPr="00EE50C1" w:rsidRDefault="00EB08CE" w:rsidP="00EB08CE">
      <w:pPr>
        <w:spacing w:line="276" w:lineRule="auto"/>
        <w:jc w:val="both"/>
        <w:rPr>
          <w:bCs/>
        </w:rPr>
      </w:pPr>
      <w:r w:rsidRPr="00EE50C1">
        <w:rPr>
          <w:bCs/>
        </w:rPr>
        <w:tab/>
        <w:t>The Energy separation factor is calculated for each month based on retail kWh sales as a percentage of projected total kWh sales.  The remaining separation factors are below and are consistent with the Revised Stipulation and Settlement Agreement approved in Order No. PSC-13-0598-FOF-EI as well as DEF’s 2017 Second Revised and Restated Stipulation and Settlement Agreement (“2017 Agreement”), filed on August 29, 2017 in Docket No. 20170183-EI.</w:t>
      </w:r>
    </w:p>
    <w:p w:rsidR="00EB08CE" w:rsidRPr="00EE50C1" w:rsidRDefault="00EB08CE" w:rsidP="00EB08CE"/>
    <w:p w:rsidR="00EB08CE" w:rsidRPr="00EE50C1" w:rsidRDefault="00EB08CE" w:rsidP="00EB08CE">
      <w:pPr>
        <w:jc w:val="both"/>
        <w:rPr>
          <w:bCs/>
        </w:rPr>
      </w:pPr>
      <w:r w:rsidRPr="00EE50C1">
        <w:rPr>
          <w:bCs/>
        </w:rPr>
        <w:t>Transmission Average 12 CP Demand – 70.203%</w:t>
      </w:r>
    </w:p>
    <w:p w:rsidR="00EB08CE" w:rsidRPr="00EE50C1" w:rsidRDefault="00EB08CE" w:rsidP="00EB08CE">
      <w:pPr>
        <w:jc w:val="both"/>
        <w:rPr>
          <w:bCs/>
        </w:rPr>
      </w:pPr>
      <w:r w:rsidRPr="00EE50C1">
        <w:rPr>
          <w:bCs/>
        </w:rPr>
        <w:t>Distribution Primary Demand – 99.561%</w:t>
      </w:r>
    </w:p>
    <w:p w:rsidR="00EB08CE" w:rsidRPr="00EE50C1" w:rsidRDefault="00EB08CE" w:rsidP="00EB08CE">
      <w:pPr>
        <w:jc w:val="both"/>
        <w:rPr>
          <w:bCs/>
        </w:rPr>
      </w:pPr>
    </w:p>
    <w:p w:rsidR="00EB08CE" w:rsidRPr="00EE50C1" w:rsidRDefault="00EB08CE" w:rsidP="00EB08CE">
      <w:pPr>
        <w:jc w:val="both"/>
        <w:rPr>
          <w:bCs/>
        </w:rPr>
      </w:pPr>
      <w:r w:rsidRPr="00EE50C1">
        <w:rPr>
          <w:bCs/>
        </w:rPr>
        <w:t>Production Demand:</w:t>
      </w:r>
    </w:p>
    <w:p w:rsidR="00EB08CE" w:rsidRPr="00EE50C1" w:rsidRDefault="00EB08CE" w:rsidP="00EB08CE">
      <w:pPr>
        <w:jc w:val="both"/>
        <w:rPr>
          <w:bCs/>
        </w:rPr>
      </w:pPr>
      <w:r w:rsidRPr="00EE50C1">
        <w:rPr>
          <w:bCs/>
        </w:rPr>
        <w:t>Production Base – 92.885%</w:t>
      </w:r>
    </w:p>
    <w:p w:rsidR="00EB08CE" w:rsidRPr="00EE50C1" w:rsidRDefault="00EB08CE" w:rsidP="00EB08CE">
      <w:pPr>
        <w:jc w:val="both"/>
        <w:rPr>
          <w:bCs/>
        </w:rPr>
      </w:pPr>
      <w:r w:rsidRPr="00EE50C1">
        <w:rPr>
          <w:bCs/>
        </w:rPr>
        <w:t>Production Intermediate – 72.703%</w:t>
      </w:r>
    </w:p>
    <w:p w:rsidR="00EB08CE" w:rsidRPr="00EE50C1" w:rsidRDefault="00EB08CE" w:rsidP="00EB08CE">
      <w:pPr>
        <w:jc w:val="both"/>
        <w:rPr>
          <w:bCs/>
        </w:rPr>
      </w:pPr>
      <w:r w:rsidRPr="00EE50C1">
        <w:rPr>
          <w:bCs/>
        </w:rPr>
        <w:t>Production Peaking – 95.924%</w:t>
      </w:r>
    </w:p>
    <w:p w:rsidR="00EB08CE" w:rsidRPr="00EE50C1" w:rsidRDefault="00EB08CE" w:rsidP="00EB08CE">
      <w:pPr>
        <w:spacing w:after="240"/>
        <w:jc w:val="both"/>
        <w:rPr>
          <w:bCs/>
        </w:rPr>
      </w:pPr>
      <w:r w:rsidRPr="00EE50C1">
        <w:rPr>
          <w:bCs/>
        </w:rPr>
        <w:t>Production A&amp;G – 93.221%</w:t>
      </w:r>
    </w:p>
    <w:p w:rsidR="00EB08CE" w:rsidRPr="00EE50C1" w:rsidRDefault="00EB08CE" w:rsidP="00EB08CE">
      <w:pPr>
        <w:spacing w:after="240"/>
        <w:jc w:val="both"/>
        <w:rPr>
          <w:bCs/>
        </w:rPr>
      </w:pPr>
      <w:r w:rsidRPr="00EE50C1">
        <w:rPr>
          <w:b/>
        </w:rPr>
        <w:t>TECO</w:t>
      </w:r>
    </w:p>
    <w:p w:rsidR="00EB08CE" w:rsidRPr="00EE50C1" w:rsidRDefault="00EB08CE" w:rsidP="00EB08CE">
      <w:pPr>
        <w:ind w:left="1440" w:right="-360" w:hanging="1440"/>
        <w:jc w:val="both"/>
      </w:pPr>
      <w:r w:rsidRPr="00EE50C1">
        <w:t>Energy: 100.00%</w:t>
      </w:r>
    </w:p>
    <w:p w:rsidR="00EB08CE" w:rsidRPr="00EE50C1" w:rsidRDefault="00EB08CE" w:rsidP="00EB08CE">
      <w:pPr>
        <w:spacing w:after="240"/>
        <w:jc w:val="both"/>
      </w:pPr>
      <w:r w:rsidRPr="00EE50C1">
        <w:t>Demand: 100.00%</w:t>
      </w:r>
    </w:p>
    <w:p w:rsidR="00EB08CE" w:rsidRPr="00EE50C1" w:rsidRDefault="00EB08CE" w:rsidP="00EB08CE">
      <w:pPr>
        <w:spacing w:after="240"/>
        <w:jc w:val="both"/>
        <w:rPr>
          <w:b/>
        </w:rPr>
      </w:pPr>
      <w:r w:rsidRPr="00EE50C1">
        <w:rPr>
          <w:b/>
        </w:rPr>
        <w:t>GULF</w:t>
      </w:r>
    </w:p>
    <w:p w:rsidR="00EB08CE" w:rsidRPr="00EE50C1" w:rsidRDefault="00EB08CE" w:rsidP="00EB08CE">
      <w:pPr>
        <w:spacing w:after="240"/>
        <w:jc w:val="both"/>
        <w:rPr>
          <w:b/>
        </w:rPr>
      </w:pPr>
      <w:r w:rsidRPr="00EE50C1">
        <w:tab/>
        <w:t>The demand jurisdictional separation factor is 97.18277%.  Energy jurisdictional separation factors are calculated each month based on retail kWh sales as a percentage of projected total territorial kWh sales.</w:t>
      </w:r>
    </w:p>
    <w:p w:rsidR="00EB08CE" w:rsidRPr="00EE50C1" w:rsidRDefault="00EB08CE" w:rsidP="00EB08CE">
      <w:pPr>
        <w:rPr>
          <w:u w:val="single"/>
        </w:rPr>
      </w:pPr>
    </w:p>
    <w:p w:rsidR="00EB08CE" w:rsidRPr="00EE50C1" w:rsidRDefault="00EB08CE" w:rsidP="00EB08CE">
      <w:pPr>
        <w:spacing w:after="240"/>
        <w:jc w:val="both"/>
        <w:rPr>
          <w:b/>
        </w:rPr>
      </w:pPr>
      <w:r w:rsidRPr="00EE50C1">
        <w:rPr>
          <w:b/>
        </w:rPr>
        <w:t xml:space="preserve">7. </w:t>
      </w:r>
      <w:r w:rsidRPr="00EE50C1">
        <w:rPr>
          <w:b/>
        </w:rPr>
        <w:tab/>
        <w:t xml:space="preserve">Environmental Cost Recovery Factors for January 2018 through December 2018, </w:t>
      </w:r>
      <w:r w:rsidRPr="00EE50C1">
        <w:rPr>
          <w:b/>
        </w:rPr>
        <w:tab/>
        <w:t>by Rate Group</w:t>
      </w:r>
    </w:p>
    <w:p w:rsidR="00EB08CE" w:rsidRPr="00EE50C1" w:rsidRDefault="00EB08CE" w:rsidP="00EB08CE">
      <w:pPr>
        <w:spacing w:after="240"/>
        <w:jc w:val="both"/>
      </w:pPr>
      <w:r w:rsidRPr="00EE50C1">
        <w:tab/>
        <w:t>The appropriate environmental cost recovery factors for the period January 2018 through December 2018 for each rate group are as follows:</w:t>
      </w:r>
    </w:p>
    <w:p w:rsidR="00EB08CE" w:rsidRPr="00EE50C1" w:rsidRDefault="00EB08CE" w:rsidP="00EB08CE">
      <w:pPr>
        <w:spacing w:after="240"/>
        <w:jc w:val="both"/>
        <w:rPr>
          <w:b/>
        </w:rPr>
      </w:pPr>
      <w:r w:rsidRPr="00EE50C1">
        <w:rPr>
          <w:b/>
        </w:rPr>
        <w:t>*FPL</w:t>
      </w:r>
    </w:p>
    <w:tbl>
      <w:tblPr>
        <w:tblW w:w="6357" w:type="dxa"/>
        <w:tblLook w:val="04A0" w:firstRow="1" w:lastRow="0" w:firstColumn="1" w:lastColumn="0" w:noHBand="0" w:noVBand="1"/>
      </w:tblPr>
      <w:tblGrid>
        <w:gridCol w:w="3937"/>
        <w:gridCol w:w="2420"/>
      </w:tblGrid>
      <w:tr w:rsidR="00EB08CE" w:rsidRPr="00EE50C1" w:rsidTr="00BF6EC0">
        <w:trPr>
          <w:trHeight w:val="915"/>
          <w:tblHeader/>
        </w:trPr>
        <w:tc>
          <w:tcPr>
            <w:tcW w:w="3937"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EB08CE" w:rsidRPr="00EE50C1" w:rsidRDefault="00EB08CE" w:rsidP="00BF6EC0">
            <w:pPr>
              <w:jc w:val="center"/>
              <w:rPr>
                <w:b/>
              </w:rPr>
            </w:pPr>
            <w:r w:rsidRPr="00EE50C1">
              <w:rPr>
                <w:b/>
              </w:rPr>
              <w:t>Rate Class</w:t>
            </w:r>
          </w:p>
        </w:tc>
        <w:tc>
          <w:tcPr>
            <w:tcW w:w="242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EB08CE" w:rsidRPr="00EE50C1" w:rsidRDefault="00EB08CE" w:rsidP="00BF6EC0">
            <w:pPr>
              <w:jc w:val="center"/>
              <w:rPr>
                <w:b/>
              </w:rPr>
            </w:pPr>
            <w:r w:rsidRPr="00EE50C1">
              <w:rPr>
                <w:b/>
              </w:rPr>
              <w:t>Environmental Cost</w:t>
            </w:r>
          </w:p>
          <w:p w:rsidR="00EB08CE" w:rsidRPr="00EE50C1" w:rsidRDefault="00EB08CE" w:rsidP="00BF6EC0">
            <w:pPr>
              <w:jc w:val="center"/>
              <w:rPr>
                <w:b/>
              </w:rPr>
            </w:pPr>
            <w:r w:rsidRPr="00EE50C1">
              <w:rPr>
                <w:b/>
              </w:rPr>
              <w:t>Recovery Factor</w:t>
            </w:r>
          </w:p>
          <w:p w:rsidR="00EB08CE" w:rsidRPr="00EE50C1" w:rsidRDefault="00EB08CE" w:rsidP="00BF6EC0">
            <w:pPr>
              <w:jc w:val="center"/>
              <w:rPr>
                <w:b/>
              </w:rPr>
            </w:pPr>
            <w:r w:rsidRPr="00EE50C1">
              <w:rPr>
                <w:b/>
              </w:rPr>
              <w:t>(cents/kWh)</w:t>
            </w:r>
          </w:p>
        </w:tc>
      </w:tr>
      <w:tr w:rsidR="00EB08CE" w:rsidRPr="00EE50C1" w:rsidTr="00BF6EC0">
        <w:trPr>
          <w:trHeight w:val="285"/>
        </w:trPr>
        <w:tc>
          <w:tcPr>
            <w:tcW w:w="3937" w:type="dxa"/>
            <w:tcBorders>
              <w:top w:val="nil"/>
              <w:left w:val="single" w:sz="8" w:space="0" w:color="auto"/>
              <w:bottom w:val="nil"/>
              <w:right w:val="nil"/>
            </w:tcBorders>
            <w:shd w:val="clear" w:color="auto" w:fill="auto"/>
            <w:noWrap/>
            <w:vAlign w:val="bottom"/>
            <w:hideMark/>
          </w:tcPr>
          <w:p w:rsidR="00EB08CE" w:rsidRPr="00EE50C1" w:rsidRDefault="00EB08CE" w:rsidP="00BF6EC0">
            <w:r w:rsidRPr="00EE50C1">
              <w:t>RS1/RTR1</w:t>
            </w:r>
          </w:p>
        </w:tc>
        <w:tc>
          <w:tcPr>
            <w:tcW w:w="2420" w:type="dxa"/>
            <w:tcBorders>
              <w:top w:val="nil"/>
              <w:left w:val="single" w:sz="8" w:space="0" w:color="auto"/>
              <w:bottom w:val="nil"/>
              <w:right w:val="single" w:sz="8" w:space="0" w:color="auto"/>
            </w:tcBorders>
            <w:shd w:val="clear" w:color="auto" w:fill="auto"/>
            <w:noWrap/>
            <w:vAlign w:val="bottom"/>
            <w:hideMark/>
          </w:tcPr>
          <w:p w:rsidR="00EB08CE" w:rsidRPr="00EE50C1" w:rsidRDefault="00EB08CE" w:rsidP="00BF6EC0">
            <w:pPr>
              <w:jc w:val="center"/>
              <w:rPr>
                <w:color w:val="000000"/>
              </w:rPr>
            </w:pPr>
            <w:r w:rsidRPr="00EE50C1">
              <w:rPr>
                <w:color w:val="000000"/>
              </w:rPr>
              <w:t>0.159</w:t>
            </w:r>
          </w:p>
        </w:tc>
      </w:tr>
      <w:tr w:rsidR="00EB08CE" w:rsidRPr="00EE50C1" w:rsidTr="00BF6EC0">
        <w:trPr>
          <w:trHeight w:val="285"/>
        </w:trPr>
        <w:tc>
          <w:tcPr>
            <w:tcW w:w="3937" w:type="dxa"/>
            <w:tcBorders>
              <w:top w:val="nil"/>
              <w:left w:val="single" w:sz="8" w:space="0" w:color="auto"/>
              <w:bottom w:val="nil"/>
              <w:right w:val="nil"/>
            </w:tcBorders>
            <w:shd w:val="clear" w:color="auto" w:fill="auto"/>
            <w:noWrap/>
            <w:vAlign w:val="bottom"/>
            <w:hideMark/>
          </w:tcPr>
          <w:p w:rsidR="00EB08CE" w:rsidRPr="00EE50C1" w:rsidRDefault="00EB08CE" w:rsidP="00BF6EC0">
            <w:r w:rsidRPr="00EE50C1">
              <w:t>GS1/GST1</w:t>
            </w:r>
          </w:p>
        </w:tc>
        <w:tc>
          <w:tcPr>
            <w:tcW w:w="2420" w:type="dxa"/>
            <w:tcBorders>
              <w:top w:val="nil"/>
              <w:left w:val="single" w:sz="8" w:space="0" w:color="auto"/>
              <w:bottom w:val="nil"/>
              <w:right w:val="single" w:sz="8" w:space="0" w:color="auto"/>
            </w:tcBorders>
            <w:shd w:val="clear" w:color="auto" w:fill="auto"/>
            <w:noWrap/>
            <w:vAlign w:val="bottom"/>
            <w:hideMark/>
          </w:tcPr>
          <w:p w:rsidR="00EB08CE" w:rsidRPr="00EE50C1" w:rsidRDefault="00EB08CE" w:rsidP="00BF6EC0">
            <w:pPr>
              <w:jc w:val="center"/>
              <w:rPr>
                <w:color w:val="000000"/>
              </w:rPr>
            </w:pPr>
            <w:r w:rsidRPr="00EE50C1">
              <w:rPr>
                <w:color w:val="000000"/>
              </w:rPr>
              <w:t>0.150</w:t>
            </w:r>
          </w:p>
        </w:tc>
      </w:tr>
      <w:tr w:rsidR="00EB08CE" w:rsidRPr="00EE50C1" w:rsidTr="00BF6EC0">
        <w:trPr>
          <w:trHeight w:val="285"/>
        </w:trPr>
        <w:tc>
          <w:tcPr>
            <w:tcW w:w="3937" w:type="dxa"/>
            <w:tcBorders>
              <w:top w:val="nil"/>
              <w:left w:val="single" w:sz="8" w:space="0" w:color="auto"/>
              <w:bottom w:val="nil"/>
              <w:right w:val="nil"/>
            </w:tcBorders>
            <w:shd w:val="clear" w:color="auto" w:fill="auto"/>
            <w:noWrap/>
            <w:vAlign w:val="bottom"/>
            <w:hideMark/>
          </w:tcPr>
          <w:p w:rsidR="00EB08CE" w:rsidRPr="00EE50C1" w:rsidRDefault="00EB08CE" w:rsidP="00BF6EC0">
            <w:r w:rsidRPr="00EE50C1">
              <w:t>GSD1/GSDT1/HLFT1</w:t>
            </w:r>
          </w:p>
        </w:tc>
        <w:tc>
          <w:tcPr>
            <w:tcW w:w="2420" w:type="dxa"/>
            <w:tcBorders>
              <w:top w:val="nil"/>
              <w:left w:val="single" w:sz="8" w:space="0" w:color="auto"/>
              <w:bottom w:val="nil"/>
              <w:right w:val="single" w:sz="8" w:space="0" w:color="auto"/>
            </w:tcBorders>
            <w:shd w:val="clear" w:color="auto" w:fill="auto"/>
            <w:noWrap/>
            <w:vAlign w:val="bottom"/>
            <w:hideMark/>
          </w:tcPr>
          <w:p w:rsidR="00EB08CE" w:rsidRPr="00EE50C1" w:rsidRDefault="00EB08CE" w:rsidP="00BF6EC0">
            <w:pPr>
              <w:jc w:val="center"/>
              <w:rPr>
                <w:color w:val="000000"/>
              </w:rPr>
            </w:pPr>
            <w:r w:rsidRPr="00EE50C1">
              <w:rPr>
                <w:color w:val="000000"/>
              </w:rPr>
              <w:t>0.136</w:t>
            </w:r>
          </w:p>
        </w:tc>
      </w:tr>
      <w:tr w:rsidR="00EB08CE" w:rsidRPr="00EE50C1" w:rsidTr="00BF6EC0">
        <w:trPr>
          <w:trHeight w:val="285"/>
        </w:trPr>
        <w:tc>
          <w:tcPr>
            <w:tcW w:w="3937" w:type="dxa"/>
            <w:tcBorders>
              <w:top w:val="nil"/>
              <w:left w:val="single" w:sz="8" w:space="0" w:color="auto"/>
              <w:bottom w:val="nil"/>
              <w:right w:val="nil"/>
            </w:tcBorders>
            <w:shd w:val="clear" w:color="auto" w:fill="auto"/>
            <w:noWrap/>
            <w:vAlign w:val="bottom"/>
            <w:hideMark/>
          </w:tcPr>
          <w:p w:rsidR="00EB08CE" w:rsidRPr="00EE50C1" w:rsidRDefault="00EB08CE" w:rsidP="00BF6EC0">
            <w:r w:rsidRPr="00EE50C1">
              <w:t>OS2</w:t>
            </w:r>
          </w:p>
        </w:tc>
        <w:tc>
          <w:tcPr>
            <w:tcW w:w="2420" w:type="dxa"/>
            <w:tcBorders>
              <w:top w:val="nil"/>
              <w:left w:val="single" w:sz="8" w:space="0" w:color="auto"/>
              <w:bottom w:val="nil"/>
              <w:right w:val="single" w:sz="8" w:space="0" w:color="auto"/>
            </w:tcBorders>
            <w:shd w:val="clear" w:color="auto" w:fill="auto"/>
            <w:noWrap/>
            <w:vAlign w:val="bottom"/>
            <w:hideMark/>
          </w:tcPr>
          <w:p w:rsidR="00EB08CE" w:rsidRPr="00EE50C1" w:rsidRDefault="00EB08CE" w:rsidP="00BF6EC0">
            <w:pPr>
              <w:jc w:val="center"/>
              <w:rPr>
                <w:color w:val="000000"/>
              </w:rPr>
            </w:pPr>
            <w:r w:rsidRPr="00EE50C1">
              <w:rPr>
                <w:color w:val="000000"/>
              </w:rPr>
              <w:t>0.083</w:t>
            </w:r>
          </w:p>
        </w:tc>
      </w:tr>
      <w:tr w:rsidR="00EB08CE" w:rsidRPr="00EE50C1" w:rsidTr="00BF6EC0">
        <w:trPr>
          <w:trHeight w:val="285"/>
        </w:trPr>
        <w:tc>
          <w:tcPr>
            <w:tcW w:w="3937" w:type="dxa"/>
            <w:tcBorders>
              <w:top w:val="nil"/>
              <w:left w:val="single" w:sz="8" w:space="0" w:color="auto"/>
              <w:bottom w:val="nil"/>
              <w:right w:val="nil"/>
            </w:tcBorders>
            <w:shd w:val="clear" w:color="auto" w:fill="auto"/>
            <w:noWrap/>
            <w:vAlign w:val="bottom"/>
            <w:hideMark/>
          </w:tcPr>
          <w:p w:rsidR="00EB08CE" w:rsidRPr="00EE50C1" w:rsidRDefault="00EB08CE" w:rsidP="00BF6EC0">
            <w:r w:rsidRPr="00EE50C1">
              <w:t>GSLD1/GSLDT1/CS1/CST1/HLFT2</w:t>
            </w:r>
          </w:p>
        </w:tc>
        <w:tc>
          <w:tcPr>
            <w:tcW w:w="2420" w:type="dxa"/>
            <w:tcBorders>
              <w:top w:val="nil"/>
              <w:left w:val="single" w:sz="8" w:space="0" w:color="auto"/>
              <w:bottom w:val="nil"/>
              <w:right w:val="single" w:sz="8" w:space="0" w:color="auto"/>
            </w:tcBorders>
            <w:shd w:val="clear" w:color="auto" w:fill="auto"/>
            <w:noWrap/>
            <w:vAlign w:val="bottom"/>
            <w:hideMark/>
          </w:tcPr>
          <w:p w:rsidR="00EB08CE" w:rsidRPr="00EE50C1" w:rsidRDefault="00EB08CE" w:rsidP="00BF6EC0">
            <w:pPr>
              <w:jc w:val="center"/>
              <w:rPr>
                <w:color w:val="000000"/>
              </w:rPr>
            </w:pPr>
            <w:r w:rsidRPr="00EE50C1">
              <w:rPr>
                <w:color w:val="000000"/>
              </w:rPr>
              <w:t>0.131</w:t>
            </w:r>
          </w:p>
        </w:tc>
      </w:tr>
      <w:tr w:rsidR="00EB08CE" w:rsidRPr="00EE50C1" w:rsidTr="00BF6EC0">
        <w:trPr>
          <w:trHeight w:val="285"/>
        </w:trPr>
        <w:tc>
          <w:tcPr>
            <w:tcW w:w="3937" w:type="dxa"/>
            <w:tcBorders>
              <w:top w:val="nil"/>
              <w:left w:val="single" w:sz="8" w:space="0" w:color="auto"/>
              <w:bottom w:val="nil"/>
              <w:right w:val="nil"/>
            </w:tcBorders>
            <w:shd w:val="clear" w:color="auto" w:fill="auto"/>
            <w:noWrap/>
            <w:vAlign w:val="bottom"/>
            <w:hideMark/>
          </w:tcPr>
          <w:p w:rsidR="00EB08CE" w:rsidRPr="00EE50C1" w:rsidRDefault="00EB08CE" w:rsidP="00BF6EC0">
            <w:r w:rsidRPr="00EE50C1">
              <w:t>GSLD2/GSLDT2/CS2/CST2/HLFT3</w:t>
            </w:r>
          </w:p>
        </w:tc>
        <w:tc>
          <w:tcPr>
            <w:tcW w:w="2420" w:type="dxa"/>
            <w:tcBorders>
              <w:top w:val="nil"/>
              <w:left w:val="single" w:sz="8" w:space="0" w:color="auto"/>
              <w:bottom w:val="nil"/>
              <w:right w:val="single" w:sz="8" w:space="0" w:color="auto"/>
            </w:tcBorders>
            <w:shd w:val="clear" w:color="auto" w:fill="auto"/>
            <w:noWrap/>
            <w:vAlign w:val="bottom"/>
            <w:hideMark/>
          </w:tcPr>
          <w:p w:rsidR="00EB08CE" w:rsidRPr="00EE50C1" w:rsidRDefault="00EB08CE" w:rsidP="00BF6EC0">
            <w:pPr>
              <w:jc w:val="center"/>
              <w:rPr>
                <w:color w:val="000000"/>
              </w:rPr>
            </w:pPr>
            <w:r w:rsidRPr="00EE50C1">
              <w:rPr>
                <w:color w:val="000000"/>
              </w:rPr>
              <w:t>0.115</w:t>
            </w:r>
          </w:p>
        </w:tc>
      </w:tr>
      <w:tr w:rsidR="00EB08CE" w:rsidRPr="00EE50C1" w:rsidTr="00BF6EC0">
        <w:trPr>
          <w:trHeight w:val="285"/>
        </w:trPr>
        <w:tc>
          <w:tcPr>
            <w:tcW w:w="3937" w:type="dxa"/>
            <w:tcBorders>
              <w:top w:val="nil"/>
              <w:left w:val="single" w:sz="8" w:space="0" w:color="auto"/>
              <w:bottom w:val="nil"/>
              <w:right w:val="nil"/>
            </w:tcBorders>
            <w:shd w:val="clear" w:color="auto" w:fill="auto"/>
            <w:noWrap/>
            <w:vAlign w:val="bottom"/>
            <w:hideMark/>
          </w:tcPr>
          <w:p w:rsidR="00EB08CE" w:rsidRPr="00EE50C1" w:rsidRDefault="00EB08CE" w:rsidP="00BF6EC0">
            <w:r w:rsidRPr="00EE50C1">
              <w:t>GSLD3/GSLDT3/CS3/CST3</w:t>
            </w:r>
          </w:p>
        </w:tc>
        <w:tc>
          <w:tcPr>
            <w:tcW w:w="2420" w:type="dxa"/>
            <w:tcBorders>
              <w:top w:val="nil"/>
              <w:left w:val="single" w:sz="8" w:space="0" w:color="auto"/>
              <w:bottom w:val="nil"/>
              <w:right w:val="single" w:sz="8" w:space="0" w:color="auto"/>
            </w:tcBorders>
            <w:shd w:val="clear" w:color="auto" w:fill="auto"/>
            <w:noWrap/>
            <w:vAlign w:val="bottom"/>
            <w:hideMark/>
          </w:tcPr>
          <w:p w:rsidR="00EB08CE" w:rsidRPr="00EE50C1" w:rsidRDefault="00EB08CE" w:rsidP="00BF6EC0">
            <w:pPr>
              <w:jc w:val="center"/>
              <w:rPr>
                <w:color w:val="000000"/>
              </w:rPr>
            </w:pPr>
            <w:r w:rsidRPr="00EE50C1">
              <w:rPr>
                <w:color w:val="000000"/>
              </w:rPr>
              <w:t>0.116</w:t>
            </w:r>
          </w:p>
        </w:tc>
      </w:tr>
      <w:tr w:rsidR="00EB08CE" w:rsidRPr="00EE50C1" w:rsidTr="00BF6EC0">
        <w:trPr>
          <w:trHeight w:val="285"/>
        </w:trPr>
        <w:tc>
          <w:tcPr>
            <w:tcW w:w="3937" w:type="dxa"/>
            <w:tcBorders>
              <w:top w:val="nil"/>
              <w:left w:val="single" w:sz="8" w:space="0" w:color="auto"/>
              <w:bottom w:val="nil"/>
              <w:right w:val="nil"/>
            </w:tcBorders>
            <w:shd w:val="clear" w:color="auto" w:fill="auto"/>
            <w:noWrap/>
            <w:vAlign w:val="bottom"/>
            <w:hideMark/>
          </w:tcPr>
          <w:p w:rsidR="00EB08CE" w:rsidRPr="00EE50C1" w:rsidRDefault="00EB08CE" w:rsidP="00BF6EC0">
            <w:r w:rsidRPr="00EE50C1">
              <w:t>SST1T</w:t>
            </w:r>
          </w:p>
        </w:tc>
        <w:tc>
          <w:tcPr>
            <w:tcW w:w="2420" w:type="dxa"/>
            <w:tcBorders>
              <w:top w:val="nil"/>
              <w:left w:val="single" w:sz="8" w:space="0" w:color="auto"/>
              <w:bottom w:val="nil"/>
              <w:right w:val="single" w:sz="8" w:space="0" w:color="auto"/>
            </w:tcBorders>
            <w:shd w:val="clear" w:color="auto" w:fill="auto"/>
            <w:noWrap/>
            <w:vAlign w:val="bottom"/>
            <w:hideMark/>
          </w:tcPr>
          <w:p w:rsidR="00EB08CE" w:rsidRPr="00EE50C1" w:rsidRDefault="00EB08CE" w:rsidP="00BF6EC0">
            <w:pPr>
              <w:jc w:val="center"/>
              <w:rPr>
                <w:color w:val="000000"/>
              </w:rPr>
            </w:pPr>
            <w:r w:rsidRPr="00EE50C1">
              <w:rPr>
                <w:color w:val="000000"/>
              </w:rPr>
              <w:t>0.102</w:t>
            </w:r>
          </w:p>
        </w:tc>
      </w:tr>
      <w:tr w:rsidR="00EB08CE" w:rsidRPr="00EE50C1" w:rsidTr="00BF6EC0">
        <w:trPr>
          <w:trHeight w:val="285"/>
        </w:trPr>
        <w:tc>
          <w:tcPr>
            <w:tcW w:w="3937" w:type="dxa"/>
            <w:tcBorders>
              <w:top w:val="nil"/>
              <w:left w:val="single" w:sz="8" w:space="0" w:color="auto"/>
              <w:bottom w:val="nil"/>
              <w:right w:val="nil"/>
            </w:tcBorders>
            <w:shd w:val="clear" w:color="auto" w:fill="auto"/>
            <w:noWrap/>
            <w:vAlign w:val="bottom"/>
            <w:hideMark/>
          </w:tcPr>
          <w:p w:rsidR="00EB08CE" w:rsidRPr="00EE50C1" w:rsidRDefault="00EB08CE" w:rsidP="00BF6EC0">
            <w:r w:rsidRPr="00EE50C1">
              <w:t>SST1D1/SST1D2/SST1D3</w:t>
            </w:r>
          </w:p>
        </w:tc>
        <w:tc>
          <w:tcPr>
            <w:tcW w:w="2420" w:type="dxa"/>
            <w:tcBorders>
              <w:top w:val="nil"/>
              <w:left w:val="single" w:sz="8" w:space="0" w:color="auto"/>
              <w:bottom w:val="nil"/>
              <w:right w:val="single" w:sz="8" w:space="0" w:color="auto"/>
            </w:tcBorders>
            <w:shd w:val="clear" w:color="auto" w:fill="auto"/>
            <w:noWrap/>
            <w:vAlign w:val="bottom"/>
            <w:hideMark/>
          </w:tcPr>
          <w:p w:rsidR="00EB08CE" w:rsidRPr="00EE50C1" w:rsidRDefault="00EB08CE" w:rsidP="00BF6EC0">
            <w:pPr>
              <w:jc w:val="center"/>
              <w:rPr>
                <w:color w:val="000000"/>
              </w:rPr>
            </w:pPr>
            <w:r w:rsidRPr="00EE50C1">
              <w:rPr>
                <w:color w:val="000000"/>
              </w:rPr>
              <w:t>0.126</w:t>
            </w:r>
          </w:p>
        </w:tc>
      </w:tr>
      <w:tr w:rsidR="00EB08CE" w:rsidRPr="00EE50C1" w:rsidTr="00BF6EC0">
        <w:trPr>
          <w:trHeight w:val="285"/>
        </w:trPr>
        <w:tc>
          <w:tcPr>
            <w:tcW w:w="3937" w:type="dxa"/>
            <w:tcBorders>
              <w:top w:val="nil"/>
              <w:left w:val="single" w:sz="8" w:space="0" w:color="auto"/>
              <w:bottom w:val="nil"/>
              <w:right w:val="nil"/>
            </w:tcBorders>
            <w:shd w:val="clear" w:color="auto" w:fill="auto"/>
            <w:noWrap/>
            <w:vAlign w:val="bottom"/>
            <w:hideMark/>
          </w:tcPr>
          <w:p w:rsidR="00EB08CE" w:rsidRPr="00EE50C1" w:rsidRDefault="00EB08CE" w:rsidP="00BF6EC0">
            <w:r w:rsidRPr="00EE50C1">
              <w:t>CILC D/CILC G</w:t>
            </w:r>
          </w:p>
        </w:tc>
        <w:tc>
          <w:tcPr>
            <w:tcW w:w="2420" w:type="dxa"/>
            <w:tcBorders>
              <w:top w:val="nil"/>
              <w:left w:val="single" w:sz="8" w:space="0" w:color="auto"/>
              <w:bottom w:val="nil"/>
              <w:right w:val="single" w:sz="8" w:space="0" w:color="auto"/>
            </w:tcBorders>
            <w:shd w:val="clear" w:color="auto" w:fill="auto"/>
            <w:noWrap/>
            <w:vAlign w:val="bottom"/>
            <w:hideMark/>
          </w:tcPr>
          <w:p w:rsidR="00EB08CE" w:rsidRPr="00EE50C1" w:rsidRDefault="00EB08CE" w:rsidP="00BF6EC0">
            <w:pPr>
              <w:jc w:val="center"/>
              <w:rPr>
                <w:color w:val="000000"/>
              </w:rPr>
            </w:pPr>
            <w:r w:rsidRPr="00EE50C1">
              <w:rPr>
                <w:color w:val="000000"/>
              </w:rPr>
              <w:t>0.116</w:t>
            </w:r>
          </w:p>
        </w:tc>
      </w:tr>
      <w:tr w:rsidR="00EB08CE" w:rsidRPr="00EE50C1" w:rsidTr="00BF6EC0">
        <w:trPr>
          <w:trHeight w:val="285"/>
        </w:trPr>
        <w:tc>
          <w:tcPr>
            <w:tcW w:w="3937" w:type="dxa"/>
            <w:tcBorders>
              <w:top w:val="nil"/>
              <w:left w:val="single" w:sz="8" w:space="0" w:color="auto"/>
              <w:bottom w:val="nil"/>
              <w:right w:val="nil"/>
            </w:tcBorders>
            <w:shd w:val="clear" w:color="auto" w:fill="auto"/>
            <w:noWrap/>
            <w:vAlign w:val="bottom"/>
            <w:hideMark/>
          </w:tcPr>
          <w:p w:rsidR="00EB08CE" w:rsidRPr="00EE50C1" w:rsidRDefault="00EB08CE" w:rsidP="00BF6EC0">
            <w:r w:rsidRPr="00EE50C1">
              <w:t>CILC T</w:t>
            </w:r>
          </w:p>
        </w:tc>
        <w:tc>
          <w:tcPr>
            <w:tcW w:w="2420" w:type="dxa"/>
            <w:tcBorders>
              <w:top w:val="nil"/>
              <w:left w:val="single" w:sz="8" w:space="0" w:color="auto"/>
              <w:bottom w:val="nil"/>
              <w:right w:val="single" w:sz="8" w:space="0" w:color="auto"/>
            </w:tcBorders>
            <w:shd w:val="clear" w:color="auto" w:fill="auto"/>
            <w:noWrap/>
            <w:vAlign w:val="bottom"/>
            <w:hideMark/>
          </w:tcPr>
          <w:p w:rsidR="00EB08CE" w:rsidRPr="00EE50C1" w:rsidRDefault="00EB08CE" w:rsidP="00BF6EC0">
            <w:pPr>
              <w:jc w:val="center"/>
              <w:rPr>
                <w:color w:val="000000"/>
              </w:rPr>
            </w:pPr>
            <w:r w:rsidRPr="00EE50C1">
              <w:rPr>
                <w:color w:val="000000"/>
              </w:rPr>
              <w:t>0.109</w:t>
            </w:r>
          </w:p>
        </w:tc>
      </w:tr>
      <w:tr w:rsidR="00EB08CE" w:rsidRPr="00EE50C1" w:rsidTr="00BF6EC0">
        <w:trPr>
          <w:trHeight w:val="285"/>
        </w:trPr>
        <w:tc>
          <w:tcPr>
            <w:tcW w:w="3937" w:type="dxa"/>
            <w:tcBorders>
              <w:top w:val="nil"/>
              <w:left w:val="single" w:sz="8" w:space="0" w:color="auto"/>
              <w:bottom w:val="nil"/>
              <w:right w:val="nil"/>
            </w:tcBorders>
            <w:shd w:val="clear" w:color="auto" w:fill="auto"/>
            <w:noWrap/>
            <w:vAlign w:val="bottom"/>
            <w:hideMark/>
          </w:tcPr>
          <w:p w:rsidR="00EB08CE" w:rsidRPr="00EE50C1" w:rsidRDefault="00EB08CE" w:rsidP="00BF6EC0">
            <w:r w:rsidRPr="00EE50C1">
              <w:t>MET</w:t>
            </w:r>
          </w:p>
        </w:tc>
        <w:tc>
          <w:tcPr>
            <w:tcW w:w="2420" w:type="dxa"/>
            <w:tcBorders>
              <w:top w:val="nil"/>
              <w:left w:val="single" w:sz="8" w:space="0" w:color="auto"/>
              <w:bottom w:val="nil"/>
              <w:right w:val="single" w:sz="8" w:space="0" w:color="auto"/>
            </w:tcBorders>
            <w:shd w:val="clear" w:color="auto" w:fill="auto"/>
            <w:noWrap/>
            <w:vAlign w:val="bottom"/>
            <w:hideMark/>
          </w:tcPr>
          <w:p w:rsidR="00EB08CE" w:rsidRPr="00EE50C1" w:rsidRDefault="00EB08CE" w:rsidP="00BF6EC0">
            <w:pPr>
              <w:jc w:val="center"/>
              <w:rPr>
                <w:color w:val="000000"/>
              </w:rPr>
            </w:pPr>
            <w:r w:rsidRPr="00EE50C1">
              <w:rPr>
                <w:color w:val="000000"/>
              </w:rPr>
              <w:t>0.128</w:t>
            </w:r>
          </w:p>
        </w:tc>
      </w:tr>
      <w:tr w:rsidR="00EB08CE" w:rsidRPr="00EE50C1" w:rsidTr="00BF6EC0">
        <w:trPr>
          <w:trHeight w:val="285"/>
        </w:trPr>
        <w:tc>
          <w:tcPr>
            <w:tcW w:w="3937" w:type="dxa"/>
            <w:tcBorders>
              <w:top w:val="nil"/>
              <w:left w:val="single" w:sz="8" w:space="0" w:color="auto"/>
              <w:bottom w:val="nil"/>
              <w:right w:val="nil"/>
            </w:tcBorders>
            <w:shd w:val="clear" w:color="auto" w:fill="auto"/>
            <w:noWrap/>
            <w:vAlign w:val="bottom"/>
            <w:hideMark/>
          </w:tcPr>
          <w:p w:rsidR="00EB08CE" w:rsidRPr="00EE50C1" w:rsidRDefault="00EB08CE" w:rsidP="00BF6EC0">
            <w:r w:rsidRPr="00EE50C1">
              <w:t>OL1/SL1/SL1M/PL1</w:t>
            </w:r>
          </w:p>
        </w:tc>
        <w:tc>
          <w:tcPr>
            <w:tcW w:w="2420" w:type="dxa"/>
            <w:tcBorders>
              <w:top w:val="nil"/>
              <w:left w:val="single" w:sz="8" w:space="0" w:color="auto"/>
              <w:bottom w:val="nil"/>
              <w:right w:val="single" w:sz="8" w:space="0" w:color="auto"/>
            </w:tcBorders>
            <w:shd w:val="clear" w:color="auto" w:fill="auto"/>
            <w:noWrap/>
            <w:vAlign w:val="bottom"/>
            <w:hideMark/>
          </w:tcPr>
          <w:p w:rsidR="00EB08CE" w:rsidRPr="00EE50C1" w:rsidRDefault="00EB08CE" w:rsidP="00BF6EC0">
            <w:pPr>
              <w:jc w:val="center"/>
              <w:rPr>
                <w:color w:val="000000"/>
              </w:rPr>
            </w:pPr>
            <w:r w:rsidRPr="00EE50C1">
              <w:rPr>
                <w:color w:val="000000"/>
              </w:rPr>
              <w:t>0.030</w:t>
            </w:r>
          </w:p>
        </w:tc>
      </w:tr>
      <w:tr w:rsidR="00EB08CE" w:rsidRPr="00EE50C1" w:rsidTr="00BF6EC0">
        <w:trPr>
          <w:trHeight w:val="285"/>
        </w:trPr>
        <w:tc>
          <w:tcPr>
            <w:tcW w:w="3937" w:type="dxa"/>
            <w:tcBorders>
              <w:top w:val="nil"/>
              <w:left w:val="single" w:sz="8" w:space="0" w:color="auto"/>
              <w:bottom w:val="nil"/>
              <w:right w:val="nil"/>
            </w:tcBorders>
            <w:shd w:val="clear" w:color="auto" w:fill="auto"/>
            <w:noWrap/>
            <w:vAlign w:val="bottom"/>
            <w:hideMark/>
          </w:tcPr>
          <w:p w:rsidR="00EB08CE" w:rsidRPr="00EE50C1" w:rsidRDefault="00EB08CE" w:rsidP="00BF6EC0">
            <w:r w:rsidRPr="00EE50C1">
              <w:t>SL2/SL2M/GSCU1</w:t>
            </w:r>
          </w:p>
        </w:tc>
        <w:tc>
          <w:tcPr>
            <w:tcW w:w="2420" w:type="dxa"/>
            <w:tcBorders>
              <w:top w:val="nil"/>
              <w:left w:val="single" w:sz="8" w:space="0" w:color="auto"/>
              <w:bottom w:val="nil"/>
              <w:right w:val="single" w:sz="8" w:space="0" w:color="auto"/>
            </w:tcBorders>
            <w:shd w:val="clear" w:color="auto" w:fill="auto"/>
            <w:noWrap/>
            <w:vAlign w:val="bottom"/>
            <w:hideMark/>
          </w:tcPr>
          <w:p w:rsidR="00EB08CE" w:rsidRPr="00EE50C1" w:rsidRDefault="00EB08CE" w:rsidP="00BF6EC0">
            <w:pPr>
              <w:jc w:val="center"/>
              <w:rPr>
                <w:color w:val="000000"/>
              </w:rPr>
            </w:pPr>
            <w:r w:rsidRPr="00EE50C1">
              <w:rPr>
                <w:color w:val="000000"/>
              </w:rPr>
              <w:t>0.109</w:t>
            </w:r>
          </w:p>
        </w:tc>
      </w:tr>
      <w:tr w:rsidR="00EB08CE" w:rsidRPr="00EE50C1" w:rsidTr="00BF6EC0">
        <w:trPr>
          <w:trHeight w:val="285"/>
        </w:trPr>
        <w:tc>
          <w:tcPr>
            <w:tcW w:w="3937" w:type="dxa"/>
            <w:tcBorders>
              <w:top w:val="nil"/>
              <w:left w:val="single" w:sz="8" w:space="0" w:color="auto"/>
              <w:bottom w:val="nil"/>
              <w:right w:val="nil"/>
            </w:tcBorders>
            <w:shd w:val="clear" w:color="auto" w:fill="auto"/>
            <w:noWrap/>
            <w:vAlign w:val="bottom"/>
            <w:hideMark/>
          </w:tcPr>
          <w:p w:rsidR="00EB08CE" w:rsidRPr="00EE50C1" w:rsidRDefault="00EB08CE" w:rsidP="00BF6EC0">
            <w:pPr>
              <w:rPr>
                <w:color w:val="000000"/>
              </w:rPr>
            </w:pPr>
            <w:r w:rsidRPr="00EE50C1">
              <w:rPr>
                <w:color w:val="000000"/>
              </w:rPr>
              <w:t> </w:t>
            </w:r>
          </w:p>
        </w:tc>
        <w:tc>
          <w:tcPr>
            <w:tcW w:w="2420" w:type="dxa"/>
            <w:tcBorders>
              <w:top w:val="nil"/>
              <w:left w:val="single" w:sz="8" w:space="0" w:color="auto"/>
              <w:bottom w:val="nil"/>
              <w:right w:val="single" w:sz="8" w:space="0" w:color="auto"/>
            </w:tcBorders>
            <w:shd w:val="clear" w:color="auto" w:fill="auto"/>
            <w:noWrap/>
            <w:vAlign w:val="bottom"/>
            <w:hideMark/>
          </w:tcPr>
          <w:p w:rsidR="00EB08CE" w:rsidRPr="00EE50C1" w:rsidRDefault="00EB08CE" w:rsidP="00BF6EC0">
            <w:pPr>
              <w:jc w:val="center"/>
              <w:rPr>
                <w:color w:val="000000"/>
              </w:rPr>
            </w:pPr>
            <w:r w:rsidRPr="00EE50C1">
              <w:rPr>
                <w:color w:val="000000"/>
              </w:rPr>
              <w:t> </w:t>
            </w:r>
          </w:p>
        </w:tc>
      </w:tr>
      <w:tr w:rsidR="00EB08CE" w:rsidRPr="00EE50C1" w:rsidTr="00BF6EC0">
        <w:trPr>
          <w:trHeight w:val="300"/>
        </w:trPr>
        <w:tc>
          <w:tcPr>
            <w:tcW w:w="3937" w:type="dxa"/>
            <w:tcBorders>
              <w:top w:val="nil"/>
              <w:left w:val="single" w:sz="8" w:space="0" w:color="auto"/>
              <w:bottom w:val="single" w:sz="8" w:space="0" w:color="auto"/>
              <w:right w:val="nil"/>
            </w:tcBorders>
            <w:shd w:val="clear" w:color="auto" w:fill="auto"/>
            <w:noWrap/>
            <w:vAlign w:val="bottom"/>
            <w:hideMark/>
          </w:tcPr>
          <w:p w:rsidR="00EB08CE" w:rsidRPr="00EE50C1" w:rsidRDefault="00EB08CE" w:rsidP="00BF6EC0">
            <w:r w:rsidRPr="00EE50C1">
              <w:t>Total</w:t>
            </w:r>
          </w:p>
        </w:tc>
        <w:tc>
          <w:tcPr>
            <w:tcW w:w="2420" w:type="dxa"/>
            <w:tcBorders>
              <w:top w:val="nil"/>
              <w:left w:val="single" w:sz="8" w:space="0" w:color="auto"/>
              <w:bottom w:val="single" w:sz="8" w:space="0" w:color="auto"/>
              <w:right w:val="single" w:sz="8" w:space="0" w:color="auto"/>
            </w:tcBorders>
            <w:shd w:val="clear" w:color="auto" w:fill="auto"/>
            <w:noWrap/>
            <w:vAlign w:val="bottom"/>
            <w:hideMark/>
          </w:tcPr>
          <w:p w:rsidR="00EB08CE" w:rsidRPr="00EE50C1" w:rsidRDefault="00EB08CE" w:rsidP="00BF6EC0">
            <w:pPr>
              <w:jc w:val="center"/>
              <w:rPr>
                <w:color w:val="000000"/>
              </w:rPr>
            </w:pPr>
            <w:r w:rsidRPr="00EE50C1">
              <w:rPr>
                <w:color w:val="000000"/>
              </w:rPr>
              <w:t>0.146</w:t>
            </w:r>
          </w:p>
        </w:tc>
      </w:tr>
    </w:tbl>
    <w:p w:rsidR="00EB08CE" w:rsidRPr="00EE50C1" w:rsidRDefault="00EB08CE" w:rsidP="00EB08CE">
      <w:pPr>
        <w:spacing w:after="240"/>
        <w:jc w:val="both"/>
      </w:pPr>
      <w:r w:rsidRPr="00EE50C1">
        <w:t>* Subject to modification from company-specific issues.</w:t>
      </w:r>
    </w:p>
    <w:p w:rsidR="00EB08CE" w:rsidRPr="00EE50C1" w:rsidRDefault="00EB08CE" w:rsidP="00EB08CE">
      <w:pPr>
        <w:rPr>
          <w:b/>
        </w:rPr>
      </w:pPr>
      <w:r w:rsidRPr="00EE50C1">
        <w:rPr>
          <w:b/>
        </w:rPr>
        <w:br w:type="page"/>
      </w:r>
    </w:p>
    <w:p w:rsidR="00EB08CE" w:rsidRPr="00EE50C1" w:rsidRDefault="00EB08CE" w:rsidP="00EB08CE">
      <w:pPr>
        <w:spacing w:after="240"/>
        <w:jc w:val="both"/>
        <w:rPr>
          <w:b/>
        </w:rPr>
      </w:pPr>
      <w:r w:rsidRPr="00EE50C1">
        <w:rPr>
          <w:b/>
        </w:rPr>
        <w:lastRenderedPageBreak/>
        <w:t>DEF</w:t>
      </w:r>
    </w:p>
    <w:p w:rsidR="00EB08CE" w:rsidRPr="00EE50C1" w:rsidRDefault="00EB08CE" w:rsidP="00EB08CE">
      <w:pPr>
        <w:spacing w:after="24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158"/>
      </w:tblGrid>
      <w:tr w:rsidR="00EB08CE" w:rsidRPr="00EE50C1" w:rsidTr="00BF6EC0">
        <w:tc>
          <w:tcPr>
            <w:tcW w:w="4158" w:type="dxa"/>
            <w:shd w:val="clear" w:color="auto" w:fill="auto"/>
          </w:tcPr>
          <w:p w:rsidR="00EB08CE" w:rsidRPr="00EE50C1" w:rsidRDefault="00EB08CE" w:rsidP="00BF6EC0">
            <w:pPr>
              <w:jc w:val="center"/>
              <w:rPr>
                <w:b/>
              </w:rPr>
            </w:pPr>
            <w:r w:rsidRPr="00EE50C1">
              <w:rPr>
                <w:b/>
              </w:rPr>
              <w:t>Rate Class</w:t>
            </w:r>
          </w:p>
        </w:tc>
        <w:tc>
          <w:tcPr>
            <w:tcW w:w="4158" w:type="dxa"/>
            <w:shd w:val="clear" w:color="auto" w:fill="auto"/>
          </w:tcPr>
          <w:p w:rsidR="00EB08CE" w:rsidRPr="00EE50C1" w:rsidRDefault="00EB08CE" w:rsidP="00BF6EC0">
            <w:pPr>
              <w:jc w:val="center"/>
              <w:rPr>
                <w:b/>
              </w:rPr>
            </w:pPr>
            <w:r w:rsidRPr="00EE50C1">
              <w:rPr>
                <w:b/>
              </w:rPr>
              <w:t>ECRC Factors</w:t>
            </w:r>
          </w:p>
        </w:tc>
      </w:tr>
      <w:tr w:rsidR="00EB08CE" w:rsidRPr="00EE50C1" w:rsidTr="00BF6EC0">
        <w:tc>
          <w:tcPr>
            <w:tcW w:w="4158" w:type="dxa"/>
            <w:shd w:val="clear" w:color="auto" w:fill="auto"/>
          </w:tcPr>
          <w:p w:rsidR="00EB08CE" w:rsidRPr="00EE50C1" w:rsidRDefault="00EB08CE" w:rsidP="00BF6EC0">
            <w:r w:rsidRPr="00EE50C1">
              <w:t>Residential</w:t>
            </w:r>
          </w:p>
        </w:tc>
        <w:tc>
          <w:tcPr>
            <w:tcW w:w="4158" w:type="dxa"/>
            <w:shd w:val="clear" w:color="auto" w:fill="auto"/>
          </w:tcPr>
          <w:p w:rsidR="00EB08CE" w:rsidRPr="00EE50C1" w:rsidRDefault="00EB08CE" w:rsidP="00BF6EC0">
            <w:pPr>
              <w:autoSpaceDE w:val="0"/>
              <w:autoSpaceDN w:val="0"/>
              <w:adjustRightInd w:val="0"/>
              <w:jc w:val="center"/>
            </w:pPr>
            <w:r w:rsidRPr="00EE50C1">
              <w:t>0.157 cents/kWh</w:t>
            </w:r>
          </w:p>
        </w:tc>
      </w:tr>
      <w:tr w:rsidR="00EB08CE" w:rsidRPr="00EE50C1" w:rsidTr="00BF6EC0">
        <w:tc>
          <w:tcPr>
            <w:tcW w:w="4158" w:type="dxa"/>
            <w:shd w:val="clear" w:color="auto" w:fill="auto"/>
          </w:tcPr>
          <w:p w:rsidR="00EB08CE" w:rsidRPr="00EE50C1" w:rsidRDefault="00EB08CE" w:rsidP="00BF6EC0">
            <w:r w:rsidRPr="00EE50C1">
              <w:t>General Service Non-Demand</w:t>
            </w:r>
          </w:p>
          <w:p w:rsidR="00EB08CE" w:rsidRPr="00EE50C1" w:rsidRDefault="00EB08CE" w:rsidP="00BF6EC0">
            <w:r w:rsidRPr="00EE50C1">
              <w:t>@ Secondary Voltage</w:t>
            </w:r>
          </w:p>
          <w:p w:rsidR="00EB08CE" w:rsidRPr="00EE50C1" w:rsidRDefault="00EB08CE" w:rsidP="00BF6EC0">
            <w:r w:rsidRPr="00EE50C1">
              <w:t>@ Primary Voltage</w:t>
            </w:r>
          </w:p>
          <w:p w:rsidR="00EB08CE" w:rsidRPr="00EE50C1" w:rsidRDefault="00EB08CE" w:rsidP="00BF6EC0">
            <w:r w:rsidRPr="00EE50C1">
              <w:t>@ Transmission Voltage</w:t>
            </w:r>
          </w:p>
        </w:tc>
        <w:tc>
          <w:tcPr>
            <w:tcW w:w="4158" w:type="dxa"/>
            <w:shd w:val="clear" w:color="auto" w:fill="auto"/>
          </w:tcPr>
          <w:p w:rsidR="00EB08CE" w:rsidRPr="00EE50C1" w:rsidRDefault="00EB08CE" w:rsidP="00BF6EC0">
            <w:pPr>
              <w:jc w:val="center"/>
            </w:pPr>
          </w:p>
          <w:p w:rsidR="00EB08CE" w:rsidRPr="00EE50C1" w:rsidRDefault="00EB08CE" w:rsidP="00BF6EC0">
            <w:pPr>
              <w:jc w:val="center"/>
            </w:pPr>
            <w:r w:rsidRPr="00EE50C1">
              <w:t>0.154 cents/kWh</w:t>
            </w:r>
          </w:p>
          <w:p w:rsidR="00EB08CE" w:rsidRPr="00EE50C1" w:rsidRDefault="00EB08CE" w:rsidP="00BF6EC0">
            <w:pPr>
              <w:jc w:val="center"/>
            </w:pPr>
            <w:r w:rsidRPr="00EE50C1">
              <w:t>0.152 cents/kWh</w:t>
            </w:r>
          </w:p>
          <w:p w:rsidR="00EB08CE" w:rsidRPr="00EE50C1" w:rsidRDefault="00EB08CE" w:rsidP="00BF6EC0">
            <w:pPr>
              <w:jc w:val="center"/>
            </w:pPr>
            <w:r w:rsidRPr="00EE50C1">
              <w:t>0.151 cents/kWh</w:t>
            </w:r>
          </w:p>
        </w:tc>
      </w:tr>
      <w:tr w:rsidR="00EB08CE" w:rsidRPr="00EE50C1" w:rsidTr="00BF6EC0">
        <w:tc>
          <w:tcPr>
            <w:tcW w:w="4158" w:type="dxa"/>
            <w:shd w:val="clear" w:color="auto" w:fill="auto"/>
          </w:tcPr>
          <w:p w:rsidR="00EB08CE" w:rsidRPr="00EE50C1" w:rsidRDefault="00EB08CE" w:rsidP="00BF6EC0">
            <w:r w:rsidRPr="00EE50C1">
              <w:t>General Service 100% Load Factor</w:t>
            </w:r>
          </w:p>
        </w:tc>
        <w:tc>
          <w:tcPr>
            <w:tcW w:w="4158" w:type="dxa"/>
            <w:shd w:val="clear" w:color="auto" w:fill="auto"/>
          </w:tcPr>
          <w:p w:rsidR="00EB08CE" w:rsidRPr="00EE50C1" w:rsidRDefault="00EB08CE" w:rsidP="00BF6EC0">
            <w:pPr>
              <w:jc w:val="center"/>
            </w:pPr>
            <w:r w:rsidRPr="00EE50C1">
              <w:t>0.150 cents/kWh</w:t>
            </w:r>
          </w:p>
        </w:tc>
      </w:tr>
      <w:tr w:rsidR="00EB08CE" w:rsidRPr="00EE50C1" w:rsidTr="00BF6EC0">
        <w:tc>
          <w:tcPr>
            <w:tcW w:w="4158" w:type="dxa"/>
            <w:shd w:val="clear" w:color="auto" w:fill="auto"/>
          </w:tcPr>
          <w:p w:rsidR="00EB08CE" w:rsidRPr="00EE50C1" w:rsidRDefault="00EB08CE" w:rsidP="00BF6EC0">
            <w:r w:rsidRPr="00EE50C1">
              <w:t>General Service Demand</w:t>
            </w:r>
          </w:p>
          <w:p w:rsidR="00EB08CE" w:rsidRPr="00EE50C1" w:rsidRDefault="00EB08CE" w:rsidP="00BF6EC0">
            <w:r w:rsidRPr="00EE50C1">
              <w:t>@Secondary Voltage</w:t>
            </w:r>
          </w:p>
          <w:p w:rsidR="00EB08CE" w:rsidRPr="00EE50C1" w:rsidRDefault="00EB08CE" w:rsidP="00BF6EC0">
            <w:r w:rsidRPr="00EE50C1">
              <w:t>@ Primary Voltage</w:t>
            </w:r>
          </w:p>
          <w:p w:rsidR="00EB08CE" w:rsidRPr="00EE50C1" w:rsidRDefault="00EB08CE" w:rsidP="00BF6EC0">
            <w:r w:rsidRPr="00EE50C1">
              <w:t>@ Transmission Voltage</w:t>
            </w:r>
          </w:p>
        </w:tc>
        <w:tc>
          <w:tcPr>
            <w:tcW w:w="4158" w:type="dxa"/>
            <w:shd w:val="clear" w:color="auto" w:fill="auto"/>
          </w:tcPr>
          <w:p w:rsidR="00EB08CE" w:rsidRPr="00EE50C1" w:rsidRDefault="00EB08CE" w:rsidP="00BF6EC0">
            <w:pPr>
              <w:jc w:val="center"/>
            </w:pPr>
          </w:p>
          <w:p w:rsidR="00EB08CE" w:rsidRPr="00EE50C1" w:rsidRDefault="00EB08CE" w:rsidP="00BF6EC0">
            <w:pPr>
              <w:jc w:val="center"/>
            </w:pPr>
            <w:r w:rsidRPr="00EE50C1">
              <w:t>0.152 cents/kWh</w:t>
            </w:r>
          </w:p>
          <w:p w:rsidR="00EB08CE" w:rsidRPr="00EE50C1" w:rsidRDefault="00EB08CE" w:rsidP="00BF6EC0">
            <w:pPr>
              <w:jc w:val="center"/>
            </w:pPr>
            <w:r w:rsidRPr="00EE50C1">
              <w:t>0.150 cents/kWh</w:t>
            </w:r>
          </w:p>
          <w:p w:rsidR="00EB08CE" w:rsidRPr="00EE50C1" w:rsidRDefault="00EB08CE" w:rsidP="00BF6EC0">
            <w:pPr>
              <w:jc w:val="center"/>
            </w:pPr>
            <w:r w:rsidRPr="00EE50C1">
              <w:t>0.149 cents/kWh</w:t>
            </w:r>
          </w:p>
        </w:tc>
      </w:tr>
      <w:tr w:rsidR="00EB08CE" w:rsidRPr="00EE50C1" w:rsidTr="00BF6EC0">
        <w:tc>
          <w:tcPr>
            <w:tcW w:w="4158" w:type="dxa"/>
            <w:shd w:val="clear" w:color="auto" w:fill="auto"/>
          </w:tcPr>
          <w:p w:rsidR="00EB08CE" w:rsidRPr="00EE50C1" w:rsidRDefault="00EB08CE" w:rsidP="00BF6EC0">
            <w:r w:rsidRPr="00EE50C1">
              <w:t>Curtailable</w:t>
            </w:r>
          </w:p>
          <w:p w:rsidR="00EB08CE" w:rsidRPr="00EE50C1" w:rsidRDefault="00EB08CE" w:rsidP="00BF6EC0">
            <w:r w:rsidRPr="00EE50C1">
              <w:t>@ Secondary Voltage</w:t>
            </w:r>
          </w:p>
          <w:p w:rsidR="00EB08CE" w:rsidRPr="00EE50C1" w:rsidRDefault="00EB08CE" w:rsidP="00BF6EC0">
            <w:r w:rsidRPr="00EE50C1">
              <w:t>@ Primary Voltage</w:t>
            </w:r>
          </w:p>
          <w:p w:rsidR="00EB08CE" w:rsidRPr="00EE50C1" w:rsidRDefault="00EB08CE" w:rsidP="00BF6EC0">
            <w:r w:rsidRPr="00EE50C1">
              <w:t>@ Transmission Voltage</w:t>
            </w:r>
          </w:p>
        </w:tc>
        <w:tc>
          <w:tcPr>
            <w:tcW w:w="4158" w:type="dxa"/>
            <w:shd w:val="clear" w:color="auto" w:fill="auto"/>
          </w:tcPr>
          <w:p w:rsidR="00EB08CE" w:rsidRPr="00EE50C1" w:rsidRDefault="00EB08CE" w:rsidP="00BF6EC0">
            <w:pPr>
              <w:jc w:val="center"/>
            </w:pPr>
          </w:p>
          <w:p w:rsidR="00EB08CE" w:rsidRPr="00EE50C1" w:rsidRDefault="00EB08CE" w:rsidP="00BF6EC0">
            <w:pPr>
              <w:jc w:val="center"/>
            </w:pPr>
            <w:r w:rsidRPr="00EE50C1">
              <w:t>0.151 cents/kWh</w:t>
            </w:r>
          </w:p>
          <w:p w:rsidR="00EB08CE" w:rsidRPr="00EE50C1" w:rsidRDefault="00EB08CE" w:rsidP="00BF6EC0">
            <w:pPr>
              <w:jc w:val="center"/>
            </w:pPr>
            <w:r w:rsidRPr="00EE50C1">
              <w:t>0.149 cents/kWh</w:t>
            </w:r>
          </w:p>
          <w:p w:rsidR="00EB08CE" w:rsidRPr="00EE50C1" w:rsidRDefault="00EB08CE" w:rsidP="00BF6EC0">
            <w:pPr>
              <w:jc w:val="center"/>
            </w:pPr>
            <w:r w:rsidRPr="00EE50C1">
              <w:t>0.148 cents/kWh</w:t>
            </w:r>
          </w:p>
        </w:tc>
      </w:tr>
      <w:tr w:rsidR="00EB08CE" w:rsidRPr="00EE50C1" w:rsidTr="00BF6EC0">
        <w:tc>
          <w:tcPr>
            <w:tcW w:w="4158" w:type="dxa"/>
            <w:shd w:val="clear" w:color="auto" w:fill="auto"/>
          </w:tcPr>
          <w:p w:rsidR="00EB08CE" w:rsidRPr="00EE50C1" w:rsidRDefault="00EB08CE" w:rsidP="00BF6EC0">
            <w:r w:rsidRPr="00EE50C1">
              <w:t>Interruptible</w:t>
            </w:r>
          </w:p>
          <w:p w:rsidR="00EB08CE" w:rsidRPr="00EE50C1" w:rsidRDefault="00EB08CE" w:rsidP="00BF6EC0">
            <w:r w:rsidRPr="00EE50C1">
              <w:t>@ Secondary Voltage</w:t>
            </w:r>
          </w:p>
          <w:p w:rsidR="00EB08CE" w:rsidRPr="00EE50C1" w:rsidRDefault="00EB08CE" w:rsidP="00BF6EC0">
            <w:r w:rsidRPr="00EE50C1">
              <w:t>@ Primary Voltage</w:t>
            </w:r>
          </w:p>
          <w:p w:rsidR="00EB08CE" w:rsidRPr="00EE50C1" w:rsidRDefault="00EB08CE" w:rsidP="00BF6EC0">
            <w:r w:rsidRPr="00EE50C1">
              <w:t>@ Transmission Voltage</w:t>
            </w:r>
          </w:p>
        </w:tc>
        <w:tc>
          <w:tcPr>
            <w:tcW w:w="4158" w:type="dxa"/>
            <w:shd w:val="clear" w:color="auto" w:fill="auto"/>
          </w:tcPr>
          <w:p w:rsidR="00EB08CE" w:rsidRPr="00EE50C1" w:rsidRDefault="00EB08CE" w:rsidP="00BF6EC0">
            <w:pPr>
              <w:jc w:val="center"/>
            </w:pPr>
          </w:p>
          <w:p w:rsidR="00EB08CE" w:rsidRPr="00EE50C1" w:rsidRDefault="00EB08CE" w:rsidP="00BF6EC0">
            <w:pPr>
              <w:jc w:val="center"/>
            </w:pPr>
            <w:r w:rsidRPr="00EE50C1">
              <w:t>0.147 cents/kWh</w:t>
            </w:r>
          </w:p>
          <w:p w:rsidR="00EB08CE" w:rsidRPr="00EE50C1" w:rsidRDefault="00EB08CE" w:rsidP="00BF6EC0">
            <w:pPr>
              <w:jc w:val="center"/>
            </w:pPr>
            <w:r w:rsidRPr="00EE50C1">
              <w:t>0.146 cents/kWh</w:t>
            </w:r>
          </w:p>
          <w:p w:rsidR="00EB08CE" w:rsidRPr="00EE50C1" w:rsidRDefault="00EB08CE" w:rsidP="00BF6EC0">
            <w:pPr>
              <w:jc w:val="center"/>
            </w:pPr>
            <w:r w:rsidRPr="00EE50C1">
              <w:t>0.144 cents/kWh</w:t>
            </w:r>
          </w:p>
        </w:tc>
      </w:tr>
      <w:tr w:rsidR="00EB08CE" w:rsidRPr="00EE50C1" w:rsidTr="00BF6EC0">
        <w:trPr>
          <w:trHeight w:val="431"/>
        </w:trPr>
        <w:tc>
          <w:tcPr>
            <w:tcW w:w="4158" w:type="dxa"/>
            <w:shd w:val="clear" w:color="auto" w:fill="auto"/>
          </w:tcPr>
          <w:p w:rsidR="00EB08CE" w:rsidRPr="00EE50C1" w:rsidRDefault="00EB08CE" w:rsidP="00BF6EC0">
            <w:pPr>
              <w:rPr>
                <w:highlight w:val="yellow"/>
              </w:rPr>
            </w:pPr>
            <w:r w:rsidRPr="00EE50C1">
              <w:t>Lighting</w:t>
            </w:r>
          </w:p>
        </w:tc>
        <w:tc>
          <w:tcPr>
            <w:tcW w:w="4158" w:type="dxa"/>
            <w:shd w:val="clear" w:color="auto" w:fill="auto"/>
          </w:tcPr>
          <w:p w:rsidR="00EB08CE" w:rsidRPr="00EE50C1" w:rsidRDefault="00EB08CE" w:rsidP="00BF6EC0">
            <w:pPr>
              <w:jc w:val="center"/>
              <w:rPr>
                <w:highlight w:val="yellow"/>
              </w:rPr>
            </w:pPr>
            <w:r w:rsidRPr="00EE50C1">
              <w:t>0.146 cents/kWh</w:t>
            </w:r>
          </w:p>
        </w:tc>
      </w:tr>
    </w:tbl>
    <w:p w:rsidR="00EB08CE" w:rsidRPr="00EE50C1" w:rsidRDefault="00EB08CE" w:rsidP="00EB08CE">
      <w:pPr>
        <w:spacing w:after="240"/>
        <w:jc w:val="both"/>
      </w:pPr>
    </w:p>
    <w:p w:rsidR="00EB08CE" w:rsidRPr="00EE50C1" w:rsidRDefault="00EB08CE" w:rsidP="00EB08CE">
      <w:pPr>
        <w:rPr>
          <w:b/>
        </w:rPr>
      </w:pPr>
      <w:r w:rsidRPr="00EE50C1">
        <w:rPr>
          <w:b/>
        </w:rPr>
        <w:t>TECO</w:t>
      </w:r>
    </w:p>
    <w:p w:rsidR="00EB08CE" w:rsidRPr="00EE50C1" w:rsidRDefault="00EB08CE" w:rsidP="00EB08CE">
      <w:pPr>
        <w:ind w:left="720" w:right="-360" w:hanging="720"/>
        <w:jc w:val="both"/>
        <w:rPr>
          <w:b/>
          <w:u w:val="single"/>
        </w:rPr>
      </w:pPr>
      <w:r w:rsidRPr="00EE50C1">
        <w:rPr>
          <w:b/>
        </w:rPr>
        <w:tab/>
      </w:r>
      <w:r w:rsidRPr="00EE50C1">
        <w:rPr>
          <w:b/>
        </w:rPr>
        <w:tab/>
      </w:r>
      <w:r w:rsidRPr="00EE50C1">
        <w:rPr>
          <w:b/>
          <w:u w:val="single"/>
        </w:rPr>
        <w:t>Rate Class</w:t>
      </w:r>
      <w:r w:rsidRPr="00EE50C1">
        <w:tab/>
      </w:r>
      <w:r w:rsidRPr="00EE50C1">
        <w:tab/>
      </w:r>
      <w:r w:rsidRPr="00EE50C1">
        <w:tab/>
      </w:r>
      <w:r w:rsidRPr="00EE50C1">
        <w:tab/>
      </w:r>
      <w:r w:rsidRPr="00EE50C1">
        <w:tab/>
      </w:r>
      <w:r w:rsidRPr="00EE50C1">
        <w:tab/>
      </w:r>
      <w:r w:rsidRPr="00EE50C1">
        <w:rPr>
          <w:b/>
          <w:u w:val="single"/>
        </w:rPr>
        <w:t>ECRC Factor (¢/kWh</w:t>
      </w:r>
      <w:r w:rsidRPr="00EE50C1">
        <w:rPr>
          <w:b/>
          <w:color w:val="000000" w:themeColor="text1"/>
          <w:u w:val="single"/>
        </w:rPr>
        <w:t>)</w:t>
      </w:r>
    </w:p>
    <w:p w:rsidR="00EB08CE" w:rsidRPr="00EE50C1" w:rsidRDefault="00EB08CE" w:rsidP="00EB08CE">
      <w:pPr>
        <w:ind w:left="720" w:right="-360" w:hanging="720"/>
        <w:jc w:val="both"/>
      </w:pPr>
    </w:p>
    <w:p w:rsidR="00EB08CE" w:rsidRPr="00EE50C1" w:rsidRDefault="00EB08CE" w:rsidP="00EB08CE">
      <w:pPr>
        <w:tabs>
          <w:tab w:val="left" w:pos="-1440"/>
          <w:tab w:val="left" w:pos="-720"/>
          <w:tab w:val="left" w:pos="720"/>
          <w:tab w:val="left" w:pos="1440"/>
          <w:tab w:val="left" w:pos="7200"/>
        </w:tabs>
        <w:ind w:right="-360" w:firstLine="1440"/>
      </w:pPr>
      <w:r w:rsidRPr="00EE50C1">
        <w:t>RS</w:t>
      </w:r>
      <w:r w:rsidRPr="00EE50C1">
        <w:tab/>
        <w:t>0.343</w:t>
      </w:r>
    </w:p>
    <w:p w:rsidR="00EB08CE" w:rsidRPr="00EE50C1" w:rsidRDefault="00EB08CE" w:rsidP="00EB08CE">
      <w:pPr>
        <w:tabs>
          <w:tab w:val="left" w:pos="-1440"/>
          <w:tab w:val="left" w:pos="-720"/>
          <w:tab w:val="left" w:pos="720"/>
          <w:tab w:val="left" w:pos="1440"/>
          <w:tab w:val="left" w:pos="7200"/>
        </w:tabs>
        <w:ind w:right="-360" w:firstLine="1440"/>
      </w:pPr>
      <w:r w:rsidRPr="00EE50C1">
        <w:t>GS, CS</w:t>
      </w:r>
      <w:r w:rsidRPr="00EE50C1">
        <w:tab/>
        <w:t>0.343</w:t>
      </w:r>
    </w:p>
    <w:p w:rsidR="00EB08CE" w:rsidRPr="00EE50C1" w:rsidRDefault="00EB08CE" w:rsidP="00EB08CE">
      <w:pPr>
        <w:tabs>
          <w:tab w:val="left" w:pos="-1440"/>
          <w:tab w:val="left" w:pos="-720"/>
          <w:tab w:val="left" w:pos="720"/>
          <w:tab w:val="left" w:pos="1440"/>
          <w:tab w:val="left" w:pos="6840"/>
        </w:tabs>
        <w:ind w:right="-360" w:firstLine="1440"/>
      </w:pPr>
      <w:r w:rsidRPr="00EE50C1">
        <w:t>GSD, SBF</w:t>
      </w:r>
    </w:p>
    <w:p w:rsidR="00EB08CE" w:rsidRPr="00EE50C1" w:rsidRDefault="00EB08CE" w:rsidP="00EB08CE">
      <w:pPr>
        <w:tabs>
          <w:tab w:val="left" w:pos="-1440"/>
          <w:tab w:val="left" w:pos="-720"/>
          <w:tab w:val="left" w:pos="720"/>
          <w:tab w:val="left" w:pos="1440"/>
          <w:tab w:val="left" w:pos="2880"/>
          <w:tab w:val="left" w:pos="7200"/>
        </w:tabs>
        <w:ind w:right="-360"/>
      </w:pPr>
      <w:r w:rsidRPr="00EE50C1">
        <w:tab/>
      </w:r>
      <w:r w:rsidRPr="00EE50C1">
        <w:tab/>
      </w:r>
      <w:r w:rsidRPr="00EE50C1">
        <w:tab/>
        <w:t>Secondary</w:t>
      </w:r>
      <w:r w:rsidRPr="00EE50C1">
        <w:tab/>
        <w:t>0.342</w:t>
      </w:r>
    </w:p>
    <w:p w:rsidR="00EB08CE" w:rsidRPr="00EE50C1" w:rsidRDefault="00EB08CE" w:rsidP="00EB08CE">
      <w:pPr>
        <w:tabs>
          <w:tab w:val="left" w:pos="-1440"/>
          <w:tab w:val="left" w:pos="-720"/>
          <w:tab w:val="left" w:pos="720"/>
          <w:tab w:val="left" w:pos="1440"/>
          <w:tab w:val="left" w:pos="2880"/>
          <w:tab w:val="left" w:pos="7200"/>
        </w:tabs>
        <w:ind w:right="-360"/>
      </w:pPr>
      <w:r w:rsidRPr="00EE50C1">
        <w:tab/>
      </w:r>
      <w:r w:rsidRPr="00EE50C1">
        <w:tab/>
      </w:r>
      <w:r w:rsidRPr="00EE50C1">
        <w:tab/>
        <w:t>Primary</w:t>
      </w:r>
      <w:r w:rsidRPr="00EE50C1">
        <w:tab/>
        <w:t>0.338</w:t>
      </w:r>
    </w:p>
    <w:p w:rsidR="00EB08CE" w:rsidRPr="00EE50C1" w:rsidRDefault="00EB08CE" w:rsidP="00EB08CE">
      <w:pPr>
        <w:tabs>
          <w:tab w:val="left" w:pos="-1440"/>
          <w:tab w:val="left" w:pos="-720"/>
          <w:tab w:val="left" w:pos="720"/>
          <w:tab w:val="left" w:pos="1440"/>
          <w:tab w:val="left" w:pos="2880"/>
          <w:tab w:val="left" w:pos="7200"/>
        </w:tabs>
        <w:ind w:right="-360"/>
      </w:pPr>
      <w:r w:rsidRPr="00EE50C1">
        <w:tab/>
      </w:r>
      <w:r w:rsidRPr="00EE50C1">
        <w:tab/>
      </w:r>
      <w:r w:rsidRPr="00EE50C1">
        <w:tab/>
        <w:t>Transmission</w:t>
      </w:r>
      <w:r w:rsidRPr="00EE50C1">
        <w:tab/>
        <w:t>0.335</w:t>
      </w:r>
    </w:p>
    <w:p w:rsidR="00EB08CE" w:rsidRPr="00EE50C1" w:rsidRDefault="00EB08CE" w:rsidP="00EB08CE">
      <w:pPr>
        <w:tabs>
          <w:tab w:val="left" w:pos="4590"/>
          <w:tab w:val="left" w:pos="6660"/>
          <w:tab w:val="left" w:pos="6840"/>
        </w:tabs>
        <w:ind w:right="-360" w:firstLine="1440"/>
      </w:pPr>
      <w:r w:rsidRPr="00EE50C1">
        <w:t>IS</w:t>
      </w:r>
    </w:p>
    <w:p w:rsidR="00EB08CE" w:rsidRPr="00EE50C1" w:rsidRDefault="00EB08CE" w:rsidP="00EB08CE">
      <w:pPr>
        <w:tabs>
          <w:tab w:val="left" w:pos="4590"/>
          <w:tab w:val="left" w:pos="6660"/>
          <w:tab w:val="left" w:pos="6840"/>
        </w:tabs>
        <w:ind w:right="-360" w:firstLine="1440"/>
      </w:pPr>
    </w:p>
    <w:p w:rsidR="00EB08CE" w:rsidRPr="00EE50C1" w:rsidRDefault="00EB08CE" w:rsidP="00EB08CE">
      <w:pPr>
        <w:tabs>
          <w:tab w:val="left" w:pos="2880"/>
          <w:tab w:val="left" w:pos="4590"/>
          <w:tab w:val="left" w:pos="6840"/>
        </w:tabs>
        <w:ind w:right="-360" w:firstLine="1440"/>
      </w:pPr>
      <w:r w:rsidRPr="00EE50C1">
        <w:tab/>
        <w:t>Secondary</w:t>
      </w:r>
      <w:r w:rsidRPr="00EE50C1">
        <w:tab/>
      </w:r>
      <w:r w:rsidRPr="00EE50C1">
        <w:tab/>
      </w:r>
      <w:r w:rsidRPr="00EE50C1">
        <w:tab/>
        <w:t>0.337</w:t>
      </w:r>
    </w:p>
    <w:p w:rsidR="00EB08CE" w:rsidRPr="00EE50C1" w:rsidRDefault="00EB08CE" w:rsidP="00EB08CE">
      <w:pPr>
        <w:tabs>
          <w:tab w:val="left" w:pos="2880"/>
          <w:tab w:val="left" w:pos="4590"/>
          <w:tab w:val="left" w:pos="6840"/>
        </w:tabs>
        <w:ind w:right="-360" w:firstLine="1440"/>
      </w:pPr>
      <w:r w:rsidRPr="00EE50C1">
        <w:tab/>
        <w:t>Primary</w:t>
      </w:r>
      <w:r w:rsidRPr="00EE50C1">
        <w:tab/>
      </w:r>
      <w:r w:rsidRPr="00EE50C1">
        <w:tab/>
      </w:r>
      <w:r w:rsidRPr="00EE50C1">
        <w:tab/>
        <w:t>0.333</w:t>
      </w:r>
    </w:p>
    <w:p w:rsidR="00EB08CE" w:rsidRPr="00EE50C1" w:rsidRDefault="00EB08CE" w:rsidP="00EB08CE">
      <w:pPr>
        <w:tabs>
          <w:tab w:val="left" w:pos="2880"/>
          <w:tab w:val="left" w:pos="4590"/>
          <w:tab w:val="left" w:pos="6840"/>
        </w:tabs>
        <w:ind w:right="-360" w:firstLine="1440"/>
      </w:pPr>
      <w:r w:rsidRPr="00EE50C1">
        <w:tab/>
        <w:t>Transmission</w:t>
      </w:r>
      <w:r w:rsidRPr="00EE50C1">
        <w:tab/>
      </w:r>
      <w:r w:rsidRPr="00EE50C1">
        <w:tab/>
      </w:r>
      <w:r w:rsidRPr="00EE50C1">
        <w:tab/>
        <w:t>0.330</w:t>
      </w:r>
    </w:p>
    <w:p w:rsidR="00EB08CE" w:rsidRPr="00EE50C1" w:rsidRDefault="00EB08CE" w:rsidP="00EB08CE">
      <w:pPr>
        <w:tabs>
          <w:tab w:val="left" w:pos="2880"/>
          <w:tab w:val="left" w:pos="4590"/>
          <w:tab w:val="left" w:pos="6660"/>
          <w:tab w:val="left" w:pos="6840"/>
        </w:tabs>
        <w:ind w:right="-360" w:firstLine="1440"/>
      </w:pPr>
    </w:p>
    <w:p w:rsidR="00EB08CE" w:rsidRPr="00EE50C1" w:rsidRDefault="00EB08CE" w:rsidP="00EB08CE">
      <w:pPr>
        <w:tabs>
          <w:tab w:val="left" w:pos="-1440"/>
          <w:tab w:val="left" w:pos="-720"/>
          <w:tab w:val="left" w:pos="720"/>
          <w:tab w:val="left" w:pos="1440"/>
          <w:tab w:val="left" w:pos="7200"/>
        </w:tabs>
        <w:ind w:right="-360" w:firstLine="1440"/>
      </w:pPr>
      <w:r w:rsidRPr="00EE50C1">
        <w:t>LS1</w:t>
      </w:r>
      <w:r w:rsidRPr="00EE50C1">
        <w:tab/>
        <w:t>0.339</w:t>
      </w:r>
    </w:p>
    <w:p w:rsidR="00EB08CE" w:rsidRPr="00EE50C1" w:rsidRDefault="00EB08CE" w:rsidP="00EB08CE">
      <w:pPr>
        <w:tabs>
          <w:tab w:val="left" w:pos="-1440"/>
          <w:tab w:val="left" w:pos="-720"/>
          <w:tab w:val="left" w:pos="720"/>
          <w:tab w:val="left" w:pos="1440"/>
          <w:tab w:val="left" w:pos="7200"/>
        </w:tabs>
        <w:ind w:right="-360" w:firstLine="1440"/>
      </w:pPr>
    </w:p>
    <w:p w:rsidR="00EB08CE" w:rsidRPr="00EE50C1" w:rsidRDefault="00EB08CE" w:rsidP="00EB08CE">
      <w:pPr>
        <w:tabs>
          <w:tab w:val="left" w:pos="-1440"/>
          <w:tab w:val="left" w:pos="-720"/>
          <w:tab w:val="left" w:pos="720"/>
          <w:tab w:val="left" w:pos="1440"/>
          <w:tab w:val="left" w:pos="7200"/>
        </w:tabs>
        <w:ind w:right="-360" w:firstLine="1440"/>
      </w:pPr>
      <w:r w:rsidRPr="00EE50C1">
        <w:t>Average Factor</w:t>
      </w:r>
      <w:r w:rsidRPr="00EE50C1">
        <w:tab/>
        <w:t>0.342</w:t>
      </w:r>
    </w:p>
    <w:p w:rsidR="00EB08CE" w:rsidRPr="00EE50C1" w:rsidRDefault="00EB08CE" w:rsidP="00EB08CE">
      <w:pPr>
        <w:tabs>
          <w:tab w:val="left" w:pos="-1440"/>
          <w:tab w:val="left" w:pos="-720"/>
          <w:tab w:val="left" w:pos="720"/>
          <w:tab w:val="left" w:pos="1440"/>
          <w:tab w:val="left" w:pos="7200"/>
        </w:tabs>
        <w:ind w:right="-360" w:firstLine="1440"/>
      </w:pPr>
    </w:p>
    <w:p w:rsidR="00EB08CE" w:rsidRPr="00EE50C1" w:rsidRDefault="00EB08CE" w:rsidP="00EB08CE">
      <w:pPr>
        <w:tabs>
          <w:tab w:val="left" w:pos="-1440"/>
          <w:tab w:val="left" w:pos="-720"/>
          <w:tab w:val="left" w:pos="720"/>
          <w:tab w:val="left" w:pos="1440"/>
          <w:tab w:val="left" w:pos="7200"/>
        </w:tabs>
        <w:ind w:right="-360"/>
        <w:rPr>
          <w:b/>
        </w:rPr>
      </w:pPr>
      <w:r w:rsidRPr="00EE50C1">
        <w:rPr>
          <w:b/>
        </w:rPr>
        <w:lastRenderedPageBreak/>
        <w:t>GULF</w:t>
      </w:r>
    </w:p>
    <w:p w:rsidR="00EB08CE" w:rsidRPr="00EE50C1" w:rsidRDefault="00EB08CE" w:rsidP="00EB08CE">
      <w:pPr>
        <w:tabs>
          <w:tab w:val="left" w:pos="-1440"/>
          <w:tab w:val="left" w:pos="-720"/>
          <w:tab w:val="left" w:pos="720"/>
          <w:tab w:val="left" w:pos="1440"/>
          <w:tab w:val="left" w:pos="7200"/>
        </w:tabs>
        <w:ind w:right="-360" w:firstLine="1440"/>
      </w:pPr>
    </w:p>
    <w:tbl>
      <w:tblPr>
        <w:tblW w:w="0" w:type="auto"/>
        <w:tblLayout w:type="fixed"/>
        <w:tblCellMar>
          <w:left w:w="100" w:type="dxa"/>
          <w:right w:w="100" w:type="dxa"/>
        </w:tblCellMar>
        <w:tblLook w:val="0000" w:firstRow="0" w:lastRow="0" w:firstColumn="0" w:lastColumn="0" w:noHBand="0" w:noVBand="0"/>
      </w:tblPr>
      <w:tblGrid>
        <w:gridCol w:w="2754"/>
        <w:gridCol w:w="3366"/>
      </w:tblGrid>
      <w:tr w:rsidR="00EB08CE" w:rsidRPr="00EE50C1" w:rsidTr="00BF6EC0">
        <w:trPr>
          <w:cantSplit/>
          <w:trHeight w:val="876"/>
        </w:trPr>
        <w:tc>
          <w:tcPr>
            <w:tcW w:w="2754" w:type="dxa"/>
            <w:tcBorders>
              <w:top w:val="single" w:sz="6" w:space="0" w:color="auto"/>
              <w:left w:val="single" w:sz="6" w:space="0" w:color="auto"/>
              <w:bottom w:val="single" w:sz="6" w:space="0" w:color="auto"/>
              <w:right w:val="single" w:sz="6" w:space="0" w:color="auto"/>
            </w:tcBorders>
          </w:tcPr>
          <w:p w:rsidR="00EB08CE" w:rsidRPr="00EE50C1" w:rsidRDefault="00EB08CE" w:rsidP="00BF6EC0">
            <w:pPr>
              <w:jc w:val="center"/>
              <w:rPr>
                <w:b/>
                <w:bCs/>
              </w:rPr>
            </w:pPr>
          </w:p>
          <w:p w:rsidR="00EB08CE" w:rsidRPr="00EE50C1" w:rsidRDefault="00EB08CE" w:rsidP="00BF6EC0">
            <w:pPr>
              <w:jc w:val="center"/>
              <w:rPr>
                <w:b/>
                <w:bCs/>
              </w:rPr>
            </w:pPr>
            <w:r w:rsidRPr="00EE50C1">
              <w:rPr>
                <w:b/>
                <w:bCs/>
              </w:rPr>
              <w:t>RATE</w:t>
            </w:r>
          </w:p>
          <w:p w:rsidR="00EB08CE" w:rsidRPr="00EE50C1" w:rsidRDefault="00EB08CE" w:rsidP="00BF6EC0">
            <w:pPr>
              <w:jc w:val="center"/>
            </w:pPr>
            <w:r w:rsidRPr="00EE50C1">
              <w:rPr>
                <w:b/>
                <w:bCs/>
              </w:rPr>
              <w:t>CLASS</w:t>
            </w:r>
          </w:p>
        </w:tc>
        <w:tc>
          <w:tcPr>
            <w:tcW w:w="3366" w:type="dxa"/>
            <w:tcBorders>
              <w:top w:val="single" w:sz="6" w:space="0" w:color="auto"/>
              <w:left w:val="single" w:sz="6" w:space="0" w:color="auto"/>
              <w:bottom w:val="single" w:sz="6" w:space="0" w:color="auto"/>
              <w:right w:val="single" w:sz="6" w:space="0" w:color="auto"/>
            </w:tcBorders>
          </w:tcPr>
          <w:p w:rsidR="00EB08CE" w:rsidRPr="00EE50C1" w:rsidRDefault="00EB08CE" w:rsidP="00BF6EC0">
            <w:pPr>
              <w:jc w:val="center"/>
            </w:pPr>
            <w:r w:rsidRPr="00EE50C1">
              <w:rPr>
                <w:b/>
                <w:bCs/>
              </w:rPr>
              <w:t>ENVIRONMENTAL COST RECOVERY FACTORS</w:t>
            </w:r>
          </w:p>
          <w:p w:rsidR="00EB08CE" w:rsidRPr="00EE50C1" w:rsidRDefault="00EB08CE" w:rsidP="00BF6EC0">
            <w:pPr>
              <w:jc w:val="center"/>
            </w:pPr>
            <w:r w:rsidRPr="00EE50C1">
              <w:rPr>
                <w:b/>
                <w:bCs/>
              </w:rPr>
              <w:t>¢/kWh</w:t>
            </w:r>
          </w:p>
        </w:tc>
      </w:tr>
      <w:tr w:rsidR="00EB08CE" w:rsidRPr="00EE50C1" w:rsidTr="00BF6EC0">
        <w:trPr>
          <w:cantSplit/>
          <w:trHeight w:val="291"/>
        </w:trPr>
        <w:tc>
          <w:tcPr>
            <w:tcW w:w="2754" w:type="dxa"/>
            <w:tcBorders>
              <w:top w:val="single" w:sz="6" w:space="0" w:color="auto"/>
              <w:left w:val="single" w:sz="6" w:space="0" w:color="auto"/>
              <w:bottom w:val="single" w:sz="6" w:space="0" w:color="auto"/>
              <w:right w:val="single" w:sz="6" w:space="0" w:color="auto"/>
            </w:tcBorders>
          </w:tcPr>
          <w:p w:rsidR="00EB08CE" w:rsidRPr="00EE50C1" w:rsidRDefault="00EB08CE" w:rsidP="00BF6EC0">
            <w:r w:rsidRPr="00EE50C1">
              <w:t>RS, RSVP, RSTOU</w:t>
            </w:r>
          </w:p>
        </w:tc>
        <w:tc>
          <w:tcPr>
            <w:tcW w:w="3366" w:type="dxa"/>
            <w:tcBorders>
              <w:top w:val="single" w:sz="6" w:space="0" w:color="auto"/>
              <w:left w:val="single" w:sz="6" w:space="0" w:color="auto"/>
              <w:bottom w:val="single" w:sz="6" w:space="0" w:color="auto"/>
              <w:right w:val="single" w:sz="6" w:space="0" w:color="auto"/>
            </w:tcBorders>
          </w:tcPr>
          <w:p w:rsidR="00EB08CE" w:rsidRPr="00EE50C1" w:rsidRDefault="00EB08CE" w:rsidP="00BF6EC0">
            <w:pPr>
              <w:jc w:val="center"/>
            </w:pPr>
            <w:r w:rsidRPr="00EE50C1">
              <w:t>2.124</w:t>
            </w:r>
          </w:p>
        </w:tc>
      </w:tr>
      <w:tr w:rsidR="00EB08CE" w:rsidRPr="00EE50C1" w:rsidTr="00BF6EC0">
        <w:trPr>
          <w:cantSplit/>
          <w:trHeight w:val="291"/>
        </w:trPr>
        <w:tc>
          <w:tcPr>
            <w:tcW w:w="2754" w:type="dxa"/>
            <w:tcBorders>
              <w:top w:val="single" w:sz="6" w:space="0" w:color="auto"/>
              <w:left w:val="single" w:sz="6" w:space="0" w:color="auto"/>
              <w:bottom w:val="single" w:sz="6" w:space="0" w:color="auto"/>
              <w:right w:val="single" w:sz="6" w:space="0" w:color="auto"/>
            </w:tcBorders>
          </w:tcPr>
          <w:p w:rsidR="00EB08CE" w:rsidRPr="00EE50C1" w:rsidRDefault="00EB08CE" w:rsidP="00BF6EC0">
            <w:r w:rsidRPr="00EE50C1">
              <w:t>GS</w:t>
            </w:r>
          </w:p>
        </w:tc>
        <w:tc>
          <w:tcPr>
            <w:tcW w:w="3366" w:type="dxa"/>
            <w:tcBorders>
              <w:top w:val="single" w:sz="6" w:space="0" w:color="auto"/>
              <w:left w:val="single" w:sz="6" w:space="0" w:color="auto"/>
              <w:bottom w:val="single" w:sz="6" w:space="0" w:color="auto"/>
              <w:right w:val="single" w:sz="6" w:space="0" w:color="auto"/>
            </w:tcBorders>
          </w:tcPr>
          <w:p w:rsidR="00EB08CE" w:rsidRPr="00EE50C1" w:rsidRDefault="00EB08CE" w:rsidP="00BF6EC0">
            <w:pPr>
              <w:jc w:val="center"/>
            </w:pPr>
            <w:r w:rsidRPr="00EE50C1">
              <w:t>1.956</w:t>
            </w:r>
          </w:p>
        </w:tc>
      </w:tr>
      <w:tr w:rsidR="00EB08CE" w:rsidRPr="00EE50C1" w:rsidTr="00BF6EC0">
        <w:trPr>
          <w:cantSplit/>
          <w:trHeight w:val="291"/>
        </w:trPr>
        <w:tc>
          <w:tcPr>
            <w:tcW w:w="2754" w:type="dxa"/>
            <w:tcBorders>
              <w:top w:val="single" w:sz="6" w:space="0" w:color="auto"/>
              <w:left w:val="single" w:sz="6" w:space="0" w:color="auto"/>
              <w:bottom w:val="single" w:sz="6" w:space="0" w:color="auto"/>
              <w:right w:val="single" w:sz="6" w:space="0" w:color="auto"/>
            </w:tcBorders>
          </w:tcPr>
          <w:p w:rsidR="00EB08CE" w:rsidRPr="00EE50C1" w:rsidRDefault="00EB08CE" w:rsidP="00BF6EC0">
            <w:r w:rsidRPr="00EE50C1">
              <w:t>GSD, GSDT, GSTOU</w:t>
            </w:r>
          </w:p>
        </w:tc>
        <w:tc>
          <w:tcPr>
            <w:tcW w:w="3366" w:type="dxa"/>
            <w:tcBorders>
              <w:top w:val="single" w:sz="6" w:space="0" w:color="auto"/>
              <w:left w:val="single" w:sz="6" w:space="0" w:color="auto"/>
              <w:bottom w:val="single" w:sz="6" w:space="0" w:color="auto"/>
              <w:right w:val="single" w:sz="6" w:space="0" w:color="auto"/>
            </w:tcBorders>
          </w:tcPr>
          <w:p w:rsidR="00EB08CE" w:rsidRPr="00EE50C1" w:rsidRDefault="00EB08CE" w:rsidP="00BF6EC0">
            <w:pPr>
              <w:jc w:val="center"/>
            </w:pPr>
            <w:r w:rsidRPr="00EE50C1">
              <w:t>1.733</w:t>
            </w:r>
          </w:p>
        </w:tc>
      </w:tr>
      <w:tr w:rsidR="00EB08CE" w:rsidRPr="00EE50C1" w:rsidTr="00BF6EC0">
        <w:trPr>
          <w:cantSplit/>
          <w:trHeight w:val="291"/>
        </w:trPr>
        <w:tc>
          <w:tcPr>
            <w:tcW w:w="2754" w:type="dxa"/>
            <w:tcBorders>
              <w:top w:val="single" w:sz="6" w:space="0" w:color="auto"/>
              <w:left w:val="single" w:sz="6" w:space="0" w:color="auto"/>
              <w:bottom w:val="single" w:sz="6" w:space="0" w:color="auto"/>
              <w:right w:val="single" w:sz="6" w:space="0" w:color="auto"/>
            </w:tcBorders>
          </w:tcPr>
          <w:p w:rsidR="00EB08CE" w:rsidRPr="00EE50C1" w:rsidRDefault="00EB08CE" w:rsidP="00BF6EC0">
            <w:r w:rsidRPr="00EE50C1">
              <w:t>LP, LPT</w:t>
            </w:r>
          </w:p>
        </w:tc>
        <w:tc>
          <w:tcPr>
            <w:tcW w:w="3366" w:type="dxa"/>
            <w:tcBorders>
              <w:top w:val="single" w:sz="6" w:space="0" w:color="auto"/>
              <w:left w:val="single" w:sz="6" w:space="0" w:color="auto"/>
              <w:bottom w:val="single" w:sz="6" w:space="0" w:color="auto"/>
              <w:right w:val="single" w:sz="6" w:space="0" w:color="auto"/>
            </w:tcBorders>
          </w:tcPr>
          <w:p w:rsidR="00EB08CE" w:rsidRPr="00EE50C1" w:rsidRDefault="00EB08CE" w:rsidP="00BF6EC0">
            <w:pPr>
              <w:jc w:val="center"/>
            </w:pPr>
            <w:r w:rsidRPr="00EE50C1">
              <w:t>1.547</w:t>
            </w:r>
          </w:p>
        </w:tc>
      </w:tr>
      <w:tr w:rsidR="00EB08CE" w:rsidRPr="00EE50C1" w:rsidTr="00BF6EC0">
        <w:trPr>
          <w:cantSplit/>
          <w:trHeight w:val="291"/>
        </w:trPr>
        <w:tc>
          <w:tcPr>
            <w:tcW w:w="2754" w:type="dxa"/>
            <w:tcBorders>
              <w:top w:val="single" w:sz="6" w:space="0" w:color="auto"/>
              <w:left w:val="single" w:sz="6" w:space="0" w:color="auto"/>
              <w:bottom w:val="single" w:sz="6" w:space="0" w:color="auto"/>
              <w:right w:val="single" w:sz="6" w:space="0" w:color="auto"/>
            </w:tcBorders>
          </w:tcPr>
          <w:p w:rsidR="00EB08CE" w:rsidRPr="00EE50C1" w:rsidRDefault="00EB08CE" w:rsidP="00BF6EC0">
            <w:r w:rsidRPr="00EE50C1">
              <w:t>PX, PXT, RTP, SBS</w:t>
            </w:r>
          </w:p>
        </w:tc>
        <w:tc>
          <w:tcPr>
            <w:tcW w:w="3366" w:type="dxa"/>
            <w:tcBorders>
              <w:top w:val="single" w:sz="6" w:space="0" w:color="auto"/>
              <w:left w:val="single" w:sz="6" w:space="0" w:color="auto"/>
              <w:bottom w:val="single" w:sz="6" w:space="0" w:color="auto"/>
              <w:right w:val="single" w:sz="6" w:space="0" w:color="auto"/>
            </w:tcBorders>
          </w:tcPr>
          <w:p w:rsidR="00EB08CE" w:rsidRPr="00EE50C1" w:rsidRDefault="00EB08CE" w:rsidP="00BF6EC0">
            <w:pPr>
              <w:jc w:val="center"/>
            </w:pPr>
            <w:r w:rsidRPr="00EE50C1">
              <w:t>1.482</w:t>
            </w:r>
          </w:p>
        </w:tc>
      </w:tr>
      <w:tr w:rsidR="00EB08CE" w:rsidRPr="00EE50C1" w:rsidTr="00BF6EC0">
        <w:trPr>
          <w:cantSplit/>
          <w:trHeight w:val="291"/>
        </w:trPr>
        <w:tc>
          <w:tcPr>
            <w:tcW w:w="2754" w:type="dxa"/>
            <w:tcBorders>
              <w:top w:val="single" w:sz="6" w:space="0" w:color="auto"/>
              <w:left w:val="single" w:sz="6" w:space="0" w:color="auto"/>
              <w:bottom w:val="single" w:sz="6" w:space="0" w:color="auto"/>
              <w:right w:val="single" w:sz="6" w:space="0" w:color="auto"/>
            </w:tcBorders>
          </w:tcPr>
          <w:p w:rsidR="00EB08CE" w:rsidRPr="00EE50C1" w:rsidRDefault="00EB08CE" w:rsidP="00BF6EC0">
            <w:r w:rsidRPr="00EE50C1">
              <w:t>OS-I/II</w:t>
            </w:r>
          </w:p>
        </w:tc>
        <w:tc>
          <w:tcPr>
            <w:tcW w:w="3366" w:type="dxa"/>
            <w:tcBorders>
              <w:top w:val="single" w:sz="6" w:space="0" w:color="auto"/>
              <w:left w:val="single" w:sz="6" w:space="0" w:color="auto"/>
              <w:bottom w:val="single" w:sz="6" w:space="0" w:color="auto"/>
              <w:right w:val="single" w:sz="6" w:space="0" w:color="auto"/>
            </w:tcBorders>
          </w:tcPr>
          <w:p w:rsidR="00EB08CE" w:rsidRPr="00EE50C1" w:rsidRDefault="00EB08CE" w:rsidP="00BF6EC0">
            <w:pPr>
              <w:jc w:val="center"/>
            </w:pPr>
            <w:r w:rsidRPr="00EE50C1">
              <w:t>0.570</w:t>
            </w:r>
          </w:p>
        </w:tc>
      </w:tr>
      <w:tr w:rsidR="00EB08CE" w:rsidRPr="00EE50C1" w:rsidTr="00BF6EC0">
        <w:trPr>
          <w:cantSplit/>
          <w:trHeight w:val="291"/>
        </w:trPr>
        <w:tc>
          <w:tcPr>
            <w:tcW w:w="2754" w:type="dxa"/>
            <w:tcBorders>
              <w:top w:val="single" w:sz="6" w:space="0" w:color="auto"/>
              <w:left w:val="single" w:sz="6" w:space="0" w:color="auto"/>
              <w:bottom w:val="single" w:sz="6" w:space="0" w:color="auto"/>
              <w:right w:val="single" w:sz="6" w:space="0" w:color="auto"/>
            </w:tcBorders>
          </w:tcPr>
          <w:p w:rsidR="00EB08CE" w:rsidRPr="00EE50C1" w:rsidRDefault="00EB08CE" w:rsidP="00BF6EC0">
            <w:r w:rsidRPr="00EE50C1">
              <w:t>OS-III</w:t>
            </w:r>
          </w:p>
        </w:tc>
        <w:tc>
          <w:tcPr>
            <w:tcW w:w="3366" w:type="dxa"/>
            <w:tcBorders>
              <w:top w:val="single" w:sz="6" w:space="0" w:color="auto"/>
              <w:left w:val="single" w:sz="6" w:space="0" w:color="auto"/>
              <w:bottom w:val="single" w:sz="6" w:space="0" w:color="auto"/>
              <w:right w:val="single" w:sz="6" w:space="0" w:color="auto"/>
            </w:tcBorders>
          </w:tcPr>
          <w:p w:rsidR="00EB08CE" w:rsidRPr="00EE50C1" w:rsidRDefault="00EB08CE" w:rsidP="00BF6EC0">
            <w:pPr>
              <w:jc w:val="center"/>
            </w:pPr>
            <w:r w:rsidRPr="00EE50C1">
              <w:t>1.361</w:t>
            </w:r>
          </w:p>
        </w:tc>
      </w:tr>
    </w:tbl>
    <w:p w:rsidR="00EB08CE" w:rsidRPr="00EE50C1" w:rsidRDefault="00EB08CE" w:rsidP="00EB08CE">
      <w:pPr>
        <w:spacing w:after="240"/>
        <w:jc w:val="both"/>
        <w:rPr>
          <w:b/>
        </w:rPr>
      </w:pPr>
    </w:p>
    <w:p w:rsidR="00EB08CE" w:rsidRPr="00EE50C1" w:rsidRDefault="00EB08CE" w:rsidP="00EB08CE">
      <w:pPr>
        <w:spacing w:after="240"/>
        <w:jc w:val="both"/>
        <w:rPr>
          <w:b/>
        </w:rPr>
      </w:pPr>
      <w:r w:rsidRPr="00EE50C1">
        <w:rPr>
          <w:b/>
        </w:rPr>
        <w:t xml:space="preserve">8. </w:t>
      </w:r>
      <w:r w:rsidRPr="00EE50C1">
        <w:rPr>
          <w:b/>
        </w:rPr>
        <w:tab/>
        <w:t>Effective Date of New Environmental Cost Recovery Factors for Billing Purposes</w:t>
      </w:r>
    </w:p>
    <w:p w:rsidR="00EB08CE" w:rsidRPr="00EE50C1" w:rsidRDefault="00EB08CE" w:rsidP="00EB08CE">
      <w:pPr>
        <w:spacing w:before="240" w:after="60"/>
        <w:jc w:val="both"/>
        <w:outlineLvl w:val="2"/>
        <w:rPr>
          <w:u w:val="single"/>
        </w:rPr>
      </w:pPr>
      <w:r w:rsidRPr="00EE50C1">
        <w:rPr>
          <w:bCs/>
        </w:rPr>
        <w:tab/>
        <w:t xml:space="preserve">The new environmental cost recovery factors shall be effective beginning with the first billing cycle for January 2018 and thereafter through the last billing cycle for December 2018.  The first billing cycle may be read before January 1, 2018, and the last cycle may be read after December 31, 2018, so that each customer is billed for twelve months regardless of when the adjustment factor became effective. </w:t>
      </w:r>
      <w:r w:rsidRPr="00EE50C1">
        <w:t>These charges shall continue in effect until modified by this Commission.</w:t>
      </w:r>
    </w:p>
    <w:p w:rsidR="00EB08CE" w:rsidRPr="00EE50C1" w:rsidRDefault="00EB08CE" w:rsidP="00EB08CE">
      <w:pPr>
        <w:rPr>
          <w:b/>
          <w:bCs/>
          <w:u w:val="single"/>
        </w:rPr>
      </w:pPr>
    </w:p>
    <w:p w:rsidR="00EB08CE" w:rsidRPr="00EE50C1" w:rsidRDefault="00EB08CE" w:rsidP="00EB08CE">
      <w:pPr>
        <w:spacing w:after="240"/>
        <w:jc w:val="both"/>
        <w:rPr>
          <w:b/>
          <w:bCs/>
        </w:rPr>
      </w:pPr>
      <w:r w:rsidRPr="00EE50C1">
        <w:rPr>
          <w:b/>
          <w:bCs/>
        </w:rPr>
        <w:t xml:space="preserve">9. </w:t>
      </w:r>
      <w:r w:rsidRPr="00EE50C1">
        <w:rPr>
          <w:b/>
          <w:bCs/>
        </w:rPr>
        <w:tab/>
        <w:t xml:space="preserve">Approval of Revised Tariffs Reflecting the Environmental Cost Recovery Amounts </w:t>
      </w:r>
      <w:r w:rsidRPr="00EE50C1">
        <w:rPr>
          <w:b/>
          <w:bCs/>
        </w:rPr>
        <w:tab/>
        <w:t xml:space="preserve">and Environmental Cost Recovery Factors Determined to be Appropriate in this </w:t>
      </w:r>
      <w:r w:rsidRPr="00EE50C1">
        <w:rPr>
          <w:b/>
          <w:bCs/>
        </w:rPr>
        <w:tab/>
        <w:t>Proceeding</w:t>
      </w:r>
    </w:p>
    <w:p w:rsidR="00EB08CE" w:rsidRPr="00EE50C1" w:rsidRDefault="00EB08CE" w:rsidP="00EB08CE">
      <w:pPr>
        <w:jc w:val="both"/>
      </w:pPr>
      <w:r w:rsidRPr="00EE50C1">
        <w:tab/>
        <w:t>The Commission hereby approves revised tariffs reflecting the environmental cost recovery amounts and factors determined to be appropriate in this proceeding. The Commission staff is directed to verify that the revised tariffs are consistent with the Commission’s decision.</w:t>
      </w:r>
    </w:p>
    <w:p w:rsidR="00EB08CE" w:rsidRPr="00EE50C1" w:rsidRDefault="00EB08CE" w:rsidP="00EB08CE">
      <w:pPr>
        <w:jc w:val="both"/>
      </w:pPr>
    </w:p>
    <w:p w:rsidR="00EB08CE" w:rsidRPr="00EE50C1" w:rsidRDefault="00EB08CE" w:rsidP="00EB08CE">
      <w:pPr>
        <w:ind w:firstLine="90"/>
        <w:jc w:val="both"/>
        <w:rPr>
          <w:b/>
          <w:bCs/>
        </w:rPr>
      </w:pPr>
      <w:r w:rsidRPr="00EE50C1">
        <w:rPr>
          <w:b/>
          <w:bCs/>
        </w:rPr>
        <w:t xml:space="preserve">10F. </w:t>
      </w:r>
      <w:r w:rsidRPr="00EE50C1">
        <w:rPr>
          <w:b/>
          <w:bCs/>
        </w:rPr>
        <w:tab/>
        <w:t xml:space="preserve">Temporary Manatee Heating System for the Fort Lauderdale Plant (“PFL”) Site as </w:t>
      </w:r>
      <w:r w:rsidRPr="00EE50C1">
        <w:rPr>
          <w:b/>
          <w:bCs/>
        </w:rPr>
        <w:tab/>
        <w:t>part of FPL’s Existing Manatee Temporary Heating System (“MTHS”) Project</w:t>
      </w:r>
    </w:p>
    <w:p w:rsidR="00EB08CE" w:rsidRPr="00EE50C1" w:rsidRDefault="00EB08CE" w:rsidP="00EB08CE">
      <w:pPr>
        <w:jc w:val="both"/>
      </w:pPr>
    </w:p>
    <w:p w:rsidR="00EB08CE" w:rsidRPr="00EE50C1" w:rsidRDefault="00EB08CE" w:rsidP="00EB08CE">
      <w:pPr>
        <w:jc w:val="both"/>
        <w:rPr>
          <w:b/>
          <w:bCs/>
        </w:rPr>
      </w:pPr>
      <w:r w:rsidRPr="00EE50C1">
        <w:tab/>
        <w:t xml:space="preserve">The modification to include a manatee temporary heating system for the PFL is hereby approved.  Costs for the PFL manatee temporary heating system will be allocated to rate classes in the same manner as all existing costs for the MTHS project. </w:t>
      </w:r>
    </w:p>
    <w:p w:rsidR="00EB08CE" w:rsidRPr="00EE50C1" w:rsidRDefault="00EB08CE" w:rsidP="00EB08CE">
      <w:pPr>
        <w:jc w:val="both"/>
        <w:rPr>
          <w:b/>
          <w:bCs/>
        </w:rPr>
      </w:pPr>
    </w:p>
    <w:p w:rsidR="00EB08CE" w:rsidRDefault="00EB08CE" w:rsidP="00EB08CE">
      <w:pPr>
        <w:jc w:val="both"/>
        <w:rPr>
          <w:b/>
          <w:bCs/>
        </w:rPr>
      </w:pPr>
      <w:r w:rsidRPr="00EE50C1">
        <w:rPr>
          <w:b/>
          <w:bCs/>
        </w:rPr>
        <w:t>10G.</w:t>
      </w:r>
      <w:r w:rsidRPr="00EE50C1">
        <w:rPr>
          <w:b/>
          <w:bCs/>
        </w:rPr>
        <w:tab/>
        <w:t xml:space="preserve">Effects on the 2018 Environmental Cost Recovery Factors of the St. Johns River </w:t>
      </w:r>
      <w:r w:rsidRPr="00EE50C1">
        <w:rPr>
          <w:b/>
          <w:bCs/>
        </w:rPr>
        <w:tab/>
        <w:t xml:space="preserve">Power Park Transaction (SJRPP), Approved by the Commission on September </w:t>
      </w:r>
      <w:r w:rsidRPr="00EE50C1">
        <w:rPr>
          <w:b/>
          <w:bCs/>
        </w:rPr>
        <w:tab/>
        <w:t>25, 2017</w:t>
      </w:r>
    </w:p>
    <w:p w:rsidR="00B91687" w:rsidRDefault="00B91687" w:rsidP="00EB08CE">
      <w:pPr>
        <w:jc w:val="both"/>
        <w:rPr>
          <w:b/>
          <w:bCs/>
        </w:rPr>
      </w:pPr>
    </w:p>
    <w:p w:rsidR="00B91687" w:rsidRDefault="00B91687" w:rsidP="00EB08CE">
      <w:pPr>
        <w:jc w:val="both"/>
        <w:rPr>
          <w:b/>
          <w:bCs/>
        </w:rPr>
      </w:pPr>
    </w:p>
    <w:p w:rsidR="00B91687" w:rsidRPr="00EE50C1" w:rsidRDefault="00B91687" w:rsidP="00EB08CE">
      <w:pPr>
        <w:jc w:val="both"/>
      </w:pPr>
    </w:p>
    <w:p w:rsidR="00EB08CE" w:rsidRPr="00EE50C1" w:rsidRDefault="00EB08CE" w:rsidP="00EB08CE">
      <w:pPr>
        <w:ind w:left="1440" w:hanging="1440"/>
        <w:jc w:val="both"/>
      </w:pPr>
      <w:r w:rsidRPr="00EE50C1">
        <w:lastRenderedPageBreak/>
        <w:t xml:space="preserve">                                                                       </w:t>
      </w:r>
    </w:p>
    <w:p w:rsidR="00EB08CE" w:rsidRPr="00EE50C1" w:rsidRDefault="00EB08CE" w:rsidP="00EB08CE">
      <w:pPr>
        <w:jc w:val="both"/>
      </w:pPr>
      <w:r w:rsidRPr="00EE50C1">
        <w:tab/>
        <w:t xml:space="preserve">The net impact of the SJRPP Transaction will be a reduction in the environmental cost recovery factors for 2018.  At this point, FPL cannot prepare and file an updated filing reflecting the SJRPP Transaction in time for parties to have a reasonable opportunity to review it before the hearing scheduled in this docket on October 25-27, 2017.  Therefore, FPL will file a mid-course correction limited to the impacts of the SJRPP Transaction by no later than November 17, 2017, to allow ample time for Commission staff and parties to review and conduct discovery, if any, before the mid-course correction is brought to the Commission for decision at the February 6, 2018 Agenda Conference, with the intent that the revised environmental cost recovery factors go into effect on March 1, 2018. </w:t>
      </w:r>
    </w:p>
    <w:p w:rsidR="00EB08CE" w:rsidRPr="00EE50C1" w:rsidRDefault="00EB08CE" w:rsidP="00EB08CE">
      <w:pPr>
        <w:ind w:left="1440" w:hanging="1440"/>
        <w:rPr>
          <w:b/>
          <w:bCs/>
        </w:rPr>
      </w:pPr>
    </w:p>
    <w:p w:rsidR="00EB08CE" w:rsidRPr="00EE50C1" w:rsidRDefault="00EB08CE" w:rsidP="00EB08CE">
      <w:pPr>
        <w:spacing w:after="240"/>
        <w:jc w:val="both"/>
        <w:rPr>
          <w:b/>
        </w:rPr>
      </w:pPr>
      <w:r w:rsidRPr="00EE50C1">
        <w:rPr>
          <w:b/>
        </w:rPr>
        <w:t>11.</w:t>
      </w:r>
      <w:r w:rsidRPr="00EE50C1">
        <w:rPr>
          <w:b/>
        </w:rPr>
        <w:tab/>
        <w:t xml:space="preserve">Revenues Included in Tampa Electric’s Projected ECRC Cost Recovery Amount for </w:t>
      </w:r>
      <w:r w:rsidRPr="00EE50C1">
        <w:rPr>
          <w:b/>
        </w:rPr>
        <w:tab/>
        <w:t xml:space="preserve">2018 Associated with Phase II of the Company’s Coal Combustion Residuals </w:t>
      </w:r>
      <w:r w:rsidRPr="00EE50C1">
        <w:rPr>
          <w:b/>
        </w:rPr>
        <w:tab/>
        <w:t xml:space="preserve">Compliance Program (“CCR Program”)  </w:t>
      </w:r>
    </w:p>
    <w:p w:rsidR="00EB08CE" w:rsidRPr="00EE50C1" w:rsidRDefault="00EB08CE" w:rsidP="00EB08CE">
      <w:pPr>
        <w:tabs>
          <w:tab w:val="left" w:pos="0"/>
        </w:tabs>
        <w:jc w:val="both"/>
        <w:rPr>
          <w:b/>
        </w:rPr>
      </w:pPr>
      <w:r w:rsidRPr="00EE50C1">
        <w:tab/>
        <w:t xml:space="preserve">Approval of the projected revenues for the costs associated with the Phase II of the CCR program is conditioned on this Commission’s approval of the CCR program in Docket No. 20170168-EI.  To the extent the scope of the CCR program costs differ from costs of the approved program in Docket No. 20170168-EI, the revenues collected for the CCR program in Docket No. 20170007-EI shall be subject to true-up. </w:t>
      </w:r>
    </w:p>
    <w:p w:rsidR="00EB08CE" w:rsidRPr="00EE50C1" w:rsidRDefault="00EB08CE" w:rsidP="00EB08CE">
      <w:pPr>
        <w:rPr>
          <w:b/>
        </w:rPr>
      </w:pPr>
    </w:p>
    <w:p w:rsidR="00EB08CE" w:rsidRPr="00EE50C1" w:rsidRDefault="00EB08CE" w:rsidP="00EB08CE">
      <w:pPr>
        <w:rPr>
          <w:b/>
          <w:bCs/>
        </w:rPr>
      </w:pPr>
      <w:r w:rsidRPr="00EE50C1">
        <w:rPr>
          <w:b/>
        </w:rPr>
        <w:t>12A.</w:t>
      </w:r>
      <w:r w:rsidRPr="00EE50C1">
        <w:rPr>
          <w:b/>
        </w:rPr>
        <w:tab/>
        <w:t>DEF’s 316(b) Compliance Plan </w:t>
      </w:r>
    </w:p>
    <w:p w:rsidR="00EB08CE" w:rsidRPr="00EE50C1" w:rsidRDefault="00EB08CE" w:rsidP="00EB08CE">
      <w:pPr>
        <w:jc w:val="both"/>
      </w:pPr>
    </w:p>
    <w:p w:rsidR="00EB08CE" w:rsidRPr="00EE50C1" w:rsidRDefault="00EB08CE" w:rsidP="00EB08CE">
      <w:pPr>
        <w:jc w:val="both"/>
      </w:pPr>
      <w:r w:rsidRPr="00EE50C1">
        <w:tab/>
        <w:t xml:space="preserve">DEF’s 316(b) Compliance Plan is reasonable as it meets the criteria for recovery through the Environmental Cost Recovery Clause. Recovery of related costs through the ECRC is approved. </w:t>
      </w:r>
    </w:p>
    <w:p w:rsidR="00EB08CE" w:rsidRPr="00EE50C1" w:rsidRDefault="00EB08CE" w:rsidP="00EB08CE">
      <w:pPr>
        <w:jc w:val="both"/>
        <w:rPr>
          <w:b/>
        </w:rPr>
      </w:pPr>
    </w:p>
    <w:p w:rsidR="00EB08CE" w:rsidRPr="00EE50C1" w:rsidRDefault="00EB08CE" w:rsidP="00EB08CE">
      <w:pPr>
        <w:jc w:val="both"/>
        <w:rPr>
          <w:b/>
        </w:rPr>
      </w:pPr>
      <w:r w:rsidRPr="00EE50C1">
        <w:rPr>
          <w:b/>
        </w:rPr>
        <w:t>12B.</w:t>
      </w:r>
      <w:r w:rsidRPr="00EE50C1">
        <w:rPr>
          <w:b/>
        </w:rPr>
        <w:tab/>
        <w:t>Allocation of Costs Associated with DEF’s 316(b) Compliance Plan</w:t>
      </w:r>
    </w:p>
    <w:p w:rsidR="00EB08CE" w:rsidRPr="00EE50C1" w:rsidRDefault="00EB08CE" w:rsidP="00EB08CE">
      <w:pPr>
        <w:jc w:val="both"/>
        <w:rPr>
          <w:b/>
        </w:rPr>
      </w:pPr>
    </w:p>
    <w:p w:rsidR="00EB08CE" w:rsidRPr="00EE50C1" w:rsidRDefault="00EB08CE" w:rsidP="00EB08CE">
      <w:pPr>
        <w:jc w:val="both"/>
        <w:rPr>
          <w:b/>
          <w:bCs/>
        </w:rPr>
      </w:pPr>
      <w:r w:rsidRPr="00EE50C1">
        <w:tab/>
        <w:t>Costs associated with DEF’s 316(b) Compliance Plan shall be allocated to the rate classes on a demand basis.</w:t>
      </w:r>
    </w:p>
    <w:p w:rsidR="00EB08CE" w:rsidRPr="00EE50C1" w:rsidRDefault="00EB08CE" w:rsidP="00EB08CE">
      <w:pPr>
        <w:jc w:val="both"/>
        <w:rPr>
          <w:b/>
          <w:u w:val="single"/>
        </w:rPr>
      </w:pPr>
    </w:p>
    <w:p w:rsidR="00EB08CE" w:rsidRPr="00EE50C1" w:rsidRDefault="00EB08CE" w:rsidP="00EB08CE">
      <w:pPr>
        <w:jc w:val="both"/>
        <w:rPr>
          <w:b/>
          <w:bCs/>
        </w:rPr>
      </w:pPr>
      <w:r w:rsidRPr="00EE50C1">
        <w:rPr>
          <w:b/>
          <w:bCs/>
        </w:rPr>
        <w:t>12C.</w:t>
      </w:r>
      <w:r w:rsidRPr="00EE50C1">
        <w:rPr>
          <w:b/>
          <w:bCs/>
        </w:rPr>
        <w:tab/>
        <w:t xml:space="preserve">Regulatory Asset Treatment of the Alderman Road Fence </w:t>
      </w:r>
    </w:p>
    <w:p w:rsidR="00EB08CE" w:rsidRPr="00EE50C1" w:rsidRDefault="00EB08CE" w:rsidP="00EB08CE">
      <w:pPr>
        <w:jc w:val="both"/>
      </w:pPr>
    </w:p>
    <w:p w:rsidR="00EB08CE" w:rsidRPr="00EE50C1" w:rsidRDefault="00EB08CE" w:rsidP="00EB08CE">
      <w:pPr>
        <w:jc w:val="both"/>
      </w:pPr>
      <w:r w:rsidRPr="00EE50C1">
        <w:tab/>
        <w:t>The Commission approves DEF’s proposed treatment for the Alderman Road Fence - Project 3.1(a).</w:t>
      </w:r>
    </w:p>
    <w:p w:rsidR="00EB08CE" w:rsidRPr="00EE50C1" w:rsidRDefault="00EB08CE" w:rsidP="00EB08CE">
      <w:pPr>
        <w:jc w:val="both"/>
      </w:pPr>
    </w:p>
    <w:p w:rsidR="00EB08CE" w:rsidRPr="00EE50C1" w:rsidRDefault="00EB08CE" w:rsidP="00EB08CE">
      <w:pPr>
        <w:jc w:val="both"/>
        <w:rPr>
          <w:b/>
          <w:bCs/>
        </w:rPr>
      </w:pPr>
      <w:r w:rsidRPr="00EE50C1">
        <w:rPr>
          <w:b/>
          <w:bCs/>
        </w:rPr>
        <w:t>13. </w:t>
      </w:r>
      <w:r w:rsidRPr="00EE50C1">
        <w:rPr>
          <w:b/>
          <w:bCs/>
        </w:rPr>
        <w:tab/>
        <w:t xml:space="preserve">Docket to Remain Open </w:t>
      </w:r>
    </w:p>
    <w:p w:rsidR="00EB08CE" w:rsidRPr="00EE50C1" w:rsidRDefault="00EB08CE" w:rsidP="00EB08CE">
      <w:pPr>
        <w:autoSpaceDE w:val="0"/>
        <w:autoSpaceDN w:val="0"/>
        <w:ind w:left="1440" w:hanging="1440"/>
        <w:jc w:val="both"/>
        <w:rPr>
          <w:b/>
          <w:bCs/>
        </w:rPr>
      </w:pPr>
    </w:p>
    <w:p w:rsidR="00EB08CE" w:rsidRPr="00EE50C1" w:rsidRDefault="00EB08CE" w:rsidP="00EB08CE">
      <w:r w:rsidRPr="00EE50C1">
        <w:tab/>
        <w:t>While a separate docket number is assigned each year for administrative convenience, this is a continuing docket and shall remain open.</w:t>
      </w:r>
    </w:p>
    <w:p w:rsidR="00EB08CE" w:rsidRPr="00EE50C1" w:rsidRDefault="00EB08CE" w:rsidP="00EB08CE">
      <w:pPr>
        <w:pStyle w:val="OrderBody"/>
      </w:pPr>
    </w:p>
    <w:p w:rsidR="003C5174" w:rsidRPr="00EE50C1" w:rsidRDefault="003C5174">
      <w:r w:rsidRPr="00EE50C1">
        <w:br w:type="page"/>
      </w:r>
    </w:p>
    <w:p w:rsidR="003C5174" w:rsidRPr="004941B3" w:rsidRDefault="003C5174" w:rsidP="00DC64F6">
      <w:pPr>
        <w:jc w:val="center"/>
        <w:rPr>
          <w:b/>
          <w:u w:val="single"/>
        </w:rPr>
      </w:pPr>
      <w:r w:rsidRPr="004941B3">
        <w:rPr>
          <w:b/>
          <w:u w:val="single"/>
        </w:rPr>
        <w:lastRenderedPageBreak/>
        <w:t>ATTACHMENT B</w:t>
      </w:r>
      <w:r w:rsidR="004E31FB" w:rsidRPr="004941B3">
        <w:rPr>
          <w:b/>
          <w:u w:val="single"/>
        </w:rPr>
        <w:t xml:space="preserve"> </w:t>
      </w:r>
      <w:r w:rsidR="008A2231" w:rsidRPr="004941B3">
        <w:rPr>
          <w:b/>
          <w:u w:val="single"/>
        </w:rPr>
        <w:t xml:space="preserve">   </w:t>
      </w:r>
      <w:r w:rsidR="004E31FB" w:rsidRPr="004941B3">
        <w:rPr>
          <w:b/>
          <w:u w:val="single"/>
        </w:rPr>
        <w:t>ACRONYM LIST FOR</w:t>
      </w:r>
      <w:r w:rsidR="00A64BC0" w:rsidRPr="004941B3">
        <w:rPr>
          <w:b/>
          <w:u w:val="single"/>
        </w:rPr>
        <w:t xml:space="preserve"> CONTESTED ISSUES</w:t>
      </w:r>
    </w:p>
    <w:p w:rsidR="003C5174" w:rsidRPr="00EE50C1" w:rsidRDefault="003C5174" w:rsidP="003C5174">
      <w:pPr>
        <w:spacing w:after="240"/>
        <w:jc w:val="both"/>
        <w:rPr>
          <w:b/>
        </w:rPr>
      </w:pPr>
      <w:r w:rsidRPr="00EE50C1">
        <w:t xml:space="preserve"> </w:t>
      </w:r>
      <w:r w:rsidRPr="00EE50C1">
        <w:rPr>
          <w:b/>
        </w:rPr>
        <w:tab/>
        <w:t xml:space="preserve"> </w:t>
      </w:r>
    </w:p>
    <w:p w:rsidR="003C5174" w:rsidRPr="00EE50C1" w:rsidRDefault="003C5174" w:rsidP="003C5174">
      <w:pPr>
        <w:spacing w:line="276" w:lineRule="auto"/>
        <w:jc w:val="both"/>
      </w:pPr>
      <w:r w:rsidRPr="00EE50C1">
        <w:t>AO</w:t>
      </w:r>
      <w:r w:rsidRPr="00EE50C1">
        <w:tab/>
      </w:r>
      <w:r w:rsidRPr="00EE50C1">
        <w:tab/>
      </w:r>
      <w:r w:rsidRPr="00EE50C1">
        <w:tab/>
        <w:t xml:space="preserve">Administrative Order </w:t>
      </w:r>
    </w:p>
    <w:p w:rsidR="003C5174" w:rsidRPr="00EE50C1" w:rsidRDefault="003C5174" w:rsidP="003C5174">
      <w:pPr>
        <w:spacing w:line="276" w:lineRule="auto"/>
        <w:jc w:val="both"/>
      </w:pPr>
      <w:r w:rsidRPr="00EE50C1">
        <w:t>Approval Order</w:t>
      </w:r>
      <w:r w:rsidRPr="00EE50C1">
        <w:tab/>
        <w:t>Commission Order No. PSC-09-0759-FOF-EI</w:t>
      </w:r>
    </w:p>
    <w:p w:rsidR="003C5174" w:rsidRPr="00EE50C1" w:rsidRDefault="003C5174" w:rsidP="003C5174">
      <w:pPr>
        <w:spacing w:line="276" w:lineRule="auto"/>
        <w:jc w:val="both"/>
      </w:pPr>
      <w:r w:rsidRPr="00EE50C1">
        <w:t>CA</w:t>
      </w:r>
      <w:r w:rsidRPr="00EE50C1">
        <w:tab/>
      </w:r>
      <w:r w:rsidRPr="00EE50C1">
        <w:tab/>
      </w:r>
      <w:r w:rsidRPr="00EE50C1">
        <w:tab/>
        <w:t xml:space="preserve">Consent Agreement </w:t>
      </w:r>
    </w:p>
    <w:p w:rsidR="003C5174" w:rsidRPr="00EE50C1" w:rsidRDefault="003C5174" w:rsidP="003C5174">
      <w:pPr>
        <w:spacing w:line="276" w:lineRule="auto"/>
        <w:jc w:val="both"/>
      </w:pPr>
      <w:r w:rsidRPr="00EE50C1">
        <w:t>CAA</w:t>
      </w:r>
      <w:r w:rsidRPr="00EE50C1">
        <w:tab/>
      </w:r>
      <w:r w:rsidRPr="00EE50C1">
        <w:tab/>
      </w:r>
      <w:r w:rsidRPr="00EE50C1">
        <w:tab/>
        <w:t xml:space="preserve">Consent Agreement Addendum </w:t>
      </w:r>
    </w:p>
    <w:p w:rsidR="003C5174" w:rsidRPr="00EE50C1" w:rsidRDefault="003C5174" w:rsidP="003C5174">
      <w:pPr>
        <w:spacing w:line="276" w:lineRule="auto"/>
        <w:jc w:val="both"/>
      </w:pPr>
      <w:r w:rsidRPr="00EE50C1">
        <w:t>CCS</w:t>
      </w:r>
      <w:r w:rsidRPr="00EE50C1">
        <w:tab/>
      </w:r>
      <w:r w:rsidRPr="00EE50C1">
        <w:tab/>
      </w:r>
      <w:r w:rsidRPr="00EE50C1">
        <w:tab/>
        <w:t xml:space="preserve">Cooling Canal System </w:t>
      </w:r>
    </w:p>
    <w:p w:rsidR="003C5174" w:rsidRPr="00EE50C1" w:rsidRDefault="003C5174" w:rsidP="003C5174">
      <w:pPr>
        <w:spacing w:line="276" w:lineRule="auto"/>
        <w:jc w:val="both"/>
      </w:pPr>
      <w:r w:rsidRPr="00EE50C1">
        <w:t>CO</w:t>
      </w:r>
      <w:r w:rsidRPr="00EE50C1">
        <w:tab/>
      </w:r>
      <w:r w:rsidRPr="00EE50C1">
        <w:tab/>
      </w:r>
      <w:r w:rsidRPr="00EE50C1">
        <w:tab/>
        <w:t xml:space="preserve">Consent Order </w:t>
      </w:r>
    </w:p>
    <w:p w:rsidR="003C5174" w:rsidRPr="00EE50C1" w:rsidRDefault="003C5174" w:rsidP="003C5174">
      <w:pPr>
        <w:spacing w:line="276" w:lineRule="auto"/>
        <w:jc w:val="both"/>
      </w:pPr>
      <w:r w:rsidRPr="00EE50C1">
        <w:t>COC</w:t>
      </w:r>
      <w:r w:rsidRPr="00EE50C1">
        <w:tab/>
      </w:r>
      <w:r w:rsidRPr="00EE50C1">
        <w:tab/>
      </w:r>
      <w:r w:rsidRPr="00EE50C1">
        <w:tab/>
        <w:t>Conditions of Certification</w:t>
      </w:r>
    </w:p>
    <w:p w:rsidR="003C5174" w:rsidRPr="00EE50C1" w:rsidRDefault="003C5174" w:rsidP="003C5174">
      <w:pPr>
        <w:spacing w:line="276" w:lineRule="auto"/>
        <w:jc w:val="both"/>
      </w:pPr>
      <w:r w:rsidRPr="00EE50C1">
        <w:t>DERM</w:t>
      </w:r>
      <w:r w:rsidRPr="00EE50C1">
        <w:tab/>
      </w:r>
      <w:r w:rsidRPr="00EE50C1">
        <w:tab/>
      </w:r>
      <w:r w:rsidRPr="00EE50C1">
        <w:tab/>
        <w:t xml:space="preserve">Miami-Dade Department of Environmental Resources Management </w:t>
      </w:r>
    </w:p>
    <w:p w:rsidR="003C5174" w:rsidRPr="00EE50C1" w:rsidRDefault="003C5174" w:rsidP="003C5174">
      <w:pPr>
        <w:spacing w:line="276" w:lineRule="auto"/>
        <w:jc w:val="both"/>
      </w:pPr>
      <w:r w:rsidRPr="00EE50C1">
        <w:t xml:space="preserve">ECRC </w:t>
      </w:r>
      <w:r w:rsidRPr="00EE50C1">
        <w:tab/>
      </w:r>
      <w:r w:rsidRPr="00EE50C1">
        <w:tab/>
        <w:t xml:space="preserve">            Environmental Cost Recovery Clause </w:t>
      </w:r>
    </w:p>
    <w:p w:rsidR="003C5174" w:rsidRPr="00EE50C1" w:rsidRDefault="003C5174" w:rsidP="003C5174">
      <w:pPr>
        <w:spacing w:line="276" w:lineRule="auto"/>
        <w:jc w:val="both"/>
      </w:pPr>
      <w:r w:rsidRPr="00EE50C1">
        <w:t>EPA</w:t>
      </w:r>
      <w:r w:rsidRPr="00EE50C1">
        <w:tab/>
      </w:r>
      <w:r w:rsidRPr="00EE50C1">
        <w:tab/>
        <w:t xml:space="preserve">      </w:t>
      </w:r>
      <w:r w:rsidRPr="00EE50C1">
        <w:tab/>
        <w:t>Environmental Protection Agency</w:t>
      </w:r>
    </w:p>
    <w:p w:rsidR="003C5174" w:rsidRPr="00EE50C1" w:rsidRDefault="003C5174" w:rsidP="003C5174">
      <w:pPr>
        <w:spacing w:line="276" w:lineRule="auto"/>
        <w:jc w:val="both"/>
      </w:pPr>
      <w:r w:rsidRPr="00EE50C1">
        <w:t xml:space="preserve">FDEP  </w:t>
      </w:r>
      <w:r w:rsidRPr="00EE50C1">
        <w:tab/>
      </w:r>
      <w:r w:rsidR="001F4863">
        <w:tab/>
      </w:r>
      <w:r w:rsidR="001F4863">
        <w:tab/>
      </w:r>
      <w:r w:rsidRPr="00EE50C1">
        <w:t>Florida Department of Environmental Protection</w:t>
      </w:r>
    </w:p>
    <w:p w:rsidR="003C5174" w:rsidRPr="00EE50C1" w:rsidRDefault="003C5174" w:rsidP="003C5174">
      <w:pPr>
        <w:spacing w:line="276" w:lineRule="auto"/>
        <w:jc w:val="both"/>
      </w:pPr>
      <w:r w:rsidRPr="00EE50C1">
        <w:t>FEA</w:t>
      </w:r>
      <w:r w:rsidRPr="00EE50C1">
        <w:tab/>
      </w:r>
      <w:r w:rsidRPr="00EE50C1">
        <w:tab/>
      </w:r>
      <w:r w:rsidRPr="00EE50C1">
        <w:tab/>
        <w:t>Federal Executive Agencies</w:t>
      </w:r>
    </w:p>
    <w:p w:rsidR="003C5174" w:rsidRPr="00EE50C1" w:rsidRDefault="003C5174" w:rsidP="003C5174">
      <w:pPr>
        <w:spacing w:line="276" w:lineRule="auto"/>
        <w:jc w:val="both"/>
      </w:pPr>
      <w:r w:rsidRPr="00EE50C1">
        <w:t>FERC</w:t>
      </w:r>
      <w:r w:rsidRPr="00EE50C1">
        <w:tab/>
      </w:r>
      <w:r w:rsidRPr="00EE50C1">
        <w:tab/>
      </w:r>
      <w:r w:rsidRPr="00EE50C1">
        <w:tab/>
        <w:t xml:space="preserve">Federal Energy Regulatory Commission  </w:t>
      </w:r>
    </w:p>
    <w:p w:rsidR="003C5174" w:rsidRPr="00EE50C1" w:rsidRDefault="003C5174" w:rsidP="003C5174">
      <w:pPr>
        <w:spacing w:line="276" w:lineRule="auto"/>
        <w:jc w:val="both"/>
      </w:pPr>
      <w:r w:rsidRPr="00EE50C1">
        <w:t xml:space="preserve">FIPUG </w:t>
      </w:r>
      <w:r w:rsidRPr="00EE50C1">
        <w:tab/>
      </w:r>
      <w:r w:rsidRPr="00EE50C1">
        <w:tab/>
        <w:t xml:space="preserve">Florida Industrial Power Users Group </w:t>
      </w:r>
    </w:p>
    <w:p w:rsidR="003C5174" w:rsidRPr="00EE50C1" w:rsidRDefault="003C5174" w:rsidP="003C5174">
      <w:pPr>
        <w:spacing w:line="276" w:lineRule="auto"/>
        <w:jc w:val="both"/>
      </w:pPr>
      <w:r w:rsidRPr="00EE50C1">
        <w:t>FPL</w:t>
      </w:r>
      <w:r w:rsidRPr="00EE50C1">
        <w:tab/>
      </w:r>
      <w:r w:rsidRPr="00EE50C1">
        <w:tab/>
      </w:r>
      <w:r w:rsidRPr="00EE50C1">
        <w:tab/>
        <w:t xml:space="preserve">Florida Power and Light </w:t>
      </w:r>
    </w:p>
    <w:p w:rsidR="003C5174" w:rsidRPr="00EE50C1" w:rsidRDefault="003C5174" w:rsidP="003C5174">
      <w:pPr>
        <w:spacing w:line="276" w:lineRule="auto"/>
        <w:jc w:val="both"/>
      </w:pPr>
      <w:r w:rsidRPr="00EE50C1">
        <w:t xml:space="preserve">F.S. </w:t>
      </w:r>
      <w:r w:rsidRPr="00EE50C1">
        <w:tab/>
      </w:r>
      <w:r w:rsidRPr="00EE50C1">
        <w:tab/>
      </w:r>
      <w:r w:rsidRPr="00EE50C1">
        <w:tab/>
        <w:t xml:space="preserve">Florida Statutes </w:t>
      </w:r>
    </w:p>
    <w:p w:rsidR="003C5174" w:rsidRPr="00EE50C1" w:rsidRDefault="003C5174" w:rsidP="003C5174">
      <w:pPr>
        <w:spacing w:line="276" w:lineRule="auto"/>
        <w:jc w:val="both"/>
      </w:pPr>
      <w:r w:rsidRPr="00EE50C1">
        <w:t>GAAP</w:t>
      </w:r>
      <w:r w:rsidRPr="00EE50C1">
        <w:tab/>
      </w:r>
      <w:r w:rsidRPr="00EE50C1">
        <w:tab/>
      </w:r>
      <w:r w:rsidRPr="00EE50C1">
        <w:tab/>
        <w:t xml:space="preserve">Generally Accepted Accounting Principles </w:t>
      </w:r>
    </w:p>
    <w:p w:rsidR="003C5174" w:rsidRPr="00EE50C1" w:rsidRDefault="003C5174" w:rsidP="003C5174">
      <w:pPr>
        <w:spacing w:line="276" w:lineRule="auto"/>
        <w:jc w:val="both"/>
      </w:pPr>
      <w:r w:rsidRPr="00EE50C1">
        <w:t>GULF</w:t>
      </w:r>
      <w:r w:rsidRPr="00EE50C1">
        <w:tab/>
      </w:r>
      <w:r w:rsidRPr="00EE50C1">
        <w:tab/>
      </w:r>
      <w:r w:rsidRPr="00EE50C1">
        <w:tab/>
        <w:t xml:space="preserve">Gulf Power Company </w:t>
      </w:r>
    </w:p>
    <w:p w:rsidR="003C5174" w:rsidRPr="00EE50C1" w:rsidRDefault="003C5174" w:rsidP="003C5174">
      <w:pPr>
        <w:spacing w:line="276" w:lineRule="auto"/>
        <w:ind w:left="720" w:hanging="720"/>
        <w:jc w:val="both"/>
      </w:pPr>
      <w:r w:rsidRPr="00EE50C1">
        <w:t>NOV</w:t>
      </w:r>
      <w:r w:rsidRPr="00EE50C1">
        <w:tab/>
      </w:r>
      <w:r w:rsidRPr="00EE50C1">
        <w:tab/>
      </w:r>
      <w:r w:rsidRPr="00EE50C1">
        <w:tab/>
        <w:t>Notice of Violation</w:t>
      </w:r>
    </w:p>
    <w:p w:rsidR="003C5174" w:rsidRPr="00EE50C1" w:rsidRDefault="003C5174" w:rsidP="003C5174">
      <w:pPr>
        <w:spacing w:line="276" w:lineRule="auto"/>
        <w:jc w:val="both"/>
      </w:pPr>
      <w:r w:rsidRPr="00EE50C1">
        <w:t>O&amp;M</w:t>
      </w:r>
      <w:r w:rsidRPr="00EE50C1">
        <w:tab/>
      </w:r>
      <w:r w:rsidRPr="00EE50C1">
        <w:tab/>
      </w:r>
      <w:r w:rsidRPr="00EE50C1">
        <w:tab/>
        <w:t xml:space="preserve">Operation and Maintenance </w:t>
      </w:r>
    </w:p>
    <w:p w:rsidR="003C5174" w:rsidRPr="00EE50C1" w:rsidRDefault="003C5174" w:rsidP="003C5174">
      <w:pPr>
        <w:spacing w:line="276" w:lineRule="auto"/>
        <w:ind w:left="720" w:hanging="720"/>
        <w:jc w:val="both"/>
      </w:pPr>
      <w:r w:rsidRPr="00EE50C1">
        <w:t>OPC</w:t>
      </w:r>
      <w:r w:rsidRPr="00EE50C1">
        <w:tab/>
      </w:r>
      <w:r w:rsidRPr="00EE50C1">
        <w:tab/>
      </w:r>
      <w:r w:rsidRPr="00EE50C1">
        <w:tab/>
        <w:t xml:space="preserve">Office of Public Counsel </w:t>
      </w:r>
    </w:p>
    <w:p w:rsidR="003C5174" w:rsidRPr="00EE50C1" w:rsidRDefault="003C5174" w:rsidP="003C5174">
      <w:pPr>
        <w:spacing w:line="276" w:lineRule="auto"/>
        <w:jc w:val="both"/>
      </w:pPr>
      <w:r w:rsidRPr="00EE50C1">
        <w:t>PSU</w:t>
      </w:r>
      <w:r w:rsidRPr="00EE50C1">
        <w:tab/>
      </w:r>
      <w:r w:rsidRPr="00EE50C1">
        <w:tab/>
      </w:r>
      <w:r w:rsidRPr="00EE50C1">
        <w:tab/>
        <w:t>Practical Salinity Units</w:t>
      </w:r>
    </w:p>
    <w:p w:rsidR="003C5174" w:rsidRPr="00EE50C1" w:rsidRDefault="003C5174" w:rsidP="003C5174">
      <w:pPr>
        <w:spacing w:line="276" w:lineRule="auto"/>
        <w:jc w:val="both"/>
      </w:pPr>
      <w:r w:rsidRPr="00EE50C1">
        <w:t>RFRP</w:t>
      </w:r>
      <w:r w:rsidRPr="00EE50C1">
        <w:tab/>
      </w:r>
      <w:r w:rsidRPr="00EE50C1">
        <w:tab/>
      </w:r>
      <w:r w:rsidRPr="00EE50C1">
        <w:tab/>
        <w:t xml:space="preserve">Retraction and Freshening Remediation Project </w:t>
      </w:r>
    </w:p>
    <w:p w:rsidR="003C5174" w:rsidRPr="00EE50C1" w:rsidRDefault="003C5174" w:rsidP="003C5174">
      <w:pPr>
        <w:spacing w:line="276" w:lineRule="auto"/>
        <w:jc w:val="both"/>
      </w:pPr>
      <w:r w:rsidRPr="00EE50C1">
        <w:t xml:space="preserve">RWS </w:t>
      </w:r>
      <w:r w:rsidRPr="00EE50C1">
        <w:tab/>
      </w:r>
      <w:r w:rsidRPr="00EE50C1">
        <w:tab/>
      </w:r>
      <w:r w:rsidRPr="00EE50C1">
        <w:tab/>
        <w:t xml:space="preserve">Recovery Well System </w:t>
      </w:r>
    </w:p>
    <w:p w:rsidR="003C5174" w:rsidRPr="00EE50C1" w:rsidRDefault="003C5174" w:rsidP="003C5174">
      <w:pPr>
        <w:spacing w:line="276" w:lineRule="auto"/>
        <w:jc w:val="both"/>
      </w:pPr>
      <w:r w:rsidRPr="00EE50C1">
        <w:t>SACE</w:t>
      </w:r>
      <w:r w:rsidRPr="00EE50C1">
        <w:tab/>
      </w:r>
      <w:r w:rsidRPr="00EE50C1">
        <w:tab/>
      </w:r>
      <w:r w:rsidRPr="00EE50C1">
        <w:tab/>
        <w:t xml:space="preserve">Southern Alliance for Clean Energy </w:t>
      </w:r>
    </w:p>
    <w:p w:rsidR="003C5174" w:rsidRPr="00EE50C1" w:rsidRDefault="003C5174" w:rsidP="003C5174">
      <w:pPr>
        <w:spacing w:line="276" w:lineRule="auto"/>
        <w:jc w:val="both"/>
      </w:pPr>
      <w:r w:rsidRPr="00EE50C1">
        <w:t>SFWMD</w:t>
      </w:r>
      <w:r w:rsidRPr="00EE50C1">
        <w:tab/>
      </w:r>
      <w:r w:rsidRPr="00EE50C1">
        <w:tab/>
        <w:t xml:space="preserve">South Florida Water Management District </w:t>
      </w:r>
    </w:p>
    <w:p w:rsidR="003C5174" w:rsidRPr="00EE50C1" w:rsidRDefault="003C5174" w:rsidP="003C5174">
      <w:pPr>
        <w:spacing w:line="276" w:lineRule="auto"/>
        <w:jc w:val="both"/>
      </w:pPr>
      <w:r w:rsidRPr="00EE50C1">
        <w:t>TP</w:t>
      </w:r>
      <w:r w:rsidRPr="00EE50C1">
        <w:tab/>
      </w:r>
      <w:r w:rsidRPr="00EE50C1">
        <w:tab/>
      </w:r>
      <w:r w:rsidRPr="00EE50C1">
        <w:tab/>
        <w:t>Turkey Point</w:t>
      </w:r>
    </w:p>
    <w:p w:rsidR="00F3777B" w:rsidRDefault="003C5174" w:rsidP="003C5174">
      <w:pPr>
        <w:spacing w:line="276" w:lineRule="auto"/>
        <w:jc w:val="both"/>
      </w:pPr>
      <w:r w:rsidRPr="00EE50C1">
        <w:t>TP</w:t>
      </w:r>
      <w:r w:rsidR="006E7056">
        <w:t>-</w:t>
      </w:r>
      <w:r w:rsidRPr="00EE50C1">
        <w:t>CCMP</w:t>
      </w:r>
      <w:r w:rsidR="00F3777B">
        <w:t xml:space="preserve"> or </w:t>
      </w:r>
    </w:p>
    <w:p w:rsidR="003C5174" w:rsidRPr="00EE50C1" w:rsidRDefault="00F3777B" w:rsidP="003C5174">
      <w:pPr>
        <w:spacing w:line="276" w:lineRule="auto"/>
        <w:jc w:val="both"/>
      </w:pPr>
      <w:r>
        <w:t>Monitoring Plan</w:t>
      </w:r>
      <w:r w:rsidR="003C5174" w:rsidRPr="00EE50C1">
        <w:tab/>
        <w:t xml:space="preserve">Turkey Point Cooling Canal Monitoring Plan </w:t>
      </w:r>
    </w:p>
    <w:p w:rsidR="003C5174" w:rsidRPr="00EE50C1" w:rsidRDefault="003C5174" w:rsidP="003C5174">
      <w:pPr>
        <w:pStyle w:val="OrderBody"/>
      </w:pPr>
      <w:r w:rsidRPr="00EE50C1">
        <w:t>USOA</w:t>
      </w:r>
      <w:r w:rsidRPr="00EE50C1">
        <w:tab/>
      </w:r>
      <w:r w:rsidRPr="00EE50C1">
        <w:tab/>
      </w:r>
      <w:r w:rsidRPr="00EE50C1">
        <w:tab/>
        <w:t>Uniform System of Accounts</w:t>
      </w:r>
    </w:p>
    <w:p w:rsidR="00421953" w:rsidRPr="00EE50C1" w:rsidRDefault="00421953" w:rsidP="00421953">
      <w:pPr>
        <w:pStyle w:val="OrderBody"/>
      </w:pPr>
    </w:p>
    <w:sectPr w:rsidR="00421953" w:rsidRPr="00EE50C1" w:rsidSect="002F465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690" w:rsidRDefault="003A2690">
      <w:r>
        <w:separator/>
      </w:r>
    </w:p>
  </w:endnote>
  <w:endnote w:type="continuationSeparator" w:id="0">
    <w:p w:rsidR="003A2690" w:rsidRDefault="003A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690" w:rsidRDefault="003A2690">
    <w:pPr>
      <w:pStyle w:val="Footer"/>
    </w:pPr>
  </w:p>
  <w:p w:rsidR="003A2690" w:rsidRDefault="003A2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690" w:rsidRDefault="003A2690">
      <w:r>
        <w:separator/>
      </w:r>
    </w:p>
  </w:footnote>
  <w:footnote w:type="continuationSeparator" w:id="0">
    <w:p w:rsidR="003A2690" w:rsidRDefault="003A2690">
      <w:r>
        <w:continuationSeparator/>
      </w:r>
    </w:p>
  </w:footnote>
  <w:footnote w:id="1">
    <w:p w:rsidR="003A2690" w:rsidRPr="00742804" w:rsidRDefault="003A2690" w:rsidP="004C0A51">
      <w:pPr>
        <w:pStyle w:val="FootnoteText"/>
        <w:rPr>
          <w:i/>
        </w:rPr>
      </w:pPr>
      <w:r>
        <w:rPr>
          <w:rStyle w:val="FootnoteReference"/>
        </w:rPr>
        <w:footnoteRef/>
      </w:r>
      <w:r>
        <w:t xml:space="preserve">Issued November 18, 2009, in Docket No. 090007-EI, </w:t>
      </w:r>
      <w:r w:rsidRPr="00742804">
        <w:rPr>
          <w:i/>
        </w:rPr>
        <w:t>In re: Environmental cost recovery clause.</w:t>
      </w:r>
    </w:p>
  </w:footnote>
  <w:footnote w:id="2">
    <w:p w:rsidR="003A2690" w:rsidRPr="00742804" w:rsidRDefault="003A2690" w:rsidP="00404348">
      <w:pPr>
        <w:pStyle w:val="FootnoteText"/>
        <w:rPr>
          <w:i/>
        </w:rPr>
      </w:pPr>
      <w:r>
        <w:rPr>
          <w:rStyle w:val="FootnoteReference"/>
        </w:rPr>
        <w:footnoteRef/>
      </w:r>
      <w:r>
        <w:t>In Docket No. 160007-EI,</w:t>
      </w:r>
      <w:r w:rsidRPr="00742804">
        <w:rPr>
          <w:i/>
        </w:rPr>
        <w:t xml:space="preserve"> In re: Environmental cost recovery clause.</w:t>
      </w:r>
    </w:p>
  </w:footnote>
  <w:footnote w:id="3">
    <w:p w:rsidR="003A2690" w:rsidRPr="00742804" w:rsidRDefault="003A2690" w:rsidP="00976145">
      <w:pPr>
        <w:pStyle w:val="FootnoteText"/>
        <w:rPr>
          <w:i/>
        </w:rPr>
      </w:pPr>
      <w:r>
        <w:rPr>
          <w:rStyle w:val="FootnoteReference"/>
        </w:rPr>
        <w:footnoteRef/>
      </w:r>
      <w:r>
        <w:t xml:space="preserve">Order No. PSC-17-0007-PCO-EI, issued January 3, 2017, in Docket No. 170007-EI, </w:t>
      </w:r>
      <w:r w:rsidRPr="00742804">
        <w:rPr>
          <w:i/>
        </w:rPr>
        <w:t>In re: Environmental cost recovery clause.</w:t>
      </w:r>
    </w:p>
  </w:footnote>
  <w:footnote w:id="4">
    <w:p w:rsidR="003A2690" w:rsidRPr="000E02F9" w:rsidRDefault="003A2690" w:rsidP="00976145">
      <w:pPr>
        <w:pStyle w:val="FootnoteText"/>
      </w:pPr>
      <w:r>
        <w:rPr>
          <w:rStyle w:val="FootnoteReference"/>
        </w:rPr>
        <w:footnoteRef/>
      </w:r>
      <w:r>
        <w:t xml:space="preserve">At page 9 of OPC/FIPUG’s Brief, OPC/FIPUG quote from Order No. PSC-07-0722-FOF-EI, issued September 5, 2007, in Docket No. 060162-EI., </w:t>
      </w:r>
      <w:r w:rsidRPr="00742804">
        <w:rPr>
          <w:i/>
        </w:rPr>
        <w:t xml:space="preserve">In </w:t>
      </w:r>
      <w:r>
        <w:rPr>
          <w:i/>
        </w:rPr>
        <w:t>r</w:t>
      </w:r>
      <w:r w:rsidRPr="00742804">
        <w:rPr>
          <w:i/>
        </w:rPr>
        <w:t>e: Petition by Progress Energy Florida, Inc. for approval to recover modular cooling tower costs through environmental cost recovery clause</w:t>
      </w:r>
      <w:r w:rsidRPr="00A24FD6">
        <w:t>.</w:t>
      </w:r>
      <w:r>
        <w:t xml:space="preserve"> However, the quotation in OPC’s Brief does not reflect the text of our Order. The correct text is “It</w:t>
      </w:r>
      <w:r w:rsidRPr="009E5B2A">
        <w:t xml:space="preserve"> is our opinion that, with respect to ECRC recovery, OPC’s position restricts the eligibility</w:t>
      </w:r>
      <w:r>
        <w:t xml:space="preserve"> </w:t>
      </w:r>
      <w:r w:rsidRPr="009E5B2A">
        <w:t xml:space="preserve">of environmental costs beyond </w:t>
      </w:r>
      <w:r>
        <w:t xml:space="preserve">what the statute contemplates” </w:t>
      </w:r>
      <w:r w:rsidRPr="00CE265C">
        <w:rPr>
          <w:i/>
        </w:rPr>
        <w:t>Id.</w:t>
      </w:r>
      <w:r>
        <w:t xml:space="preserve"> at 8. </w:t>
      </w:r>
    </w:p>
  </w:footnote>
  <w:footnote w:id="5">
    <w:p w:rsidR="003A2690" w:rsidRPr="00742804" w:rsidRDefault="003A2690" w:rsidP="003677F4">
      <w:pPr>
        <w:pStyle w:val="FootnoteText"/>
        <w:rPr>
          <w:i/>
        </w:rPr>
      </w:pPr>
      <w:r>
        <w:rPr>
          <w:rStyle w:val="FootnoteReference"/>
        </w:rPr>
        <w:footnoteRef/>
      </w:r>
      <w:r>
        <w:t xml:space="preserve">Order No. PSC-94-0044-FOF-EI, issued January 12, </w:t>
      </w:r>
      <w:r w:rsidRPr="009679F3">
        <w:t xml:space="preserve">1994, in Docket No. 930613-EI, </w:t>
      </w:r>
      <w:r w:rsidRPr="00742804">
        <w:rPr>
          <w:i/>
        </w:rPr>
        <w:t>In re: Petition to establish an environmental cost recovery clause pursuant to Sec</w:t>
      </w:r>
      <w:r>
        <w:rPr>
          <w:i/>
        </w:rPr>
        <w:t>tion 366.8255, Florida Statutes, by Gulf Power Company</w:t>
      </w:r>
    </w:p>
  </w:footnote>
  <w:footnote w:id="6">
    <w:p w:rsidR="003A2690" w:rsidRPr="001856C0" w:rsidRDefault="003A2690" w:rsidP="00976145">
      <w:pPr>
        <w:jc w:val="both"/>
        <w:rPr>
          <w:i/>
          <w:color w:val="252525"/>
          <w:sz w:val="20"/>
          <w:szCs w:val="20"/>
        </w:rPr>
      </w:pPr>
      <w:r w:rsidRPr="009679F3">
        <w:rPr>
          <w:rStyle w:val="FootnoteReference"/>
        </w:rPr>
        <w:footnoteRef/>
      </w:r>
      <w:r w:rsidRPr="009679F3">
        <w:rPr>
          <w:sz w:val="20"/>
          <w:szCs w:val="20"/>
        </w:rPr>
        <w:t>Order No.</w:t>
      </w:r>
      <w:r w:rsidRPr="009679F3">
        <w:rPr>
          <w:color w:val="212121"/>
          <w:sz w:val="20"/>
          <w:szCs w:val="20"/>
        </w:rPr>
        <w:t xml:space="preserve"> PSC-05-0164-PAA-EI, issued February 10, 2005</w:t>
      </w:r>
      <w:r w:rsidRPr="00346146">
        <w:rPr>
          <w:color w:val="212121"/>
          <w:sz w:val="20"/>
          <w:szCs w:val="20"/>
        </w:rPr>
        <w:t xml:space="preserve">, in </w:t>
      </w:r>
      <w:r w:rsidRPr="00E22822">
        <w:rPr>
          <w:color w:val="212121"/>
          <w:sz w:val="20"/>
          <w:szCs w:val="20"/>
        </w:rPr>
        <w:t>Docket No. 041300-EI</w:t>
      </w:r>
      <w:r w:rsidRPr="00346146">
        <w:rPr>
          <w:color w:val="212121"/>
          <w:sz w:val="20"/>
          <w:szCs w:val="20"/>
        </w:rPr>
        <w:t>,</w:t>
      </w:r>
      <w:r w:rsidRPr="00346146">
        <w:rPr>
          <w:i/>
          <w:color w:val="212121"/>
          <w:sz w:val="20"/>
          <w:szCs w:val="20"/>
        </w:rPr>
        <w:t xml:space="preserve"> </w:t>
      </w:r>
      <w:r w:rsidRPr="00E22822">
        <w:rPr>
          <w:i/>
          <w:color w:val="252525"/>
          <w:sz w:val="20"/>
          <w:szCs w:val="20"/>
        </w:rPr>
        <w:t xml:space="preserve">In </w:t>
      </w:r>
      <w:r>
        <w:rPr>
          <w:i/>
          <w:color w:val="252525"/>
          <w:sz w:val="20"/>
          <w:szCs w:val="20"/>
        </w:rPr>
        <w:t>r</w:t>
      </w:r>
      <w:r w:rsidRPr="00E22822">
        <w:rPr>
          <w:i/>
          <w:color w:val="252525"/>
          <w:sz w:val="20"/>
          <w:szCs w:val="20"/>
        </w:rPr>
        <w:t>e: Petition for Approval of New Environmental Program for Cost Recovery Through Environmental Cost Recovery Clause, by Tampa Electric Company.</w:t>
      </w:r>
    </w:p>
  </w:footnote>
  <w:footnote w:id="7">
    <w:p w:rsidR="003A2690" w:rsidRPr="00E22822" w:rsidRDefault="003A2690" w:rsidP="00976145">
      <w:pPr>
        <w:pStyle w:val="FootnoteText"/>
      </w:pPr>
      <w:r>
        <w:rPr>
          <w:rStyle w:val="FootnoteReference"/>
        </w:rPr>
        <w:footnoteRef/>
      </w:r>
      <w:r w:rsidRPr="00E22822">
        <w:t>Order No. PSC-94-0044-FOF-EI</w:t>
      </w:r>
      <w:r>
        <w:t>,</w:t>
      </w:r>
      <w:r w:rsidRPr="00E22822">
        <w:t xml:space="preserve"> issued January 12, 1994, in Docket No. 930613-EI, </w:t>
      </w:r>
      <w:r w:rsidRPr="00E22822">
        <w:rPr>
          <w:i/>
        </w:rPr>
        <w:t>In re: Petition to establish an environmental cost recovery clause pursuant to Section 366.0825, Florida Statutes by Gulf Power Company.</w:t>
      </w:r>
    </w:p>
  </w:footnote>
  <w:footnote w:id="8">
    <w:p w:rsidR="003A2690" w:rsidRPr="00E22822" w:rsidRDefault="003A2690" w:rsidP="00976145">
      <w:pPr>
        <w:pStyle w:val="FootnoteText"/>
      </w:pPr>
      <w:r>
        <w:rPr>
          <w:rStyle w:val="FootnoteReference"/>
        </w:rPr>
        <w:footnoteRef/>
      </w:r>
      <w:r>
        <w:rPr>
          <w:i/>
        </w:rPr>
        <w:t>See e</w:t>
      </w:r>
      <w:r>
        <w:t xml:space="preserve">.g., </w:t>
      </w:r>
      <w:r w:rsidRPr="00E22822">
        <w:t>Order No PSC-12-0493-PAA-EI, issued September 26, 2012</w:t>
      </w:r>
      <w:r>
        <w:t>,</w:t>
      </w:r>
      <w:r w:rsidRPr="00E22822">
        <w:t xml:space="preserve"> in Docket No 20110262-EI</w:t>
      </w:r>
      <w:r>
        <w:t>,</w:t>
      </w:r>
      <w:r w:rsidRPr="00E22822">
        <w:t xml:space="preserve"> </w:t>
      </w:r>
      <w:r w:rsidRPr="00B37933">
        <w:rPr>
          <w:i/>
        </w:rPr>
        <w:t>In re: Petition for approval of new environmental program for cost recovery through Environmental Cost Recovery Clause, by Tampa Electric Company.</w:t>
      </w:r>
      <w:r w:rsidRPr="00E22822">
        <w:t xml:space="preserve"> </w:t>
      </w:r>
    </w:p>
  </w:footnote>
  <w:footnote w:id="9">
    <w:p w:rsidR="003A2690" w:rsidRPr="00346146" w:rsidRDefault="003A2690" w:rsidP="00976145">
      <w:pPr>
        <w:pStyle w:val="FootnoteText"/>
      </w:pPr>
      <w:r>
        <w:rPr>
          <w:rStyle w:val="FootnoteReference"/>
        </w:rPr>
        <w:footnoteRef/>
      </w:r>
      <w:r w:rsidRPr="00346146">
        <w:t xml:space="preserve">Order No. PSC-07-0499-FOF-EI, issued June 11, 2007, in Docket No. 050958-EI, </w:t>
      </w:r>
      <w:r w:rsidRPr="00346146">
        <w:rPr>
          <w:i/>
        </w:rPr>
        <w:t xml:space="preserve">In </w:t>
      </w:r>
      <w:r>
        <w:rPr>
          <w:i/>
        </w:rPr>
        <w:t>r</w:t>
      </w:r>
      <w:r w:rsidRPr="00346146">
        <w:rPr>
          <w:i/>
        </w:rPr>
        <w:t>e: Petition for Approval of New Environmental Program for Cost Recovery through Environmental Cost Recovery clause by Tampa Electric Company.</w:t>
      </w:r>
    </w:p>
  </w:footnote>
  <w:footnote w:id="10">
    <w:p w:rsidR="003A2690" w:rsidRPr="00742804" w:rsidRDefault="003A2690" w:rsidP="00976145">
      <w:pPr>
        <w:pStyle w:val="FootnoteText"/>
        <w:rPr>
          <w:i/>
        </w:rPr>
      </w:pPr>
      <w:r>
        <w:rPr>
          <w:rStyle w:val="FootnoteReference"/>
        </w:rPr>
        <w:footnoteRef/>
      </w:r>
      <w:r>
        <w:t xml:space="preserve">Order No. PSC-00-2104-PAA-EI, issued November 6, 2000, in Docket No. 001186-EI, </w:t>
      </w:r>
      <w:r w:rsidRPr="00742804">
        <w:rPr>
          <w:i/>
        </w:rPr>
        <w:t xml:space="preserve">In </w:t>
      </w:r>
      <w:r>
        <w:rPr>
          <w:i/>
        </w:rPr>
        <w:t>r</w:t>
      </w:r>
      <w:r w:rsidRPr="00742804">
        <w:rPr>
          <w:i/>
        </w:rPr>
        <w:t>e: Petition for approval of new environmental programs for cost recovery through the Environmental Cost Recovery Clause by Tampa Electric Company.</w:t>
      </w:r>
    </w:p>
  </w:footnote>
  <w:footnote w:id="11">
    <w:p w:rsidR="003A2690" w:rsidRPr="00346146" w:rsidRDefault="003A2690" w:rsidP="00976145">
      <w:pPr>
        <w:pStyle w:val="FootnoteText"/>
      </w:pPr>
      <w:r>
        <w:rPr>
          <w:rStyle w:val="FootnoteReference"/>
        </w:rPr>
        <w:footnoteRef/>
      </w:r>
      <w:r w:rsidRPr="00346146">
        <w:t xml:space="preserve">Order No. PSC-05-1251-FOF-EI, issued December 22, 2005, in </w:t>
      </w:r>
      <w:r>
        <w:t>D</w:t>
      </w:r>
      <w:r w:rsidRPr="00346146">
        <w:t xml:space="preserve">ocket No. 20050007-EI, </w:t>
      </w:r>
      <w:r w:rsidRPr="00346146">
        <w:rPr>
          <w:i/>
        </w:rPr>
        <w:t xml:space="preserve">In </w:t>
      </w:r>
      <w:r>
        <w:rPr>
          <w:i/>
        </w:rPr>
        <w:t>r</w:t>
      </w:r>
      <w:r w:rsidRPr="00346146">
        <w:rPr>
          <w:i/>
        </w:rPr>
        <w:t>e: Environmental Cost Recovery Clause.</w:t>
      </w:r>
    </w:p>
  </w:footnote>
  <w:footnote w:id="12">
    <w:p w:rsidR="003A2690" w:rsidRPr="00742804" w:rsidRDefault="003A2690" w:rsidP="00976145">
      <w:pPr>
        <w:pStyle w:val="FootnoteText"/>
        <w:rPr>
          <w:i/>
        </w:rPr>
      </w:pPr>
      <w:r>
        <w:rPr>
          <w:rStyle w:val="FootnoteReference"/>
        </w:rPr>
        <w:footnoteRef/>
      </w:r>
      <w:r>
        <w:t>Order No. PSC-16-0560-AS-EI, issued December 15, 2016, in Docket No. 160021-EI,</w:t>
      </w:r>
      <w:r w:rsidRPr="00742804">
        <w:rPr>
          <w:i/>
        </w:rPr>
        <w:t xml:space="preserve"> In re: Petition for rate increase by Florida Power &amp; Light Company.</w:t>
      </w:r>
    </w:p>
  </w:footnote>
  <w:footnote w:id="13">
    <w:p w:rsidR="003A2690" w:rsidRDefault="003A2690" w:rsidP="00976145">
      <w:pPr>
        <w:pStyle w:val="FootnoteText"/>
      </w:pPr>
      <w:r>
        <w:rPr>
          <w:rStyle w:val="FootnoteReference"/>
        </w:rPr>
        <w:footnoteRef/>
      </w:r>
      <w:r w:rsidRPr="00842EFD">
        <w:t>Section 366.8255, Florida Statutes</w:t>
      </w:r>
      <w:r>
        <w:t xml:space="preserve"> at (2).</w:t>
      </w:r>
    </w:p>
  </w:footnote>
  <w:footnote w:id="14">
    <w:p w:rsidR="003A2690" w:rsidRDefault="003A2690" w:rsidP="00976145">
      <w:pPr>
        <w:pStyle w:val="FootnoteText"/>
      </w:pPr>
      <w:r>
        <w:rPr>
          <w:rStyle w:val="FootnoteReference"/>
        </w:rPr>
        <w:footnoteRef/>
      </w:r>
      <w:r w:rsidRPr="009E5C0B">
        <w:rPr>
          <w:i/>
        </w:rPr>
        <w:t>I</w:t>
      </w:r>
      <w:r w:rsidRPr="00E22822">
        <w:rPr>
          <w:i/>
        </w:rPr>
        <w:t>d</w:t>
      </w:r>
      <w:r>
        <w:t>. at (1)(d).</w:t>
      </w:r>
    </w:p>
  </w:footnote>
  <w:footnote w:id="15">
    <w:p w:rsidR="003A2690" w:rsidRPr="009E5C0B" w:rsidRDefault="003A2690" w:rsidP="00976145">
      <w:pPr>
        <w:pStyle w:val="FootnoteText"/>
        <w:rPr>
          <w:i/>
        </w:rPr>
      </w:pPr>
      <w:r>
        <w:rPr>
          <w:rStyle w:val="FootnoteReference"/>
        </w:rPr>
        <w:footnoteRef/>
      </w:r>
      <w:r>
        <w:t>Order No. PSC-94-0044-FOF-EI, issued January 12, 1994</w:t>
      </w:r>
      <w:r w:rsidRPr="00CD3A17">
        <w:t xml:space="preserve">, in Docket No. 930613-EI, </w:t>
      </w:r>
      <w:r w:rsidRPr="009E5C0B">
        <w:rPr>
          <w:i/>
        </w:rPr>
        <w:t>In re: Petition to establish an environmental cost recovery clause pursuant to Se</w:t>
      </w:r>
      <w:r>
        <w:rPr>
          <w:i/>
        </w:rPr>
        <w:t xml:space="preserve">ction 366.8255, Florida Statutes by Gulf Power Company. </w:t>
      </w:r>
    </w:p>
  </w:footnote>
  <w:footnote w:id="16">
    <w:p w:rsidR="003A2690" w:rsidRPr="00C21167" w:rsidRDefault="003A2690" w:rsidP="00594BC2">
      <w:pPr>
        <w:pStyle w:val="FootnoteText"/>
        <w:rPr>
          <w:i/>
        </w:rPr>
      </w:pPr>
      <w:r>
        <w:rPr>
          <w:rStyle w:val="FootnoteReference"/>
        </w:rPr>
        <w:footnoteRef/>
      </w:r>
      <w:r>
        <w:t>Order No. PSC-09-0759-FOF-EI, issued November 18, 2009, in Docket No. 090007-EI,</w:t>
      </w:r>
      <w:r w:rsidRPr="00C21167">
        <w:rPr>
          <w:i/>
        </w:rPr>
        <w:t xml:space="preserve"> In re: Environmental cost recovery clause.</w:t>
      </w:r>
    </w:p>
  </w:footnote>
  <w:footnote w:id="17">
    <w:p w:rsidR="003A2690" w:rsidRPr="006B41FD" w:rsidRDefault="003A2690" w:rsidP="00976145">
      <w:pPr>
        <w:pStyle w:val="FootnoteText"/>
      </w:pPr>
      <w:r>
        <w:rPr>
          <w:rStyle w:val="FootnoteReference"/>
        </w:rPr>
        <w:footnoteRef/>
      </w:r>
      <w:r>
        <w:rPr>
          <w:i/>
        </w:rPr>
        <w:t xml:space="preserve">Id. </w:t>
      </w:r>
      <w:r w:rsidRPr="00A726F3">
        <w:t>at</w:t>
      </w:r>
      <w:r w:rsidRPr="006B41FD">
        <w:t xml:space="preserve"> 13</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690" w:rsidRDefault="003A2690">
    <w:pPr>
      <w:pStyle w:val="OrderHeader"/>
    </w:pPr>
    <w:r>
      <w:t xml:space="preserve">ORDER NO. </w:t>
    </w:r>
    <w:fldSimple w:instr=" REF OrderNo0014 ">
      <w:r w:rsidR="0092439F">
        <w:t>PSC-2018-0014-FOF-EI</w:t>
      </w:r>
    </w:fldSimple>
  </w:p>
  <w:p w:rsidR="003A2690" w:rsidRDefault="003A2690">
    <w:pPr>
      <w:pStyle w:val="OrderHeader"/>
    </w:pPr>
    <w:bookmarkStart w:id="10" w:name="HeaderDocketNo"/>
    <w:bookmarkEnd w:id="10"/>
    <w:r>
      <w:t>DOCKET NO. 20180007-EI</w:t>
    </w:r>
  </w:p>
  <w:p w:rsidR="003A2690" w:rsidRDefault="003A269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2439F">
      <w:rPr>
        <w:rStyle w:val="PageNumber"/>
        <w:noProof/>
      </w:rPr>
      <w:t>24</w:t>
    </w:r>
    <w:r>
      <w:rPr>
        <w:rStyle w:val="PageNumber"/>
      </w:rPr>
      <w:fldChar w:fldCharType="end"/>
    </w:r>
  </w:p>
  <w:p w:rsidR="003A2690" w:rsidRDefault="003A2690">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7-EI"/>
  </w:docVars>
  <w:rsids>
    <w:rsidRoot w:val="00421953"/>
    <w:rsid w:val="000022B8"/>
    <w:rsid w:val="000032CE"/>
    <w:rsid w:val="00003666"/>
    <w:rsid w:val="00016B04"/>
    <w:rsid w:val="0002274E"/>
    <w:rsid w:val="00047D7A"/>
    <w:rsid w:val="00053AB9"/>
    <w:rsid w:val="00056229"/>
    <w:rsid w:val="00065FC2"/>
    <w:rsid w:val="00067685"/>
    <w:rsid w:val="0007419D"/>
    <w:rsid w:val="00076E6B"/>
    <w:rsid w:val="0008247D"/>
    <w:rsid w:val="0008261A"/>
    <w:rsid w:val="00083712"/>
    <w:rsid w:val="00090AFC"/>
    <w:rsid w:val="000A1D5C"/>
    <w:rsid w:val="000A1F7C"/>
    <w:rsid w:val="000B76CD"/>
    <w:rsid w:val="000C7094"/>
    <w:rsid w:val="000C7A7E"/>
    <w:rsid w:val="000D02B8"/>
    <w:rsid w:val="000D06E8"/>
    <w:rsid w:val="000D3AF7"/>
    <w:rsid w:val="000E20F0"/>
    <w:rsid w:val="000E344D"/>
    <w:rsid w:val="000E47D2"/>
    <w:rsid w:val="000F3B2C"/>
    <w:rsid w:val="000F648A"/>
    <w:rsid w:val="000F7BE3"/>
    <w:rsid w:val="001052BA"/>
    <w:rsid w:val="001107B3"/>
    <w:rsid w:val="001114B1"/>
    <w:rsid w:val="001139D8"/>
    <w:rsid w:val="00116AD3"/>
    <w:rsid w:val="00121957"/>
    <w:rsid w:val="00126593"/>
    <w:rsid w:val="00130E18"/>
    <w:rsid w:val="00142A96"/>
    <w:rsid w:val="0015081C"/>
    <w:rsid w:val="001513DE"/>
    <w:rsid w:val="00187E32"/>
    <w:rsid w:val="00194E81"/>
    <w:rsid w:val="001A15E7"/>
    <w:rsid w:val="001A33C9"/>
    <w:rsid w:val="001A58F3"/>
    <w:rsid w:val="001B18DD"/>
    <w:rsid w:val="001B1A7E"/>
    <w:rsid w:val="001C02E7"/>
    <w:rsid w:val="001C6BDB"/>
    <w:rsid w:val="001D008A"/>
    <w:rsid w:val="001D5F83"/>
    <w:rsid w:val="001E0152"/>
    <w:rsid w:val="001E0FF5"/>
    <w:rsid w:val="001F1562"/>
    <w:rsid w:val="001F43A7"/>
    <w:rsid w:val="001F4863"/>
    <w:rsid w:val="002002ED"/>
    <w:rsid w:val="002046A0"/>
    <w:rsid w:val="002170E5"/>
    <w:rsid w:val="00220D57"/>
    <w:rsid w:val="00225C62"/>
    <w:rsid w:val="0022721A"/>
    <w:rsid w:val="00230BB9"/>
    <w:rsid w:val="0023182A"/>
    <w:rsid w:val="00241CEF"/>
    <w:rsid w:val="00252B30"/>
    <w:rsid w:val="00252E2A"/>
    <w:rsid w:val="00257880"/>
    <w:rsid w:val="0026544B"/>
    <w:rsid w:val="00277655"/>
    <w:rsid w:val="00281637"/>
    <w:rsid w:val="002824B7"/>
    <w:rsid w:val="00294171"/>
    <w:rsid w:val="002A11AC"/>
    <w:rsid w:val="002A6F30"/>
    <w:rsid w:val="002B3111"/>
    <w:rsid w:val="002C7908"/>
    <w:rsid w:val="002D391B"/>
    <w:rsid w:val="002D4B1F"/>
    <w:rsid w:val="002D7D15"/>
    <w:rsid w:val="002E1B2E"/>
    <w:rsid w:val="002E27EB"/>
    <w:rsid w:val="002F251E"/>
    <w:rsid w:val="002F2A9D"/>
    <w:rsid w:val="002F4651"/>
    <w:rsid w:val="002F74F4"/>
    <w:rsid w:val="00303FDE"/>
    <w:rsid w:val="003140E8"/>
    <w:rsid w:val="0031585C"/>
    <w:rsid w:val="003231C7"/>
    <w:rsid w:val="003270C4"/>
    <w:rsid w:val="00327C34"/>
    <w:rsid w:val="00331ED0"/>
    <w:rsid w:val="00332B0A"/>
    <w:rsid w:val="00333A41"/>
    <w:rsid w:val="0035495B"/>
    <w:rsid w:val="00361522"/>
    <w:rsid w:val="003677F4"/>
    <w:rsid w:val="0037196E"/>
    <w:rsid w:val="003744F5"/>
    <w:rsid w:val="00374656"/>
    <w:rsid w:val="00390DD8"/>
    <w:rsid w:val="00394DC6"/>
    <w:rsid w:val="00397C3E"/>
    <w:rsid w:val="003A2690"/>
    <w:rsid w:val="003A55D1"/>
    <w:rsid w:val="003B0130"/>
    <w:rsid w:val="003B48C0"/>
    <w:rsid w:val="003C055D"/>
    <w:rsid w:val="003C2049"/>
    <w:rsid w:val="003C5174"/>
    <w:rsid w:val="003D4CCA"/>
    <w:rsid w:val="003D52A6"/>
    <w:rsid w:val="003D6416"/>
    <w:rsid w:val="003D6F99"/>
    <w:rsid w:val="003E1D48"/>
    <w:rsid w:val="004017B8"/>
    <w:rsid w:val="00404348"/>
    <w:rsid w:val="00407EE8"/>
    <w:rsid w:val="00411DF2"/>
    <w:rsid w:val="00421953"/>
    <w:rsid w:val="0042527B"/>
    <w:rsid w:val="004444DF"/>
    <w:rsid w:val="00455EA9"/>
    <w:rsid w:val="00457DC7"/>
    <w:rsid w:val="00465825"/>
    <w:rsid w:val="00472BCC"/>
    <w:rsid w:val="004822B8"/>
    <w:rsid w:val="00486472"/>
    <w:rsid w:val="004941B3"/>
    <w:rsid w:val="004A25CD"/>
    <w:rsid w:val="004A26CC"/>
    <w:rsid w:val="004B2108"/>
    <w:rsid w:val="004B287E"/>
    <w:rsid w:val="004B3A2B"/>
    <w:rsid w:val="004B70D3"/>
    <w:rsid w:val="004C0A51"/>
    <w:rsid w:val="004C1F42"/>
    <w:rsid w:val="004C312D"/>
    <w:rsid w:val="004D2D1B"/>
    <w:rsid w:val="004D5067"/>
    <w:rsid w:val="004E0689"/>
    <w:rsid w:val="004E31FB"/>
    <w:rsid w:val="004E33A9"/>
    <w:rsid w:val="004E469D"/>
    <w:rsid w:val="004E61F2"/>
    <w:rsid w:val="004F2DDE"/>
    <w:rsid w:val="004F7826"/>
    <w:rsid w:val="0050097F"/>
    <w:rsid w:val="0050760B"/>
    <w:rsid w:val="00514B1F"/>
    <w:rsid w:val="00525E93"/>
    <w:rsid w:val="0052671D"/>
    <w:rsid w:val="0053101A"/>
    <w:rsid w:val="005320E8"/>
    <w:rsid w:val="00533ABB"/>
    <w:rsid w:val="00556A10"/>
    <w:rsid w:val="00570463"/>
    <w:rsid w:val="0058688E"/>
    <w:rsid w:val="00590845"/>
    <w:rsid w:val="00594BC2"/>
    <w:rsid w:val="005963C2"/>
    <w:rsid w:val="005A042D"/>
    <w:rsid w:val="005A0D69"/>
    <w:rsid w:val="005B45F7"/>
    <w:rsid w:val="005B63EA"/>
    <w:rsid w:val="005C1A88"/>
    <w:rsid w:val="005C3630"/>
    <w:rsid w:val="005C5033"/>
    <w:rsid w:val="005E6AB7"/>
    <w:rsid w:val="005E751B"/>
    <w:rsid w:val="005F5C6A"/>
    <w:rsid w:val="00600546"/>
    <w:rsid w:val="00610867"/>
    <w:rsid w:val="00610E73"/>
    <w:rsid w:val="00630508"/>
    <w:rsid w:val="0063168D"/>
    <w:rsid w:val="0064499C"/>
    <w:rsid w:val="00657947"/>
    <w:rsid w:val="00660774"/>
    <w:rsid w:val="006631DB"/>
    <w:rsid w:val="0066389A"/>
    <w:rsid w:val="0066495C"/>
    <w:rsid w:val="00665CC7"/>
    <w:rsid w:val="00672612"/>
    <w:rsid w:val="00677F18"/>
    <w:rsid w:val="00686849"/>
    <w:rsid w:val="006A0BF3"/>
    <w:rsid w:val="006A6A28"/>
    <w:rsid w:val="006B0DA6"/>
    <w:rsid w:val="006B6409"/>
    <w:rsid w:val="006C547E"/>
    <w:rsid w:val="006C7B8F"/>
    <w:rsid w:val="006E6A8D"/>
    <w:rsid w:val="006E7056"/>
    <w:rsid w:val="006F62D1"/>
    <w:rsid w:val="00704C5D"/>
    <w:rsid w:val="007072BC"/>
    <w:rsid w:val="0071101A"/>
    <w:rsid w:val="00715275"/>
    <w:rsid w:val="00733B6B"/>
    <w:rsid w:val="00744DB7"/>
    <w:rsid w:val="007467C4"/>
    <w:rsid w:val="0076170F"/>
    <w:rsid w:val="0076315A"/>
    <w:rsid w:val="007642F1"/>
    <w:rsid w:val="0076669C"/>
    <w:rsid w:val="00777727"/>
    <w:rsid w:val="007865E9"/>
    <w:rsid w:val="00792383"/>
    <w:rsid w:val="007A060F"/>
    <w:rsid w:val="007B1512"/>
    <w:rsid w:val="007C36E3"/>
    <w:rsid w:val="007C7134"/>
    <w:rsid w:val="007D3D20"/>
    <w:rsid w:val="007D47CC"/>
    <w:rsid w:val="007E3AFD"/>
    <w:rsid w:val="00801DAD"/>
    <w:rsid w:val="00803189"/>
    <w:rsid w:val="00804E7A"/>
    <w:rsid w:val="00805FBB"/>
    <w:rsid w:val="008169A4"/>
    <w:rsid w:val="008278FE"/>
    <w:rsid w:val="00832598"/>
    <w:rsid w:val="0083397E"/>
    <w:rsid w:val="0083534B"/>
    <w:rsid w:val="00836824"/>
    <w:rsid w:val="00842602"/>
    <w:rsid w:val="00843FD4"/>
    <w:rsid w:val="008443AA"/>
    <w:rsid w:val="00847B45"/>
    <w:rsid w:val="00857DB4"/>
    <w:rsid w:val="00861544"/>
    <w:rsid w:val="00863A66"/>
    <w:rsid w:val="00866447"/>
    <w:rsid w:val="008703D7"/>
    <w:rsid w:val="00870F9E"/>
    <w:rsid w:val="00874429"/>
    <w:rsid w:val="008750E4"/>
    <w:rsid w:val="00883D9A"/>
    <w:rsid w:val="008919EF"/>
    <w:rsid w:val="00892B20"/>
    <w:rsid w:val="008A03AF"/>
    <w:rsid w:val="008A12EC"/>
    <w:rsid w:val="008A2231"/>
    <w:rsid w:val="008A5413"/>
    <w:rsid w:val="008C21C8"/>
    <w:rsid w:val="008C6375"/>
    <w:rsid w:val="008C6A5B"/>
    <w:rsid w:val="008E26A5"/>
    <w:rsid w:val="008E42D2"/>
    <w:rsid w:val="008F04C9"/>
    <w:rsid w:val="008F30BA"/>
    <w:rsid w:val="008F376A"/>
    <w:rsid w:val="009040EE"/>
    <w:rsid w:val="009057FD"/>
    <w:rsid w:val="00906FBA"/>
    <w:rsid w:val="00920AAD"/>
    <w:rsid w:val="009228C7"/>
    <w:rsid w:val="00922A7F"/>
    <w:rsid w:val="00923A5E"/>
    <w:rsid w:val="0092439F"/>
    <w:rsid w:val="00931C8C"/>
    <w:rsid w:val="009415CE"/>
    <w:rsid w:val="00941F5E"/>
    <w:rsid w:val="0094504B"/>
    <w:rsid w:val="009454F8"/>
    <w:rsid w:val="00961C68"/>
    <w:rsid w:val="0096742B"/>
    <w:rsid w:val="00976145"/>
    <w:rsid w:val="00986565"/>
    <w:rsid w:val="00991425"/>
    <w:rsid w:val="009924CF"/>
    <w:rsid w:val="00994100"/>
    <w:rsid w:val="009A53D0"/>
    <w:rsid w:val="009A6B17"/>
    <w:rsid w:val="009C2471"/>
    <w:rsid w:val="009D021A"/>
    <w:rsid w:val="009D4C29"/>
    <w:rsid w:val="009E2417"/>
    <w:rsid w:val="009F7DE8"/>
    <w:rsid w:val="00A00D8D"/>
    <w:rsid w:val="00A0686B"/>
    <w:rsid w:val="00A12922"/>
    <w:rsid w:val="00A4303C"/>
    <w:rsid w:val="00A62DAB"/>
    <w:rsid w:val="00A64BC0"/>
    <w:rsid w:val="00A70E0A"/>
    <w:rsid w:val="00A726A6"/>
    <w:rsid w:val="00A86BAC"/>
    <w:rsid w:val="00A9327D"/>
    <w:rsid w:val="00A97535"/>
    <w:rsid w:val="00AA73F1"/>
    <w:rsid w:val="00AB0E1A"/>
    <w:rsid w:val="00AB1A30"/>
    <w:rsid w:val="00AD10EB"/>
    <w:rsid w:val="00AD1ED3"/>
    <w:rsid w:val="00AF27A1"/>
    <w:rsid w:val="00AF2F90"/>
    <w:rsid w:val="00B03867"/>
    <w:rsid w:val="00B0777D"/>
    <w:rsid w:val="00B1195F"/>
    <w:rsid w:val="00B209C7"/>
    <w:rsid w:val="00B32D06"/>
    <w:rsid w:val="00B3644F"/>
    <w:rsid w:val="00B4057A"/>
    <w:rsid w:val="00B40894"/>
    <w:rsid w:val="00B444AE"/>
    <w:rsid w:val="00B45E75"/>
    <w:rsid w:val="00B50876"/>
    <w:rsid w:val="00B55AB0"/>
    <w:rsid w:val="00B55EE5"/>
    <w:rsid w:val="00B644C8"/>
    <w:rsid w:val="00B71D1F"/>
    <w:rsid w:val="00B73DE6"/>
    <w:rsid w:val="00B77ACB"/>
    <w:rsid w:val="00B86EF0"/>
    <w:rsid w:val="00B91687"/>
    <w:rsid w:val="00B96969"/>
    <w:rsid w:val="00B975B0"/>
    <w:rsid w:val="00B97900"/>
    <w:rsid w:val="00BA1229"/>
    <w:rsid w:val="00BA44A8"/>
    <w:rsid w:val="00BC323D"/>
    <w:rsid w:val="00BD12D6"/>
    <w:rsid w:val="00BE4416"/>
    <w:rsid w:val="00BF5C02"/>
    <w:rsid w:val="00BF6691"/>
    <w:rsid w:val="00BF6EC0"/>
    <w:rsid w:val="00C028FC"/>
    <w:rsid w:val="00C10ED5"/>
    <w:rsid w:val="00C151A6"/>
    <w:rsid w:val="00C16DE7"/>
    <w:rsid w:val="00C24098"/>
    <w:rsid w:val="00C30A4E"/>
    <w:rsid w:val="00C40FA6"/>
    <w:rsid w:val="00C411F3"/>
    <w:rsid w:val="00C44105"/>
    <w:rsid w:val="00C47294"/>
    <w:rsid w:val="00C55A33"/>
    <w:rsid w:val="00C646B0"/>
    <w:rsid w:val="00C66692"/>
    <w:rsid w:val="00C90BBE"/>
    <w:rsid w:val="00C91123"/>
    <w:rsid w:val="00CA06C1"/>
    <w:rsid w:val="00CA71FF"/>
    <w:rsid w:val="00CA7D3A"/>
    <w:rsid w:val="00CB5276"/>
    <w:rsid w:val="00CB68D7"/>
    <w:rsid w:val="00CC7E68"/>
    <w:rsid w:val="00CD3117"/>
    <w:rsid w:val="00CD7132"/>
    <w:rsid w:val="00CE0E6F"/>
    <w:rsid w:val="00CE56FC"/>
    <w:rsid w:val="00CE71D4"/>
    <w:rsid w:val="00CE74F6"/>
    <w:rsid w:val="00CE7B9C"/>
    <w:rsid w:val="00CF4CFE"/>
    <w:rsid w:val="00D01743"/>
    <w:rsid w:val="00D02E0F"/>
    <w:rsid w:val="00D13535"/>
    <w:rsid w:val="00D22EBB"/>
    <w:rsid w:val="00D23FEA"/>
    <w:rsid w:val="00D269CA"/>
    <w:rsid w:val="00D269FA"/>
    <w:rsid w:val="00D30B48"/>
    <w:rsid w:val="00D46FAA"/>
    <w:rsid w:val="00D47A40"/>
    <w:rsid w:val="00D500EE"/>
    <w:rsid w:val="00D51D33"/>
    <w:rsid w:val="00D56A67"/>
    <w:rsid w:val="00D57BB2"/>
    <w:rsid w:val="00D57E57"/>
    <w:rsid w:val="00D70752"/>
    <w:rsid w:val="00D7506D"/>
    <w:rsid w:val="00D82909"/>
    <w:rsid w:val="00D8560E"/>
    <w:rsid w:val="00D8758F"/>
    <w:rsid w:val="00DA0925"/>
    <w:rsid w:val="00DA6B78"/>
    <w:rsid w:val="00DB0A5A"/>
    <w:rsid w:val="00DC038D"/>
    <w:rsid w:val="00DC1D94"/>
    <w:rsid w:val="00DC1ECA"/>
    <w:rsid w:val="00DC42CF"/>
    <w:rsid w:val="00DC64F6"/>
    <w:rsid w:val="00DD3649"/>
    <w:rsid w:val="00DE057F"/>
    <w:rsid w:val="00DE2082"/>
    <w:rsid w:val="00DE2289"/>
    <w:rsid w:val="00DE5957"/>
    <w:rsid w:val="00DE75A8"/>
    <w:rsid w:val="00DF0C1E"/>
    <w:rsid w:val="00E03A76"/>
    <w:rsid w:val="00E04410"/>
    <w:rsid w:val="00E11351"/>
    <w:rsid w:val="00E343F4"/>
    <w:rsid w:val="00E34E13"/>
    <w:rsid w:val="00E4641C"/>
    <w:rsid w:val="00E66B09"/>
    <w:rsid w:val="00E75AE0"/>
    <w:rsid w:val="00E802AF"/>
    <w:rsid w:val="00E83C1F"/>
    <w:rsid w:val="00E90B82"/>
    <w:rsid w:val="00E9688A"/>
    <w:rsid w:val="00EA172C"/>
    <w:rsid w:val="00EA259B"/>
    <w:rsid w:val="00EA35A3"/>
    <w:rsid w:val="00EA3E6A"/>
    <w:rsid w:val="00EB08CE"/>
    <w:rsid w:val="00EB18EF"/>
    <w:rsid w:val="00EB7951"/>
    <w:rsid w:val="00EC725E"/>
    <w:rsid w:val="00EE17DF"/>
    <w:rsid w:val="00EE50C1"/>
    <w:rsid w:val="00EF15E3"/>
    <w:rsid w:val="00EF4621"/>
    <w:rsid w:val="00EF6312"/>
    <w:rsid w:val="00F122D7"/>
    <w:rsid w:val="00F234A7"/>
    <w:rsid w:val="00F277B6"/>
    <w:rsid w:val="00F3777B"/>
    <w:rsid w:val="00F40710"/>
    <w:rsid w:val="00F53D2F"/>
    <w:rsid w:val="00F54380"/>
    <w:rsid w:val="00F54B47"/>
    <w:rsid w:val="00F6702E"/>
    <w:rsid w:val="00F70E84"/>
    <w:rsid w:val="00F910A9"/>
    <w:rsid w:val="00FA092B"/>
    <w:rsid w:val="00FA6EFD"/>
    <w:rsid w:val="00FB08FA"/>
    <w:rsid w:val="00FB56B0"/>
    <w:rsid w:val="00FB74EA"/>
    <w:rsid w:val="00FC2621"/>
    <w:rsid w:val="00FD0227"/>
    <w:rsid w:val="00FD2C9E"/>
    <w:rsid w:val="00FD4786"/>
    <w:rsid w:val="00FD616C"/>
    <w:rsid w:val="00FE0834"/>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3B0130"/>
    <w:pPr>
      <w:ind w:left="720"/>
      <w:contextualSpacing/>
    </w:pPr>
  </w:style>
  <w:style w:type="character" w:customStyle="1" w:styleId="FootnoteTextChar">
    <w:name w:val="Footnote Text Char"/>
    <w:link w:val="FootnoteText"/>
    <w:rsid w:val="00976145"/>
  </w:style>
  <w:style w:type="character" w:customStyle="1" w:styleId="citationtext">
    <w:name w:val="citation_text"/>
    <w:rsid w:val="00976145"/>
  </w:style>
  <w:style w:type="paragraph" w:styleId="BalloonText">
    <w:name w:val="Balloon Text"/>
    <w:basedOn w:val="Normal"/>
    <w:link w:val="BalloonTextChar"/>
    <w:rsid w:val="00610867"/>
    <w:rPr>
      <w:rFonts w:ascii="Tahoma" w:hAnsi="Tahoma" w:cs="Tahoma"/>
      <w:sz w:val="16"/>
      <w:szCs w:val="16"/>
    </w:rPr>
  </w:style>
  <w:style w:type="character" w:customStyle="1" w:styleId="BalloonTextChar">
    <w:name w:val="Balloon Text Char"/>
    <w:basedOn w:val="DefaultParagraphFont"/>
    <w:link w:val="BalloonText"/>
    <w:rsid w:val="006108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3B0130"/>
    <w:pPr>
      <w:ind w:left="720"/>
      <w:contextualSpacing/>
    </w:pPr>
  </w:style>
  <w:style w:type="character" w:customStyle="1" w:styleId="FootnoteTextChar">
    <w:name w:val="Footnote Text Char"/>
    <w:link w:val="FootnoteText"/>
    <w:rsid w:val="00976145"/>
  </w:style>
  <w:style w:type="character" w:customStyle="1" w:styleId="citationtext">
    <w:name w:val="citation_text"/>
    <w:rsid w:val="00976145"/>
  </w:style>
  <w:style w:type="paragraph" w:styleId="BalloonText">
    <w:name w:val="Balloon Text"/>
    <w:basedOn w:val="Normal"/>
    <w:link w:val="BalloonTextChar"/>
    <w:rsid w:val="00610867"/>
    <w:rPr>
      <w:rFonts w:ascii="Tahoma" w:hAnsi="Tahoma" w:cs="Tahoma"/>
      <w:sz w:val="16"/>
      <w:szCs w:val="16"/>
    </w:rPr>
  </w:style>
  <w:style w:type="character" w:customStyle="1" w:styleId="BalloonTextChar">
    <w:name w:val="Balloon Text Char"/>
    <w:basedOn w:val="DefaultParagraphFont"/>
    <w:link w:val="BalloonText"/>
    <w:rsid w:val="006108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225137685">
      <w:bodyDiv w:val="1"/>
      <w:marLeft w:val="0"/>
      <w:marRight w:val="0"/>
      <w:marTop w:val="0"/>
      <w:marBottom w:val="0"/>
      <w:divBdr>
        <w:top w:val="none" w:sz="0" w:space="0" w:color="auto"/>
        <w:left w:val="none" w:sz="0" w:space="0" w:color="auto"/>
        <w:bottom w:val="none" w:sz="0" w:space="0" w:color="auto"/>
        <w:right w:val="none" w:sz="0" w:space="0" w:color="auto"/>
      </w:divBdr>
    </w:div>
    <w:div w:id="140784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62B04-A42C-4091-A4D4-401AA422F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32</Pages>
  <Words>11269</Words>
  <Characters>62045</Characters>
  <Application>Microsoft Office Word</Application>
  <DocSecurity>0</DocSecurity>
  <Lines>517</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2018-01-05T14:17:00Z</dcterms:created>
  <dcterms:modified xsi:type="dcterms:W3CDTF">2018-01-05T14:39:00Z</dcterms:modified>
</cp:coreProperties>
</file>