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15CC" w:rsidP="000F15CC">
      <w:pPr>
        <w:pStyle w:val="OrderHeading"/>
      </w:pPr>
      <w:r>
        <w:t>BEFORE THE FLORIDA PUBLIC SERVICE COMMISSION</w:t>
      </w:r>
    </w:p>
    <w:p w:rsidR="000F15CC" w:rsidRDefault="000F15CC" w:rsidP="000F15CC">
      <w:pPr>
        <w:pStyle w:val="OrderHeading"/>
      </w:pPr>
    </w:p>
    <w:p w:rsidR="000F15CC" w:rsidRDefault="000F15CC" w:rsidP="000F15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15CC" w:rsidRPr="00C63FCF" w:rsidTr="00C63FCF">
        <w:trPr>
          <w:trHeight w:val="828"/>
        </w:trPr>
        <w:tc>
          <w:tcPr>
            <w:tcW w:w="4788" w:type="dxa"/>
            <w:tcBorders>
              <w:bottom w:val="single" w:sz="8" w:space="0" w:color="auto"/>
              <w:right w:val="double" w:sz="6" w:space="0" w:color="auto"/>
            </w:tcBorders>
            <w:shd w:val="clear" w:color="auto" w:fill="auto"/>
          </w:tcPr>
          <w:p w:rsidR="000F15CC" w:rsidRDefault="000F15CC" w:rsidP="00C63FCF">
            <w:pPr>
              <w:pStyle w:val="OrderBody"/>
              <w:tabs>
                <w:tab w:val="center" w:pos="4320"/>
                <w:tab w:val="right" w:pos="8640"/>
              </w:tabs>
              <w:jc w:val="left"/>
            </w:pPr>
            <w:r>
              <w:t xml:space="preserve">In re: </w:t>
            </w:r>
            <w:bookmarkStart w:id="0" w:name="SSInRe"/>
            <w:bookmarkEnd w:id="0"/>
            <w:r>
              <w:t>Petition for approval of curtailable service tariff modifications, by Florida Power &amp; Light Company.</w:t>
            </w:r>
          </w:p>
        </w:tc>
        <w:tc>
          <w:tcPr>
            <w:tcW w:w="4788" w:type="dxa"/>
            <w:tcBorders>
              <w:left w:val="double" w:sz="6" w:space="0" w:color="auto"/>
            </w:tcBorders>
            <w:shd w:val="clear" w:color="auto" w:fill="auto"/>
          </w:tcPr>
          <w:p w:rsidR="000F15CC" w:rsidRDefault="000F15CC" w:rsidP="000F15CC">
            <w:pPr>
              <w:pStyle w:val="OrderBody"/>
            </w:pPr>
            <w:r>
              <w:t xml:space="preserve">DOCKET NO. </w:t>
            </w:r>
            <w:bookmarkStart w:id="1" w:name="SSDocketNo"/>
            <w:bookmarkEnd w:id="1"/>
            <w:r>
              <w:t>20170216-EI</w:t>
            </w:r>
          </w:p>
          <w:p w:rsidR="000F15CC" w:rsidRDefault="000F15CC" w:rsidP="00C63FCF">
            <w:pPr>
              <w:pStyle w:val="OrderBody"/>
              <w:tabs>
                <w:tab w:val="center" w:pos="4320"/>
                <w:tab w:val="right" w:pos="8640"/>
              </w:tabs>
              <w:jc w:val="left"/>
            </w:pPr>
            <w:r>
              <w:t xml:space="preserve">ORDER NO. </w:t>
            </w:r>
            <w:bookmarkStart w:id="2" w:name="OrderNo0049"/>
            <w:r w:rsidR="005C44BF">
              <w:t>PSC-2018-0049-TRF-EI</w:t>
            </w:r>
            <w:bookmarkEnd w:id="2"/>
          </w:p>
          <w:p w:rsidR="000F15CC" w:rsidRDefault="000F15CC" w:rsidP="00C63FCF">
            <w:pPr>
              <w:pStyle w:val="OrderBody"/>
              <w:tabs>
                <w:tab w:val="center" w:pos="4320"/>
                <w:tab w:val="right" w:pos="8640"/>
              </w:tabs>
              <w:jc w:val="left"/>
            </w:pPr>
            <w:r>
              <w:t xml:space="preserve">ISSUED: </w:t>
            </w:r>
            <w:r w:rsidR="005C44BF">
              <w:t>January 22, 2018</w:t>
            </w:r>
          </w:p>
        </w:tc>
      </w:tr>
    </w:tbl>
    <w:p w:rsidR="000F15CC" w:rsidRDefault="000F15CC" w:rsidP="000F15CC"/>
    <w:p w:rsidR="000F15CC" w:rsidRDefault="000F15CC">
      <w:pPr>
        <w:ind w:firstLine="720"/>
        <w:jc w:val="both"/>
      </w:pPr>
      <w:bookmarkStart w:id="3" w:name="Commissioners"/>
      <w:bookmarkEnd w:id="3"/>
      <w:r>
        <w:t>The following Commissioners participated in the disposition of this matter:</w:t>
      </w:r>
    </w:p>
    <w:p w:rsidR="000F15CC" w:rsidRDefault="000F15CC"/>
    <w:p w:rsidR="000F15CC" w:rsidRDefault="000F15CC">
      <w:pPr>
        <w:jc w:val="center"/>
      </w:pPr>
      <w:r>
        <w:t>JULIE I. BROWN, Chairman</w:t>
      </w:r>
    </w:p>
    <w:p w:rsidR="000F15CC" w:rsidRDefault="000F15CC">
      <w:pPr>
        <w:jc w:val="center"/>
      </w:pPr>
      <w:r>
        <w:t>ART GRAHAM</w:t>
      </w:r>
    </w:p>
    <w:p w:rsidR="000F15CC" w:rsidRDefault="000F15CC">
      <w:pPr>
        <w:jc w:val="center"/>
      </w:pPr>
      <w:r>
        <w:t>DONALD J. POLMANN</w:t>
      </w:r>
    </w:p>
    <w:p w:rsidR="000F15CC" w:rsidRDefault="000F15CC">
      <w:pPr>
        <w:jc w:val="center"/>
      </w:pPr>
      <w:r>
        <w:t>GARY F. CLARK</w:t>
      </w:r>
    </w:p>
    <w:p w:rsidR="00CB5276" w:rsidRDefault="00CB5276">
      <w:pPr>
        <w:pStyle w:val="OrderBody"/>
      </w:pPr>
    </w:p>
    <w:p w:rsidR="000F15CC" w:rsidRDefault="000F15CC" w:rsidP="000F15CC">
      <w:pPr>
        <w:pStyle w:val="CenterUnderline"/>
      </w:pPr>
      <w:r>
        <w:t>ORDER</w:t>
      </w:r>
      <w:bookmarkStart w:id="4" w:name="OrderTitle"/>
      <w:r>
        <w:t xml:space="preserve"> APPROVING FLORIDA POWER &amp; LIGHT COMPANY’S</w:t>
      </w:r>
    </w:p>
    <w:p w:rsidR="000F15CC" w:rsidRDefault="000F15CC" w:rsidP="000F15CC">
      <w:pPr>
        <w:pStyle w:val="CenterUnderline"/>
      </w:pPr>
      <w:r>
        <w:t xml:space="preserve">CURTAILABLE SERVICE TARIFF MODIFICATIONS  </w:t>
      </w:r>
      <w:bookmarkEnd w:id="4"/>
    </w:p>
    <w:p w:rsidR="000F15CC" w:rsidRDefault="000F15CC" w:rsidP="000F15CC">
      <w:pPr>
        <w:pStyle w:val="CenterUnderline"/>
      </w:pPr>
    </w:p>
    <w:p w:rsidR="000F15CC" w:rsidRDefault="000F15CC" w:rsidP="000F15CC">
      <w:pPr>
        <w:pStyle w:val="OrderBody"/>
      </w:pPr>
      <w:r>
        <w:t>BY THE COMMISSION:</w:t>
      </w:r>
    </w:p>
    <w:p w:rsidR="000F15CC" w:rsidRDefault="00D121BF" w:rsidP="00D121BF">
      <w:pPr>
        <w:pStyle w:val="OrderBody"/>
        <w:jc w:val="center"/>
        <w:rPr>
          <w:u w:val="single"/>
        </w:rPr>
      </w:pPr>
      <w:r>
        <w:rPr>
          <w:u w:val="single"/>
        </w:rPr>
        <w:t>BACKGROUND</w:t>
      </w:r>
    </w:p>
    <w:p w:rsidR="00D121BF" w:rsidRPr="00D121BF" w:rsidRDefault="00D121BF" w:rsidP="00D121BF">
      <w:pPr>
        <w:pStyle w:val="OrderBody"/>
        <w:jc w:val="center"/>
        <w:rPr>
          <w:u w:val="single"/>
        </w:rPr>
      </w:pPr>
    </w:p>
    <w:p w:rsidR="000F15CC" w:rsidRDefault="00966103" w:rsidP="00966103">
      <w:pPr>
        <w:pStyle w:val="BodyText"/>
        <w:jc w:val="both"/>
      </w:pPr>
      <w:r>
        <w:tab/>
      </w:r>
      <w:r w:rsidR="000F15CC">
        <w:t xml:space="preserve">On October 4, 2017, Florida Power &amp; Light Company (FPL or company) filed a </w:t>
      </w:r>
      <w:r>
        <w:t>P</w:t>
      </w:r>
      <w:r w:rsidR="000F15CC">
        <w:t>etition</w:t>
      </w:r>
      <w:r>
        <w:t xml:space="preserve"> for Approval of Curtailable Service Tariff Modifications</w:t>
      </w:r>
      <w:r w:rsidR="000F15CC">
        <w:t>.</w:t>
      </w:r>
      <w:r>
        <w:t xml:space="preserve"> </w:t>
      </w:r>
      <w:r w:rsidR="000F15CC">
        <w:t xml:space="preserve"> The company is seeking to institute a 30-day notice for customers enrolled in its C</w:t>
      </w:r>
      <w:r>
        <w:t xml:space="preserve">urtailable </w:t>
      </w:r>
      <w:r w:rsidR="000F15CC">
        <w:t>S</w:t>
      </w:r>
      <w:r>
        <w:t>ervice (CS)</w:t>
      </w:r>
      <w:r w:rsidR="000F15CC">
        <w:t xml:space="preserve"> tariffs, including CS Time of Use, to transfer to the Commercial/Industrial Demand Reduction Rider (CDR) tariff. </w:t>
      </w:r>
      <w:r>
        <w:t xml:space="preserve"> </w:t>
      </w:r>
      <w:r w:rsidR="000F15CC">
        <w:t xml:space="preserve">The CS and CDR are optional tariffs for Commercial/Industrial (C/I) customers who are willing to curtail a portion of their demand in exchange for a monthly credit. </w:t>
      </w:r>
      <w:r>
        <w:t xml:space="preserve"> </w:t>
      </w:r>
      <w:r w:rsidR="000F15CC">
        <w:t>In addition, FPL proposes to close the CS tariffs to new customers due to a lack of interest.</w:t>
      </w:r>
    </w:p>
    <w:p w:rsidR="000F15CC" w:rsidRDefault="00966103" w:rsidP="00966103">
      <w:pPr>
        <w:pStyle w:val="OrderBody"/>
      </w:pPr>
      <w:r>
        <w:tab/>
      </w:r>
      <w:r w:rsidR="000F15CC">
        <w:t xml:space="preserve">On October 13, 2017, FPL waived the 60-day suspension deadline through March 1, 2018. </w:t>
      </w:r>
      <w:r>
        <w:t xml:space="preserve"> Commission staff </w:t>
      </w:r>
      <w:r w:rsidR="000F15CC">
        <w:t xml:space="preserve">issued a data request to FPL on November 13, 2017, and the company responded on November 27, 2017. </w:t>
      </w:r>
      <w:r>
        <w:t xml:space="preserve"> O</w:t>
      </w:r>
      <w:r w:rsidR="000F15CC">
        <w:t xml:space="preserve">n November 27, 2017, FPL filed a notice of correction to its petition, correcting a scrivener’s error. </w:t>
      </w:r>
      <w:r>
        <w:t xml:space="preserve"> A </w:t>
      </w:r>
      <w:r w:rsidR="000F15CC">
        <w:t xml:space="preserve">second data request </w:t>
      </w:r>
      <w:r>
        <w:t xml:space="preserve">was filed by Commission staff </w:t>
      </w:r>
      <w:r w:rsidR="000F15CC">
        <w:t xml:space="preserve">on December 4, 2017, for which responses were received on December 11, 2017. </w:t>
      </w:r>
      <w:r>
        <w:t xml:space="preserve"> </w:t>
      </w:r>
      <w:r w:rsidR="000F15CC">
        <w:t xml:space="preserve">Attachment A provides the CS tariff pages indicating the proposed changes. </w:t>
      </w:r>
      <w:r>
        <w:t xml:space="preserve"> We have </w:t>
      </w:r>
      <w:r w:rsidR="000F15CC">
        <w:t>jurisdiction over this matter pursuant to Sections 288.035 and 366.06, Florida Statutes.</w:t>
      </w:r>
    </w:p>
    <w:p w:rsidR="000F15CC" w:rsidRDefault="000F15CC" w:rsidP="00966103">
      <w:pPr>
        <w:pStyle w:val="OrderBody"/>
      </w:pPr>
    </w:p>
    <w:p w:rsidR="00966103" w:rsidRPr="00966103" w:rsidRDefault="000B52D2" w:rsidP="00966103">
      <w:pPr>
        <w:pStyle w:val="OrderBody"/>
        <w:jc w:val="center"/>
        <w:rPr>
          <w:u w:val="single"/>
        </w:rPr>
      </w:pPr>
      <w:r w:rsidRPr="00966103">
        <w:rPr>
          <w:u w:val="single"/>
        </w:rPr>
        <w:t>D</w:t>
      </w:r>
      <w:r>
        <w:rPr>
          <w:u w:val="single"/>
        </w:rPr>
        <w:t>ECISION</w:t>
      </w:r>
    </w:p>
    <w:p w:rsidR="000F15CC" w:rsidRPr="00966103" w:rsidRDefault="00966103" w:rsidP="00966103">
      <w:pPr>
        <w:pStyle w:val="BodyText"/>
        <w:jc w:val="both"/>
        <w:rPr>
          <w:u w:val="single"/>
        </w:rPr>
      </w:pPr>
      <w:r>
        <w:tab/>
      </w:r>
      <w:r w:rsidR="000F15CC" w:rsidRPr="00966103">
        <w:rPr>
          <w:u w:val="single"/>
        </w:rPr>
        <w:t>The CS and CDR Tariffs</w:t>
      </w:r>
    </w:p>
    <w:p w:rsidR="000F15CC" w:rsidRDefault="00966103" w:rsidP="00966103">
      <w:pPr>
        <w:pStyle w:val="BodyText"/>
        <w:jc w:val="both"/>
        <w:rPr>
          <w:b/>
          <w:i/>
        </w:rPr>
      </w:pPr>
      <w:r>
        <w:tab/>
      </w:r>
      <w:r w:rsidR="000F15CC" w:rsidRPr="007E46E7">
        <w:t>The CS tariffs are available to C</w:t>
      </w:r>
      <w:r w:rsidR="000F15CC">
        <w:t>/I</w:t>
      </w:r>
      <w:r w:rsidR="000F15CC" w:rsidRPr="007E46E7">
        <w:t xml:space="preserve"> customers with a monthly demand of 500 k</w:t>
      </w:r>
      <w:r w:rsidR="000F15CC">
        <w:t>ilowatts (kW) or greater</w:t>
      </w:r>
      <w:r w:rsidR="000F15CC" w:rsidRPr="007E46E7">
        <w:t xml:space="preserve">. Customers who choose to take service under CS agree to curtail at least 200 kW of their load when requested by the </w:t>
      </w:r>
      <w:r w:rsidR="000F15CC">
        <w:t>company</w:t>
      </w:r>
      <w:r w:rsidR="000F15CC" w:rsidRPr="007E46E7">
        <w:t xml:space="preserve">. </w:t>
      </w:r>
      <w:r>
        <w:t xml:space="preserve"> </w:t>
      </w:r>
      <w:r w:rsidR="000F15CC" w:rsidRPr="007E46E7">
        <w:t>For the</w:t>
      </w:r>
      <w:r w:rsidR="000F15CC">
        <w:t xml:space="preserve">ir compliance, the customer receives a credit of $1.93 per kW of curtailable load. </w:t>
      </w:r>
      <w:r>
        <w:t xml:space="preserve"> </w:t>
      </w:r>
      <w:r w:rsidR="000F15CC">
        <w:t>C</w:t>
      </w:r>
      <w:r w:rsidR="000F15CC" w:rsidRPr="007E46E7">
        <w:t xml:space="preserve">ustomers are required to </w:t>
      </w:r>
      <w:r w:rsidR="000F15CC">
        <w:t>provide three years’ notice to discontinue service under</w:t>
      </w:r>
      <w:r w:rsidR="000F15CC" w:rsidRPr="007E46E7">
        <w:t xml:space="preserve"> the CS tariffs.</w:t>
      </w:r>
    </w:p>
    <w:p w:rsidR="000F15CC" w:rsidRDefault="00966103" w:rsidP="00966103">
      <w:pPr>
        <w:pStyle w:val="BodyText"/>
        <w:jc w:val="both"/>
      </w:pPr>
      <w:r>
        <w:tab/>
      </w:r>
      <w:r w:rsidR="000F15CC">
        <w:t xml:space="preserve">The CDR is available to C/I customers who have at least 200 kW of non-firm demand, above their firm demand level, available for the utility to control. </w:t>
      </w:r>
      <w:r>
        <w:t xml:space="preserve"> </w:t>
      </w:r>
      <w:r w:rsidR="000F15CC">
        <w:t xml:space="preserve">This demand must be demonstrated for at least three out of seven months of the summer Controllable Rating Period </w:t>
      </w:r>
      <w:r w:rsidR="000F15CC">
        <w:lastRenderedPageBreak/>
        <w:t xml:space="preserve">(April 1 through October 31). </w:t>
      </w:r>
      <w:r>
        <w:t xml:space="preserve"> </w:t>
      </w:r>
      <w:r w:rsidR="000F15CC">
        <w:t>Customers who take service under the CDR agree to have load control equipment installed at their site.</w:t>
      </w:r>
      <w:r>
        <w:t xml:space="preserve">  </w:t>
      </w:r>
      <w:r w:rsidR="000F15CC">
        <w:t>A credit of $8.20 is given for each kW of utility-controlled demand.</w:t>
      </w:r>
      <w:r>
        <w:t xml:space="preserve">  </w:t>
      </w:r>
      <w:r w:rsidR="000F15CC">
        <w:t>The CDR provides higher credits than the CS tariffs since the customer cedes control of a portion of their demand to FPL.</w:t>
      </w:r>
      <w:r>
        <w:t xml:space="preserve">  B</w:t>
      </w:r>
      <w:r w:rsidR="000F15CC">
        <w:t xml:space="preserve">oth tariffs appear to be cost-effective according to </w:t>
      </w:r>
      <w:r w:rsidR="00DF11F2">
        <w:t xml:space="preserve">our </w:t>
      </w:r>
      <w:r w:rsidR="000F15CC">
        <w:t>standards.</w:t>
      </w:r>
    </w:p>
    <w:p w:rsidR="000F15CC" w:rsidRPr="00966103" w:rsidRDefault="00966103" w:rsidP="00966103">
      <w:pPr>
        <w:pStyle w:val="BodyText"/>
        <w:jc w:val="both"/>
        <w:rPr>
          <w:u w:val="single"/>
        </w:rPr>
      </w:pPr>
      <w:r>
        <w:tab/>
      </w:r>
      <w:r w:rsidR="000F15CC" w:rsidRPr="00966103">
        <w:rPr>
          <w:u w:val="single"/>
        </w:rPr>
        <w:t>FPL’s Proposal</w:t>
      </w:r>
    </w:p>
    <w:p w:rsidR="000F15CC" w:rsidRDefault="00966103" w:rsidP="00966103">
      <w:pPr>
        <w:pStyle w:val="BodyText"/>
        <w:jc w:val="both"/>
      </w:pPr>
      <w:r>
        <w:tab/>
      </w:r>
      <w:r w:rsidR="000F15CC">
        <w:t>FPL is seeking to institute a 30-day notice for existing customers to transfer from the CS tariffs directly to the CDR.</w:t>
      </w:r>
      <w:r w:rsidR="00DF11F2">
        <w:t xml:space="preserve">  </w:t>
      </w:r>
      <w:r w:rsidR="000F15CC">
        <w:t xml:space="preserve">FPL’s tariffs do not offer a direct transfer between non-firm service options at this time. </w:t>
      </w:r>
      <w:r>
        <w:t xml:space="preserve"> </w:t>
      </w:r>
      <w:r w:rsidR="000F15CC">
        <w:t>Customers</w:t>
      </w:r>
      <w:r w:rsidR="000F15CC" w:rsidRPr="004E6C51">
        <w:t xml:space="preserve"> currently</w:t>
      </w:r>
      <w:r w:rsidR="000F15CC">
        <w:t xml:space="preserve"> must</w:t>
      </w:r>
      <w:r w:rsidR="000F15CC" w:rsidRPr="004E6C51">
        <w:t xml:space="preserve"> terminate service from </w:t>
      </w:r>
      <w:r w:rsidR="000F15CC">
        <w:t xml:space="preserve">the </w:t>
      </w:r>
      <w:r w:rsidR="000F15CC" w:rsidRPr="004E6C51">
        <w:t>CS</w:t>
      </w:r>
      <w:r w:rsidR="000F15CC">
        <w:t xml:space="preserve"> tariffs with three</w:t>
      </w:r>
      <w:r w:rsidR="000F15CC" w:rsidRPr="004E6C51">
        <w:t xml:space="preserve"> years’ notice </w:t>
      </w:r>
      <w:r w:rsidR="000F15CC">
        <w:t xml:space="preserve">in order to then join the CDR. </w:t>
      </w:r>
    </w:p>
    <w:p w:rsidR="000F15CC" w:rsidRPr="004E6C51" w:rsidRDefault="00966103" w:rsidP="00966103">
      <w:pPr>
        <w:pStyle w:val="IssueSubsectionHeading"/>
        <w:rPr>
          <w:rFonts w:ascii="Times New Roman" w:hAnsi="Times New Roman" w:cs="Times New Roman"/>
          <w:b w:val="0"/>
          <w:i w:val="0"/>
        </w:rPr>
      </w:pPr>
      <w:r>
        <w:rPr>
          <w:rFonts w:ascii="Times New Roman" w:hAnsi="Times New Roman" w:cs="Times New Roman"/>
          <w:b w:val="0"/>
          <w:i w:val="0"/>
        </w:rPr>
        <w:tab/>
      </w:r>
      <w:r w:rsidR="000F15CC">
        <w:rPr>
          <w:rFonts w:ascii="Times New Roman" w:hAnsi="Times New Roman" w:cs="Times New Roman"/>
          <w:b w:val="0"/>
          <w:i w:val="0"/>
        </w:rPr>
        <w:t>Currently, the company</w:t>
      </w:r>
      <w:r w:rsidR="000F15CC" w:rsidRPr="007E0C0D">
        <w:rPr>
          <w:rFonts w:ascii="Times New Roman" w:hAnsi="Times New Roman" w:cs="Times New Roman"/>
          <w:b w:val="0"/>
          <w:i w:val="0"/>
        </w:rPr>
        <w:t xml:space="preserve"> provides s</w:t>
      </w:r>
      <w:r w:rsidR="000F15CC">
        <w:rPr>
          <w:rFonts w:ascii="Times New Roman" w:hAnsi="Times New Roman" w:cs="Times New Roman"/>
          <w:b w:val="0"/>
          <w:i w:val="0"/>
        </w:rPr>
        <w:t>ervice to 31 customers under CS tariffs</w:t>
      </w:r>
      <w:r w:rsidR="000F15CC" w:rsidRPr="007E0C0D">
        <w:rPr>
          <w:rFonts w:ascii="Times New Roman" w:hAnsi="Times New Roman" w:cs="Times New Roman"/>
          <w:b w:val="0"/>
          <w:i w:val="0"/>
        </w:rPr>
        <w:t>.</w:t>
      </w:r>
      <w:r w:rsidR="00DF11F2">
        <w:rPr>
          <w:rFonts w:ascii="Times New Roman" w:hAnsi="Times New Roman" w:cs="Times New Roman"/>
          <w:b w:val="0"/>
          <w:i w:val="0"/>
        </w:rPr>
        <w:t xml:space="preserve">  </w:t>
      </w:r>
      <w:r w:rsidR="000F15CC">
        <w:rPr>
          <w:rFonts w:ascii="Times New Roman" w:hAnsi="Times New Roman" w:cs="Times New Roman"/>
          <w:b w:val="0"/>
          <w:i w:val="0"/>
        </w:rPr>
        <w:t xml:space="preserve">According to FPL, </w:t>
      </w:r>
      <w:r w:rsidR="000F15CC" w:rsidRPr="007E0C0D">
        <w:rPr>
          <w:rFonts w:ascii="Times New Roman" w:hAnsi="Times New Roman" w:cs="Times New Roman"/>
          <w:b w:val="0"/>
          <w:i w:val="0"/>
        </w:rPr>
        <w:t xml:space="preserve">16 of those customers have </w:t>
      </w:r>
      <w:r w:rsidR="000F15CC">
        <w:rPr>
          <w:rFonts w:ascii="Times New Roman" w:hAnsi="Times New Roman" w:cs="Times New Roman"/>
          <w:b w:val="0"/>
          <w:i w:val="0"/>
        </w:rPr>
        <w:t>the required</w:t>
      </w:r>
      <w:r w:rsidR="000F15CC" w:rsidRPr="007E0C0D">
        <w:rPr>
          <w:rFonts w:ascii="Times New Roman" w:hAnsi="Times New Roman" w:cs="Times New Roman"/>
          <w:b w:val="0"/>
          <w:i w:val="0"/>
        </w:rPr>
        <w:t xml:space="preserve"> demand to qualify f</w:t>
      </w:r>
      <w:r w:rsidR="000F15CC" w:rsidRPr="004E6C51">
        <w:rPr>
          <w:rFonts w:ascii="Times New Roman" w:hAnsi="Times New Roman" w:cs="Times New Roman"/>
          <w:b w:val="0"/>
          <w:i w:val="0"/>
        </w:rPr>
        <w:t xml:space="preserve">or the CDR. </w:t>
      </w:r>
      <w:r>
        <w:rPr>
          <w:rFonts w:ascii="Times New Roman" w:hAnsi="Times New Roman" w:cs="Times New Roman"/>
          <w:b w:val="0"/>
          <w:i w:val="0"/>
        </w:rPr>
        <w:t xml:space="preserve"> </w:t>
      </w:r>
      <w:r w:rsidR="000F15CC">
        <w:rPr>
          <w:rFonts w:ascii="Times New Roman" w:hAnsi="Times New Roman" w:cs="Times New Roman"/>
          <w:b w:val="0"/>
          <w:i w:val="0"/>
        </w:rPr>
        <w:t>Out of those 16, seven</w:t>
      </w:r>
      <w:r w:rsidR="000F15CC" w:rsidRPr="004E6C51">
        <w:rPr>
          <w:rFonts w:ascii="Times New Roman" w:hAnsi="Times New Roman" w:cs="Times New Roman"/>
          <w:b w:val="0"/>
          <w:i w:val="0"/>
        </w:rPr>
        <w:t xml:space="preserve"> customers have expressed interest in a direct transfer from the CS tariffs to the CDR.</w:t>
      </w:r>
      <w:r w:rsidR="000F15CC">
        <w:rPr>
          <w:rFonts w:ascii="Times New Roman" w:hAnsi="Times New Roman" w:cs="Times New Roman"/>
          <w:b w:val="0"/>
          <w:i w:val="0"/>
        </w:rPr>
        <w:t xml:space="preserve"> </w:t>
      </w:r>
      <w:r>
        <w:rPr>
          <w:rFonts w:ascii="Times New Roman" w:hAnsi="Times New Roman" w:cs="Times New Roman"/>
          <w:b w:val="0"/>
          <w:i w:val="0"/>
        </w:rPr>
        <w:t xml:space="preserve"> </w:t>
      </w:r>
      <w:r w:rsidR="000F15CC">
        <w:rPr>
          <w:rFonts w:ascii="Times New Roman" w:hAnsi="Times New Roman" w:cs="Times New Roman"/>
          <w:b w:val="0"/>
          <w:i w:val="0"/>
        </w:rPr>
        <w:t>The credits provided to customers under both tariffs are recovered by the company as Demand-Side Management programs through the Energy Conservation Cost Recovery Clause (ECCR).</w:t>
      </w:r>
      <w:r w:rsidR="000F15CC" w:rsidRPr="004E6C51">
        <w:rPr>
          <w:rFonts w:ascii="Times New Roman" w:hAnsi="Times New Roman" w:cs="Times New Roman"/>
          <w:b w:val="0"/>
          <w:i w:val="0"/>
        </w:rPr>
        <w:t xml:space="preserve"> </w:t>
      </w:r>
      <w:r>
        <w:rPr>
          <w:rFonts w:ascii="Times New Roman" w:hAnsi="Times New Roman" w:cs="Times New Roman"/>
          <w:b w:val="0"/>
          <w:i w:val="0"/>
        </w:rPr>
        <w:t xml:space="preserve"> </w:t>
      </w:r>
      <w:r w:rsidR="000F15CC" w:rsidRPr="004E6C51">
        <w:rPr>
          <w:rFonts w:ascii="Times New Roman" w:hAnsi="Times New Roman" w:cs="Times New Roman"/>
          <w:b w:val="0"/>
          <w:i w:val="0"/>
        </w:rPr>
        <w:t xml:space="preserve">In the </w:t>
      </w:r>
      <w:r w:rsidR="000F15CC">
        <w:rPr>
          <w:rFonts w:ascii="Times New Roman" w:hAnsi="Times New Roman" w:cs="Times New Roman"/>
          <w:b w:val="0"/>
          <w:i w:val="0"/>
        </w:rPr>
        <w:t>company’s petition, FPL</w:t>
      </w:r>
      <w:r w:rsidR="000F15CC" w:rsidRPr="004E6C51">
        <w:rPr>
          <w:rFonts w:ascii="Times New Roman" w:hAnsi="Times New Roman" w:cs="Times New Roman"/>
          <w:b w:val="0"/>
          <w:i w:val="0"/>
        </w:rPr>
        <w:t xml:space="preserve"> states that the </w:t>
      </w:r>
      <w:r w:rsidR="000F15CC">
        <w:rPr>
          <w:rFonts w:ascii="Times New Roman" w:hAnsi="Times New Roman" w:cs="Times New Roman"/>
          <w:b w:val="0"/>
          <w:i w:val="0"/>
        </w:rPr>
        <w:t xml:space="preserve">ECCR </w:t>
      </w:r>
      <w:r w:rsidR="000F15CC" w:rsidRPr="004E6C51">
        <w:rPr>
          <w:rFonts w:ascii="Times New Roman" w:hAnsi="Times New Roman" w:cs="Times New Roman"/>
          <w:b w:val="0"/>
          <w:i w:val="0"/>
        </w:rPr>
        <w:t xml:space="preserve">impact of all 16 eligible customers </w:t>
      </w:r>
      <w:r w:rsidR="000F15CC">
        <w:rPr>
          <w:rFonts w:ascii="Times New Roman" w:hAnsi="Times New Roman" w:cs="Times New Roman"/>
          <w:b w:val="0"/>
          <w:i w:val="0"/>
        </w:rPr>
        <w:t>transferring to the CDR</w:t>
      </w:r>
      <w:r w:rsidR="000F15CC" w:rsidRPr="00062550">
        <w:rPr>
          <w:rFonts w:ascii="Times New Roman" w:hAnsi="Times New Roman" w:cs="Times New Roman"/>
          <w:b w:val="0"/>
          <w:i w:val="0"/>
        </w:rPr>
        <w:t xml:space="preserve"> would be 0.0008 cents per kilowatt hour</w:t>
      </w:r>
      <w:r w:rsidR="000F15CC">
        <w:rPr>
          <w:rFonts w:ascii="Times New Roman" w:hAnsi="Times New Roman" w:cs="Times New Roman"/>
          <w:b w:val="0"/>
          <w:i w:val="0"/>
        </w:rPr>
        <w:t xml:space="preserve"> (kWh)</w:t>
      </w:r>
      <w:r w:rsidR="000F15CC" w:rsidRPr="00062550">
        <w:rPr>
          <w:rFonts w:ascii="Times New Roman" w:hAnsi="Times New Roman" w:cs="Times New Roman"/>
          <w:b w:val="0"/>
          <w:i w:val="0"/>
        </w:rPr>
        <w:t xml:space="preserve"> or less than $0.01 per 1,000 kWh</w:t>
      </w:r>
      <w:r w:rsidR="000F15CC">
        <w:rPr>
          <w:rFonts w:ascii="Times New Roman" w:hAnsi="Times New Roman" w:cs="Times New Roman"/>
          <w:b w:val="0"/>
          <w:i w:val="0"/>
        </w:rPr>
        <w:t>. The</w:t>
      </w:r>
      <w:r w:rsidR="000F15CC" w:rsidRPr="00062550">
        <w:rPr>
          <w:rFonts w:ascii="Times New Roman" w:hAnsi="Times New Roman" w:cs="Times New Roman"/>
          <w:b w:val="0"/>
          <w:i w:val="0"/>
        </w:rPr>
        <w:t>se 16 potential transferees would join 526 customers who presently take service under the CDR.</w:t>
      </w:r>
    </w:p>
    <w:p w:rsidR="000F15CC" w:rsidRDefault="00966103" w:rsidP="00966103">
      <w:pPr>
        <w:pStyle w:val="BodyText"/>
        <w:jc w:val="both"/>
      </w:pPr>
      <w:r>
        <w:tab/>
      </w:r>
      <w:r w:rsidR="000F15CC">
        <w:t xml:space="preserve">FPL also seeks to close the CS tariffs to new customers. </w:t>
      </w:r>
      <w:r w:rsidR="00DF11F2">
        <w:t xml:space="preserve"> </w:t>
      </w:r>
      <w:r w:rsidR="000F15CC">
        <w:t xml:space="preserve">According to FPL, no new customers have opted to take service under the CS tariffs since 2010. </w:t>
      </w:r>
      <w:r>
        <w:t xml:space="preserve"> </w:t>
      </w:r>
      <w:r w:rsidR="000F15CC">
        <w:t>It should be noted that this petition will allow CS customers to transfer to any non-firm service option, but the CDR is the only current alternative.</w:t>
      </w:r>
      <w:r>
        <w:t xml:space="preserve">  </w:t>
      </w:r>
      <w:r w:rsidR="000F15CC">
        <w:t>FPL will also update Tariff Sheet Nos. 8.542 and 8.545 to correct outdated cross-references.</w:t>
      </w:r>
    </w:p>
    <w:p w:rsidR="000B52D2" w:rsidRPr="000B52D2" w:rsidRDefault="00966103" w:rsidP="000B52D2">
      <w:pPr>
        <w:pStyle w:val="BodyText"/>
        <w:jc w:val="both"/>
      </w:pPr>
      <w:r>
        <w:tab/>
      </w:r>
      <w:r w:rsidR="000B52D2" w:rsidRPr="000B52D2">
        <w:t>Upon review of the pleadings and data discussed above, we find that</w:t>
      </w:r>
      <w:r w:rsidR="000F15CC" w:rsidRPr="000B52D2">
        <w:t xml:space="preserve"> the proposed </w:t>
      </w:r>
      <w:r w:rsidR="000B52D2" w:rsidRPr="000B52D2">
        <w:t xml:space="preserve">change is an </w:t>
      </w:r>
      <w:r w:rsidR="000F15CC" w:rsidRPr="000B52D2">
        <w:t>efficient transfer between Commission-approved, cost-effective programs.</w:t>
      </w:r>
      <w:r w:rsidR="000B52D2" w:rsidRPr="000B52D2">
        <w:t xml:space="preserve">  FPL’s </w:t>
      </w:r>
      <w:r w:rsidR="000F15CC" w:rsidRPr="000B52D2">
        <w:t xml:space="preserve">customers will benefit from higher credits while the company and ratepayers will benefit from improved load control. </w:t>
      </w:r>
      <w:r w:rsidR="000B52D2" w:rsidRPr="000B52D2">
        <w:t xml:space="preserve"> We further find that t</w:t>
      </w:r>
      <w:r w:rsidR="000F15CC" w:rsidRPr="000B52D2">
        <w:t xml:space="preserve">he closure of the CS tariffs is reasonable </w:t>
      </w:r>
      <w:r w:rsidR="000B52D2" w:rsidRPr="000B52D2">
        <w:t xml:space="preserve">given </w:t>
      </w:r>
      <w:r w:rsidR="000F15CC" w:rsidRPr="000B52D2">
        <w:t>the lack of new participants since 2010.</w:t>
      </w:r>
    </w:p>
    <w:p w:rsidR="000F15CC" w:rsidRPr="000B52D2" w:rsidRDefault="000B52D2" w:rsidP="000B52D2">
      <w:pPr>
        <w:pStyle w:val="BodyText"/>
        <w:jc w:val="both"/>
      </w:pPr>
      <w:r w:rsidRPr="000B52D2">
        <w:tab/>
      </w:r>
      <w:r w:rsidR="00D121BF">
        <w:t>Based on the foregoing,</w:t>
      </w:r>
      <w:r w:rsidRPr="000B52D2">
        <w:t xml:space="preserve"> it is</w:t>
      </w:r>
    </w:p>
    <w:p w:rsidR="000B52D2" w:rsidRDefault="000B52D2" w:rsidP="000B52D2">
      <w:pPr>
        <w:pStyle w:val="BodyText"/>
        <w:jc w:val="both"/>
      </w:pPr>
      <w:r>
        <w:tab/>
        <w:t xml:space="preserve">ORDERED </w:t>
      </w:r>
      <w:r w:rsidR="00D121BF">
        <w:t xml:space="preserve">by the Florida Public Service Commission </w:t>
      </w:r>
      <w:r>
        <w:t>that Florida Power &amp; Light Company’s Petition for Approval of Curtailable Service Tariff Modifications</w:t>
      </w:r>
      <w:r w:rsidR="00DF11F2">
        <w:t>, as stated in Attachment A,</w:t>
      </w:r>
      <w:r>
        <w:t xml:space="preserve"> is hereby granted.  It is further</w:t>
      </w:r>
    </w:p>
    <w:p w:rsidR="00DF11F2" w:rsidRDefault="000B52D2" w:rsidP="000B52D2">
      <w:pPr>
        <w:pStyle w:val="BodyText"/>
        <w:jc w:val="both"/>
      </w:pPr>
      <w:r>
        <w:tab/>
        <w:t>ORDERED that</w:t>
      </w:r>
      <w:r w:rsidR="00DF11F2">
        <w:t xml:space="preserve"> if a protest is filed within 21 days of the issuance of this order, the tariff modifications contained in Attachment A shall not go into effect pending resolution of the protest.  If no timely protest is filed, this docket shall be closed and the modifications contained in Attachment A shall become effective upon the issuance of a consummating order.</w:t>
      </w:r>
    </w:p>
    <w:p w:rsidR="00DF11F2" w:rsidRDefault="00DF11F2" w:rsidP="00DF11F2">
      <w:pPr>
        <w:pStyle w:val="BodyText"/>
        <w:keepNext/>
        <w:keepLines/>
        <w:jc w:val="both"/>
      </w:pPr>
      <w:r>
        <w:lastRenderedPageBreak/>
        <w:tab/>
        <w:t xml:space="preserve">By ORDER of the Florida Public Service Commission this </w:t>
      </w:r>
      <w:bookmarkStart w:id="5" w:name="replaceDate"/>
      <w:bookmarkEnd w:id="5"/>
      <w:r w:rsidR="005C44BF">
        <w:rPr>
          <w:u w:val="single"/>
        </w:rPr>
        <w:t>22nd</w:t>
      </w:r>
      <w:r w:rsidR="005C44BF">
        <w:t xml:space="preserve"> day of </w:t>
      </w:r>
      <w:r w:rsidR="005C44BF">
        <w:rPr>
          <w:u w:val="single"/>
        </w:rPr>
        <w:t>January</w:t>
      </w:r>
      <w:r w:rsidR="005C44BF">
        <w:t xml:space="preserve">, </w:t>
      </w:r>
      <w:r w:rsidR="005C44BF">
        <w:rPr>
          <w:u w:val="single"/>
        </w:rPr>
        <w:t>2018</w:t>
      </w:r>
      <w:r w:rsidR="005C44BF">
        <w:t>.</w:t>
      </w:r>
    </w:p>
    <w:p w:rsidR="005C44BF" w:rsidRPr="005C44BF" w:rsidRDefault="005C44BF" w:rsidP="00DF11F2">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DF11F2" w:rsidTr="00DF11F2">
        <w:tc>
          <w:tcPr>
            <w:tcW w:w="720" w:type="dxa"/>
            <w:shd w:val="clear" w:color="auto" w:fill="auto"/>
          </w:tcPr>
          <w:p w:rsidR="00DF11F2" w:rsidRDefault="00DF11F2" w:rsidP="00DF11F2">
            <w:pPr>
              <w:pStyle w:val="BodyText"/>
              <w:keepNext/>
              <w:keepLines/>
              <w:jc w:val="both"/>
            </w:pPr>
            <w:bookmarkStart w:id="6" w:name="bkmrkSignature" w:colFirst="0" w:colLast="0"/>
          </w:p>
        </w:tc>
        <w:tc>
          <w:tcPr>
            <w:tcW w:w="4320" w:type="dxa"/>
            <w:tcBorders>
              <w:bottom w:val="single" w:sz="4" w:space="0" w:color="auto"/>
            </w:tcBorders>
            <w:shd w:val="clear" w:color="auto" w:fill="auto"/>
          </w:tcPr>
          <w:p w:rsidR="005C44BF" w:rsidRDefault="005C44BF" w:rsidP="00CE4825">
            <w:pPr>
              <w:pStyle w:val="BodyText"/>
              <w:keepNext/>
              <w:keepLines/>
              <w:spacing w:after="0"/>
              <w:jc w:val="both"/>
            </w:pPr>
          </w:p>
          <w:p w:rsidR="00DF11F2" w:rsidRDefault="005C44BF" w:rsidP="00CE4825">
            <w:pPr>
              <w:pStyle w:val="BodyText"/>
              <w:keepNext/>
              <w:keepLines/>
              <w:spacing w:after="0"/>
              <w:jc w:val="both"/>
            </w:pPr>
            <w:bookmarkStart w:id="7" w:name="_GoBack"/>
            <w:bookmarkEnd w:id="7"/>
            <w:r>
              <w:t>/s/ Hong Wang</w:t>
            </w:r>
          </w:p>
        </w:tc>
      </w:tr>
      <w:bookmarkEnd w:id="6"/>
      <w:tr w:rsidR="00DF11F2" w:rsidTr="00DF11F2">
        <w:tc>
          <w:tcPr>
            <w:tcW w:w="720" w:type="dxa"/>
            <w:shd w:val="clear" w:color="auto" w:fill="auto"/>
          </w:tcPr>
          <w:p w:rsidR="00DF11F2" w:rsidRDefault="00DF11F2" w:rsidP="00DF11F2">
            <w:pPr>
              <w:pStyle w:val="BodyText"/>
              <w:keepNext/>
              <w:keepLines/>
              <w:jc w:val="both"/>
            </w:pPr>
          </w:p>
        </w:tc>
        <w:tc>
          <w:tcPr>
            <w:tcW w:w="4320" w:type="dxa"/>
            <w:tcBorders>
              <w:top w:val="single" w:sz="4" w:space="0" w:color="auto"/>
            </w:tcBorders>
            <w:shd w:val="clear" w:color="auto" w:fill="auto"/>
          </w:tcPr>
          <w:p w:rsidR="005C44BF" w:rsidRDefault="005C44BF" w:rsidP="00CE4825">
            <w:pPr>
              <w:pStyle w:val="BodyText"/>
              <w:keepNext/>
              <w:keepLines/>
              <w:spacing w:after="0"/>
              <w:jc w:val="both"/>
            </w:pPr>
            <w:r>
              <w:t>HONG WANG</w:t>
            </w:r>
          </w:p>
          <w:p w:rsidR="00DF11F2" w:rsidRDefault="005C44BF" w:rsidP="00CE4825">
            <w:pPr>
              <w:pStyle w:val="BodyText"/>
              <w:keepNext/>
              <w:keepLines/>
              <w:spacing w:after="0"/>
              <w:jc w:val="both"/>
            </w:pPr>
            <w:r>
              <w:t>Chief Deputy Commission Clerk</w:t>
            </w:r>
          </w:p>
        </w:tc>
      </w:tr>
    </w:tbl>
    <w:p w:rsidR="00DF11F2" w:rsidRDefault="00DF11F2" w:rsidP="00DF11F2">
      <w:pPr>
        <w:pStyle w:val="OrderSigInfo"/>
        <w:keepNext/>
        <w:keepLines/>
      </w:pPr>
      <w:r>
        <w:t>Florida Public Service Commission</w:t>
      </w:r>
    </w:p>
    <w:p w:rsidR="00DF11F2" w:rsidRDefault="00DF11F2" w:rsidP="00DF11F2">
      <w:pPr>
        <w:pStyle w:val="OrderSigInfo"/>
        <w:keepNext/>
        <w:keepLines/>
      </w:pPr>
      <w:r>
        <w:t>2540 Shumard Oak Boulevard</w:t>
      </w:r>
    </w:p>
    <w:p w:rsidR="00DF11F2" w:rsidRDefault="00DF11F2" w:rsidP="00DF11F2">
      <w:pPr>
        <w:pStyle w:val="OrderSigInfo"/>
        <w:keepNext/>
        <w:keepLines/>
      </w:pPr>
      <w:r>
        <w:t>Tallahassee, Florida  32399</w:t>
      </w:r>
    </w:p>
    <w:p w:rsidR="00DF11F2" w:rsidRDefault="00DF11F2" w:rsidP="00DF11F2">
      <w:pPr>
        <w:pStyle w:val="OrderSigInfo"/>
        <w:keepNext/>
        <w:keepLines/>
      </w:pPr>
      <w:r>
        <w:t>(850) 413</w:t>
      </w:r>
      <w:r>
        <w:noBreakHyphen/>
        <w:t>6770</w:t>
      </w:r>
    </w:p>
    <w:p w:rsidR="00DF11F2" w:rsidRDefault="00DF11F2" w:rsidP="00DF11F2">
      <w:pPr>
        <w:pStyle w:val="OrderSigInfo"/>
        <w:keepNext/>
        <w:keepLines/>
      </w:pPr>
      <w:r>
        <w:t>www.floridapsc.com</w:t>
      </w:r>
    </w:p>
    <w:p w:rsidR="00DF11F2" w:rsidRDefault="00DF11F2" w:rsidP="00DF11F2">
      <w:pPr>
        <w:pStyle w:val="OrderSigInfo"/>
        <w:keepNext/>
        <w:keepLines/>
      </w:pPr>
    </w:p>
    <w:p w:rsidR="00DF11F2" w:rsidRDefault="00DF11F2" w:rsidP="00DF11F2">
      <w:pPr>
        <w:pStyle w:val="OrderSigInfo"/>
        <w:keepNext/>
        <w:keepLines/>
      </w:pPr>
      <w:r>
        <w:t>Copies furnished:  A copy of this document is provided to the parties of record at the time of issuance and, if applicable, interested persons.</w:t>
      </w:r>
    </w:p>
    <w:p w:rsidR="00DF11F2" w:rsidRDefault="00DF11F2" w:rsidP="00DF11F2">
      <w:pPr>
        <w:pStyle w:val="OrderBody"/>
        <w:keepNext/>
        <w:keepLines/>
      </w:pPr>
      <w:r>
        <w:t xml:space="preserve"> </w:t>
      </w:r>
      <w:r w:rsidR="000B52D2">
        <w:t xml:space="preserve"> </w:t>
      </w:r>
      <w:r>
        <w:t xml:space="preserve"> </w:t>
      </w:r>
      <w:r w:rsidR="000B52D2">
        <w:t xml:space="preserve"> </w:t>
      </w:r>
    </w:p>
    <w:p w:rsidR="000B52D2" w:rsidRDefault="00DF11F2" w:rsidP="000B52D2">
      <w:pPr>
        <w:pStyle w:val="BodyText"/>
        <w:jc w:val="both"/>
      </w:pPr>
      <w:r>
        <w:t>SBr</w:t>
      </w:r>
    </w:p>
    <w:p w:rsidR="00DF11F2" w:rsidRDefault="00DF11F2" w:rsidP="00DF11F2">
      <w:pPr>
        <w:pStyle w:val="CenterUnderline"/>
      </w:pPr>
      <w:r>
        <w:t>NOTICE OF FURTHER PROCEEDINGS</w:t>
      </w:r>
    </w:p>
    <w:p w:rsidR="00DF11F2" w:rsidRDefault="00DF11F2" w:rsidP="00DF11F2">
      <w:pPr>
        <w:pStyle w:val="CenterUnderline"/>
      </w:pPr>
    </w:p>
    <w:p w:rsidR="00DF11F2" w:rsidRDefault="00DF11F2" w:rsidP="00DF11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F11F2" w:rsidRDefault="00DF11F2" w:rsidP="00DF11F2">
      <w:pPr>
        <w:pStyle w:val="OrderBody"/>
      </w:pPr>
    </w:p>
    <w:p w:rsidR="00DF11F2" w:rsidRDefault="00DF11F2" w:rsidP="00DF11F2">
      <w:pPr>
        <w:pStyle w:val="OrderBody"/>
      </w:pPr>
      <w:r>
        <w:tab/>
        <w:t>Mediation may be available on a case-by-case basis.  If mediation is conducted, it does not affect a substantially interested person's right to a hearing.</w:t>
      </w:r>
    </w:p>
    <w:p w:rsidR="00DF11F2" w:rsidRDefault="00DF11F2" w:rsidP="00DF11F2">
      <w:pPr>
        <w:pStyle w:val="OrderBody"/>
      </w:pPr>
    </w:p>
    <w:p w:rsidR="00DF11F2" w:rsidRDefault="00DF11F2" w:rsidP="00DF11F2">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5C44BF">
        <w:rPr>
          <w:u w:val="single"/>
        </w:rPr>
        <w:t>February 12, 2018</w:t>
      </w:r>
      <w:r>
        <w:t xml:space="preserve">. </w:t>
      </w:r>
    </w:p>
    <w:p w:rsidR="00DF11F2" w:rsidRDefault="00DF11F2" w:rsidP="00DF11F2">
      <w:pPr>
        <w:pStyle w:val="OrderBody"/>
      </w:pPr>
    </w:p>
    <w:p w:rsidR="00DF11F2" w:rsidRDefault="00DF11F2" w:rsidP="00DF11F2">
      <w:pPr>
        <w:pStyle w:val="OrderBody"/>
      </w:pPr>
      <w:r>
        <w:tab/>
        <w:t>In the absence of such a petition, this Order shall become final and effective upon the issuance of a Consummating Order.</w:t>
      </w:r>
    </w:p>
    <w:p w:rsidR="00DF11F2" w:rsidRDefault="00DF11F2" w:rsidP="00DF11F2">
      <w:pPr>
        <w:pStyle w:val="OrderBody"/>
      </w:pPr>
    </w:p>
    <w:p w:rsidR="00DF11F2" w:rsidRDefault="00DF11F2" w:rsidP="00DF11F2">
      <w:pPr>
        <w:pStyle w:val="OrderBody"/>
      </w:pPr>
      <w:r>
        <w:tab/>
        <w:t>Any objection or protest filed in this docket before the issuance date of this order is considered abandoned unless it satisfies the foregoing conditions and is renewed within the specified protest period.</w:t>
      </w:r>
    </w:p>
    <w:p w:rsidR="00DF11F2" w:rsidRDefault="00DF11F2" w:rsidP="00DF11F2">
      <w:pPr>
        <w:pStyle w:val="OrderBody"/>
      </w:pPr>
    </w:p>
    <w:p w:rsidR="00CE4825" w:rsidRDefault="00CE4825" w:rsidP="00DF11F2">
      <w:pPr>
        <w:pStyle w:val="OrderBody"/>
        <w:jc w:val="center"/>
        <w:sectPr w:rsidR="00CE4825">
          <w:headerReference w:type="default" r:id="rId7"/>
          <w:footerReference w:type="first" r:id="rId8"/>
          <w:pgSz w:w="12240" w:h="15840" w:code="1"/>
          <w:pgMar w:top="1440" w:right="1440" w:bottom="1440" w:left="1440" w:header="720" w:footer="720" w:gutter="0"/>
          <w:cols w:space="720"/>
          <w:titlePg/>
          <w:docGrid w:linePitch="360"/>
        </w:sectPr>
      </w:pPr>
    </w:p>
    <w:p w:rsidR="00CE4825" w:rsidRDefault="00CE4825" w:rsidP="00CE4825">
      <w:pPr>
        <w:pStyle w:val="BodyText"/>
        <w:rPr>
          <w:noProof/>
        </w:rPr>
      </w:pPr>
      <w:r>
        <w:rPr>
          <w:noProof/>
        </w:rPr>
        <w:lastRenderedPageBreak/>
        <w:drawing>
          <wp:inline distT="0" distB="0" distL="0" distR="0" wp14:anchorId="4A40B303" wp14:editId="2F204E16">
            <wp:extent cx="5943600" cy="7933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7933055"/>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47E3FB2B" wp14:editId="1027713F">
            <wp:extent cx="5943600" cy="792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7927975"/>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54304272" wp14:editId="5A71F0F8">
            <wp:extent cx="5943600" cy="781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7811135"/>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603646F7" wp14:editId="1D4D48A6">
            <wp:extent cx="5943600" cy="7879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879080"/>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38E8D6C1" wp14:editId="57838AC5">
            <wp:extent cx="5943600" cy="7757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7757160"/>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6C6F8D8B" wp14:editId="0E95EF81">
            <wp:extent cx="5943600" cy="7748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7748270"/>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2911F1D2" wp14:editId="3076C37B">
            <wp:extent cx="5943600" cy="78994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7899400"/>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57361661" wp14:editId="51057921">
            <wp:extent cx="5943600" cy="77762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776210"/>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5A04C46C" wp14:editId="03F0507C">
            <wp:extent cx="5943600" cy="787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874000"/>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354C5214" wp14:editId="4BF5A979">
            <wp:extent cx="5943600" cy="780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7806690"/>
                    </a:xfrm>
                    <a:prstGeom prst="rect">
                      <a:avLst/>
                    </a:prstGeom>
                  </pic:spPr>
                </pic:pic>
              </a:graphicData>
            </a:graphic>
          </wp:inline>
        </w:drawing>
      </w:r>
    </w:p>
    <w:p w:rsidR="00CE4825" w:rsidRDefault="00CE4825" w:rsidP="00CE4825">
      <w:pPr>
        <w:pStyle w:val="BodyText"/>
        <w:rPr>
          <w:noProof/>
        </w:rPr>
      </w:pPr>
      <w:r>
        <w:rPr>
          <w:noProof/>
        </w:rPr>
        <w:lastRenderedPageBreak/>
        <w:drawing>
          <wp:inline distT="0" distB="0" distL="0" distR="0" wp14:anchorId="2A73697D" wp14:editId="28A2B4C8">
            <wp:extent cx="5943600" cy="77444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7744460"/>
                    </a:xfrm>
                    <a:prstGeom prst="rect">
                      <a:avLst/>
                    </a:prstGeom>
                  </pic:spPr>
                </pic:pic>
              </a:graphicData>
            </a:graphic>
          </wp:inline>
        </w:drawing>
      </w:r>
    </w:p>
    <w:p w:rsidR="00DF11F2" w:rsidRPr="00DF11F2" w:rsidRDefault="00CE4825" w:rsidP="00CE4825">
      <w:pPr>
        <w:pStyle w:val="OrderBody"/>
        <w:jc w:val="center"/>
      </w:pPr>
      <w:r>
        <w:rPr>
          <w:noProof/>
        </w:rPr>
        <w:lastRenderedPageBreak/>
        <w:drawing>
          <wp:inline distT="0" distB="0" distL="0" distR="0" wp14:anchorId="04FE245E" wp14:editId="24C5D71B">
            <wp:extent cx="5943600" cy="77908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7790815"/>
                    </a:xfrm>
                    <a:prstGeom prst="rect">
                      <a:avLst/>
                    </a:prstGeom>
                  </pic:spPr>
                </pic:pic>
              </a:graphicData>
            </a:graphic>
          </wp:inline>
        </w:drawing>
      </w:r>
    </w:p>
    <w:sectPr w:rsidR="00DF11F2" w:rsidRPr="00DF11F2" w:rsidSect="00CE4825">
      <w:headerReference w:type="default" r:id="rId21"/>
      <w:head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CC" w:rsidRDefault="000F15CC">
      <w:r>
        <w:separator/>
      </w:r>
    </w:p>
  </w:endnote>
  <w:endnote w:type="continuationSeparator" w:id="0">
    <w:p w:rsidR="000F15CC" w:rsidRDefault="000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CC" w:rsidRDefault="000F15CC">
      <w:r>
        <w:separator/>
      </w:r>
    </w:p>
  </w:footnote>
  <w:footnote w:type="continuationSeparator" w:id="0">
    <w:p w:rsidR="000F15CC" w:rsidRDefault="000F1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9 ">
      <w:r w:rsidR="005C44BF">
        <w:t>PSC-2018-0049-TRF-EI</w:t>
      </w:r>
    </w:fldSimple>
  </w:p>
  <w:p w:rsidR="00FA6EFD" w:rsidRDefault="000F15CC">
    <w:pPr>
      <w:pStyle w:val="OrderHeader"/>
    </w:pPr>
    <w:bookmarkStart w:id="8" w:name="HeaderDocketNo"/>
    <w:bookmarkEnd w:id="8"/>
    <w:r>
      <w:t>DOCKET NO. 20170216-EI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44BF">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25" w:rsidRDefault="00CE4825" w:rsidP="00CE4825">
    <w:pPr>
      <w:pStyle w:val="OrderHeader"/>
      <w:tabs>
        <w:tab w:val="clear" w:pos="4320"/>
        <w:tab w:val="clear" w:pos="8640"/>
        <w:tab w:val="right" w:pos="9360"/>
      </w:tabs>
    </w:pPr>
    <w:r>
      <w:t xml:space="preserve">ORDER NO. </w:t>
    </w:r>
    <w:r w:rsidR="005C44BF" w:rsidRPr="005C44BF">
      <w:t>PSC-2018-0049-TRF-EI</w:t>
    </w:r>
    <w:r>
      <w:tab/>
      <w:t>Attachment A</w:t>
    </w:r>
  </w:p>
  <w:p w:rsidR="00CE4825" w:rsidRDefault="00CE4825" w:rsidP="00CE4825">
    <w:pPr>
      <w:pStyle w:val="OrderHeader"/>
      <w:tabs>
        <w:tab w:val="clear" w:pos="4320"/>
        <w:tab w:val="clear" w:pos="8640"/>
        <w:tab w:val="right" w:pos="9360"/>
      </w:tabs>
    </w:pPr>
    <w:r>
      <w:t>DOCKET NO. 20170216-EI</w:t>
    </w:r>
    <w:r>
      <w:tab/>
      <w:t xml:space="preserve">Page </w:t>
    </w:r>
    <w:r>
      <w:fldChar w:fldCharType="begin"/>
    </w:r>
    <w:r>
      <w:instrText xml:space="preserve">= </w:instrText>
    </w:r>
    <w:r>
      <w:fldChar w:fldCharType="begin"/>
    </w:r>
    <w:r>
      <w:instrText xml:space="preserve"> page </w:instrText>
    </w:r>
    <w:r>
      <w:fldChar w:fldCharType="separate"/>
    </w:r>
    <w:r w:rsidR="005C44BF">
      <w:rPr>
        <w:noProof/>
      </w:rPr>
      <w:instrText>4</w:instrText>
    </w:r>
    <w:r>
      <w:fldChar w:fldCharType="end"/>
    </w:r>
    <w:r>
      <w:instrText xml:space="preserve">-3 </w:instrText>
    </w:r>
    <w:r>
      <w:fldChar w:fldCharType="separate"/>
    </w:r>
    <w:r w:rsidR="005C44BF">
      <w:rPr>
        <w:noProof/>
      </w:rPr>
      <w:t>1</w:t>
    </w:r>
    <w:r>
      <w:fldChar w:fldCharType="end"/>
    </w:r>
    <w:r>
      <w:t xml:space="preserve"> of 12</w:t>
    </w:r>
  </w:p>
  <w:p w:rsidR="00CE4825" w:rsidRDefault="00CE48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44BF">
      <w:rPr>
        <w:rStyle w:val="PageNumber"/>
        <w:noProof/>
      </w:rPr>
      <w:t>4</w:t>
    </w:r>
    <w:r>
      <w:rPr>
        <w:rStyle w:val="PageNumber"/>
      </w:rPr>
      <w:fldChar w:fldCharType="end"/>
    </w:r>
  </w:p>
  <w:p w:rsidR="00CE4825" w:rsidRDefault="00CE4825">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25" w:rsidRDefault="00CE4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6-EI"/>
  </w:docVars>
  <w:rsids>
    <w:rsidRoot w:val="000F15CC"/>
    <w:rsid w:val="000022B8"/>
    <w:rsid w:val="00053AB9"/>
    <w:rsid w:val="00056229"/>
    <w:rsid w:val="00057AF1"/>
    <w:rsid w:val="00065FC2"/>
    <w:rsid w:val="00067685"/>
    <w:rsid w:val="00076E6B"/>
    <w:rsid w:val="0008247D"/>
    <w:rsid w:val="00090AFC"/>
    <w:rsid w:val="000B52D2"/>
    <w:rsid w:val="000D02B8"/>
    <w:rsid w:val="000D06E8"/>
    <w:rsid w:val="000E20F0"/>
    <w:rsid w:val="000E344D"/>
    <w:rsid w:val="000F15CC"/>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44BF"/>
    <w:rsid w:val="005C5033"/>
    <w:rsid w:val="005E751B"/>
    <w:rsid w:val="00610E73"/>
    <w:rsid w:val="00625C10"/>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103"/>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4825"/>
    <w:rsid w:val="00CE56FC"/>
    <w:rsid w:val="00CF4CFE"/>
    <w:rsid w:val="00D02E0F"/>
    <w:rsid w:val="00D121BF"/>
    <w:rsid w:val="00D13535"/>
    <w:rsid w:val="00D17B79"/>
    <w:rsid w:val="00D208A4"/>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DF11F2"/>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0F15CC"/>
    <w:pPr>
      <w:keepNext w:val="0"/>
    </w:pPr>
    <w:rPr>
      <w:rFonts w:ascii="Arial" w:hAnsi="Arial"/>
      <w:b/>
      <w:i/>
    </w:rPr>
  </w:style>
  <w:style w:type="character" w:customStyle="1" w:styleId="IssueSubsectionHeadingChar">
    <w:name w:val="Issue Subsection Heading Char"/>
    <w:link w:val="IssueSubsectionHeading"/>
    <w:rsid w:val="000F15CC"/>
    <w:rPr>
      <w:rFonts w:ascii="Arial" w:hAnsi="Arial" w:cs="Arial"/>
      <w:b/>
      <w:bCs/>
      <w:i/>
      <w:iCs/>
      <w:sz w:val="24"/>
      <w:szCs w:val="28"/>
    </w:rPr>
  </w:style>
  <w:style w:type="paragraph" w:customStyle="1" w:styleId="First-LevelSubheading">
    <w:name w:val="First-Level Subheading"/>
    <w:basedOn w:val="IssueSubsectionHeading"/>
    <w:next w:val="BodyText"/>
    <w:qFormat/>
    <w:rsid w:val="000F15CC"/>
    <w:pPr>
      <w:spacing w:after="0"/>
      <w:outlineLvl w:val="2"/>
    </w:pPr>
    <w:rPr>
      <w:i w:val="0"/>
    </w:rPr>
  </w:style>
  <w:style w:type="paragraph" w:styleId="BalloonText">
    <w:name w:val="Balloon Text"/>
    <w:basedOn w:val="Normal"/>
    <w:link w:val="BalloonTextChar"/>
    <w:rsid w:val="00CE4825"/>
    <w:rPr>
      <w:rFonts w:ascii="Tahoma" w:hAnsi="Tahoma" w:cs="Tahoma"/>
      <w:sz w:val="16"/>
      <w:szCs w:val="16"/>
    </w:rPr>
  </w:style>
  <w:style w:type="character" w:customStyle="1" w:styleId="BalloonTextChar">
    <w:name w:val="Balloon Text Char"/>
    <w:basedOn w:val="DefaultParagraphFont"/>
    <w:link w:val="BalloonText"/>
    <w:rsid w:val="00CE4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0F15CC"/>
    <w:pPr>
      <w:keepNext w:val="0"/>
    </w:pPr>
    <w:rPr>
      <w:rFonts w:ascii="Arial" w:hAnsi="Arial"/>
      <w:b/>
      <w:i/>
    </w:rPr>
  </w:style>
  <w:style w:type="character" w:customStyle="1" w:styleId="IssueSubsectionHeadingChar">
    <w:name w:val="Issue Subsection Heading Char"/>
    <w:link w:val="IssueSubsectionHeading"/>
    <w:rsid w:val="000F15CC"/>
    <w:rPr>
      <w:rFonts w:ascii="Arial" w:hAnsi="Arial" w:cs="Arial"/>
      <w:b/>
      <w:bCs/>
      <w:i/>
      <w:iCs/>
      <w:sz w:val="24"/>
      <w:szCs w:val="28"/>
    </w:rPr>
  </w:style>
  <w:style w:type="paragraph" w:customStyle="1" w:styleId="First-LevelSubheading">
    <w:name w:val="First-Level Subheading"/>
    <w:basedOn w:val="IssueSubsectionHeading"/>
    <w:next w:val="BodyText"/>
    <w:qFormat/>
    <w:rsid w:val="000F15CC"/>
    <w:pPr>
      <w:spacing w:after="0"/>
      <w:outlineLvl w:val="2"/>
    </w:pPr>
    <w:rPr>
      <w:i w:val="0"/>
    </w:rPr>
  </w:style>
  <w:style w:type="paragraph" w:styleId="BalloonText">
    <w:name w:val="Balloon Text"/>
    <w:basedOn w:val="Normal"/>
    <w:link w:val="BalloonTextChar"/>
    <w:rsid w:val="00CE4825"/>
    <w:rPr>
      <w:rFonts w:ascii="Tahoma" w:hAnsi="Tahoma" w:cs="Tahoma"/>
      <w:sz w:val="16"/>
      <w:szCs w:val="16"/>
    </w:rPr>
  </w:style>
  <w:style w:type="character" w:customStyle="1" w:styleId="BalloonTextChar">
    <w:name w:val="Balloon Text Char"/>
    <w:basedOn w:val="DefaultParagraphFont"/>
    <w:link w:val="BalloonText"/>
    <w:rsid w:val="00CE4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15</Pages>
  <Words>1147</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2018-01-22T14:37:00Z</dcterms:created>
  <dcterms:modified xsi:type="dcterms:W3CDTF">2018-01-22T14:50:00Z</dcterms:modified>
</cp:coreProperties>
</file>