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30BBC" w:rsidP="00F30BBC">
      <w:pPr>
        <w:pStyle w:val="OrderHeading"/>
      </w:pPr>
      <w:r>
        <w:t>BEFORE THE FLORIDA PUBLIC SERVICE COMMISSION</w:t>
      </w:r>
    </w:p>
    <w:p w:rsidR="00F30BBC" w:rsidRDefault="00F30BBC" w:rsidP="00F30BBC">
      <w:pPr>
        <w:pStyle w:val="OrderHeading"/>
      </w:pPr>
    </w:p>
    <w:p w:rsidR="00F30BBC" w:rsidRDefault="00F30BBC" w:rsidP="00F30BB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0BBC" w:rsidRPr="00C63FCF" w:rsidTr="00C63FCF">
        <w:trPr>
          <w:trHeight w:val="828"/>
        </w:trPr>
        <w:tc>
          <w:tcPr>
            <w:tcW w:w="4788" w:type="dxa"/>
            <w:tcBorders>
              <w:bottom w:val="single" w:sz="8" w:space="0" w:color="auto"/>
              <w:right w:val="double" w:sz="6" w:space="0" w:color="auto"/>
            </w:tcBorders>
            <w:shd w:val="clear" w:color="auto" w:fill="auto"/>
          </w:tcPr>
          <w:p w:rsidR="00F30BBC" w:rsidRDefault="00F30BBC" w:rsidP="00C63FCF">
            <w:pPr>
              <w:pStyle w:val="OrderBody"/>
              <w:tabs>
                <w:tab w:val="center" w:pos="4320"/>
                <w:tab w:val="right" w:pos="8640"/>
              </w:tabs>
              <w:jc w:val="left"/>
            </w:pPr>
            <w:r>
              <w:t xml:space="preserve">In re: </w:t>
            </w:r>
            <w:bookmarkStart w:id="0" w:name="SSInRe"/>
            <w:bookmarkEnd w:id="0"/>
            <w:r>
              <w:t>Petition for determination under Rule 25-6.115, F.A.C., and approval of associated revised tariff sheet 6.300, by Florida Power &amp; Light Company.</w:t>
            </w:r>
          </w:p>
        </w:tc>
        <w:tc>
          <w:tcPr>
            <w:tcW w:w="4788" w:type="dxa"/>
            <w:tcBorders>
              <w:left w:val="double" w:sz="6" w:space="0" w:color="auto"/>
            </w:tcBorders>
            <w:shd w:val="clear" w:color="auto" w:fill="auto"/>
          </w:tcPr>
          <w:p w:rsidR="00F30BBC" w:rsidRDefault="00F30BBC" w:rsidP="00F30BBC">
            <w:pPr>
              <w:pStyle w:val="OrderBody"/>
            </w:pPr>
            <w:r>
              <w:t xml:space="preserve">DOCKET NO. </w:t>
            </w:r>
            <w:bookmarkStart w:id="1" w:name="SSDocketNo"/>
            <w:bookmarkEnd w:id="1"/>
            <w:r>
              <w:t>20170148-EI</w:t>
            </w:r>
          </w:p>
          <w:p w:rsidR="00F30BBC" w:rsidRDefault="00F30BBC" w:rsidP="00C63FCF">
            <w:pPr>
              <w:pStyle w:val="OrderBody"/>
              <w:tabs>
                <w:tab w:val="center" w:pos="4320"/>
                <w:tab w:val="right" w:pos="8640"/>
              </w:tabs>
              <w:jc w:val="left"/>
            </w:pPr>
            <w:r>
              <w:t xml:space="preserve">ORDER NO. </w:t>
            </w:r>
            <w:bookmarkStart w:id="2" w:name="OrderNo0050"/>
            <w:r w:rsidR="001D08ED">
              <w:t>PSC-2018-0050-TRF-EI</w:t>
            </w:r>
            <w:bookmarkEnd w:id="2"/>
          </w:p>
          <w:p w:rsidR="00F30BBC" w:rsidRDefault="00F30BBC" w:rsidP="00C63FCF">
            <w:pPr>
              <w:pStyle w:val="OrderBody"/>
              <w:tabs>
                <w:tab w:val="center" w:pos="4320"/>
                <w:tab w:val="right" w:pos="8640"/>
              </w:tabs>
              <w:jc w:val="left"/>
            </w:pPr>
            <w:r>
              <w:t xml:space="preserve">ISSUED: </w:t>
            </w:r>
            <w:r w:rsidR="001D08ED">
              <w:t>January 22, 2018</w:t>
            </w:r>
          </w:p>
        </w:tc>
      </w:tr>
    </w:tbl>
    <w:p w:rsidR="00F30BBC" w:rsidRDefault="00F30BBC" w:rsidP="00F30BBC"/>
    <w:p w:rsidR="00F30BBC" w:rsidRDefault="00F30BBC">
      <w:pPr>
        <w:ind w:firstLine="720"/>
        <w:jc w:val="both"/>
      </w:pPr>
      <w:bookmarkStart w:id="3" w:name="Commissioners"/>
      <w:bookmarkEnd w:id="3"/>
      <w:r>
        <w:t>The following Commissioners participated in the disposition of this matter:</w:t>
      </w:r>
    </w:p>
    <w:p w:rsidR="00F30BBC" w:rsidRDefault="00F30BBC"/>
    <w:p w:rsidR="00F30BBC" w:rsidRDefault="00F30BBC">
      <w:pPr>
        <w:jc w:val="center"/>
      </w:pPr>
      <w:r>
        <w:t>JULIE I. BROWN, Chairman</w:t>
      </w:r>
    </w:p>
    <w:p w:rsidR="00F30BBC" w:rsidRDefault="00F30BBC">
      <w:pPr>
        <w:jc w:val="center"/>
      </w:pPr>
      <w:r>
        <w:t>ART GRAHAM</w:t>
      </w:r>
    </w:p>
    <w:p w:rsidR="00F30BBC" w:rsidRDefault="00F30BBC">
      <w:pPr>
        <w:jc w:val="center"/>
      </w:pPr>
      <w:r>
        <w:t>DONALD J. POLMANN</w:t>
      </w:r>
    </w:p>
    <w:p w:rsidR="00F30BBC" w:rsidRDefault="00F30BBC">
      <w:pPr>
        <w:jc w:val="center"/>
      </w:pPr>
      <w:r>
        <w:t>GARY F. CLARK</w:t>
      </w:r>
    </w:p>
    <w:p w:rsidR="00CB5276" w:rsidRDefault="00CB5276">
      <w:pPr>
        <w:pStyle w:val="OrderBody"/>
      </w:pPr>
    </w:p>
    <w:p w:rsidR="00F30BBC" w:rsidRDefault="00F30BBC" w:rsidP="00F30BBC">
      <w:pPr>
        <w:pStyle w:val="CenterUnderline"/>
      </w:pPr>
      <w:r>
        <w:t>ORDER</w:t>
      </w:r>
      <w:bookmarkStart w:id="4" w:name="OrderTitle"/>
      <w:r>
        <w:t xml:space="preserve"> APPROVING FLORIDA POWER &amp; LIGHT</w:t>
      </w:r>
    </w:p>
    <w:p w:rsidR="00F30BBC" w:rsidRDefault="00F30BBC" w:rsidP="00F30BBC">
      <w:pPr>
        <w:pStyle w:val="CenterUnderline"/>
      </w:pPr>
      <w:r>
        <w:t xml:space="preserve">COMPANY’S REVISED TARIFF SHEET NO. 6.300 </w:t>
      </w:r>
      <w:bookmarkEnd w:id="4"/>
    </w:p>
    <w:p w:rsidR="00F30BBC" w:rsidRDefault="00F30BBC" w:rsidP="00F30BBC">
      <w:pPr>
        <w:pStyle w:val="CenterUnderline"/>
      </w:pPr>
    </w:p>
    <w:p w:rsidR="00F30BBC" w:rsidRDefault="00F30BBC" w:rsidP="008F6054">
      <w:pPr>
        <w:pStyle w:val="BodyText"/>
        <w:jc w:val="both"/>
      </w:pPr>
      <w:r>
        <w:t>BY THE COMMISSION:</w:t>
      </w:r>
    </w:p>
    <w:p w:rsidR="00F30BBC" w:rsidRDefault="00F30BBC" w:rsidP="00F30BBC">
      <w:pPr>
        <w:pStyle w:val="BodyText"/>
        <w:jc w:val="both"/>
      </w:pPr>
      <w:r>
        <w:tab/>
        <w:t xml:space="preserve">On June 23, 2017, Florida Power &amp; Light Company (FPL or company) filed a Petition For Determination Under Rule 25-6.115(12) and Approval of Associated Revised Tariff Sheet 6.300.  In its petition, FPL has requested that the costs identified in Rule 25-6.115(8)(b), Florida Administrative Code (F.A.C.), be excluded from the calculation of an applicant’s underground conversion contribution-in-aid-of-construction (CIAC) in certain circumstances and that those costs be included in net plant in service.  FPL has also requested approval of the associated revised tariff Sheet No. 6.300, attached to this </w:t>
      </w:r>
      <w:r w:rsidR="008F6054">
        <w:t xml:space="preserve">Order </w:t>
      </w:r>
      <w:r>
        <w:t>as Attachment A.</w:t>
      </w:r>
    </w:p>
    <w:p w:rsidR="00F30BBC" w:rsidRDefault="00F30BBC" w:rsidP="00F30BBC">
      <w:pPr>
        <w:pStyle w:val="BodyText"/>
        <w:jc w:val="both"/>
      </w:pPr>
      <w:r>
        <w:tab/>
        <w:t>At the August 3, 2017 Agenda Conference</w:t>
      </w:r>
      <w:r w:rsidR="008F6054">
        <w:t>,</w:t>
      </w:r>
      <w:r>
        <w:t xml:space="preserve"> we suspended FPL’s proposed revisions to tariff Sheet No. 6.300 to allow our staff </w:t>
      </w:r>
      <w:r w:rsidR="008F6054">
        <w:t xml:space="preserve">time </w:t>
      </w:r>
      <w:r>
        <w:t>to gather additional data.</w:t>
      </w:r>
      <w:r>
        <w:rPr>
          <w:rStyle w:val="FootnoteReference"/>
        </w:rPr>
        <w:footnoteReference w:id="1"/>
      </w:r>
      <w:r>
        <w:t xml:space="preserve">  On August 4, 2017 and on September 6, 2017, FPL responded to Commission staff’s first and second data requests.  We have jurisdiction over this matter pursuant to Sections 366.03, 366.04, 366.05, and 366.06, Florida Statutes (F.S.).</w:t>
      </w:r>
    </w:p>
    <w:p w:rsidR="00F30BBC" w:rsidRPr="008F6054" w:rsidRDefault="008F6054" w:rsidP="008F6054">
      <w:pPr>
        <w:pStyle w:val="BodyText"/>
        <w:jc w:val="center"/>
        <w:rPr>
          <w:u w:val="single"/>
        </w:rPr>
      </w:pPr>
      <w:r w:rsidRPr="008F6054">
        <w:rPr>
          <w:u w:val="single"/>
        </w:rPr>
        <w:t>BACKGROUND</w:t>
      </w:r>
    </w:p>
    <w:p w:rsidR="00F30BBC" w:rsidRPr="008F6054" w:rsidRDefault="00F30BBC" w:rsidP="00F30BBC">
      <w:pPr>
        <w:pStyle w:val="BodyText"/>
        <w:jc w:val="both"/>
        <w:rPr>
          <w:u w:val="single"/>
        </w:rPr>
      </w:pPr>
      <w:r>
        <w:tab/>
      </w:r>
      <w:r w:rsidRPr="008F6054">
        <w:rPr>
          <w:u w:val="single"/>
        </w:rPr>
        <w:t>Current CIAC Calculation</w:t>
      </w:r>
    </w:p>
    <w:p w:rsidR="00F30BBC" w:rsidRDefault="00F30BBC" w:rsidP="00F30BBC">
      <w:pPr>
        <w:pStyle w:val="BodyText"/>
        <w:jc w:val="both"/>
      </w:pPr>
      <w:r>
        <w:tab/>
        <w:t xml:space="preserve">Rule 25-6.115, F.A.C., and FPL’s tariff Sheet No. 6.300 provide the terms under which applicants are to pay CIAC for the conversion of existing overhead distribution facilities to underground.  The CIAC is intended to cover the incremental costs FPL incurs resulting from a conversion, over and above the cost of serving the conversion area with overhead facilities. Overhead service is paid by all customers through base rates.  In lieu of overhead service, customers have the option of requesting to convert existing overhead to underground facilities. Typically, municipalities request a conversion from overhead to underground facilities.  The </w:t>
      </w:r>
      <w:r>
        <w:lastRenderedPageBreak/>
        <w:t xml:space="preserve">CIAC paid by an applicant is to ensure that the general body of ratepayers do not bear any costs associated with the conversion. </w:t>
      </w:r>
    </w:p>
    <w:p w:rsidR="00F30BBC" w:rsidRDefault="00F30BBC" w:rsidP="00F30BBC">
      <w:pPr>
        <w:pStyle w:val="BodyText"/>
        <w:jc w:val="both"/>
      </w:pPr>
      <w:r>
        <w:tab/>
        <w:t xml:space="preserve">The formula to calculate CIAC is defined in Rule 25-6.115(8), F.A.C., and in FPL’s Tariff Section 12.1 of Sheet No. 6.300.  One component of the CIAC calculation, stated in paragraph (8)(b) of the rule, requires FPL to include the estimated remaining net book value of the existing facilities to be removed less the estimated net salvage value of the facilities to be removed (existing facilities cost). </w:t>
      </w:r>
    </w:p>
    <w:p w:rsidR="00F30BBC" w:rsidRDefault="00F30BBC" w:rsidP="00F30BBC">
      <w:pPr>
        <w:pStyle w:val="BodyText"/>
        <w:jc w:val="both"/>
      </w:pPr>
      <w:r>
        <w:tab/>
        <w:t>Paragraph (12) of Rule 25-6.115, F.A.C., allows a utility to waive all or any portion of the cost for providing underground facilities.  If the utility waives any charge, the utility is required to reduce net plant in service unless th</w:t>
      </w:r>
      <w:r w:rsidR="008F6054">
        <w:t>IS</w:t>
      </w:r>
      <w:r>
        <w:t xml:space="preserve"> Commission determines that there is a quantifiable benefit to the general body of ratepayers commensurate with the waived charge.  </w:t>
      </w:r>
    </w:p>
    <w:p w:rsidR="00F30BBC" w:rsidRPr="007057B7" w:rsidRDefault="00F30BBC" w:rsidP="00F30BBC">
      <w:pPr>
        <w:pStyle w:val="BodyText"/>
        <w:jc w:val="both"/>
        <w:rPr>
          <w:u w:val="single"/>
        </w:rPr>
      </w:pPr>
      <w:r>
        <w:tab/>
      </w:r>
      <w:r w:rsidRPr="007057B7">
        <w:rPr>
          <w:u w:val="single"/>
        </w:rPr>
        <w:t>Storm Hardening Plan</w:t>
      </w:r>
    </w:p>
    <w:p w:rsidR="00F30BBC" w:rsidRDefault="00F30BBC" w:rsidP="00F30BBC">
      <w:pPr>
        <w:pStyle w:val="BodyText"/>
        <w:jc w:val="both"/>
      </w:pPr>
      <w:r>
        <w:tab/>
      </w:r>
      <w:r w:rsidRPr="00570373">
        <w:t>Rule 25-6.0342, F.A.C., requires each investor-owned utility to file</w:t>
      </w:r>
      <w:r>
        <w:t xml:space="preserve"> </w:t>
      </w:r>
      <w:r w:rsidRPr="00570373">
        <w:t>a</w:t>
      </w:r>
      <w:r>
        <w:t xml:space="preserve"> </w:t>
      </w:r>
      <w:r w:rsidRPr="00570373">
        <w:t xml:space="preserve">comprehensive storm hardening plan </w:t>
      </w:r>
      <w:r>
        <w:rPr>
          <w:rFonts w:ascii="TimesNewRoman" w:hAnsi="TimesNewRoman" w:cs="TimesNewRoman"/>
        </w:rPr>
        <w:t>at least every three years</w:t>
      </w:r>
      <w:r w:rsidRPr="00570373">
        <w:t>, for</w:t>
      </w:r>
      <w:r>
        <w:t xml:space="preserve"> </w:t>
      </w:r>
      <w:r w:rsidR="008F6054">
        <w:t xml:space="preserve">our </w:t>
      </w:r>
      <w:r>
        <w:t>review and approval</w:t>
      </w:r>
      <w:r>
        <w:rPr>
          <w:rFonts w:ascii="TimesNewRoman" w:hAnsi="TimesNewRoman" w:cs="TimesNewRoman"/>
        </w:rPr>
        <w:t>.  As discussed in FPL’s 2016-2018 Storm Hardening Plan,</w:t>
      </w:r>
      <w:r>
        <w:rPr>
          <w:rStyle w:val="FootnoteReference"/>
          <w:rFonts w:ascii="TimesNewRoman" w:hAnsi="TimesNewRoman" w:cs="TimesNewRoman"/>
        </w:rPr>
        <w:footnoteReference w:id="2"/>
      </w:r>
      <w:r>
        <w:rPr>
          <w:rFonts w:ascii="TimesNewRoman" w:hAnsi="TimesNewRoman" w:cs="TimesNewRoman"/>
        </w:rPr>
        <w:t xml:space="preserve"> </w:t>
      </w:r>
      <w:r>
        <w:t xml:space="preserve">FPL is currently projecting that it will complete the storm hardening of its remaining overhead distribution feeders by end of year 2022. FPL’s 2016-2018 Storm Hardening Plan was approved by </w:t>
      </w:r>
      <w:r w:rsidR="008F6054">
        <w:t>this</w:t>
      </w:r>
      <w:r>
        <w:t xml:space="preserve"> Commission as part of FPL’s 2016 rate case settlement and stipulation.</w:t>
      </w:r>
      <w:r>
        <w:rPr>
          <w:rStyle w:val="FootnoteReference"/>
        </w:rPr>
        <w:footnoteReference w:id="3"/>
      </w:r>
      <w:r>
        <w:t xml:space="preserve">  Under FPL’s storm hardening plan, existing, non-hardened overhead facilities will be removed and replaced with hardened overhead facilities. FPL’s next storm hardening plan is expected to be filed in 2019.  </w:t>
      </w:r>
    </w:p>
    <w:p w:rsidR="00F30BBC" w:rsidRPr="007057B7" w:rsidRDefault="00F30BBC" w:rsidP="00F30BBC">
      <w:pPr>
        <w:pStyle w:val="BodyText"/>
        <w:jc w:val="both"/>
        <w:rPr>
          <w:u w:val="single"/>
        </w:rPr>
      </w:pPr>
      <w:r>
        <w:tab/>
      </w:r>
      <w:r w:rsidRPr="007057B7">
        <w:rPr>
          <w:u w:val="single"/>
        </w:rPr>
        <w:t>FPL’s Proposal</w:t>
      </w:r>
    </w:p>
    <w:p w:rsidR="00F30BBC" w:rsidRDefault="00F30BBC" w:rsidP="00F30BBC">
      <w:pPr>
        <w:pStyle w:val="BodyText"/>
        <w:jc w:val="both"/>
      </w:pPr>
      <w:r>
        <w:tab/>
        <w:t>FPl currently has several municipalities that are considering or are moving forward with plans to convert existing non-hardened overhead facilities to underground facilities.  These existing non-hardened overhead facilities, however, will be removed over the next five to six years consistent with FPL’s storm hardening plan discussed above.  Therefore, prospective applicants wishing to convert non-hardened overhead facilities to underground within the near future would pay CIAC that covers the cost of removing facilities that are already expected to be removed under FPL’s storm hardening plan.</w:t>
      </w:r>
      <w:r w:rsidRPr="008A6B65">
        <w:t xml:space="preserve"> </w:t>
      </w:r>
      <w:r>
        <w:t xml:space="preserve"> FPL’s storm hardening costs are recovered from the general body of ratepayers through base rates. </w:t>
      </w:r>
    </w:p>
    <w:p w:rsidR="00F30BBC" w:rsidRDefault="00F30BBC" w:rsidP="00F30BBC">
      <w:pPr>
        <w:pStyle w:val="BodyText"/>
        <w:jc w:val="both"/>
      </w:pPr>
      <w:r>
        <w:tab/>
        <w:t>Therefore, FPL requests that it be allowed to exclude the cost of the existing facilities from the CIAC calculation for underground conversions of existing non-hardened overhead facilities.  As shown in Attachment A to th</w:t>
      </w:r>
      <w:r w:rsidR="008F6054">
        <w:t>is Order</w:t>
      </w:r>
      <w:r>
        <w:t>, FPL’s p</w:t>
      </w:r>
      <w:r w:rsidRPr="00467C49">
        <w:t xml:space="preserve">roposed </w:t>
      </w:r>
      <w:r>
        <w:t>r</w:t>
      </w:r>
      <w:r w:rsidRPr="00467C49">
        <w:t xml:space="preserve">evisions to </w:t>
      </w:r>
      <w:r>
        <w:t>t</w:t>
      </w:r>
      <w:r w:rsidRPr="00467C49">
        <w:t xml:space="preserve">ariff </w:t>
      </w:r>
      <w:r>
        <w:t xml:space="preserve">Sheet No. </w:t>
      </w:r>
      <w:r w:rsidRPr="00467C49">
        <w:t>6.300</w:t>
      </w:r>
      <w:r>
        <w:t xml:space="preserve"> contemplate that elements 2, 3, and 5 of the CIAC formula be excluded from the CIAC calculation for an applicant that intends to convert non-hardened overhead facilities to underground.  Specifically, the elements to be excluded are: 2) the estimated cost to remove the existing overhead facilities, 3) the net book value of the existing overhead facilities, and 5) the estimated salvage value of the existing overhead facilities to be removed.</w:t>
      </w:r>
    </w:p>
    <w:p w:rsidR="00F30BBC" w:rsidRDefault="00F30BBC" w:rsidP="00F30BBC">
      <w:pPr>
        <w:pStyle w:val="BodyText"/>
        <w:jc w:val="both"/>
      </w:pPr>
      <w:r>
        <w:lastRenderedPageBreak/>
        <w:tab/>
        <w:t>In addition, FPL requests that th</w:t>
      </w:r>
      <w:r w:rsidR="008F6054">
        <w:t>is</w:t>
      </w:r>
      <w:r>
        <w:t xml:space="preserve"> Commission determine that there are quantifiable benefits to the general body of ratepayers from the exclusion of the existing non-storm hardened facilities cost from the CIAC calculation for the underground conversions.  This determination would allow FPL</w:t>
      </w:r>
      <w:r w:rsidR="008F6054">
        <w:t>,</w:t>
      </w:r>
      <w:r>
        <w:t xml:space="preserve"> pursuant to Rule 25-6.115(12), F.A.C., to treat these existing facilities costs as net plant in service costs that can be recovered from all customers, just as they would if FPL implemented overhead hardening of the subject feeder facilities. </w:t>
      </w:r>
    </w:p>
    <w:p w:rsidR="00F30BBC" w:rsidRDefault="00F30BBC" w:rsidP="00F30BBC">
      <w:pPr>
        <w:pStyle w:val="BodyText"/>
        <w:jc w:val="both"/>
      </w:pPr>
      <w:r>
        <w:tab/>
        <w:t xml:space="preserve">FPL’s response to </w:t>
      </w:r>
      <w:r w:rsidR="008F6054">
        <w:t xml:space="preserve">Commission </w:t>
      </w:r>
      <w:r>
        <w:t xml:space="preserve">staff’s first data request states that the municipalities of Palm Beach, Longboat Key, Palm Beach Shores, Key Biscayne, Sunny Isles Beach, and Fort Lauderdale are currently in discussion with FPL regarding potential overhead to underground conversion projects.  FPL estimated that under the current CIAC formula, these six municipalities would pay a total CIAC amount of approximately $64.6 million.  Under FPL’s proposed CIAC calculation that excludes the existing facilities cost, the estimated CIAC amount would be $50.4 million, for a total CIAC difference of $14.2 million. </w:t>
      </w:r>
    </w:p>
    <w:p w:rsidR="00F30BBC" w:rsidRDefault="00F30BBC" w:rsidP="00F30BBC">
      <w:pPr>
        <w:pStyle w:val="BodyText"/>
        <w:jc w:val="both"/>
      </w:pPr>
      <w:r>
        <w:tab/>
        <w:t>FPL listed in its petition four benefits of excluding the existing facilities cost from the calculation of CIAC for underground conversions of the existing non-hardened overhead facilities, that otherwise would be subject to hardening.  First, FPL asserts that such underground conversions will not result in additional costs for the general body of ratepayers because the existing facilities cost would be borne by the general body of ratepayers as a result of FPL’s storm hardening activities.  Second, FPL asserts that underground distribution facilities tend to be even more storm resilient than hardened overhead facilities.  Thus the underground conversion will reduce the need for storm restoration work in the converted area and make restoration crew resources available to help more quickly in other parts of FPL’s service territory.  Third, FPL states that reliability will improve, as underground facilities have historically provided better reliability than overhead facilities.  Finally, the company asserts that excluding the existing facilities cost from the CIAC calculation will reduce the cost of conversion, thereby incentivizing such conversions.</w:t>
      </w:r>
    </w:p>
    <w:p w:rsidR="00F30BBC" w:rsidRPr="00D13A00" w:rsidRDefault="00F30BBC" w:rsidP="00F30BBC">
      <w:pPr>
        <w:pStyle w:val="BodyText"/>
        <w:jc w:val="center"/>
      </w:pPr>
      <w:r w:rsidRPr="00D13A00">
        <w:rPr>
          <w:u w:val="single"/>
        </w:rPr>
        <w:t>DECISION</w:t>
      </w:r>
    </w:p>
    <w:p w:rsidR="00F30BBC" w:rsidRDefault="00F30BBC" w:rsidP="00F30BBC">
      <w:pPr>
        <w:pStyle w:val="BodyText"/>
        <w:jc w:val="both"/>
      </w:pPr>
      <w:r>
        <w:tab/>
        <w:t>We agree with FPL that as a result of its approved storm hardening plan for the remaining distribution feeders, the existing non-hardened facilities cost would have been incurred and borne by the general body of ratepayers under FPL’s current base rates as approved in FPL’s 2016 rate case settlement.</w:t>
      </w:r>
      <w:r>
        <w:rPr>
          <w:rStyle w:val="FootnoteReference"/>
        </w:rPr>
        <w:footnoteReference w:id="4"/>
      </w:r>
      <w:r>
        <w:t xml:space="preserve">  The term of the rate case settlement is January 1, 2017 through December 31, 2020.</w:t>
      </w:r>
    </w:p>
    <w:p w:rsidR="00F30BBC" w:rsidRPr="00AA4941" w:rsidRDefault="00F30BBC" w:rsidP="00F30BBC">
      <w:pPr>
        <w:pStyle w:val="BodyText"/>
        <w:jc w:val="both"/>
      </w:pPr>
      <w:r>
        <w:tab/>
      </w:r>
      <w:r w:rsidRPr="00AA4941">
        <w:t xml:space="preserve">FPL asserts that underground facilities tend to be more storm resilient and provide better overall day-to-day reliability when compared to overhead faculties. </w:t>
      </w:r>
      <w:r>
        <w:t xml:space="preserve"> </w:t>
      </w:r>
      <w:r w:rsidRPr="00AA4941">
        <w:t>In response to a staff data request, FPL explained that in 2016</w:t>
      </w:r>
      <w:r>
        <w:t>,</w:t>
      </w:r>
      <w:r w:rsidRPr="00AA4941">
        <w:t xml:space="preserve"> during Hurricane Matthew, only 2.2 percent of FPL’s underground facilities experienced outages, while 9.4 percent of hardened overhead facilities experienced outages and 13.8 percent of non-hardened overhead facilities experienced outages.</w:t>
      </w:r>
      <w:r w:rsidRPr="00A55895">
        <w:rPr>
          <w:rStyle w:val="FootnoteReference"/>
        </w:rPr>
        <w:footnoteReference w:id="5"/>
      </w:r>
      <w:r w:rsidRPr="00AA4941">
        <w:t xml:space="preserve"> FPL also provided reliability data for the five reliability indices for the regions</w:t>
      </w:r>
      <w:r>
        <w:t>/management areas</w:t>
      </w:r>
      <w:r w:rsidRPr="00AA4941">
        <w:t xml:space="preserve"> that had overhead to underground conversion projects. </w:t>
      </w:r>
      <w:r>
        <w:t xml:space="preserve"> </w:t>
      </w:r>
      <w:r w:rsidRPr="00AA4941">
        <w:t xml:space="preserve">The data provided by FPL supports </w:t>
      </w:r>
      <w:r w:rsidRPr="00AA4941">
        <w:lastRenderedPageBreak/>
        <w:t>the company’s assertion that day-to-day reliability improves with underground facilities.</w:t>
      </w:r>
      <w:r w:rsidRPr="00A55895">
        <w:rPr>
          <w:rStyle w:val="FootnoteReference"/>
        </w:rPr>
        <w:footnoteReference w:id="6"/>
      </w:r>
      <w:r w:rsidRPr="00AA4941">
        <w:t xml:space="preserve"> However, FPL also acknowledged that locating the cause/failure of an overhead outage and the repair/replacement of overhead facilities is generally less difficult and less time consuming than it is for underground.</w:t>
      </w:r>
      <w:r>
        <w:t xml:space="preserve">  T</w:t>
      </w:r>
      <w:r w:rsidRPr="00AA4941">
        <w:t xml:space="preserve">herefore, in some instances, the duration of an outage may be longer as a result of underground facilities. </w:t>
      </w:r>
    </w:p>
    <w:p w:rsidR="00F30BBC" w:rsidRDefault="00F30BBC" w:rsidP="00F30BBC">
      <w:pPr>
        <w:pStyle w:val="BodyText"/>
        <w:jc w:val="both"/>
      </w:pPr>
      <w:r>
        <w:tab/>
        <w:t xml:space="preserve">We have previously recognized the benefits of undergrounding.  In 2007, we amended Rule 25-6.115, F.A.C., to include in the CIAC calculation the cost of maintenance and storm restoration activities over time to capture the longer-term costs and benefits of undergrounding. Prior to this rule amendment, the CIAC was based on estimated work order cost only. </w:t>
      </w:r>
    </w:p>
    <w:p w:rsidR="00F30BBC" w:rsidRPr="00AA4941" w:rsidRDefault="00F30BBC" w:rsidP="00F30BBC">
      <w:pPr>
        <w:pStyle w:val="BodyText"/>
        <w:jc w:val="both"/>
      </w:pPr>
      <w:r>
        <w:tab/>
        <w:t>Furthermore, we have approved a Governmental Adjustment Factor (GAF) tariff that allows local governments a 25 percent credit against the otherwise applicable CIAC for projects which convert overhead facilities to underground.  The 25 percent reduction in CIAC is based on expected savings in storm restoration costs when large contiguous areas are converted from overhead to underground and is designed to encourage the installation of underground facilities by reducing the CIAC the customer is required to pay FPL.  We approved the GAF tariff as a pilot in May 2007 and it became a permanent tariff in April 2010.</w:t>
      </w:r>
      <w:r>
        <w:rPr>
          <w:rStyle w:val="FootnoteReference"/>
        </w:rPr>
        <w:footnoteReference w:id="7"/>
      </w:r>
      <w:r>
        <w:t xml:space="preserve">  The six municipalities that are currently in discussion with FPL regarding a conversion project all qualify for the GAF Waiver of 25 percent and the GAF waiver amounts have been reflected in the provided estimated CIAC amounts.</w:t>
      </w:r>
    </w:p>
    <w:p w:rsidR="00F30BBC" w:rsidRDefault="00F30BBC" w:rsidP="00F30BBC">
      <w:pPr>
        <w:pStyle w:val="BodyText"/>
        <w:jc w:val="both"/>
      </w:pPr>
      <w:r>
        <w:tab/>
        <w:t xml:space="preserve">For the reasons stated above we hereby approve FPL’s proposed revision to tariff Sheet No. 6.300 as stated in  Attachment A, and FPL’s request to include the waived existing facilities cost in net plant in service. We also hereby require FPL to inform future potential underground conversion customers of the availability of additional credits.  FPL has already informed the municipalities currently considering conversion projects of this possibility. </w:t>
      </w:r>
    </w:p>
    <w:p w:rsidR="00F30BBC" w:rsidRDefault="00F30BBC" w:rsidP="00F30BBC">
      <w:pPr>
        <w:jc w:val="both"/>
      </w:pPr>
      <w:r>
        <w:tab/>
      </w:r>
      <w:r w:rsidR="008F6054">
        <w:t>Based on the foregoing</w:t>
      </w:r>
      <w:r>
        <w:t>, it is</w:t>
      </w:r>
    </w:p>
    <w:p w:rsidR="00F30BBC" w:rsidRDefault="00F30BBC" w:rsidP="00F30BBC">
      <w:pPr>
        <w:jc w:val="both"/>
      </w:pPr>
      <w:r>
        <w:tab/>
      </w:r>
    </w:p>
    <w:p w:rsidR="00F30BBC" w:rsidRDefault="00F30BBC" w:rsidP="00F30BBC">
      <w:pPr>
        <w:jc w:val="both"/>
      </w:pPr>
      <w:r>
        <w:tab/>
        <w:t>ORDERED by the Florida Public Service Commission that Florida Power &amp; Light Company’s Petition for Determination Under Rule 25-6.115, F.A.C., and Approval of Associated Revised Tariff Sheet 6.300 is hereby approved.  It is further</w:t>
      </w:r>
    </w:p>
    <w:p w:rsidR="00F30BBC" w:rsidRDefault="00F30BBC" w:rsidP="00F30BBC">
      <w:pPr>
        <w:jc w:val="both"/>
      </w:pPr>
    </w:p>
    <w:p w:rsidR="00F30BBC" w:rsidRDefault="00F30BBC" w:rsidP="00F30BBC">
      <w:pPr>
        <w:jc w:val="both"/>
      </w:pPr>
      <w:r>
        <w:tab/>
        <w:t>ORDERED that if a protest is filed within 21 days of the issuance of this order, Revised Tariff Sheet 6.300, as stated on Attachment A, shall not go into effect pending resolution of the protest.  If no timely protest is filed, this docket shall be closed and Revised Tariff Sheet 6.300, as stated on Attachment A, shall become effective upon the issuance of a consummating order.</w:t>
      </w:r>
    </w:p>
    <w:p w:rsidR="00F30BBC" w:rsidRDefault="00F30BBC" w:rsidP="00F30BBC">
      <w:pPr>
        <w:pStyle w:val="OrderBody"/>
      </w:pPr>
      <w:r>
        <w:t xml:space="preserve"> </w:t>
      </w:r>
    </w:p>
    <w:p w:rsidR="00F30BBC" w:rsidRDefault="00F30BBC" w:rsidP="00F30BBC">
      <w:pPr>
        <w:pStyle w:val="OrderBody"/>
        <w:keepNext/>
        <w:keepLines/>
      </w:pPr>
      <w:r>
        <w:br w:type="page"/>
      </w:r>
      <w:r>
        <w:lastRenderedPageBreak/>
        <w:tab/>
        <w:t xml:space="preserve">By ORDER of the Florida Public Service Commission this </w:t>
      </w:r>
      <w:bookmarkStart w:id="5" w:name="replaceDate"/>
      <w:bookmarkEnd w:id="5"/>
      <w:r w:rsidR="001D08ED">
        <w:rPr>
          <w:u w:val="single"/>
        </w:rPr>
        <w:t>22nd</w:t>
      </w:r>
      <w:r w:rsidR="001D08ED">
        <w:t xml:space="preserve"> day of </w:t>
      </w:r>
      <w:r w:rsidR="001D08ED">
        <w:rPr>
          <w:u w:val="single"/>
        </w:rPr>
        <w:t>January</w:t>
      </w:r>
      <w:r w:rsidR="001D08ED">
        <w:t xml:space="preserve">, </w:t>
      </w:r>
      <w:r w:rsidR="001D08ED">
        <w:rPr>
          <w:u w:val="single"/>
        </w:rPr>
        <w:t>2018</w:t>
      </w:r>
      <w:r w:rsidR="001D08ED">
        <w:t>.</w:t>
      </w:r>
    </w:p>
    <w:p w:rsidR="001D08ED" w:rsidRPr="001D08ED" w:rsidRDefault="001D08ED" w:rsidP="00F30BBC">
      <w:pPr>
        <w:pStyle w:val="OrderBody"/>
        <w:keepNext/>
        <w:keepLines/>
      </w:pPr>
    </w:p>
    <w:p w:rsidR="00F30BBC" w:rsidRDefault="00F30BBC" w:rsidP="00F30BB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30BBC" w:rsidTr="00F30BBC">
        <w:tc>
          <w:tcPr>
            <w:tcW w:w="720" w:type="dxa"/>
            <w:shd w:val="clear" w:color="auto" w:fill="auto"/>
          </w:tcPr>
          <w:p w:rsidR="00F30BBC" w:rsidRDefault="00F30BBC" w:rsidP="00F30BBC">
            <w:pPr>
              <w:pStyle w:val="OrderBody"/>
              <w:keepNext/>
              <w:keepLines/>
            </w:pPr>
            <w:bookmarkStart w:id="6" w:name="bkmrkSignature" w:colFirst="0" w:colLast="0"/>
          </w:p>
        </w:tc>
        <w:tc>
          <w:tcPr>
            <w:tcW w:w="4320" w:type="dxa"/>
            <w:tcBorders>
              <w:bottom w:val="single" w:sz="4" w:space="0" w:color="auto"/>
            </w:tcBorders>
            <w:shd w:val="clear" w:color="auto" w:fill="auto"/>
          </w:tcPr>
          <w:p w:rsidR="00F30BBC" w:rsidRDefault="00D72C05" w:rsidP="00F30BBC">
            <w:pPr>
              <w:pStyle w:val="OrderBody"/>
              <w:keepNext/>
              <w:keepLines/>
            </w:pPr>
            <w:r w:rsidRPr="00D72C05">
              <w:t>/s/ Hong Wang</w:t>
            </w:r>
            <w:bookmarkStart w:id="7" w:name="_GoBack"/>
            <w:bookmarkEnd w:id="7"/>
          </w:p>
        </w:tc>
      </w:tr>
      <w:bookmarkEnd w:id="6"/>
      <w:tr w:rsidR="00F30BBC" w:rsidTr="00F30BBC">
        <w:tc>
          <w:tcPr>
            <w:tcW w:w="720" w:type="dxa"/>
            <w:shd w:val="clear" w:color="auto" w:fill="auto"/>
          </w:tcPr>
          <w:p w:rsidR="00F30BBC" w:rsidRDefault="00F30BBC" w:rsidP="00F30BBC">
            <w:pPr>
              <w:pStyle w:val="OrderBody"/>
              <w:keepNext/>
              <w:keepLines/>
            </w:pPr>
          </w:p>
        </w:tc>
        <w:tc>
          <w:tcPr>
            <w:tcW w:w="4320" w:type="dxa"/>
            <w:tcBorders>
              <w:top w:val="single" w:sz="4" w:space="0" w:color="auto"/>
            </w:tcBorders>
            <w:shd w:val="clear" w:color="auto" w:fill="auto"/>
          </w:tcPr>
          <w:p w:rsidR="001D08ED" w:rsidRDefault="001D08ED" w:rsidP="00F30BBC">
            <w:pPr>
              <w:pStyle w:val="OrderBody"/>
              <w:keepNext/>
              <w:keepLines/>
            </w:pPr>
            <w:r>
              <w:t>HONG WANG</w:t>
            </w:r>
          </w:p>
          <w:p w:rsidR="00F30BBC" w:rsidRDefault="001D08ED" w:rsidP="00F30BBC">
            <w:pPr>
              <w:pStyle w:val="OrderBody"/>
              <w:keepNext/>
              <w:keepLines/>
            </w:pPr>
            <w:r>
              <w:t>Chief Deputy Commission Clerk</w:t>
            </w:r>
          </w:p>
        </w:tc>
      </w:tr>
    </w:tbl>
    <w:p w:rsidR="00F30BBC" w:rsidRDefault="00F30BBC" w:rsidP="00F30BBC">
      <w:pPr>
        <w:pStyle w:val="OrderSigInfo"/>
        <w:keepNext/>
        <w:keepLines/>
      </w:pPr>
      <w:r>
        <w:t>Florida Public Service Commission</w:t>
      </w:r>
    </w:p>
    <w:p w:rsidR="00F30BBC" w:rsidRDefault="00F30BBC" w:rsidP="00F30BBC">
      <w:pPr>
        <w:pStyle w:val="OrderSigInfo"/>
        <w:keepNext/>
        <w:keepLines/>
      </w:pPr>
      <w:r>
        <w:t>2540 Shumard Oak Boulevard</w:t>
      </w:r>
    </w:p>
    <w:p w:rsidR="00F30BBC" w:rsidRDefault="00F30BBC" w:rsidP="00F30BBC">
      <w:pPr>
        <w:pStyle w:val="OrderSigInfo"/>
        <w:keepNext/>
        <w:keepLines/>
      </w:pPr>
      <w:r>
        <w:t>Tallahassee, Florida  32399</w:t>
      </w:r>
    </w:p>
    <w:p w:rsidR="00F30BBC" w:rsidRDefault="00F30BBC" w:rsidP="00F30BBC">
      <w:pPr>
        <w:pStyle w:val="OrderSigInfo"/>
        <w:keepNext/>
        <w:keepLines/>
      </w:pPr>
      <w:r>
        <w:t>(850) 413</w:t>
      </w:r>
      <w:r>
        <w:noBreakHyphen/>
        <w:t>6770</w:t>
      </w:r>
    </w:p>
    <w:p w:rsidR="00F30BBC" w:rsidRDefault="00F30BBC" w:rsidP="00F30BBC">
      <w:pPr>
        <w:pStyle w:val="OrderSigInfo"/>
        <w:keepNext/>
        <w:keepLines/>
      </w:pPr>
      <w:r>
        <w:t>www.floridapsc.com</w:t>
      </w:r>
    </w:p>
    <w:p w:rsidR="00F30BBC" w:rsidRDefault="00F30BBC" w:rsidP="00F30BBC">
      <w:pPr>
        <w:pStyle w:val="OrderSigInfo"/>
        <w:keepNext/>
        <w:keepLines/>
      </w:pPr>
    </w:p>
    <w:p w:rsidR="00F30BBC" w:rsidRDefault="00F30BBC" w:rsidP="00F30BBC">
      <w:pPr>
        <w:pStyle w:val="OrderSigInfo"/>
        <w:keepNext/>
        <w:keepLines/>
      </w:pPr>
      <w:r>
        <w:t>Copies furnished:  A copy of this document is provided to the parties of record at the time of issuance and, if applicable, interested persons.</w:t>
      </w:r>
    </w:p>
    <w:p w:rsidR="00F30BBC" w:rsidRDefault="00F30BBC" w:rsidP="00F30BBC">
      <w:pPr>
        <w:pStyle w:val="OrderBody"/>
        <w:keepNext/>
        <w:keepLines/>
      </w:pPr>
      <w:r>
        <w:t xml:space="preserve">   </w:t>
      </w:r>
    </w:p>
    <w:p w:rsidR="00F30BBC" w:rsidRDefault="00F30BBC" w:rsidP="00F30BBC">
      <w:pPr>
        <w:pStyle w:val="OrderBody"/>
        <w:keepNext/>
        <w:keepLines/>
      </w:pPr>
      <w:r>
        <w:t>SBr</w:t>
      </w:r>
    </w:p>
    <w:p w:rsidR="00F30BBC" w:rsidRDefault="00F30BBC" w:rsidP="00F30BBC">
      <w:pPr>
        <w:pStyle w:val="OrderBody"/>
        <w:keepNext/>
        <w:keepLines/>
      </w:pPr>
    </w:p>
    <w:p w:rsidR="00F30BBC" w:rsidRDefault="00F30BBC" w:rsidP="00F30BBC">
      <w:pPr>
        <w:pStyle w:val="CenterUnderline"/>
      </w:pPr>
      <w:r>
        <w:t>NOTICE OF FURTHER PROCEEDINGS</w:t>
      </w:r>
    </w:p>
    <w:p w:rsidR="00F30BBC" w:rsidRDefault="00F30BBC" w:rsidP="00F30BBC">
      <w:pPr>
        <w:pStyle w:val="CenterUnderline"/>
      </w:pPr>
    </w:p>
    <w:p w:rsidR="00F30BBC" w:rsidRDefault="00F30BBC" w:rsidP="00F30BB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0BBC" w:rsidRDefault="00F30BBC" w:rsidP="00F30BBC">
      <w:pPr>
        <w:pStyle w:val="OrderBody"/>
      </w:pPr>
    </w:p>
    <w:p w:rsidR="00F30BBC" w:rsidRDefault="00F30BBC" w:rsidP="00F30BBC">
      <w:pPr>
        <w:pStyle w:val="OrderBody"/>
      </w:pPr>
      <w:r>
        <w:tab/>
        <w:t>Mediation may be available on a case-by-case basis.  If mediation is conducted, it does not affect a substantially interested person's right to a hearing.</w:t>
      </w:r>
    </w:p>
    <w:p w:rsidR="00F30BBC" w:rsidRDefault="00F30BBC" w:rsidP="00F30BBC">
      <w:pPr>
        <w:pStyle w:val="OrderBody"/>
      </w:pPr>
    </w:p>
    <w:p w:rsidR="00F30BBC" w:rsidRDefault="00F30BBC" w:rsidP="00F30BBC">
      <w:pPr>
        <w:pStyle w:val="OrderBody"/>
      </w:pPr>
      <w:r>
        <w:tab/>
        <w:t xml:space="preserve">The Commission's decision on this tariff is interim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Tallahassee, Florida 32399-0850, by the close of business on </w:t>
      </w:r>
      <w:r w:rsidR="001D08ED">
        <w:rPr>
          <w:u w:val="single"/>
        </w:rPr>
        <w:t>February 12, 2018</w:t>
      </w:r>
      <w:r>
        <w:t xml:space="preserve">. </w:t>
      </w:r>
    </w:p>
    <w:p w:rsidR="00F30BBC" w:rsidRDefault="00F30BBC" w:rsidP="00F30BBC">
      <w:pPr>
        <w:pStyle w:val="OrderBody"/>
      </w:pPr>
    </w:p>
    <w:p w:rsidR="00F30BBC" w:rsidRDefault="00F30BBC" w:rsidP="00F30BBC">
      <w:pPr>
        <w:pStyle w:val="OrderBody"/>
      </w:pPr>
      <w:r>
        <w:tab/>
        <w:t>In the absence of such a petition, this Order shall become final and effective upon the issuance of a Consummating Order.</w:t>
      </w:r>
    </w:p>
    <w:p w:rsidR="00F30BBC" w:rsidRDefault="00F30BBC" w:rsidP="00F30BBC">
      <w:pPr>
        <w:pStyle w:val="OrderBody"/>
      </w:pPr>
    </w:p>
    <w:p w:rsidR="00F30BBC" w:rsidRDefault="00F30BBC" w:rsidP="00F30BBC">
      <w:pPr>
        <w:pStyle w:val="OrderBody"/>
      </w:pPr>
      <w:r>
        <w:tab/>
        <w:t>Any objection or protest filed in this docket before the issuance date of this order is considered abandoned unless it satisfies the foregoing conditions and is renewed within the specified protest period.</w:t>
      </w:r>
    </w:p>
    <w:p w:rsidR="00F30BBC" w:rsidRDefault="00F30BBC" w:rsidP="00F30BBC">
      <w:pPr>
        <w:pStyle w:val="OrderBody"/>
      </w:pPr>
    </w:p>
    <w:p w:rsidR="00F30BBC" w:rsidRDefault="00F30BBC" w:rsidP="00F30BBC">
      <w:pPr>
        <w:pStyle w:val="OrderBody"/>
      </w:pPr>
    </w:p>
    <w:p w:rsidR="00F30BBC" w:rsidRDefault="00F30BBC" w:rsidP="00F30BBC">
      <w:pPr>
        <w:pStyle w:val="OrderBody"/>
        <w:sectPr w:rsidR="00F30BBC">
          <w:headerReference w:type="default" r:id="rId8"/>
          <w:footerReference w:type="first" r:id="rId9"/>
          <w:pgSz w:w="12240" w:h="15840" w:code="1"/>
          <w:pgMar w:top="1440" w:right="1440" w:bottom="1440" w:left="1440" w:header="720" w:footer="720" w:gutter="0"/>
          <w:cols w:space="720"/>
          <w:titlePg/>
          <w:docGrid w:linePitch="360"/>
        </w:sectPr>
      </w:pPr>
    </w:p>
    <w:p w:rsidR="002C0AAE" w:rsidRDefault="002C0AAE" w:rsidP="00F30BBC">
      <w:pPr>
        <w:spacing w:before="69"/>
        <w:ind w:right="159"/>
        <w:jc w:val="right"/>
        <w:rPr>
          <w:b/>
          <w:bCs/>
          <w:strike/>
          <w:color w:val="FF0000"/>
          <w:spacing w:val="1"/>
          <w:sz w:val="20"/>
          <w:szCs w:val="20"/>
        </w:rPr>
      </w:pPr>
      <w:r>
        <w:rPr>
          <w:noProof/>
        </w:rPr>
        <w:lastRenderedPageBreak/>
        <mc:AlternateContent>
          <mc:Choice Requires="wpg">
            <w:drawing>
              <wp:anchor distT="0" distB="0" distL="114300" distR="114300" simplePos="0" relativeHeight="251659264" behindDoc="1" locked="0" layoutInCell="1" allowOverlap="1" wp14:anchorId="56A5467B" wp14:editId="1D8DCE21">
                <wp:simplePos x="0" y="0"/>
                <wp:positionH relativeFrom="page">
                  <wp:posOffset>609600</wp:posOffset>
                </wp:positionH>
                <wp:positionV relativeFrom="page">
                  <wp:posOffset>1133475</wp:posOffset>
                </wp:positionV>
                <wp:extent cx="6935470" cy="8092060"/>
                <wp:effectExtent l="0" t="0" r="0" b="44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5470" cy="8092060"/>
                          <a:chOff x="917" y="1369"/>
                          <a:chExt cx="10922" cy="13540"/>
                        </a:xfrm>
                      </wpg:grpSpPr>
                      <wpg:grpSp>
                        <wpg:cNvPr id="2" name="Group 3"/>
                        <wpg:cNvGrpSpPr>
                          <a:grpSpLocks/>
                        </wpg:cNvGrpSpPr>
                        <wpg:grpSpPr bwMode="auto">
                          <a:xfrm>
                            <a:off x="962" y="1415"/>
                            <a:ext cx="10831" cy="2"/>
                            <a:chOff x="962" y="1415"/>
                            <a:chExt cx="10831" cy="2"/>
                          </a:xfrm>
                        </wpg:grpSpPr>
                        <wps:wsp>
                          <wps:cNvPr id="3" name="Freeform 4"/>
                          <wps:cNvSpPr>
                            <a:spLocks/>
                          </wps:cNvSpPr>
                          <wps:spPr bwMode="auto">
                            <a:xfrm>
                              <a:off x="962" y="1415"/>
                              <a:ext cx="10831" cy="2"/>
                            </a:xfrm>
                            <a:custGeom>
                              <a:avLst/>
                              <a:gdLst>
                                <a:gd name="T0" fmla="+- 0 962 962"/>
                                <a:gd name="T1" fmla="*/ T0 w 10831"/>
                                <a:gd name="T2" fmla="+- 0 11794 962"/>
                                <a:gd name="T3" fmla="*/ T2 w 10831"/>
                              </a:gdLst>
                              <a:ahLst/>
                              <a:cxnLst>
                                <a:cxn ang="0">
                                  <a:pos x="T1" y="0"/>
                                </a:cxn>
                                <a:cxn ang="0">
                                  <a:pos x="T3" y="0"/>
                                </a:cxn>
                              </a:cxnLst>
                              <a:rect l="0" t="0" r="r" b="b"/>
                              <a:pathLst>
                                <a:path w="10831">
                                  <a:moveTo>
                                    <a:pt x="0" y="0"/>
                                  </a:moveTo>
                                  <a:lnTo>
                                    <a:pt x="1083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962" y="14864"/>
                            <a:ext cx="10831" cy="2"/>
                            <a:chOff x="962" y="14864"/>
                            <a:chExt cx="10831" cy="2"/>
                          </a:xfrm>
                        </wpg:grpSpPr>
                        <wps:wsp>
                          <wps:cNvPr id="22" name="Freeform 6"/>
                          <wps:cNvSpPr>
                            <a:spLocks/>
                          </wps:cNvSpPr>
                          <wps:spPr bwMode="auto">
                            <a:xfrm>
                              <a:off x="962" y="14864"/>
                              <a:ext cx="10831" cy="2"/>
                            </a:xfrm>
                            <a:custGeom>
                              <a:avLst/>
                              <a:gdLst>
                                <a:gd name="T0" fmla="+- 0 962 962"/>
                                <a:gd name="T1" fmla="*/ T0 w 10831"/>
                                <a:gd name="T2" fmla="+- 0 11794 962"/>
                                <a:gd name="T3" fmla="*/ T2 w 10831"/>
                              </a:gdLst>
                              <a:ahLst/>
                              <a:cxnLst>
                                <a:cxn ang="0">
                                  <a:pos x="T1" y="0"/>
                                </a:cxn>
                                <a:cxn ang="0">
                                  <a:pos x="T3" y="0"/>
                                </a:cxn>
                              </a:cxnLst>
                              <a:rect l="0" t="0" r="r" b="b"/>
                              <a:pathLst>
                                <a:path w="10831">
                                  <a:moveTo>
                                    <a:pt x="0" y="0"/>
                                  </a:moveTo>
                                  <a:lnTo>
                                    <a:pt x="10832" y="0"/>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7"/>
                        <wpg:cNvGrpSpPr>
                          <a:grpSpLocks/>
                        </wpg:cNvGrpSpPr>
                        <wpg:grpSpPr bwMode="auto">
                          <a:xfrm>
                            <a:off x="1007" y="1459"/>
                            <a:ext cx="2" cy="13361"/>
                            <a:chOff x="1007" y="1459"/>
                            <a:chExt cx="2" cy="13361"/>
                          </a:xfrm>
                        </wpg:grpSpPr>
                        <wps:wsp>
                          <wps:cNvPr id="24" name="Freeform 8"/>
                          <wps:cNvSpPr>
                            <a:spLocks/>
                          </wps:cNvSpPr>
                          <wps:spPr bwMode="auto">
                            <a:xfrm>
                              <a:off x="1007" y="1459"/>
                              <a:ext cx="2" cy="13361"/>
                            </a:xfrm>
                            <a:custGeom>
                              <a:avLst/>
                              <a:gdLst>
                                <a:gd name="T0" fmla="+- 0 1459 1459"/>
                                <a:gd name="T1" fmla="*/ 1459 h 13361"/>
                                <a:gd name="T2" fmla="+- 0 14820 1459"/>
                                <a:gd name="T3" fmla="*/ 14820 h 13361"/>
                              </a:gdLst>
                              <a:ahLst/>
                              <a:cxnLst>
                                <a:cxn ang="0">
                                  <a:pos x="0" y="T1"/>
                                </a:cxn>
                                <a:cxn ang="0">
                                  <a:pos x="0" y="T3"/>
                                </a:cxn>
                              </a:cxnLst>
                              <a:rect l="0" t="0" r="r" b="b"/>
                              <a:pathLst>
                                <a:path h="13361">
                                  <a:moveTo>
                                    <a:pt x="0" y="0"/>
                                  </a:moveTo>
                                  <a:lnTo>
                                    <a:pt x="0" y="13361"/>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9"/>
                        <wpg:cNvGrpSpPr>
                          <a:grpSpLocks/>
                        </wpg:cNvGrpSpPr>
                        <wpg:grpSpPr bwMode="auto">
                          <a:xfrm>
                            <a:off x="11749" y="1459"/>
                            <a:ext cx="2" cy="13361"/>
                            <a:chOff x="11749" y="1459"/>
                            <a:chExt cx="2" cy="13361"/>
                          </a:xfrm>
                        </wpg:grpSpPr>
                        <wps:wsp>
                          <wps:cNvPr id="26" name="Freeform 10"/>
                          <wps:cNvSpPr>
                            <a:spLocks/>
                          </wps:cNvSpPr>
                          <wps:spPr bwMode="auto">
                            <a:xfrm>
                              <a:off x="11749" y="1459"/>
                              <a:ext cx="2" cy="13361"/>
                            </a:xfrm>
                            <a:custGeom>
                              <a:avLst/>
                              <a:gdLst>
                                <a:gd name="T0" fmla="+- 0 1459 1459"/>
                                <a:gd name="T1" fmla="*/ 1459 h 13361"/>
                                <a:gd name="T2" fmla="+- 0 14820 1459"/>
                                <a:gd name="T3" fmla="*/ 14820 h 13361"/>
                              </a:gdLst>
                              <a:ahLst/>
                              <a:cxnLst>
                                <a:cxn ang="0">
                                  <a:pos x="0" y="T1"/>
                                </a:cxn>
                                <a:cxn ang="0">
                                  <a:pos x="0" y="T3"/>
                                </a:cxn>
                              </a:cxnLst>
                              <a:rect l="0" t="0" r="r" b="b"/>
                              <a:pathLst>
                                <a:path h="13361">
                                  <a:moveTo>
                                    <a:pt x="0" y="0"/>
                                  </a:moveTo>
                                  <a:lnTo>
                                    <a:pt x="0" y="13361"/>
                                  </a:lnTo>
                                </a:path>
                              </a:pathLst>
                            </a:custGeom>
                            <a:noFill/>
                            <a:ln w="576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1"/>
                        <wpg:cNvGrpSpPr>
                          <a:grpSpLocks/>
                        </wpg:cNvGrpSpPr>
                        <wpg:grpSpPr bwMode="auto">
                          <a:xfrm>
                            <a:off x="7416" y="5748"/>
                            <a:ext cx="98" cy="2"/>
                            <a:chOff x="7416" y="5748"/>
                            <a:chExt cx="98" cy="2"/>
                          </a:xfrm>
                        </wpg:grpSpPr>
                        <wps:wsp>
                          <wps:cNvPr id="28" name="Freeform 12"/>
                          <wps:cNvSpPr>
                            <a:spLocks/>
                          </wps:cNvSpPr>
                          <wps:spPr bwMode="auto">
                            <a:xfrm>
                              <a:off x="7416" y="5748"/>
                              <a:ext cx="98" cy="2"/>
                            </a:xfrm>
                            <a:custGeom>
                              <a:avLst/>
                              <a:gdLst>
                                <a:gd name="T0" fmla="+- 0 7416 7416"/>
                                <a:gd name="T1" fmla="*/ T0 w 98"/>
                                <a:gd name="T2" fmla="+- 0 7514 7416"/>
                                <a:gd name="T3" fmla="*/ T2 w 98"/>
                              </a:gdLst>
                              <a:ahLst/>
                              <a:cxnLst>
                                <a:cxn ang="0">
                                  <a:pos x="T1" y="0"/>
                                </a:cxn>
                                <a:cxn ang="0">
                                  <a:pos x="T3" y="0"/>
                                </a:cxn>
                              </a:cxnLst>
                              <a:rect l="0" t="0" r="r" b="b"/>
                              <a:pathLst>
                                <a:path w="98">
                                  <a:moveTo>
                                    <a:pt x="0" y="0"/>
                                  </a:moveTo>
                                  <a:lnTo>
                                    <a:pt x="98"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3"/>
                        <wpg:cNvGrpSpPr>
                          <a:grpSpLocks/>
                        </wpg:cNvGrpSpPr>
                        <wpg:grpSpPr bwMode="auto">
                          <a:xfrm>
                            <a:off x="6883" y="5959"/>
                            <a:ext cx="98" cy="2"/>
                            <a:chOff x="6883" y="5959"/>
                            <a:chExt cx="98" cy="2"/>
                          </a:xfrm>
                        </wpg:grpSpPr>
                        <wps:wsp>
                          <wps:cNvPr id="30" name="Freeform 14"/>
                          <wps:cNvSpPr>
                            <a:spLocks/>
                          </wps:cNvSpPr>
                          <wps:spPr bwMode="auto">
                            <a:xfrm>
                              <a:off x="6883" y="5959"/>
                              <a:ext cx="98" cy="2"/>
                            </a:xfrm>
                            <a:custGeom>
                              <a:avLst/>
                              <a:gdLst>
                                <a:gd name="T0" fmla="+- 0 6883 6883"/>
                                <a:gd name="T1" fmla="*/ T0 w 98"/>
                                <a:gd name="T2" fmla="+- 0 6982 6883"/>
                                <a:gd name="T3" fmla="*/ T2 w 98"/>
                              </a:gdLst>
                              <a:ahLst/>
                              <a:cxnLst>
                                <a:cxn ang="0">
                                  <a:pos x="T1" y="0"/>
                                </a:cxn>
                                <a:cxn ang="0">
                                  <a:pos x="T3" y="0"/>
                                </a:cxn>
                              </a:cxnLst>
                              <a:rect l="0" t="0" r="r" b="b"/>
                              <a:pathLst>
                                <a:path w="98">
                                  <a:moveTo>
                                    <a:pt x="0" y="0"/>
                                  </a:moveTo>
                                  <a:lnTo>
                                    <a:pt x="99"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5"/>
                        <wpg:cNvGrpSpPr>
                          <a:grpSpLocks/>
                        </wpg:cNvGrpSpPr>
                        <wpg:grpSpPr bwMode="auto">
                          <a:xfrm>
                            <a:off x="8597" y="6593"/>
                            <a:ext cx="98" cy="2"/>
                            <a:chOff x="8597" y="6593"/>
                            <a:chExt cx="98" cy="2"/>
                          </a:xfrm>
                        </wpg:grpSpPr>
                        <wps:wsp>
                          <wps:cNvPr id="32" name="Freeform 16"/>
                          <wps:cNvSpPr>
                            <a:spLocks/>
                          </wps:cNvSpPr>
                          <wps:spPr bwMode="auto">
                            <a:xfrm>
                              <a:off x="8597" y="6593"/>
                              <a:ext cx="98" cy="2"/>
                            </a:xfrm>
                            <a:custGeom>
                              <a:avLst/>
                              <a:gdLst>
                                <a:gd name="T0" fmla="+- 0 8597 8597"/>
                                <a:gd name="T1" fmla="*/ T0 w 98"/>
                                <a:gd name="T2" fmla="+- 0 8695 8597"/>
                                <a:gd name="T3" fmla="*/ T2 w 98"/>
                              </a:gdLst>
                              <a:ahLst/>
                              <a:cxnLst>
                                <a:cxn ang="0">
                                  <a:pos x="T1" y="0"/>
                                </a:cxn>
                                <a:cxn ang="0">
                                  <a:pos x="T3" y="0"/>
                                </a:cxn>
                              </a:cxnLst>
                              <a:rect l="0" t="0" r="r" b="b"/>
                              <a:pathLst>
                                <a:path w="98">
                                  <a:moveTo>
                                    <a:pt x="0" y="0"/>
                                  </a:moveTo>
                                  <a:lnTo>
                                    <a:pt x="98"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7"/>
                        <wpg:cNvGrpSpPr>
                          <a:grpSpLocks/>
                        </wpg:cNvGrpSpPr>
                        <wpg:grpSpPr bwMode="auto">
                          <a:xfrm>
                            <a:off x="2822" y="9233"/>
                            <a:ext cx="8698" cy="2"/>
                            <a:chOff x="2822" y="9233"/>
                            <a:chExt cx="8698" cy="2"/>
                          </a:xfrm>
                        </wpg:grpSpPr>
                        <wps:wsp>
                          <wps:cNvPr id="34" name="Freeform 18"/>
                          <wps:cNvSpPr>
                            <a:spLocks/>
                          </wps:cNvSpPr>
                          <wps:spPr bwMode="auto">
                            <a:xfrm>
                              <a:off x="2822" y="9233"/>
                              <a:ext cx="8698" cy="2"/>
                            </a:xfrm>
                            <a:custGeom>
                              <a:avLst/>
                              <a:gdLst>
                                <a:gd name="T0" fmla="+- 0 2822 2822"/>
                                <a:gd name="T1" fmla="*/ T0 w 8698"/>
                                <a:gd name="T2" fmla="+- 0 11520 2822"/>
                                <a:gd name="T3" fmla="*/ T2 w 8698"/>
                              </a:gdLst>
                              <a:ahLst/>
                              <a:cxnLst>
                                <a:cxn ang="0">
                                  <a:pos x="T1" y="0"/>
                                </a:cxn>
                                <a:cxn ang="0">
                                  <a:pos x="T3" y="0"/>
                                </a:cxn>
                              </a:cxnLst>
                              <a:rect l="0" t="0" r="r" b="b"/>
                              <a:pathLst>
                                <a:path w="8698">
                                  <a:moveTo>
                                    <a:pt x="0" y="0"/>
                                  </a:moveTo>
                                  <a:lnTo>
                                    <a:pt x="8698" y="0"/>
                                  </a:lnTo>
                                </a:path>
                              </a:pathLst>
                            </a:custGeom>
                            <a:noFill/>
                            <a:ln w="7366">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8pt;margin-top:89.25pt;width:546.1pt;height:637.15pt;z-index:-251657216;mso-position-horizontal-relative:page;mso-position-vertical-relative:page" coordorigin="917,1369" coordsize="10922,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">
                <v:group id="Group 3" o:spid="_x0000_s1027" style="position:absolute;left:962;top:1415;width:10831;height:2" coordorigin="962,1415" coordsize="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962;top:1415;width:10831;height:2;visibility:visible;mso-wrap-style:square;v-text-anchor:top" coordsize="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Bs8UA&#10;AADaAAAADwAAAGRycy9kb3ducmV2LnhtbESPQWvCQBSE74X+h+UJvdWNVsWmbkIRBKUF0YrnZ/Y1&#10;SZN9G7Orxv56tyD0OMzMN8ws7UwtztS60rKCQT8CQZxZXXKuYPe1eJ6CcB5ZY22ZFFzJQZo8Psww&#10;1vbCGzpvfS4ChF2MCgrvm1hKlxVk0PVtQxy8b9sa9EG2udQtXgLc1HIYRRNpsOSwUGBD84Kyansy&#10;Cg7H18O0Wp9oPD+Oyv3H5++1Wv0o9dTr3t9AeOr8f/jeXmoFL/B3JdwAm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IGzxQAAANoAAAAPAAAAAAAAAAAAAAAAAJgCAABkcnMv&#10;ZG93bnJldi54bWxQSwUGAAAAAAQABAD1AAAAigMAAAAA&#10;" path="m,l10832,e" filled="f" strokeweight="4.54pt">
                    <v:path arrowok="t" o:connecttype="custom" o:connectlocs="0,0;10832,0" o:connectangles="0,0"/>
                  </v:shape>
                </v:group>
                <v:group id="Group 5" o:spid="_x0000_s1029" style="position:absolute;left:962;top:14864;width:10831;height:2" coordorigin="962,14864" coordsize="108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6" o:spid="_x0000_s1030" style="position:absolute;left:962;top:14864;width:10831;height:2;visibility:visible;mso-wrap-style:square;v-text-anchor:top" coordsize="108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tMcYA&#10;AADbAAAADwAAAGRycy9kb3ducmV2LnhtbESP3WrCQBSE7wu+w3KE3tWNQYtNXaUIBYtC8YdeH7On&#10;SUz2bMyuSfTpu4VCL4eZ+YaZL3tTiZYaV1hWMB5FIIhTqwvOFBwP708zEM4ja6wsk4IbOVguBg9z&#10;TLTteEft3mciQNglqCD3vk6kdGlOBt3I1sTB+7aNQR9kk0ndYBfgppJxFD1LgwWHhRxrWuWUlvur&#10;UXC6vJxm5eeVpqvLpPjabO+38uOs1OOwf3sF4an3/+G/9loriG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otMcYAAADbAAAADwAAAAAAAAAAAAAAAACYAgAAZHJz&#10;L2Rvd25yZXYueG1sUEsFBgAAAAAEAAQA9QAAAIsDAAAAAA==&#10;" path="m,l10832,e" filled="f" strokeweight="4.54pt">
                    <v:path arrowok="t" o:connecttype="custom" o:connectlocs="0,0;10832,0" o:connectangles="0,0"/>
                  </v:shape>
                </v:group>
                <v:group id="Group 7" o:spid="_x0000_s1031" style="position:absolute;left:1007;top:1459;width:2;height:13361" coordorigin="1007,1459" coordsize="2,13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8" o:spid="_x0000_s1032" style="position:absolute;left:1007;top:1459;width:2;height:13361;visibility:visible;mso-wrap-style:square;v-text-anchor:top" coordsize="2,1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tcEA&#10;AADbAAAADwAAAGRycy9kb3ducmV2LnhtbESPT4vCMBTE7wt+h/AEb2uquCLVVESQ1YviHzw/mtc2&#10;2LyUJqvVT28WFvY4zMxvmMWys7W4U+uNYwWjYQKCOHfacKngct58zkD4gKyxdkwKnuRhmfU+Fphq&#10;9+Aj3U+hFBHCPkUFVQhNKqXPK7Loh64hjl7hWoshyraUusVHhNtajpNkKi0ajgsVNrSuKL+dfqyC&#10;w/r6/XXAPeLV2GL3Msico1KDfreagwjUhf/wX3urFYwn8Psl/gCZ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JL7XBAAAA2wAAAA8AAAAAAAAAAAAAAAAAmAIAAGRycy9kb3du&#10;cmV2LnhtbFBLBQYAAAAABAAEAPUAAACGAwAAAAA=&#10;" path="m,l,13361e" filled="f" strokeweight="4.54pt">
                    <v:path arrowok="t" o:connecttype="custom" o:connectlocs="0,1459;0,14820" o:connectangles="0,0"/>
                  </v:shape>
                </v:group>
                <v:group id="Group 9" o:spid="_x0000_s1033" style="position:absolute;left:11749;top:1459;width:2;height:13361" coordorigin="11749,1459" coordsize="2,13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0" o:spid="_x0000_s1034" style="position:absolute;left:11749;top:1459;width:2;height:13361;visibility:visible;mso-wrap-style:square;v-text-anchor:top" coordsize="2,1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cUWcEA&#10;AADbAAAADwAAAGRycy9kb3ducmV2LnhtbESPT4vCMBTE78J+h/AW9qapwopUUxFhWfei+IeeH81r&#10;G2xeShO166c3guBxmJnfMItlbxtxpc4bxwrGowQEceG04UrB6fgznIHwAVlj45gU/JOHZfYxWGCq&#10;3Y33dD2ESkQI+xQV1CG0qZS+qMmiH7mWOHql6yyGKLtK6g5vEW4bOUmSqbRoOC7U2NK6puJ8uFgF&#10;u3X++73DLWJubPl3N8hcoFJfn/1qDiJQH97hV3ujFUym8PwSf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FFnBAAAA2wAAAA8AAAAAAAAAAAAAAAAAmAIAAGRycy9kb3du&#10;cmV2LnhtbFBLBQYAAAAABAAEAPUAAACGAwAAAAA=&#10;" path="m,l,13361e" filled="f" strokeweight="4.54pt">
                    <v:path arrowok="t" o:connecttype="custom" o:connectlocs="0,1459;0,14820" o:connectangles="0,0"/>
                  </v:shape>
                </v:group>
                <v:group id="Group 11" o:spid="_x0000_s1035" style="position:absolute;left:7416;top:5748;width:98;height:2" coordorigin="7416,5748" coordsize="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 o:spid="_x0000_s1036" style="position:absolute;left:7416;top:5748;width:98;height:2;visibility:visible;mso-wrap-style:square;v-text-anchor:top" coordsize="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0zkMIA&#10;AADbAAAADwAAAGRycy9kb3ducmV2LnhtbERPz2vCMBS+C/4P4Qm7iKbrYUo1FRkb22EMrB48PprX&#10;Nti8lCaz2f765TDY8eP7vT9E24s7jd44VvC4zkAQ104bbhVczq+rLQgfkDX2jknBN3k4lPPZHgvt&#10;Jj7RvQqtSCHsC1TQhTAUUvq6I4t+7QbixDVutBgSHFupR5xSuO1lnmVP0qLh1NDhQM8d1bfqyyr4&#10;4O01f2t+Nnh5uS1jPJrPSRqlHhbxuAMRKIZ/8Z/7XSvI09j0Jf0A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TOQwgAAANsAAAAPAAAAAAAAAAAAAAAAAJgCAABkcnMvZG93&#10;bnJldi54bWxQSwUGAAAAAAQABAD1AAAAhwMAAAAA&#10;" path="m,l98,e" filled="f" strokecolor="red" strokeweight=".58pt">
                    <v:path arrowok="t" o:connecttype="custom" o:connectlocs="0,0;98,0" o:connectangles="0,0"/>
                  </v:shape>
                </v:group>
                <v:group id="Group 13" o:spid="_x0000_s1037" style="position:absolute;left:6883;top:5959;width:98;height:2" coordorigin="6883,5959" coordsize="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4" o:spid="_x0000_s1038" style="position:absolute;left:6883;top:5959;width:98;height:2;visibility:visible;mso-wrap-style:square;v-text-anchor:top" coordsize="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KpS8EA&#10;AADbAAAADwAAAGRycy9kb3ducmV2LnhtbERPz2vCMBS+C/4P4QleRNM5mFKNIjJxhzGwevD4aJ5t&#10;sHkpTbTZ/vrlMNjx4/u93kbbiCd13jhW8DLLQBCXThuuFFzOh+kShA/IGhvHpOCbPGw3w8Eac+16&#10;PtGzCJVIIexzVFCH0OZS+rImi37mWuLE3VxnMSTYVVJ32Kdw28h5lr1Ji4ZTQ40t7Wsq78XDKvjk&#10;5XV+vP0s8PJ+n8S4M1+9NEqNR3G3AhEohn/xn/tDK3hN69O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iqUvBAAAA2wAAAA8AAAAAAAAAAAAAAAAAmAIAAGRycy9kb3du&#10;cmV2LnhtbFBLBQYAAAAABAAEAPUAAACGAwAAAAA=&#10;" path="m,l99,e" filled="f" strokecolor="red" strokeweight=".58pt">
                    <v:path arrowok="t" o:connecttype="custom" o:connectlocs="0,0;99,0" o:connectangles="0,0"/>
                  </v:shape>
                </v:group>
                <v:group id="Group 15" o:spid="_x0000_s1039" style="position:absolute;left:8597;top:6593;width:98;height:2" coordorigin="8597,6593" coordsize="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6" o:spid="_x0000_s1040" style="position:absolute;left:8597;top:6593;width:98;height:2;visibility:visible;mso-wrap-style:square;v-text-anchor:top" coordsize="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Sp8QA&#10;AADbAAAADwAAAGRycy9kb3ducmV2LnhtbESPQWsCMRSE7wX/Q3iCl6JZt9DKahQRxR5KoerB42Pz&#10;3A1uXpZNdGN/fVMo9DjMzDfMYhVtI+7UeeNYwXSSgSAunTZcKTgdd+MZCB+QNTaOScGDPKyWg6cF&#10;Ftr1/EX3Q6hEgrAvUEEdQltI6cuaLPqJa4mTd3GdxZBkV0ndYZ/gtpF5lr1Ki4bTQo0tbWoqr4eb&#10;VfDBs3O+v3y/4Wl7fY5xbT57aZQaDeN6DiJQDP/hv/a7VvCSw++X9A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8kqfEAAAA2wAAAA8AAAAAAAAAAAAAAAAAmAIAAGRycy9k&#10;b3ducmV2LnhtbFBLBQYAAAAABAAEAPUAAACJAwAAAAA=&#10;" path="m,l98,e" filled="f" strokecolor="red" strokeweight=".58pt">
                    <v:path arrowok="t" o:connecttype="custom" o:connectlocs="0,0;98,0" o:connectangles="0,0"/>
                  </v:shape>
                </v:group>
                <v:group id="Group 17" o:spid="_x0000_s1041" style="position:absolute;left:2822;top:9233;width:8698;height:2" coordorigin="2822,9233" coordsize="86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8" o:spid="_x0000_s1042" style="position:absolute;left:2822;top:9233;width:8698;height:2;visibility:visible;mso-wrap-style:square;v-text-anchor:top" coordsize="8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HMcA&#10;AADbAAAADwAAAGRycy9kb3ducmV2LnhtbESPT08CMRTE7yZ8h+aReCHQRY2QlUIIaOCgB/lz4Pbc&#10;PrYbtq9rW2H101sTEo+TmflNZjJrbS3O5EPlWMFwkIEgLpyuuFSw2770xyBCRNZYOyYF3xRgNu3c&#10;TDDX7sLvdN7EUiQIhxwVmBibXMpQGLIYBq4hTt7ReYsxSV9K7fGS4LaWd1n2KC1WnBYMNrQwVJw2&#10;X1bBUr+t5OuPWa6rj97z7rDw+9XnSKnbbjt/AhGpjf/ha3utFdw/wN+X9APk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bfxzHAAAA2wAAAA8AAAAAAAAAAAAAAAAAmAIAAGRy&#10;cy9kb3ducmV2LnhtbFBLBQYAAAAABAAEAPUAAACMAwAAAAA=&#10;" path="m,l8698,e" filled="f" strokecolor="red" strokeweight=".58pt">
                    <v:path arrowok="t" o:connecttype="custom" o:connectlocs="0,0;8698,0" o:connectangles="0,0"/>
                  </v:shape>
                </v:group>
                <w10:wrap anchorx="page" anchory="page"/>
              </v:group>
            </w:pict>
          </mc:Fallback>
        </mc:AlternateContent>
      </w:r>
    </w:p>
    <w:p w:rsidR="00F30BBC" w:rsidRDefault="00F30BBC" w:rsidP="00F30BBC">
      <w:pPr>
        <w:spacing w:before="69"/>
        <w:ind w:right="159"/>
        <w:jc w:val="right"/>
        <w:rPr>
          <w:sz w:val="20"/>
          <w:szCs w:val="20"/>
        </w:rPr>
      </w:pPr>
      <w:r>
        <w:rPr>
          <w:b/>
          <w:bCs/>
          <w:strike/>
          <w:color w:val="FF0000"/>
          <w:spacing w:val="1"/>
          <w:sz w:val="20"/>
          <w:szCs w:val="20"/>
        </w:rPr>
        <w:t>F</w:t>
      </w:r>
      <w:r>
        <w:rPr>
          <w:b/>
          <w:bCs/>
          <w:strike/>
          <w:color w:val="FF0000"/>
          <w:sz w:val="20"/>
          <w:szCs w:val="20"/>
        </w:rPr>
        <w:t>i</w:t>
      </w:r>
      <w:r>
        <w:rPr>
          <w:b/>
          <w:bCs/>
          <w:strike/>
          <w:color w:val="FF0000"/>
          <w:spacing w:val="1"/>
          <w:sz w:val="20"/>
          <w:szCs w:val="20"/>
        </w:rPr>
        <w:t>ft</w:t>
      </w:r>
      <w:r>
        <w:rPr>
          <w:b/>
          <w:bCs/>
          <w:strike/>
          <w:color w:val="FF0000"/>
          <w:sz w:val="20"/>
          <w:szCs w:val="20"/>
        </w:rPr>
        <w:t>h</w:t>
      </w:r>
      <w:r>
        <w:rPr>
          <w:b/>
          <w:bCs/>
          <w:color w:val="FF0000"/>
          <w:sz w:val="20"/>
          <w:szCs w:val="20"/>
          <w:u w:val="thick" w:color="FF0000"/>
        </w:rPr>
        <w:t>Sixth</w:t>
      </w:r>
      <w:r>
        <w:rPr>
          <w:b/>
          <w:bCs/>
          <w:color w:val="FF0000"/>
          <w:spacing w:val="-9"/>
          <w:sz w:val="20"/>
          <w:szCs w:val="20"/>
        </w:rPr>
        <w:t xml:space="preserve"> </w:t>
      </w:r>
      <w:r>
        <w:rPr>
          <w:b/>
          <w:bCs/>
          <w:color w:val="000000"/>
          <w:sz w:val="20"/>
          <w:szCs w:val="20"/>
        </w:rPr>
        <w:t>Revised</w:t>
      </w:r>
      <w:r>
        <w:rPr>
          <w:b/>
          <w:bCs/>
          <w:color w:val="000000"/>
          <w:spacing w:val="-6"/>
          <w:sz w:val="20"/>
          <w:szCs w:val="20"/>
        </w:rPr>
        <w:t xml:space="preserve"> </w:t>
      </w:r>
      <w:r>
        <w:rPr>
          <w:b/>
          <w:bCs/>
          <w:color w:val="000000"/>
          <w:sz w:val="20"/>
          <w:szCs w:val="20"/>
        </w:rPr>
        <w:t>Sheet</w:t>
      </w:r>
      <w:r>
        <w:rPr>
          <w:b/>
          <w:bCs/>
          <w:color w:val="000000"/>
          <w:spacing w:val="-4"/>
          <w:sz w:val="20"/>
          <w:szCs w:val="20"/>
        </w:rPr>
        <w:t xml:space="preserve"> </w:t>
      </w:r>
      <w:r>
        <w:rPr>
          <w:b/>
          <w:bCs/>
          <w:color w:val="000000"/>
          <w:sz w:val="20"/>
          <w:szCs w:val="20"/>
        </w:rPr>
        <w:t>No.</w:t>
      </w:r>
      <w:r>
        <w:rPr>
          <w:b/>
          <w:bCs/>
          <w:color w:val="000000"/>
          <w:spacing w:val="-2"/>
          <w:sz w:val="20"/>
          <w:szCs w:val="20"/>
        </w:rPr>
        <w:t xml:space="preserve"> </w:t>
      </w:r>
      <w:r>
        <w:rPr>
          <w:b/>
          <w:bCs/>
          <w:color w:val="000000"/>
          <w:w w:val="99"/>
          <w:sz w:val="20"/>
          <w:szCs w:val="20"/>
        </w:rPr>
        <w:t>6.300</w:t>
      </w:r>
    </w:p>
    <w:p w:rsidR="00F30BBC" w:rsidRDefault="00F30BBC" w:rsidP="00F30BBC">
      <w:pPr>
        <w:tabs>
          <w:tab w:val="left" w:pos="6260"/>
        </w:tabs>
        <w:spacing w:before="3" w:line="226" w:lineRule="exact"/>
        <w:ind w:right="158"/>
        <w:jc w:val="right"/>
        <w:rPr>
          <w:sz w:val="20"/>
          <w:szCs w:val="20"/>
        </w:rPr>
      </w:pPr>
      <w:r>
        <w:rPr>
          <w:b/>
          <w:bCs/>
          <w:position w:val="-1"/>
          <w:sz w:val="20"/>
          <w:szCs w:val="20"/>
        </w:rPr>
        <w:t>FLORIDA</w:t>
      </w:r>
      <w:r>
        <w:rPr>
          <w:b/>
          <w:bCs/>
          <w:spacing w:val="-9"/>
          <w:position w:val="-1"/>
          <w:sz w:val="20"/>
          <w:szCs w:val="20"/>
        </w:rPr>
        <w:t xml:space="preserve"> </w:t>
      </w:r>
      <w:r>
        <w:rPr>
          <w:b/>
          <w:bCs/>
          <w:position w:val="-1"/>
          <w:sz w:val="20"/>
          <w:szCs w:val="20"/>
        </w:rPr>
        <w:t>POWER</w:t>
      </w:r>
      <w:r>
        <w:rPr>
          <w:b/>
          <w:bCs/>
          <w:spacing w:val="-8"/>
          <w:position w:val="-1"/>
          <w:sz w:val="20"/>
          <w:szCs w:val="20"/>
        </w:rPr>
        <w:t xml:space="preserve"> </w:t>
      </w:r>
      <w:r>
        <w:rPr>
          <w:b/>
          <w:bCs/>
          <w:position w:val="-1"/>
          <w:sz w:val="20"/>
          <w:szCs w:val="20"/>
        </w:rPr>
        <w:t>&amp;</w:t>
      </w:r>
      <w:r>
        <w:rPr>
          <w:b/>
          <w:bCs/>
          <w:spacing w:val="-2"/>
          <w:position w:val="-1"/>
          <w:sz w:val="20"/>
          <w:szCs w:val="20"/>
        </w:rPr>
        <w:t xml:space="preserve"> </w:t>
      </w:r>
      <w:r>
        <w:rPr>
          <w:b/>
          <w:bCs/>
          <w:position w:val="-1"/>
          <w:sz w:val="20"/>
          <w:szCs w:val="20"/>
        </w:rPr>
        <w:t>LIGHT</w:t>
      </w:r>
      <w:r>
        <w:rPr>
          <w:b/>
          <w:bCs/>
          <w:spacing w:val="-7"/>
          <w:position w:val="-1"/>
          <w:sz w:val="20"/>
          <w:szCs w:val="20"/>
        </w:rPr>
        <w:t xml:space="preserve"> </w:t>
      </w:r>
      <w:r>
        <w:rPr>
          <w:b/>
          <w:bCs/>
          <w:position w:val="-1"/>
          <w:sz w:val="20"/>
          <w:szCs w:val="20"/>
        </w:rPr>
        <w:t>COMPANY</w:t>
      </w:r>
      <w:r>
        <w:rPr>
          <w:b/>
          <w:bCs/>
          <w:position w:val="-1"/>
          <w:sz w:val="20"/>
          <w:szCs w:val="20"/>
        </w:rPr>
        <w:tab/>
        <w:t>Cancels</w:t>
      </w:r>
      <w:r>
        <w:rPr>
          <w:b/>
          <w:bCs/>
          <w:spacing w:val="-7"/>
          <w:position w:val="-1"/>
          <w:sz w:val="20"/>
          <w:szCs w:val="20"/>
        </w:rPr>
        <w:t xml:space="preserve"> </w:t>
      </w:r>
      <w:r>
        <w:rPr>
          <w:b/>
          <w:bCs/>
          <w:color w:val="FF0000"/>
          <w:spacing w:val="-49"/>
          <w:position w:val="-1"/>
          <w:sz w:val="20"/>
          <w:szCs w:val="20"/>
        </w:rPr>
        <w:t xml:space="preserve"> </w:t>
      </w:r>
      <w:r>
        <w:rPr>
          <w:b/>
          <w:bCs/>
          <w:strike/>
          <w:color w:val="FF0000"/>
          <w:spacing w:val="1"/>
          <w:position w:val="-1"/>
          <w:sz w:val="20"/>
          <w:szCs w:val="20"/>
        </w:rPr>
        <w:t>Fourt</w:t>
      </w:r>
      <w:r>
        <w:rPr>
          <w:b/>
          <w:bCs/>
          <w:strike/>
          <w:color w:val="FF0000"/>
          <w:position w:val="-1"/>
          <w:sz w:val="20"/>
          <w:szCs w:val="20"/>
        </w:rPr>
        <w:t>h</w:t>
      </w:r>
      <w:r>
        <w:rPr>
          <w:b/>
          <w:bCs/>
          <w:color w:val="FF0000"/>
          <w:spacing w:val="1"/>
          <w:position w:val="-1"/>
          <w:sz w:val="20"/>
          <w:szCs w:val="20"/>
          <w:u w:val="thick" w:color="FF0000"/>
        </w:rPr>
        <w:t>Fift</w:t>
      </w:r>
      <w:r>
        <w:rPr>
          <w:b/>
          <w:bCs/>
          <w:color w:val="FF0000"/>
          <w:position w:val="-1"/>
          <w:sz w:val="20"/>
          <w:szCs w:val="20"/>
          <w:u w:val="thick" w:color="FF0000"/>
        </w:rPr>
        <w:t>h</w:t>
      </w:r>
      <w:r>
        <w:rPr>
          <w:b/>
          <w:bCs/>
          <w:color w:val="FF0000"/>
          <w:spacing w:val="-11"/>
          <w:position w:val="-1"/>
          <w:sz w:val="20"/>
          <w:szCs w:val="20"/>
        </w:rPr>
        <w:t xml:space="preserve"> </w:t>
      </w:r>
      <w:r>
        <w:rPr>
          <w:b/>
          <w:bCs/>
          <w:color w:val="000000"/>
          <w:position w:val="-1"/>
          <w:sz w:val="20"/>
          <w:szCs w:val="20"/>
        </w:rPr>
        <w:t>Revised</w:t>
      </w:r>
      <w:r>
        <w:rPr>
          <w:b/>
          <w:bCs/>
          <w:color w:val="000000"/>
          <w:spacing w:val="-7"/>
          <w:position w:val="-1"/>
          <w:sz w:val="20"/>
          <w:szCs w:val="20"/>
        </w:rPr>
        <w:t xml:space="preserve"> </w:t>
      </w:r>
      <w:r>
        <w:rPr>
          <w:b/>
          <w:bCs/>
          <w:color w:val="000000"/>
          <w:spacing w:val="1"/>
          <w:position w:val="-1"/>
          <w:sz w:val="20"/>
          <w:szCs w:val="20"/>
        </w:rPr>
        <w:t>Shee</w:t>
      </w:r>
      <w:r>
        <w:rPr>
          <w:b/>
          <w:bCs/>
          <w:color w:val="000000"/>
          <w:position w:val="-1"/>
          <w:sz w:val="20"/>
          <w:szCs w:val="20"/>
        </w:rPr>
        <w:t>t</w:t>
      </w:r>
      <w:r>
        <w:rPr>
          <w:b/>
          <w:bCs/>
          <w:color w:val="000000"/>
          <w:spacing w:val="-4"/>
          <w:position w:val="-1"/>
          <w:sz w:val="20"/>
          <w:szCs w:val="20"/>
        </w:rPr>
        <w:t xml:space="preserve"> </w:t>
      </w:r>
      <w:r>
        <w:rPr>
          <w:b/>
          <w:bCs/>
          <w:color w:val="000000"/>
          <w:spacing w:val="1"/>
          <w:position w:val="-1"/>
          <w:sz w:val="20"/>
          <w:szCs w:val="20"/>
        </w:rPr>
        <w:t>No</w:t>
      </w:r>
      <w:r>
        <w:rPr>
          <w:b/>
          <w:bCs/>
          <w:color w:val="000000"/>
          <w:position w:val="-1"/>
          <w:sz w:val="20"/>
          <w:szCs w:val="20"/>
        </w:rPr>
        <w:t>.</w:t>
      </w:r>
      <w:r>
        <w:rPr>
          <w:b/>
          <w:bCs/>
          <w:color w:val="000000"/>
          <w:spacing w:val="-2"/>
          <w:position w:val="-1"/>
          <w:sz w:val="20"/>
          <w:szCs w:val="20"/>
        </w:rPr>
        <w:t xml:space="preserve"> </w:t>
      </w:r>
      <w:r>
        <w:rPr>
          <w:b/>
          <w:bCs/>
          <w:color w:val="000000"/>
          <w:spacing w:val="1"/>
          <w:w w:val="99"/>
          <w:position w:val="-1"/>
          <w:sz w:val="20"/>
          <w:szCs w:val="20"/>
        </w:rPr>
        <w:t>6.300</w:t>
      </w:r>
    </w:p>
    <w:p w:rsidR="00F30BBC" w:rsidRDefault="00F30BBC" w:rsidP="00F30BBC">
      <w:pPr>
        <w:spacing w:before="5" w:line="190" w:lineRule="exact"/>
        <w:rPr>
          <w:sz w:val="19"/>
          <w:szCs w:val="19"/>
        </w:rPr>
      </w:pPr>
    </w:p>
    <w:p w:rsidR="00F30BBC" w:rsidRDefault="00F30BBC" w:rsidP="00F30BBC">
      <w:pPr>
        <w:spacing w:before="36" w:line="244" w:lineRule="auto"/>
        <w:ind w:left="1685" w:right="1742" w:firstLine="2"/>
        <w:jc w:val="center"/>
        <w:rPr>
          <w:sz w:val="18"/>
          <w:szCs w:val="18"/>
        </w:rPr>
      </w:pPr>
      <w:r>
        <w:rPr>
          <w:b/>
          <w:bCs/>
          <w:sz w:val="18"/>
          <w:szCs w:val="18"/>
        </w:rPr>
        <w:t>INSTALLATION OF UNDERGROUND ELECTRIC DISTRIBUTION FACILITIES FOR THE CONVERSION OF OVERHEAD ELECTRIC DISTRIBUTION FACILITIES</w:t>
      </w:r>
    </w:p>
    <w:p w:rsidR="00F30BBC" w:rsidRDefault="00F30BBC" w:rsidP="00F30BBC">
      <w:pPr>
        <w:spacing w:before="3" w:line="220" w:lineRule="exact"/>
      </w:pPr>
    </w:p>
    <w:p w:rsidR="00F30BBC" w:rsidRDefault="00F30BBC" w:rsidP="00F30BBC">
      <w:pPr>
        <w:ind w:left="3907" w:right="3960"/>
        <w:jc w:val="center"/>
        <w:rPr>
          <w:sz w:val="18"/>
          <w:szCs w:val="18"/>
        </w:rPr>
      </w:pPr>
      <w:r>
        <w:rPr>
          <w:b/>
          <w:bCs/>
          <w:sz w:val="18"/>
          <w:szCs w:val="18"/>
        </w:rPr>
        <w:t>SECTION 12.1 DEFINITIONS</w:t>
      </w:r>
    </w:p>
    <w:p w:rsidR="00F30BBC" w:rsidRDefault="00F30BBC" w:rsidP="00F30BBC">
      <w:pPr>
        <w:spacing w:before="2" w:line="220" w:lineRule="exact"/>
      </w:pPr>
    </w:p>
    <w:p w:rsidR="00F30BBC" w:rsidRDefault="00F30BBC" w:rsidP="00F30BBC">
      <w:pPr>
        <w:spacing w:line="244" w:lineRule="auto"/>
        <w:ind w:left="102" w:right="69"/>
        <w:rPr>
          <w:sz w:val="18"/>
          <w:szCs w:val="18"/>
        </w:rPr>
      </w:pPr>
      <w:r>
        <w:rPr>
          <w:spacing w:val="-3"/>
          <w:sz w:val="18"/>
          <w:szCs w:val="18"/>
          <w:u w:val="single" w:color="000000"/>
        </w:rPr>
        <w:t>A</w:t>
      </w:r>
      <w:r>
        <w:rPr>
          <w:spacing w:val="3"/>
          <w:sz w:val="18"/>
          <w:szCs w:val="18"/>
          <w:u w:val="single" w:color="000000"/>
        </w:rPr>
        <w:t>PP</w:t>
      </w:r>
      <w:r>
        <w:rPr>
          <w:spacing w:val="-2"/>
          <w:sz w:val="18"/>
          <w:szCs w:val="18"/>
          <w:u w:val="single" w:color="000000"/>
        </w:rPr>
        <w:t>L</w:t>
      </w:r>
      <w:r>
        <w:rPr>
          <w:spacing w:val="-1"/>
          <w:sz w:val="18"/>
          <w:szCs w:val="18"/>
          <w:u w:val="single" w:color="000000"/>
        </w:rPr>
        <w:t>ICAN</w:t>
      </w:r>
      <w:r>
        <w:rPr>
          <w:sz w:val="18"/>
          <w:szCs w:val="18"/>
          <w:u w:val="single" w:color="000000"/>
        </w:rPr>
        <w:t>T</w:t>
      </w:r>
      <w:r>
        <w:rPr>
          <w:spacing w:val="7"/>
          <w:sz w:val="18"/>
          <w:szCs w:val="18"/>
        </w:rPr>
        <w:t xml:space="preserve"> </w:t>
      </w:r>
      <w:r>
        <w:rPr>
          <w:sz w:val="18"/>
          <w:szCs w:val="18"/>
        </w:rPr>
        <w:t>-</w:t>
      </w:r>
      <w:r>
        <w:rPr>
          <w:spacing w:val="8"/>
          <w:sz w:val="18"/>
          <w:szCs w:val="18"/>
        </w:rPr>
        <w:t xml:space="preserve"> </w:t>
      </w:r>
      <w:r>
        <w:rPr>
          <w:spacing w:val="-2"/>
          <w:sz w:val="18"/>
          <w:szCs w:val="18"/>
        </w:rPr>
        <w:t>An</w:t>
      </w:r>
      <w:r>
        <w:rPr>
          <w:sz w:val="18"/>
          <w:szCs w:val="18"/>
        </w:rPr>
        <w:t>y</w:t>
      </w:r>
      <w:r>
        <w:rPr>
          <w:spacing w:val="6"/>
          <w:sz w:val="18"/>
          <w:szCs w:val="18"/>
        </w:rPr>
        <w:t xml:space="preserve"> </w:t>
      </w:r>
      <w:r>
        <w:rPr>
          <w:sz w:val="18"/>
          <w:szCs w:val="18"/>
        </w:rPr>
        <w:t>person,</w:t>
      </w:r>
      <w:r>
        <w:rPr>
          <w:spacing w:val="8"/>
          <w:sz w:val="18"/>
          <w:szCs w:val="18"/>
        </w:rPr>
        <w:t xml:space="preserve"> </w:t>
      </w:r>
      <w:r>
        <w:rPr>
          <w:spacing w:val="1"/>
          <w:sz w:val="18"/>
          <w:szCs w:val="18"/>
        </w:rPr>
        <w:t>corporation</w:t>
      </w:r>
      <w:r>
        <w:rPr>
          <w:sz w:val="18"/>
          <w:szCs w:val="18"/>
        </w:rPr>
        <w:t>,</w:t>
      </w:r>
      <w:r>
        <w:rPr>
          <w:spacing w:val="8"/>
          <w:sz w:val="18"/>
          <w:szCs w:val="18"/>
        </w:rPr>
        <w:t xml:space="preserve"> </w:t>
      </w:r>
      <w:r>
        <w:rPr>
          <w:spacing w:val="1"/>
          <w:sz w:val="18"/>
          <w:szCs w:val="18"/>
        </w:rPr>
        <w:t>o</w:t>
      </w:r>
      <w:r>
        <w:rPr>
          <w:sz w:val="18"/>
          <w:szCs w:val="18"/>
        </w:rPr>
        <w:t>r</w:t>
      </w:r>
      <w:r>
        <w:rPr>
          <w:spacing w:val="8"/>
          <w:sz w:val="18"/>
          <w:szCs w:val="18"/>
        </w:rPr>
        <w:t xml:space="preserve"> </w:t>
      </w:r>
      <w:r>
        <w:rPr>
          <w:sz w:val="18"/>
          <w:szCs w:val="18"/>
        </w:rPr>
        <w:t>entity</w:t>
      </w:r>
      <w:r>
        <w:rPr>
          <w:spacing w:val="7"/>
          <w:sz w:val="18"/>
          <w:szCs w:val="18"/>
        </w:rPr>
        <w:t xml:space="preserve"> </w:t>
      </w:r>
      <w:r>
        <w:rPr>
          <w:sz w:val="18"/>
          <w:szCs w:val="18"/>
        </w:rPr>
        <w:t>capable</w:t>
      </w:r>
      <w:r>
        <w:rPr>
          <w:spacing w:val="8"/>
          <w:sz w:val="18"/>
          <w:szCs w:val="18"/>
        </w:rPr>
        <w:t xml:space="preserve"> </w:t>
      </w:r>
      <w:r>
        <w:rPr>
          <w:spacing w:val="-1"/>
          <w:sz w:val="18"/>
          <w:szCs w:val="18"/>
        </w:rPr>
        <w:t>o</w:t>
      </w:r>
      <w:r>
        <w:rPr>
          <w:sz w:val="18"/>
          <w:szCs w:val="18"/>
        </w:rPr>
        <w:t>f</w:t>
      </w:r>
      <w:r>
        <w:rPr>
          <w:spacing w:val="7"/>
          <w:sz w:val="18"/>
          <w:szCs w:val="18"/>
        </w:rPr>
        <w:t xml:space="preserve"> </w:t>
      </w:r>
      <w:r>
        <w:rPr>
          <w:sz w:val="18"/>
          <w:szCs w:val="18"/>
        </w:rPr>
        <w:t>complying</w:t>
      </w:r>
      <w:r>
        <w:rPr>
          <w:spacing w:val="7"/>
          <w:sz w:val="18"/>
          <w:szCs w:val="18"/>
        </w:rPr>
        <w:t xml:space="preserve"> </w:t>
      </w:r>
      <w:r>
        <w:rPr>
          <w:sz w:val="18"/>
          <w:szCs w:val="18"/>
        </w:rPr>
        <w:t>with</w:t>
      </w:r>
      <w:r>
        <w:rPr>
          <w:spacing w:val="8"/>
          <w:sz w:val="18"/>
          <w:szCs w:val="18"/>
        </w:rPr>
        <w:t xml:space="preserve"> </w:t>
      </w:r>
      <w:r>
        <w:rPr>
          <w:sz w:val="18"/>
          <w:szCs w:val="18"/>
        </w:rPr>
        <w:t>the</w:t>
      </w:r>
      <w:r>
        <w:rPr>
          <w:spacing w:val="8"/>
          <w:sz w:val="18"/>
          <w:szCs w:val="18"/>
        </w:rPr>
        <w:t xml:space="preserve"> </w:t>
      </w:r>
      <w:r>
        <w:rPr>
          <w:sz w:val="18"/>
          <w:szCs w:val="18"/>
        </w:rPr>
        <w:t>requirements</w:t>
      </w:r>
      <w:r>
        <w:rPr>
          <w:spacing w:val="8"/>
          <w:sz w:val="18"/>
          <w:szCs w:val="18"/>
        </w:rPr>
        <w:t xml:space="preserve"> </w:t>
      </w:r>
      <w:r>
        <w:rPr>
          <w:spacing w:val="-1"/>
          <w:sz w:val="18"/>
          <w:szCs w:val="18"/>
        </w:rPr>
        <w:t>o</w:t>
      </w:r>
      <w:r>
        <w:rPr>
          <w:sz w:val="18"/>
          <w:szCs w:val="18"/>
        </w:rPr>
        <w:t>f</w:t>
      </w:r>
      <w:r>
        <w:rPr>
          <w:spacing w:val="7"/>
          <w:sz w:val="18"/>
          <w:szCs w:val="18"/>
        </w:rPr>
        <w:t xml:space="preserve"> </w:t>
      </w:r>
      <w:r>
        <w:rPr>
          <w:sz w:val="18"/>
          <w:szCs w:val="18"/>
        </w:rPr>
        <w:t>this</w:t>
      </w:r>
      <w:r>
        <w:rPr>
          <w:spacing w:val="8"/>
          <w:sz w:val="18"/>
          <w:szCs w:val="18"/>
        </w:rPr>
        <w:t xml:space="preserve"> </w:t>
      </w:r>
      <w:r>
        <w:rPr>
          <w:spacing w:val="-1"/>
          <w:sz w:val="18"/>
          <w:szCs w:val="18"/>
        </w:rPr>
        <w:t>tarif</w:t>
      </w:r>
      <w:r>
        <w:rPr>
          <w:sz w:val="18"/>
          <w:szCs w:val="18"/>
        </w:rPr>
        <w:t>f</w:t>
      </w:r>
      <w:r>
        <w:rPr>
          <w:spacing w:val="7"/>
          <w:sz w:val="18"/>
          <w:szCs w:val="18"/>
        </w:rPr>
        <w:t xml:space="preserve"> </w:t>
      </w:r>
      <w:r>
        <w:rPr>
          <w:sz w:val="18"/>
          <w:szCs w:val="18"/>
        </w:rPr>
        <w:t>that</w:t>
      </w:r>
      <w:r>
        <w:rPr>
          <w:spacing w:val="8"/>
          <w:sz w:val="18"/>
          <w:szCs w:val="18"/>
        </w:rPr>
        <w:t xml:space="preserve"> </w:t>
      </w:r>
      <w:r>
        <w:rPr>
          <w:sz w:val="18"/>
          <w:szCs w:val="18"/>
        </w:rPr>
        <w:t>has</w:t>
      </w:r>
      <w:r>
        <w:rPr>
          <w:spacing w:val="8"/>
          <w:sz w:val="18"/>
          <w:szCs w:val="18"/>
        </w:rPr>
        <w:t xml:space="preserve"> </w:t>
      </w:r>
      <w:r>
        <w:rPr>
          <w:spacing w:val="-1"/>
          <w:sz w:val="18"/>
          <w:szCs w:val="18"/>
        </w:rPr>
        <w:t>mad</w:t>
      </w:r>
      <w:r>
        <w:rPr>
          <w:sz w:val="18"/>
          <w:szCs w:val="18"/>
        </w:rPr>
        <w:t>e</w:t>
      </w:r>
      <w:r>
        <w:rPr>
          <w:spacing w:val="7"/>
          <w:sz w:val="18"/>
          <w:szCs w:val="18"/>
        </w:rPr>
        <w:t xml:space="preserve"> </w:t>
      </w:r>
      <w:r>
        <w:rPr>
          <w:sz w:val="18"/>
          <w:szCs w:val="18"/>
        </w:rPr>
        <w:t>a</w:t>
      </w:r>
      <w:r>
        <w:rPr>
          <w:spacing w:val="5"/>
          <w:sz w:val="18"/>
          <w:szCs w:val="18"/>
        </w:rPr>
        <w:t xml:space="preserve"> </w:t>
      </w:r>
      <w:r>
        <w:rPr>
          <w:spacing w:val="-3"/>
          <w:sz w:val="18"/>
          <w:szCs w:val="18"/>
        </w:rPr>
        <w:t>w</w:t>
      </w:r>
      <w:r>
        <w:rPr>
          <w:sz w:val="18"/>
          <w:szCs w:val="18"/>
        </w:rPr>
        <w:t>ritten</w:t>
      </w:r>
      <w:r>
        <w:rPr>
          <w:spacing w:val="6"/>
          <w:sz w:val="18"/>
          <w:szCs w:val="18"/>
        </w:rPr>
        <w:t xml:space="preserve"> </w:t>
      </w:r>
      <w:r>
        <w:rPr>
          <w:sz w:val="18"/>
          <w:szCs w:val="18"/>
        </w:rPr>
        <w:t>request for underground electric distribution facilities in accordance with this tariff.</w:t>
      </w:r>
    </w:p>
    <w:p w:rsidR="00F30BBC" w:rsidRDefault="00F30BBC" w:rsidP="00F30BBC">
      <w:pPr>
        <w:spacing w:before="11" w:line="200" w:lineRule="exact"/>
        <w:rPr>
          <w:sz w:val="20"/>
          <w:szCs w:val="20"/>
        </w:rPr>
      </w:pPr>
    </w:p>
    <w:p w:rsidR="00F30BBC" w:rsidRDefault="00F30BBC" w:rsidP="00F30BBC">
      <w:pPr>
        <w:spacing w:line="244" w:lineRule="auto"/>
        <w:ind w:left="102" w:right="69"/>
        <w:rPr>
          <w:sz w:val="18"/>
          <w:szCs w:val="18"/>
        </w:rPr>
      </w:pPr>
      <w:r>
        <w:rPr>
          <w:sz w:val="18"/>
          <w:szCs w:val="18"/>
          <w:u w:val="single" w:color="000000"/>
        </w:rPr>
        <w:t>CONVERSION</w:t>
      </w:r>
      <w:r>
        <w:rPr>
          <w:spacing w:val="24"/>
          <w:sz w:val="18"/>
          <w:szCs w:val="18"/>
        </w:rPr>
        <w:t xml:space="preserve"> </w:t>
      </w:r>
      <w:r>
        <w:rPr>
          <w:sz w:val="18"/>
          <w:szCs w:val="18"/>
        </w:rPr>
        <w:t>-</w:t>
      </w:r>
      <w:r>
        <w:rPr>
          <w:spacing w:val="25"/>
          <w:sz w:val="18"/>
          <w:szCs w:val="18"/>
        </w:rPr>
        <w:t xml:space="preserve"> </w:t>
      </w:r>
      <w:r>
        <w:rPr>
          <w:spacing w:val="-2"/>
          <w:sz w:val="18"/>
          <w:szCs w:val="18"/>
        </w:rPr>
        <w:t>An</w:t>
      </w:r>
      <w:r>
        <w:rPr>
          <w:sz w:val="18"/>
          <w:szCs w:val="18"/>
        </w:rPr>
        <w:t>y</w:t>
      </w:r>
      <w:r>
        <w:rPr>
          <w:spacing w:val="23"/>
          <w:sz w:val="18"/>
          <w:szCs w:val="18"/>
        </w:rPr>
        <w:t xml:space="preserve"> </w:t>
      </w:r>
      <w:r>
        <w:rPr>
          <w:sz w:val="18"/>
          <w:szCs w:val="18"/>
        </w:rPr>
        <w:t>installation</w:t>
      </w:r>
      <w:r>
        <w:rPr>
          <w:spacing w:val="25"/>
          <w:sz w:val="18"/>
          <w:szCs w:val="18"/>
        </w:rPr>
        <w:t xml:space="preserve"> </w:t>
      </w:r>
      <w:r>
        <w:rPr>
          <w:spacing w:val="-1"/>
          <w:sz w:val="18"/>
          <w:szCs w:val="18"/>
        </w:rPr>
        <w:t>o</w:t>
      </w:r>
      <w:r>
        <w:rPr>
          <w:sz w:val="18"/>
          <w:szCs w:val="18"/>
        </w:rPr>
        <w:t>f</w:t>
      </w:r>
      <w:r>
        <w:rPr>
          <w:spacing w:val="24"/>
          <w:sz w:val="18"/>
          <w:szCs w:val="18"/>
        </w:rPr>
        <w:t xml:space="preserve"> </w:t>
      </w:r>
      <w:r>
        <w:rPr>
          <w:spacing w:val="1"/>
          <w:sz w:val="18"/>
          <w:szCs w:val="18"/>
        </w:rPr>
        <w:t>undergroun</w:t>
      </w:r>
      <w:r>
        <w:rPr>
          <w:sz w:val="18"/>
          <w:szCs w:val="18"/>
        </w:rPr>
        <w:t>d</w:t>
      </w:r>
      <w:r>
        <w:rPr>
          <w:spacing w:val="25"/>
          <w:sz w:val="18"/>
          <w:szCs w:val="18"/>
        </w:rPr>
        <w:t xml:space="preserve"> </w:t>
      </w:r>
      <w:r>
        <w:rPr>
          <w:sz w:val="18"/>
          <w:szCs w:val="18"/>
        </w:rPr>
        <w:t>electric</w:t>
      </w:r>
      <w:r>
        <w:rPr>
          <w:spacing w:val="24"/>
          <w:sz w:val="18"/>
          <w:szCs w:val="18"/>
        </w:rPr>
        <w:t xml:space="preserve"> </w:t>
      </w:r>
      <w:r>
        <w:rPr>
          <w:spacing w:val="1"/>
          <w:sz w:val="18"/>
          <w:szCs w:val="18"/>
        </w:rPr>
        <w:t>distributio</w:t>
      </w:r>
      <w:r>
        <w:rPr>
          <w:sz w:val="18"/>
          <w:szCs w:val="18"/>
        </w:rPr>
        <w:t>n</w:t>
      </w:r>
      <w:r>
        <w:rPr>
          <w:spacing w:val="25"/>
          <w:sz w:val="18"/>
          <w:szCs w:val="18"/>
        </w:rPr>
        <w:t xml:space="preserve"> </w:t>
      </w:r>
      <w:r>
        <w:rPr>
          <w:sz w:val="18"/>
          <w:szCs w:val="18"/>
        </w:rPr>
        <w:t>facilities</w:t>
      </w:r>
      <w:r>
        <w:rPr>
          <w:spacing w:val="24"/>
          <w:sz w:val="18"/>
          <w:szCs w:val="18"/>
        </w:rPr>
        <w:t xml:space="preserve"> </w:t>
      </w:r>
      <w:r>
        <w:rPr>
          <w:spacing w:val="-1"/>
          <w:sz w:val="18"/>
          <w:szCs w:val="18"/>
        </w:rPr>
        <w:t>wher</w:t>
      </w:r>
      <w:r>
        <w:rPr>
          <w:sz w:val="18"/>
          <w:szCs w:val="18"/>
        </w:rPr>
        <w:t>e</w:t>
      </w:r>
      <w:r>
        <w:rPr>
          <w:spacing w:val="24"/>
          <w:sz w:val="18"/>
          <w:szCs w:val="18"/>
        </w:rPr>
        <w:t xml:space="preserve"> </w:t>
      </w:r>
      <w:r>
        <w:rPr>
          <w:sz w:val="18"/>
          <w:szCs w:val="18"/>
        </w:rPr>
        <w:t>the</w:t>
      </w:r>
      <w:r>
        <w:rPr>
          <w:spacing w:val="25"/>
          <w:sz w:val="18"/>
          <w:szCs w:val="18"/>
        </w:rPr>
        <w:t xml:space="preserve"> </w:t>
      </w:r>
      <w:r>
        <w:rPr>
          <w:spacing w:val="1"/>
          <w:sz w:val="18"/>
          <w:szCs w:val="18"/>
        </w:rPr>
        <w:t>undergroun</w:t>
      </w:r>
      <w:r>
        <w:rPr>
          <w:sz w:val="18"/>
          <w:szCs w:val="18"/>
        </w:rPr>
        <w:t>d</w:t>
      </w:r>
      <w:r>
        <w:rPr>
          <w:spacing w:val="25"/>
          <w:sz w:val="18"/>
          <w:szCs w:val="18"/>
        </w:rPr>
        <w:t xml:space="preserve"> </w:t>
      </w:r>
      <w:r>
        <w:rPr>
          <w:sz w:val="18"/>
          <w:szCs w:val="18"/>
        </w:rPr>
        <w:t>facilities</w:t>
      </w:r>
      <w:r>
        <w:rPr>
          <w:spacing w:val="24"/>
          <w:sz w:val="18"/>
          <w:szCs w:val="18"/>
        </w:rPr>
        <w:t xml:space="preserve"> </w:t>
      </w:r>
      <w:r>
        <w:rPr>
          <w:sz w:val="18"/>
          <w:szCs w:val="18"/>
        </w:rPr>
        <w:t>will</w:t>
      </w:r>
      <w:r>
        <w:rPr>
          <w:spacing w:val="22"/>
          <w:sz w:val="18"/>
          <w:szCs w:val="18"/>
        </w:rPr>
        <w:t xml:space="preserve"> </w:t>
      </w:r>
      <w:r>
        <w:rPr>
          <w:sz w:val="18"/>
          <w:szCs w:val="18"/>
        </w:rPr>
        <w:t>be</w:t>
      </w:r>
      <w:r>
        <w:rPr>
          <w:spacing w:val="22"/>
          <w:sz w:val="18"/>
          <w:szCs w:val="18"/>
        </w:rPr>
        <w:t xml:space="preserve"> </w:t>
      </w:r>
      <w:r>
        <w:rPr>
          <w:sz w:val="18"/>
          <w:szCs w:val="18"/>
        </w:rPr>
        <w:t>substituted</w:t>
      </w:r>
      <w:r>
        <w:rPr>
          <w:spacing w:val="23"/>
          <w:sz w:val="18"/>
          <w:szCs w:val="18"/>
        </w:rPr>
        <w:t xml:space="preserve"> </w:t>
      </w:r>
      <w:r>
        <w:rPr>
          <w:sz w:val="18"/>
          <w:szCs w:val="18"/>
        </w:rPr>
        <w:t>for existing ov</w:t>
      </w:r>
      <w:r>
        <w:rPr>
          <w:spacing w:val="-1"/>
          <w:sz w:val="18"/>
          <w:szCs w:val="18"/>
        </w:rPr>
        <w:t>e</w:t>
      </w:r>
      <w:r>
        <w:rPr>
          <w:sz w:val="18"/>
          <w:szCs w:val="18"/>
        </w:rPr>
        <w:t>rhead electric distribution facilities, including relocations.</w:t>
      </w:r>
    </w:p>
    <w:p w:rsidR="00F30BBC" w:rsidRDefault="00F30BBC" w:rsidP="00F30BBC">
      <w:pPr>
        <w:spacing w:before="11" w:line="200" w:lineRule="exact"/>
        <w:rPr>
          <w:sz w:val="20"/>
          <w:szCs w:val="20"/>
        </w:rPr>
      </w:pPr>
    </w:p>
    <w:p w:rsidR="00F30BBC" w:rsidRDefault="00F30BBC" w:rsidP="00F30BBC">
      <w:pPr>
        <w:spacing w:line="244" w:lineRule="auto"/>
        <w:ind w:left="102" w:right="69"/>
        <w:rPr>
          <w:sz w:val="18"/>
          <w:szCs w:val="18"/>
        </w:rPr>
      </w:pPr>
      <w:r>
        <w:rPr>
          <w:spacing w:val="-1"/>
          <w:sz w:val="18"/>
          <w:szCs w:val="18"/>
          <w:u w:val="single" w:color="000000"/>
        </w:rPr>
        <w:t>CONTRIBUTIO</w:t>
      </w:r>
      <w:r>
        <w:rPr>
          <w:sz w:val="18"/>
          <w:szCs w:val="18"/>
          <w:u w:val="single" w:color="000000"/>
        </w:rPr>
        <w:t>N-IN-</w:t>
      </w:r>
      <w:r>
        <w:rPr>
          <w:spacing w:val="-1"/>
          <w:sz w:val="18"/>
          <w:szCs w:val="18"/>
          <w:u w:val="single" w:color="000000"/>
        </w:rPr>
        <w:t>AI</w:t>
      </w:r>
      <w:r>
        <w:rPr>
          <w:sz w:val="18"/>
          <w:szCs w:val="18"/>
          <w:u w:val="single" w:color="000000"/>
        </w:rPr>
        <w:t>D-O</w:t>
      </w:r>
      <w:r>
        <w:rPr>
          <w:spacing w:val="1"/>
          <w:sz w:val="18"/>
          <w:szCs w:val="18"/>
          <w:u w:val="single" w:color="000000"/>
        </w:rPr>
        <w:t>F</w:t>
      </w:r>
      <w:r>
        <w:rPr>
          <w:sz w:val="18"/>
          <w:szCs w:val="18"/>
          <w:u w:val="single" w:color="000000"/>
        </w:rPr>
        <w:t>-CONSTRUCTION</w:t>
      </w:r>
      <w:r>
        <w:rPr>
          <w:spacing w:val="-23"/>
          <w:sz w:val="18"/>
          <w:szCs w:val="18"/>
          <w:u w:val="single" w:color="000000"/>
        </w:rPr>
        <w:t xml:space="preserve"> </w:t>
      </w:r>
      <w:r>
        <w:rPr>
          <w:spacing w:val="-1"/>
          <w:sz w:val="18"/>
          <w:szCs w:val="18"/>
          <w:u w:val="single" w:color="000000"/>
        </w:rPr>
        <w:t>(CIAC</w:t>
      </w:r>
      <w:r>
        <w:rPr>
          <w:sz w:val="18"/>
          <w:szCs w:val="18"/>
          <w:u w:val="single" w:color="000000"/>
        </w:rPr>
        <w:t>)</w:t>
      </w:r>
      <w:r>
        <w:rPr>
          <w:spacing w:val="23"/>
          <w:sz w:val="18"/>
          <w:szCs w:val="18"/>
        </w:rPr>
        <w:t xml:space="preserve"> </w:t>
      </w:r>
      <w:r>
        <w:rPr>
          <w:sz w:val="18"/>
          <w:szCs w:val="18"/>
        </w:rPr>
        <w:t>–</w:t>
      </w:r>
      <w:r>
        <w:rPr>
          <w:spacing w:val="23"/>
          <w:sz w:val="18"/>
          <w:szCs w:val="18"/>
        </w:rPr>
        <w:t xml:space="preserve"> </w:t>
      </w:r>
      <w:r>
        <w:rPr>
          <w:sz w:val="18"/>
          <w:szCs w:val="18"/>
        </w:rPr>
        <w:t>The</w:t>
      </w:r>
      <w:r>
        <w:rPr>
          <w:spacing w:val="22"/>
          <w:sz w:val="18"/>
          <w:szCs w:val="18"/>
        </w:rPr>
        <w:t xml:space="preserve"> </w:t>
      </w:r>
      <w:r>
        <w:rPr>
          <w:spacing w:val="-1"/>
          <w:sz w:val="18"/>
          <w:szCs w:val="18"/>
        </w:rPr>
        <w:t>CIA</w:t>
      </w:r>
      <w:r>
        <w:rPr>
          <w:sz w:val="18"/>
          <w:szCs w:val="18"/>
        </w:rPr>
        <w:t>C</w:t>
      </w:r>
      <w:r>
        <w:rPr>
          <w:spacing w:val="21"/>
          <w:sz w:val="18"/>
          <w:szCs w:val="18"/>
        </w:rPr>
        <w:t xml:space="preserve"> </w:t>
      </w:r>
      <w:r>
        <w:rPr>
          <w:spacing w:val="1"/>
          <w:sz w:val="18"/>
          <w:szCs w:val="18"/>
        </w:rPr>
        <w:t>t</w:t>
      </w:r>
      <w:r>
        <w:rPr>
          <w:sz w:val="18"/>
          <w:szCs w:val="18"/>
        </w:rPr>
        <w:t>o</w:t>
      </w:r>
      <w:r>
        <w:rPr>
          <w:spacing w:val="23"/>
          <w:sz w:val="18"/>
          <w:szCs w:val="18"/>
        </w:rPr>
        <w:t xml:space="preserve"> </w:t>
      </w:r>
      <w:r>
        <w:rPr>
          <w:sz w:val="18"/>
          <w:szCs w:val="18"/>
        </w:rPr>
        <w:t>be</w:t>
      </w:r>
      <w:r>
        <w:rPr>
          <w:spacing w:val="22"/>
          <w:sz w:val="18"/>
          <w:szCs w:val="18"/>
        </w:rPr>
        <w:t xml:space="preserve"> </w:t>
      </w:r>
      <w:r>
        <w:rPr>
          <w:spacing w:val="1"/>
          <w:sz w:val="18"/>
          <w:szCs w:val="18"/>
        </w:rPr>
        <w:t>pai</w:t>
      </w:r>
      <w:r>
        <w:rPr>
          <w:sz w:val="18"/>
          <w:szCs w:val="18"/>
        </w:rPr>
        <w:t>d</w:t>
      </w:r>
      <w:r>
        <w:rPr>
          <w:spacing w:val="23"/>
          <w:sz w:val="18"/>
          <w:szCs w:val="18"/>
        </w:rPr>
        <w:t xml:space="preserve"> </w:t>
      </w:r>
      <w:r>
        <w:rPr>
          <w:spacing w:val="-1"/>
          <w:sz w:val="18"/>
          <w:szCs w:val="18"/>
        </w:rPr>
        <w:t>b</w:t>
      </w:r>
      <w:r>
        <w:rPr>
          <w:sz w:val="18"/>
          <w:szCs w:val="18"/>
        </w:rPr>
        <w:t>y</w:t>
      </w:r>
      <w:r>
        <w:rPr>
          <w:spacing w:val="21"/>
          <w:sz w:val="18"/>
          <w:szCs w:val="18"/>
        </w:rPr>
        <w:t xml:space="preserve"> </w:t>
      </w:r>
      <w:r>
        <w:rPr>
          <w:sz w:val="18"/>
          <w:szCs w:val="18"/>
        </w:rPr>
        <w:t>an</w:t>
      </w:r>
      <w:r>
        <w:rPr>
          <w:spacing w:val="22"/>
          <w:sz w:val="18"/>
          <w:szCs w:val="18"/>
        </w:rPr>
        <w:t xml:space="preserve"> </w:t>
      </w:r>
      <w:r>
        <w:rPr>
          <w:sz w:val="18"/>
          <w:szCs w:val="18"/>
        </w:rPr>
        <w:t>Applicant</w:t>
      </w:r>
      <w:r>
        <w:rPr>
          <w:spacing w:val="22"/>
          <w:sz w:val="18"/>
          <w:szCs w:val="18"/>
        </w:rPr>
        <w:t xml:space="preserve"> </w:t>
      </w:r>
      <w:r>
        <w:rPr>
          <w:spacing w:val="1"/>
          <w:sz w:val="18"/>
          <w:szCs w:val="18"/>
        </w:rPr>
        <w:t>unde</w:t>
      </w:r>
      <w:r>
        <w:rPr>
          <w:sz w:val="18"/>
          <w:szCs w:val="18"/>
        </w:rPr>
        <w:t>r</w:t>
      </w:r>
      <w:r>
        <w:rPr>
          <w:spacing w:val="23"/>
          <w:sz w:val="18"/>
          <w:szCs w:val="18"/>
        </w:rPr>
        <w:t xml:space="preserve"> </w:t>
      </w:r>
      <w:r>
        <w:rPr>
          <w:sz w:val="18"/>
          <w:szCs w:val="18"/>
        </w:rPr>
        <w:t>this</w:t>
      </w:r>
      <w:r>
        <w:rPr>
          <w:spacing w:val="23"/>
          <w:sz w:val="18"/>
          <w:szCs w:val="18"/>
        </w:rPr>
        <w:t xml:space="preserve"> </w:t>
      </w:r>
      <w:r>
        <w:rPr>
          <w:spacing w:val="-1"/>
          <w:sz w:val="18"/>
          <w:szCs w:val="18"/>
        </w:rPr>
        <w:t>tarif</w:t>
      </w:r>
      <w:r>
        <w:rPr>
          <w:sz w:val="18"/>
          <w:szCs w:val="18"/>
        </w:rPr>
        <w:t>f</w:t>
      </w:r>
      <w:r>
        <w:rPr>
          <w:spacing w:val="19"/>
          <w:sz w:val="18"/>
          <w:szCs w:val="18"/>
        </w:rPr>
        <w:t xml:space="preserve"> </w:t>
      </w:r>
      <w:r>
        <w:rPr>
          <w:sz w:val="18"/>
          <w:szCs w:val="18"/>
        </w:rPr>
        <w:t>section</w:t>
      </w:r>
      <w:r>
        <w:rPr>
          <w:spacing w:val="20"/>
          <w:sz w:val="18"/>
          <w:szCs w:val="18"/>
        </w:rPr>
        <w:t xml:space="preserve"> </w:t>
      </w:r>
      <w:r>
        <w:rPr>
          <w:sz w:val="18"/>
          <w:szCs w:val="18"/>
        </w:rPr>
        <w:t>shall</w:t>
      </w:r>
      <w:r>
        <w:rPr>
          <w:spacing w:val="20"/>
          <w:sz w:val="18"/>
          <w:szCs w:val="18"/>
        </w:rPr>
        <w:t xml:space="preserve"> </w:t>
      </w:r>
      <w:r>
        <w:rPr>
          <w:sz w:val="18"/>
          <w:szCs w:val="18"/>
        </w:rPr>
        <w:t>be</w:t>
      </w:r>
      <w:r>
        <w:rPr>
          <w:spacing w:val="20"/>
          <w:sz w:val="18"/>
          <w:szCs w:val="18"/>
        </w:rPr>
        <w:t xml:space="preserve"> </w:t>
      </w:r>
      <w:r>
        <w:rPr>
          <w:sz w:val="18"/>
          <w:szCs w:val="18"/>
        </w:rPr>
        <w:t>the result of the following formula:</w:t>
      </w:r>
    </w:p>
    <w:p w:rsidR="00F30BBC" w:rsidRDefault="00F30BBC" w:rsidP="00F30BBC">
      <w:pPr>
        <w:spacing w:before="11" w:line="200" w:lineRule="exact"/>
        <w:rPr>
          <w:sz w:val="20"/>
          <w:szCs w:val="20"/>
        </w:rPr>
      </w:pPr>
    </w:p>
    <w:p w:rsidR="00F30BBC" w:rsidRDefault="00F30BBC" w:rsidP="00F30BBC">
      <w:pPr>
        <w:ind w:left="822" w:right="-20"/>
        <w:rPr>
          <w:sz w:val="18"/>
          <w:szCs w:val="18"/>
        </w:rPr>
      </w:pPr>
      <w:r>
        <w:rPr>
          <w:spacing w:val="-1"/>
          <w:sz w:val="18"/>
          <w:szCs w:val="18"/>
          <w:u w:val="single" w:color="000000"/>
        </w:rPr>
        <w:t>CIAC</w:t>
      </w:r>
      <w:r>
        <w:rPr>
          <w:spacing w:val="-44"/>
          <w:sz w:val="18"/>
          <w:szCs w:val="18"/>
          <w:u w:val="single" w:color="000000"/>
        </w:rPr>
        <w:t xml:space="preserve"> </w:t>
      </w:r>
      <w:r>
        <w:rPr>
          <w:sz w:val="18"/>
          <w:szCs w:val="18"/>
          <w:u w:val="single" w:color="000000"/>
        </w:rPr>
        <w:t>=</w:t>
      </w:r>
    </w:p>
    <w:p w:rsidR="00F30BBC" w:rsidRDefault="00F30BBC" w:rsidP="00F30BBC">
      <w:pPr>
        <w:tabs>
          <w:tab w:val="left" w:pos="1720"/>
        </w:tabs>
        <w:spacing w:before="4" w:line="205" w:lineRule="exact"/>
        <w:ind w:left="1362" w:right="-20"/>
        <w:rPr>
          <w:sz w:val="18"/>
          <w:szCs w:val="18"/>
        </w:rPr>
      </w:pPr>
      <w:r>
        <w:rPr>
          <w:spacing w:val="1"/>
          <w:sz w:val="18"/>
          <w:szCs w:val="18"/>
        </w:rPr>
        <w:t>1</w:t>
      </w:r>
      <w:r>
        <w:rPr>
          <w:sz w:val="18"/>
          <w:szCs w:val="18"/>
        </w:rPr>
        <w:t>)</w:t>
      </w:r>
      <w:r>
        <w:rPr>
          <w:sz w:val="18"/>
          <w:szCs w:val="18"/>
        </w:rPr>
        <w:tab/>
        <w:t>The estimated cost to install the requested underground facilities;</w:t>
      </w:r>
    </w:p>
    <w:p w:rsidR="00F30BBC" w:rsidRDefault="00F30BBC" w:rsidP="00F30BBC">
      <w:pPr>
        <w:tabs>
          <w:tab w:val="left" w:pos="1360"/>
          <w:tab w:val="left" w:pos="1720"/>
        </w:tabs>
        <w:spacing w:line="209" w:lineRule="exact"/>
        <w:ind w:left="1002" w:right="-20"/>
        <w:rPr>
          <w:sz w:val="12"/>
          <w:szCs w:val="12"/>
        </w:rPr>
      </w:pPr>
      <w:r>
        <w:rPr>
          <w:position w:val="7"/>
          <w:sz w:val="12"/>
          <w:szCs w:val="12"/>
        </w:rPr>
        <w:t>+</w:t>
      </w:r>
      <w:r>
        <w:rPr>
          <w:position w:val="7"/>
          <w:sz w:val="12"/>
          <w:szCs w:val="12"/>
        </w:rPr>
        <w:tab/>
      </w:r>
      <w:r>
        <w:rPr>
          <w:spacing w:val="1"/>
          <w:position w:val="-1"/>
          <w:sz w:val="18"/>
          <w:szCs w:val="18"/>
        </w:rPr>
        <w:t>2</w:t>
      </w:r>
      <w:r>
        <w:rPr>
          <w:position w:val="-1"/>
          <w:sz w:val="18"/>
          <w:szCs w:val="18"/>
        </w:rPr>
        <w:t>)</w:t>
      </w:r>
      <w:r>
        <w:rPr>
          <w:position w:val="-1"/>
          <w:sz w:val="18"/>
          <w:szCs w:val="18"/>
        </w:rPr>
        <w:tab/>
        <w:t xml:space="preserve">The estimated cost to remove the existing overhead facilities; </w:t>
      </w:r>
      <w:r>
        <w:rPr>
          <w:color w:val="FF0000"/>
          <w:position w:val="7"/>
          <w:sz w:val="12"/>
          <w:szCs w:val="12"/>
        </w:rPr>
        <w:t>a</w:t>
      </w:r>
    </w:p>
    <w:tbl>
      <w:tblPr>
        <w:tblW w:w="0" w:type="auto"/>
        <w:tblInd w:w="962" w:type="dxa"/>
        <w:tblLayout w:type="fixed"/>
        <w:tblCellMar>
          <w:left w:w="0" w:type="dxa"/>
          <w:right w:w="0" w:type="dxa"/>
        </w:tblCellMar>
        <w:tblLook w:val="01E0" w:firstRow="1" w:lastRow="1" w:firstColumn="1" w:lastColumn="1" w:noHBand="0" w:noVBand="0"/>
      </w:tblPr>
      <w:tblGrid>
        <w:gridCol w:w="271"/>
        <w:gridCol w:w="387"/>
        <w:gridCol w:w="8481"/>
      </w:tblGrid>
      <w:tr w:rsidR="00F30BBC" w:rsidTr="0034205B">
        <w:trPr>
          <w:trHeight w:hRule="exact" w:val="227"/>
        </w:trPr>
        <w:tc>
          <w:tcPr>
            <w:tcW w:w="271" w:type="dxa"/>
            <w:tcBorders>
              <w:top w:val="nil"/>
              <w:left w:val="nil"/>
              <w:bottom w:val="nil"/>
              <w:right w:val="nil"/>
            </w:tcBorders>
          </w:tcPr>
          <w:p w:rsidR="00F30BBC" w:rsidRDefault="00F30BBC" w:rsidP="0034205B">
            <w:pPr>
              <w:spacing w:before="8"/>
              <w:ind w:left="40" w:right="-20"/>
              <w:rPr>
                <w:sz w:val="18"/>
                <w:szCs w:val="18"/>
              </w:rPr>
            </w:pPr>
            <w:r>
              <w:rPr>
                <w:sz w:val="18"/>
                <w:szCs w:val="18"/>
              </w:rPr>
              <w:t>+</w:t>
            </w:r>
          </w:p>
        </w:tc>
        <w:tc>
          <w:tcPr>
            <w:tcW w:w="387" w:type="dxa"/>
            <w:tcBorders>
              <w:top w:val="nil"/>
              <w:left w:val="nil"/>
              <w:bottom w:val="nil"/>
              <w:right w:val="nil"/>
            </w:tcBorders>
          </w:tcPr>
          <w:p w:rsidR="00F30BBC" w:rsidRDefault="00F30BBC" w:rsidP="0034205B">
            <w:pPr>
              <w:spacing w:before="8"/>
              <w:ind w:left="129" w:right="-20"/>
              <w:rPr>
                <w:sz w:val="18"/>
                <w:szCs w:val="18"/>
              </w:rPr>
            </w:pPr>
            <w:r>
              <w:rPr>
                <w:spacing w:val="1"/>
                <w:sz w:val="18"/>
                <w:szCs w:val="18"/>
              </w:rPr>
              <w:t>3)</w:t>
            </w:r>
          </w:p>
        </w:tc>
        <w:tc>
          <w:tcPr>
            <w:tcW w:w="8481" w:type="dxa"/>
            <w:tcBorders>
              <w:top w:val="nil"/>
              <w:left w:val="nil"/>
              <w:bottom w:val="nil"/>
              <w:right w:val="nil"/>
            </w:tcBorders>
          </w:tcPr>
          <w:p w:rsidR="00F30BBC" w:rsidRDefault="00F30BBC" w:rsidP="0034205B">
            <w:pPr>
              <w:spacing w:line="215" w:lineRule="exact"/>
              <w:ind w:left="103" w:right="-20"/>
              <w:rPr>
                <w:sz w:val="12"/>
                <w:szCs w:val="12"/>
              </w:rPr>
            </w:pPr>
            <w:r>
              <w:rPr>
                <w:sz w:val="18"/>
                <w:szCs w:val="18"/>
              </w:rPr>
              <w:t>The net book value of the existing overhead facilities;</w:t>
            </w:r>
            <w:r>
              <w:rPr>
                <w:spacing w:val="1"/>
                <w:sz w:val="18"/>
                <w:szCs w:val="18"/>
              </w:rPr>
              <w:t xml:space="preserve"> </w:t>
            </w:r>
            <w:r>
              <w:rPr>
                <w:color w:val="FF0000"/>
                <w:position w:val="8"/>
                <w:sz w:val="12"/>
                <w:szCs w:val="12"/>
              </w:rPr>
              <w:t>a</w:t>
            </w:r>
          </w:p>
        </w:tc>
      </w:tr>
      <w:tr w:rsidR="00F30BBC" w:rsidTr="0034205B">
        <w:trPr>
          <w:trHeight w:hRule="exact" w:val="211"/>
        </w:trPr>
        <w:tc>
          <w:tcPr>
            <w:tcW w:w="271" w:type="dxa"/>
            <w:tcBorders>
              <w:top w:val="nil"/>
              <w:left w:val="nil"/>
              <w:bottom w:val="nil"/>
              <w:right w:val="nil"/>
            </w:tcBorders>
          </w:tcPr>
          <w:p w:rsidR="00F30BBC" w:rsidRDefault="00F30BBC" w:rsidP="0034205B">
            <w:pPr>
              <w:spacing w:line="199" w:lineRule="exact"/>
              <w:ind w:left="40" w:right="-20"/>
              <w:rPr>
                <w:sz w:val="18"/>
                <w:szCs w:val="18"/>
              </w:rPr>
            </w:pPr>
            <w:r>
              <w:rPr>
                <w:sz w:val="18"/>
                <w:szCs w:val="18"/>
              </w:rPr>
              <w:t>-</w:t>
            </w:r>
          </w:p>
        </w:tc>
        <w:tc>
          <w:tcPr>
            <w:tcW w:w="387" w:type="dxa"/>
            <w:tcBorders>
              <w:top w:val="nil"/>
              <w:left w:val="nil"/>
              <w:bottom w:val="nil"/>
              <w:right w:val="nil"/>
            </w:tcBorders>
          </w:tcPr>
          <w:p w:rsidR="00F30BBC" w:rsidRDefault="00F30BBC" w:rsidP="0034205B">
            <w:pPr>
              <w:spacing w:line="199" w:lineRule="exact"/>
              <w:ind w:left="132" w:right="-20"/>
              <w:rPr>
                <w:sz w:val="18"/>
                <w:szCs w:val="18"/>
              </w:rPr>
            </w:pPr>
            <w:r>
              <w:rPr>
                <w:spacing w:val="1"/>
                <w:sz w:val="18"/>
                <w:szCs w:val="18"/>
              </w:rPr>
              <w:t>4)</w:t>
            </w:r>
          </w:p>
        </w:tc>
        <w:tc>
          <w:tcPr>
            <w:tcW w:w="8481" w:type="dxa"/>
            <w:tcBorders>
              <w:top w:val="nil"/>
              <w:left w:val="nil"/>
              <w:bottom w:val="nil"/>
              <w:right w:val="nil"/>
            </w:tcBorders>
          </w:tcPr>
          <w:p w:rsidR="00F30BBC" w:rsidRDefault="00F30BBC" w:rsidP="0034205B">
            <w:pPr>
              <w:spacing w:line="199" w:lineRule="exact"/>
              <w:ind w:left="103" w:right="-20"/>
              <w:rPr>
                <w:sz w:val="18"/>
                <w:szCs w:val="18"/>
              </w:rPr>
            </w:pPr>
            <w:r>
              <w:rPr>
                <w:sz w:val="18"/>
                <w:szCs w:val="18"/>
              </w:rPr>
              <w:t>The estimated cost that would be incurred to install new overhead facilities, in lieu of underground, to replace the</w:t>
            </w:r>
          </w:p>
        </w:tc>
      </w:tr>
      <w:tr w:rsidR="00F30BBC" w:rsidTr="0034205B">
        <w:trPr>
          <w:trHeight w:hRule="exact" w:val="422"/>
        </w:trPr>
        <w:tc>
          <w:tcPr>
            <w:tcW w:w="271" w:type="dxa"/>
            <w:tcBorders>
              <w:top w:val="nil"/>
              <w:left w:val="nil"/>
              <w:bottom w:val="nil"/>
              <w:right w:val="nil"/>
            </w:tcBorders>
          </w:tcPr>
          <w:p w:rsidR="00F30BBC" w:rsidRDefault="00F30BBC" w:rsidP="0034205B">
            <w:pPr>
              <w:spacing w:before="4" w:line="200" w:lineRule="exact"/>
              <w:rPr>
                <w:sz w:val="20"/>
                <w:szCs w:val="20"/>
              </w:rPr>
            </w:pPr>
          </w:p>
          <w:p w:rsidR="00F30BBC" w:rsidRDefault="00F30BBC" w:rsidP="0034205B">
            <w:pPr>
              <w:ind w:left="40" w:right="-20"/>
              <w:rPr>
                <w:sz w:val="18"/>
                <w:szCs w:val="18"/>
              </w:rPr>
            </w:pPr>
            <w:r>
              <w:rPr>
                <w:sz w:val="18"/>
                <w:szCs w:val="18"/>
              </w:rPr>
              <w:t>-</w:t>
            </w:r>
          </w:p>
        </w:tc>
        <w:tc>
          <w:tcPr>
            <w:tcW w:w="387" w:type="dxa"/>
            <w:tcBorders>
              <w:top w:val="nil"/>
              <w:left w:val="nil"/>
              <w:bottom w:val="nil"/>
              <w:right w:val="nil"/>
            </w:tcBorders>
          </w:tcPr>
          <w:p w:rsidR="00F30BBC" w:rsidRDefault="00F30BBC" w:rsidP="0034205B">
            <w:pPr>
              <w:spacing w:before="4" w:line="200" w:lineRule="exact"/>
              <w:rPr>
                <w:sz w:val="20"/>
                <w:szCs w:val="20"/>
              </w:rPr>
            </w:pPr>
          </w:p>
          <w:p w:rsidR="00F30BBC" w:rsidRDefault="00F30BBC" w:rsidP="0034205B">
            <w:pPr>
              <w:ind w:left="132" w:right="-20"/>
              <w:rPr>
                <w:sz w:val="18"/>
                <w:szCs w:val="18"/>
              </w:rPr>
            </w:pPr>
            <w:r>
              <w:rPr>
                <w:spacing w:val="1"/>
                <w:sz w:val="18"/>
                <w:szCs w:val="18"/>
              </w:rPr>
              <w:t>5)</w:t>
            </w:r>
          </w:p>
        </w:tc>
        <w:tc>
          <w:tcPr>
            <w:tcW w:w="8481" w:type="dxa"/>
            <w:tcBorders>
              <w:top w:val="nil"/>
              <w:left w:val="nil"/>
              <w:bottom w:val="nil"/>
              <w:right w:val="nil"/>
            </w:tcBorders>
          </w:tcPr>
          <w:p w:rsidR="00F30BBC" w:rsidRDefault="00F30BBC" w:rsidP="0034205B">
            <w:pPr>
              <w:spacing w:line="198" w:lineRule="exact"/>
              <w:ind w:left="103" w:right="-20"/>
              <w:rPr>
                <w:sz w:val="18"/>
                <w:szCs w:val="18"/>
              </w:rPr>
            </w:pPr>
            <w:r>
              <w:rPr>
                <w:sz w:val="18"/>
                <w:szCs w:val="18"/>
              </w:rPr>
              <w:t>existing overhead facilities (the “Hypothetical Overhead Facilities”);</w:t>
            </w:r>
          </w:p>
          <w:p w:rsidR="00F30BBC" w:rsidRDefault="00F30BBC" w:rsidP="0034205B">
            <w:pPr>
              <w:spacing w:line="213" w:lineRule="exact"/>
              <w:ind w:left="103" w:right="-20"/>
              <w:rPr>
                <w:sz w:val="12"/>
                <w:szCs w:val="12"/>
              </w:rPr>
            </w:pPr>
            <w:r>
              <w:rPr>
                <w:sz w:val="18"/>
                <w:szCs w:val="18"/>
              </w:rPr>
              <w:t>The estimated salvage value of the existing overhead facilities to be removed;</w:t>
            </w:r>
            <w:r>
              <w:rPr>
                <w:spacing w:val="-1"/>
                <w:sz w:val="18"/>
                <w:szCs w:val="18"/>
              </w:rPr>
              <w:t xml:space="preserve"> </w:t>
            </w:r>
            <w:r>
              <w:rPr>
                <w:color w:val="FF0000"/>
                <w:position w:val="8"/>
                <w:sz w:val="12"/>
                <w:szCs w:val="12"/>
              </w:rPr>
              <w:t>a</w:t>
            </w:r>
          </w:p>
        </w:tc>
      </w:tr>
      <w:tr w:rsidR="00F30BBC" w:rsidTr="0034205B">
        <w:trPr>
          <w:trHeight w:hRule="exact" w:val="211"/>
        </w:trPr>
        <w:tc>
          <w:tcPr>
            <w:tcW w:w="271" w:type="dxa"/>
            <w:tcBorders>
              <w:top w:val="nil"/>
              <w:left w:val="nil"/>
              <w:bottom w:val="nil"/>
              <w:right w:val="nil"/>
            </w:tcBorders>
          </w:tcPr>
          <w:p w:rsidR="00F30BBC" w:rsidRDefault="00F30BBC" w:rsidP="0034205B">
            <w:pPr>
              <w:spacing w:line="199" w:lineRule="exact"/>
              <w:ind w:left="40" w:right="-20"/>
              <w:rPr>
                <w:sz w:val="18"/>
                <w:szCs w:val="18"/>
              </w:rPr>
            </w:pPr>
            <w:r>
              <w:rPr>
                <w:sz w:val="18"/>
                <w:szCs w:val="18"/>
              </w:rPr>
              <w:t>+</w:t>
            </w:r>
          </w:p>
        </w:tc>
        <w:tc>
          <w:tcPr>
            <w:tcW w:w="387" w:type="dxa"/>
            <w:tcBorders>
              <w:top w:val="nil"/>
              <w:left w:val="nil"/>
              <w:bottom w:val="nil"/>
              <w:right w:val="nil"/>
            </w:tcBorders>
          </w:tcPr>
          <w:p w:rsidR="00F30BBC" w:rsidRDefault="00F30BBC" w:rsidP="0034205B">
            <w:pPr>
              <w:spacing w:line="199" w:lineRule="exact"/>
              <w:ind w:left="129" w:right="-20"/>
              <w:rPr>
                <w:sz w:val="18"/>
                <w:szCs w:val="18"/>
              </w:rPr>
            </w:pPr>
            <w:r>
              <w:rPr>
                <w:spacing w:val="1"/>
                <w:sz w:val="18"/>
                <w:szCs w:val="18"/>
              </w:rPr>
              <w:t>6)</w:t>
            </w:r>
          </w:p>
        </w:tc>
        <w:tc>
          <w:tcPr>
            <w:tcW w:w="8481" w:type="dxa"/>
            <w:tcBorders>
              <w:top w:val="nil"/>
              <w:left w:val="nil"/>
              <w:bottom w:val="nil"/>
              <w:right w:val="nil"/>
            </w:tcBorders>
          </w:tcPr>
          <w:p w:rsidR="00F30BBC" w:rsidRDefault="00F30BBC" w:rsidP="0034205B">
            <w:pPr>
              <w:spacing w:line="199" w:lineRule="exact"/>
              <w:ind w:left="103" w:right="-20"/>
              <w:rPr>
                <w:sz w:val="18"/>
                <w:szCs w:val="18"/>
              </w:rPr>
            </w:pPr>
            <w:r>
              <w:rPr>
                <w:sz w:val="18"/>
                <w:szCs w:val="18"/>
              </w:rPr>
              <w:t>The 3</w:t>
            </w:r>
            <w:r>
              <w:rPr>
                <w:spacing w:val="1"/>
                <w:sz w:val="18"/>
                <w:szCs w:val="18"/>
              </w:rPr>
              <w:t>0</w:t>
            </w:r>
            <w:r>
              <w:rPr>
                <w:sz w:val="18"/>
                <w:szCs w:val="18"/>
              </w:rPr>
              <w:t>-year net present value of the estimated no</w:t>
            </w:r>
            <w:r>
              <w:rPr>
                <w:spacing w:val="1"/>
                <w:sz w:val="18"/>
                <w:szCs w:val="18"/>
              </w:rPr>
              <w:t>n</w:t>
            </w:r>
            <w:r>
              <w:rPr>
                <w:sz w:val="18"/>
                <w:szCs w:val="18"/>
              </w:rPr>
              <w:t>-storm underground v. overhead operational costs differential,</w:t>
            </w:r>
          </w:p>
        </w:tc>
      </w:tr>
      <w:tr w:rsidR="00F30BBC" w:rsidTr="0034205B">
        <w:trPr>
          <w:trHeight w:hRule="exact" w:val="211"/>
        </w:trPr>
        <w:tc>
          <w:tcPr>
            <w:tcW w:w="271" w:type="dxa"/>
            <w:tcBorders>
              <w:top w:val="nil"/>
              <w:left w:val="nil"/>
              <w:bottom w:val="nil"/>
              <w:right w:val="nil"/>
            </w:tcBorders>
          </w:tcPr>
          <w:p w:rsidR="00F30BBC" w:rsidRDefault="00F30BBC" w:rsidP="0034205B">
            <w:pPr>
              <w:spacing w:line="199" w:lineRule="exact"/>
              <w:ind w:left="40" w:right="-20"/>
              <w:rPr>
                <w:sz w:val="18"/>
                <w:szCs w:val="18"/>
              </w:rPr>
            </w:pPr>
            <w:r>
              <w:rPr>
                <w:sz w:val="18"/>
                <w:szCs w:val="18"/>
              </w:rPr>
              <w:t>-</w:t>
            </w:r>
          </w:p>
        </w:tc>
        <w:tc>
          <w:tcPr>
            <w:tcW w:w="387" w:type="dxa"/>
            <w:tcBorders>
              <w:top w:val="nil"/>
              <w:left w:val="nil"/>
              <w:bottom w:val="nil"/>
              <w:right w:val="nil"/>
            </w:tcBorders>
          </w:tcPr>
          <w:p w:rsidR="00F30BBC" w:rsidRDefault="00F30BBC" w:rsidP="0034205B">
            <w:pPr>
              <w:spacing w:line="199" w:lineRule="exact"/>
              <w:ind w:left="132" w:right="-20"/>
              <w:rPr>
                <w:sz w:val="18"/>
                <w:szCs w:val="18"/>
              </w:rPr>
            </w:pPr>
            <w:r>
              <w:rPr>
                <w:spacing w:val="1"/>
                <w:sz w:val="18"/>
                <w:szCs w:val="18"/>
              </w:rPr>
              <w:t>7)</w:t>
            </w:r>
          </w:p>
        </w:tc>
        <w:tc>
          <w:tcPr>
            <w:tcW w:w="8481" w:type="dxa"/>
            <w:tcBorders>
              <w:top w:val="nil"/>
              <w:left w:val="nil"/>
              <w:bottom w:val="nil"/>
              <w:right w:val="nil"/>
            </w:tcBorders>
          </w:tcPr>
          <w:p w:rsidR="00F30BBC" w:rsidRDefault="00F30BBC" w:rsidP="0034205B">
            <w:pPr>
              <w:spacing w:line="199" w:lineRule="exact"/>
              <w:ind w:left="103" w:right="-20"/>
              <w:rPr>
                <w:sz w:val="18"/>
                <w:szCs w:val="18"/>
              </w:rPr>
            </w:pPr>
            <w:r>
              <w:rPr>
                <w:sz w:val="18"/>
                <w:szCs w:val="18"/>
              </w:rPr>
              <w:t xml:space="preserve">The </w:t>
            </w:r>
            <w:r>
              <w:rPr>
                <w:spacing w:val="1"/>
                <w:sz w:val="18"/>
                <w:szCs w:val="18"/>
              </w:rPr>
              <w:t>30</w:t>
            </w:r>
            <w:r>
              <w:rPr>
                <w:sz w:val="18"/>
                <w:szCs w:val="18"/>
              </w:rPr>
              <w:t>-year net present value of the estimated average Avoided Storm Restoration Costs (“ASRC”)  calculated as a</w:t>
            </w:r>
          </w:p>
        </w:tc>
      </w:tr>
      <w:tr w:rsidR="00F30BBC" w:rsidTr="0034205B">
        <w:trPr>
          <w:trHeight w:hRule="exact" w:val="211"/>
        </w:trPr>
        <w:tc>
          <w:tcPr>
            <w:tcW w:w="657" w:type="dxa"/>
            <w:gridSpan w:val="2"/>
            <w:vMerge w:val="restart"/>
            <w:tcBorders>
              <w:top w:val="nil"/>
              <w:left w:val="nil"/>
              <w:right w:val="nil"/>
            </w:tcBorders>
          </w:tcPr>
          <w:p w:rsidR="00F30BBC" w:rsidRDefault="00F30BBC" w:rsidP="0034205B"/>
        </w:tc>
        <w:tc>
          <w:tcPr>
            <w:tcW w:w="8481" w:type="dxa"/>
            <w:tcBorders>
              <w:top w:val="nil"/>
              <w:left w:val="nil"/>
              <w:bottom w:val="nil"/>
              <w:right w:val="nil"/>
            </w:tcBorders>
          </w:tcPr>
          <w:p w:rsidR="00F30BBC" w:rsidRDefault="00F30BBC" w:rsidP="0034205B">
            <w:pPr>
              <w:spacing w:line="199" w:lineRule="exact"/>
              <w:ind w:left="103" w:right="-20"/>
              <w:rPr>
                <w:sz w:val="18"/>
                <w:szCs w:val="18"/>
              </w:rPr>
            </w:pPr>
            <w:r>
              <w:rPr>
                <w:sz w:val="18"/>
                <w:szCs w:val="18"/>
              </w:rPr>
              <w:t>percentage of the sum of lines 1) through 6).  Simplified eligibility criteria for each ASRC Tier are summarized</w:t>
            </w:r>
          </w:p>
        </w:tc>
      </w:tr>
      <w:tr w:rsidR="00F30BBC" w:rsidTr="0034205B">
        <w:trPr>
          <w:trHeight w:hRule="exact" w:val="211"/>
        </w:trPr>
        <w:tc>
          <w:tcPr>
            <w:tcW w:w="657" w:type="dxa"/>
            <w:gridSpan w:val="2"/>
            <w:vMerge/>
            <w:tcBorders>
              <w:left w:val="nil"/>
              <w:right w:val="nil"/>
            </w:tcBorders>
          </w:tcPr>
          <w:p w:rsidR="00F30BBC" w:rsidRDefault="00F30BBC" w:rsidP="0034205B"/>
        </w:tc>
        <w:tc>
          <w:tcPr>
            <w:tcW w:w="8481" w:type="dxa"/>
            <w:tcBorders>
              <w:top w:val="nil"/>
              <w:left w:val="nil"/>
              <w:bottom w:val="nil"/>
              <w:right w:val="nil"/>
            </w:tcBorders>
          </w:tcPr>
          <w:p w:rsidR="00F30BBC" w:rsidRDefault="00F30BBC" w:rsidP="0034205B">
            <w:pPr>
              <w:spacing w:line="199" w:lineRule="exact"/>
              <w:ind w:left="103" w:right="-20"/>
              <w:rPr>
                <w:sz w:val="18"/>
                <w:szCs w:val="18"/>
              </w:rPr>
            </w:pPr>
            <w:r>
              <w:rPr>
                <w:spacing w:val="1"/>
                <w:sz w:val="18"/>
                <w:szCs w:val="18"/>
              </w:rPr>
              <w:t>b</w:t>
            </w:r>
            <w:r>
              <w:rPr>
                <w:sz w:val="18"/>
                <w:szCs w:val="18"/>
              </w:rPr>
              <w:t>elow.  Applicants must enter into an Underground Facilities Conversion Agreement with the Company</w:t>
            </w:r>
          </w:p>
        </w:tc>
      </w:tr>
      <w:tr w:rsidR="00F30BBC" w:rsidTr="0034205B">
        <w:trPr>
          <w:trHeight w:hRule="exact" w:val="214"/>
        </w:trPr>
        <w:tc>
          <w:tcPr>
            <w:tcW w:w="657" w:type="dxa"/>
            <w:gridSpan w:val="2"/>
            <w:vMerge/>
            <w:tcBorders>
              <w:left w:val="nil"/>
              <w:right w:val="nil"/>
            </w:tcBorders>
          </w:tcPr>
          <w:p w:rsidR="00F30BBC" w:rsidRDefault="00F30BBC" w:rsidP="0034205B"/>
        </w:tc>
        <w:tc>
          <w:tcPr>
            <w:tcW w:w="8481" w:type="dxa"/>
            <w:tcBorders>
              <w:top w:val="nil"/>
              <w:left w:val="nil"/>
              <w:bottom w:val="nil"/>
              <w:right w:val="nil"/>
            </w:tcBorders>
          </w:tcPr>
          <w:p w:rsidR="00F30BBC" w:rsidRDefault="00F30BBC" w:rsidP="0034205B">
            <w:pPr>
              <w:spacing w:line="199" w:lineRule="exact"/>
              <w:ind w:left="103" w:right="-20"/>
              <w:rPr>
                <w:sz w:val="18"/>
                <w:szCs w:val="18"/>
              </w:rPr>
            </w:pPr>
            <w:r>
              <w:rPr>
                <w:sz w:val="18"/>
                <w:szCs w:val="18"/>
              </w:rPr>
              <w:t>which provides full details on terms, conditions and compliance requirements.</w:t>
            </w:r>
          </w:p>
        </w:tc>
      </w:tr>
      <w:tr w:rsidR="00F30BBC" w:rsidTr="0034205B">
        <w:trPr>
          <w:trHeight w:hRule="exact" w:val="211"/>
        </w:trPr>
        <w:tc>
          <w:tcPr>
            <w:tcW w:w="657" w:type="dxa"/>
            <w:gridSpan w:val="2"/>
            <w:vMerge/>
            <w:tcBorders>
              <w:left w:val="nil"/>
              <w:right w:val="nil"/>
            </w:tcBorders>
          </w:tcPr>
          <w:p w:rsidR="00F30BBC" w:rsidRDefault="00F30BBC" w:rsidP="0034205B"/>
        </w:tc>
        <w:tc>
          <w:tcPr>
            <w:tcW w:w="8481" w:type="dxa"/>
            <w:tcBorders>
              <w:top w:val="nil"/>
              <w:left w:val="nil"/>
              <w:bottom w:val="nil"/>
              <w:right w:val="nil"/>
            </w:tcBorders>
          </w:tcPr>
          <w:p w:rsidR="00F30BBC" w:rsidRDefault="00F30BBC" w:rsidP="0034205B">
            <w:pPr>
              <w:tabs>
                <w:tab w:val="left" w:pos="1360"/>
                <w:tab w:val="left" w:pos="2800"/>
                <w:tab w:val="left" w:pos="4240"/>
                <w:tab w:val="left" w:pos="6400"/>
              </w:tabs>
              <w:spacing w:line="202" w:lineRule="exact"/>
              <w:ind w:left="643" w:right="-20"/>
              <w:rPr>
                <w:sz w:val="18"/>
                <w:szCs w:val="18"/>
              </w:rPr>
            </w:pPr>
            <w:r>
              <w:rPr>
                <w:b/>
                <w:bCs/>
                <w:sz w:val="18"/>
                <w:szCs w:val="18"/>
                <w:u w:val="single" w:color="000000"/>
              </w:rPr>
              <w:t>Tier</w:t>
            </w:r>
            <w:r>
              <w:rPr>
                <w:b/>
                <w:bCs/>
                <w:sz w:val="18"/>
                <w:szCs w:val="18"/>
              </w:rPr>
              <w:tab/>
            </w:r>
            <w:r>
              <w:rPr>
                <w:b/>
                <w:bCs/>
                <w:sz w:val="18"/>
                <w:szCs w:val="18"/>
                <w:u w:val="single" w:color="000000"/>
              </w:rPr>
              <w:t>Percentage</w:t>
            </w:r>
            <w:r>
              <w:rPr>
                <w:b/>
                <w:bCs/>
                <w:sz w:val="18"/>
                <w:szCs w:val="18"/>
              </w:rPr>
              <w:tab/>
            </w:r>
            <w:r>
              <w:rPr>
                <w:b/>
                <w:bCs/>
                <w:sz w:val="18"/>
                <w:szCs w:val="18"/>
                <w:u w:val="single" w:color="000000"/>
              </w:rPr>
              <w:t>Pol</w:t>
            </w:r>
            <w:r>
              <w:rPr>
                <w:b/>
                <w:bCs/>
                <w:spacing w:val="-1"/>
                <w:sz w:val="18"/>
                <w:szCs w:val="18"/>
                <w:u w:val="single" w:color="000000"/>
              </w:rPr>
              <w:t>e</w:t>
            </w:r>
            <w:r>
              <w:rPr>
                <w:b/>
                <w:bCs/>
                <w:sz w:val="18"/>
                <w:szCs w:val="18"/>
                <w:u w:val="single" w:color="000000"/>
              </w:rPr>
              <w:t>-Line</w:t>
            </w:r>
            <w:r>
              <w:rPr>
                <w:b/>
                <w:bCs/>
                <w:spacing w:val="-95"/>
                <w:sz w:val="18"/>
                <w:szCs w:val="18"/>
                <w:u w:val="single" w:color="000000"/>
              </w:rPr>
              <w:t xml:space="preserve"> </w:t>
            </w:r>
            <w:r>
              <w:rPr>
                <w:b/>
                <w:bCs/>
                <w:sz w:val="18"/>
                <w:szCs w:val="18"/>
                <w:u w:val="single" w:color="000000"/>
              </w:rPr>
              <w:t>Miles</w:t>
            </w:r>
            <w:r>
              <w:rPr>
                <w:b/>
                <w:bCs/>
                <w:sz w:val="18"/>
                <w:szCs w:val="18"/>
              </w:rPr>
              <w:tab/>
            </w:r>
            <w:r>
              <w:rPr>
                <w:b/>
                <w:bCs/>
                <w:spacing w:val="-1"/>
                <w:sz w:val="18"/>
                <w:szCs w:val="18"/>
                <w:u w:val="single" w:color="000000"/>
              </w:rPr>
              <w:t>Custo</w:t>
            </w:r>
            <w:r>
              <w:rPr>
                <w:b/>
                <w:bCs/>
                <w:spacing w:val="-6"/>
                <w:sz w:val="18"/>
                <w:szCs w:val="18"/>
                <w:u w:val="single" w:color="000000"/>
              </w:rPr>
              <w:t>m</w:t>
            </w:r>
            <w:r>
              <w:rPr>
                <w:b/>
                <w:bCs/>
                <w:spacing w:val="-1"/>
                <w:sz w:val="18"/>
                <w:szCs w:val="18"/>
                <w:u w:val="single" w:color="000000"/>
              </w:rPr>
              <w:t>er</w:t>
            </w:r>
            <w:r>
              <w:rPr>
                <w:b/>
                <w:bCs/>
                <w:spacing w:val="-96"/>
                <w:sz w:val="18"/>
                <w:szCs w:val="18"/>
                <w:u w:val="single" w:color="000000"/>
              </w:rPr>
              <w:t xml:space="preserve"> </w:t>
            </w:r>
            <w:r>
              <w:rPr>
                <w:b/>
                <w:bCs/>
                <w:spacing w:val="-1"/>
                <w:sz w:val="18"/>
                <w:szCs w:val="18"/>
                <w:u w:val="single" w:color="000000"/>
              </w:rPr>
              <w:t>Conver</w:t>
            </w:r>
            <w:r>
              <w:rPr>
                <w:b/>
                <w:bCs/>
                <w:sz w:val="18"/>
                <w:szCs w:val="18"/>
                <w:u w:val="single" w:color="000000"/>
              </w:rPr>
              <w:t>s</w:t>
            </w:r>
            <w:r>
              <w:rPr>
                <w:b/>
                <w:bCs/>
                <w:spacing w:val="-1"/>
                <w:sz w:val="18"/>
                <w:szCs w:val="18"/>
                <w:u w:val="single" w:color="000000"/>
              </w:rPr>
              <w:t>ion</w:t>
            </w:r>
            <w:r>
              <w:rPr>
                <w:b/>
                <w:bCs/>
                <w:sz w:val="18"/>
                <w:szCs w:val="18"/>
                <w:u w:val="single" w:color="000000"/>
              </w:rPr>
              <w:t>s</w:t>
            </w:r>
            <w:r>
              <w:rPr>
                <w:b/>
                <w:bCs/>
                <w:sz w:val="18"/>
                <w:szCs w:val="18"/>
              </w:rPr>
              <w:tab/>
            </w:r>
            <w:r>
              <w:rPr>
                <w:b/>
                <w:bCs/>
                <w:spacing w:val="-1"/>
                <w:sz w:val="18"/>
                <w:szCs w:val="18"/>
                <w:u w:val="single" w:color="000000"/>
              </w:rPr>
              <w:t>Co</w:t>
            </w:r>
            <w:r>
              <w:rPr>
                <w:b/>
                <w:bCs/>
                <w:spacing w:val="-6"/>
                <w:sz w:val="18"/>
                <w:szCs w:val="18"/>
                <w:u w:val="single" w:color="000000"/>
              </w:rPr>
              <w:t>m</w:t>
            </w:r>
            <w:r>
              <w:rPr>
                <w:b/>
                <w:bCs/>
                <w:sz w:val="18"/>
                <w:szCs w:val="18"/>
                <w:u w:val="single" w:color="000000"/>
              </w:rPr>
              <w:t>pletion</w:t>
            </w:r>
          </w:p>
        </w:tc>
      </w:tr>
      <w:tr w:rsidR="00F30BBC" w:rsidTr="0034205B">
        <w:trPr>
          <w:trHeight w:hRule="exact" w:val="209"/>
        </w:trPr>
        <w:tc>
          <w:tcPr>
            <w:tcW w:w="657" w:type="dxa"/>
            <w:gridSpan w:val="2"/>
            <w:vMerge/>
            <w:tcBorders>
              <w:left w:val="nil"/>
              <w:right w:val="nil"/>
            </w:tcBorders>
          </w:tcPr>
          <w:p w:rsidR="00F30BBC" w:rsidRDefault="00F30BBC" w:rsidP="0034205B"/>
        </w:tc>
        <w:tc>
          <w:tcPr>
            <w:tcW w:w="8481" w:type="dxa"/>
            <w:tcBorders>
              <w:top w:val="nil"/>
              <w:left w:val="nil"/>
              <w:bottom w:val="nil"/>
              <w:right w:val="nil"/>
            </w:tcBorders>
          </w:tcPr>
          <w:p w:rsidR="00F30BBC" w:rsidRDefault="00F30BBC" w:rsidP="0034205B">
            <w:pPr>
              <w:tabs>
                <w:tab w:val="left" w:pos="1680"/>
                <w:tab w:val="left" w:pos="3020"/>
                <w:tab w:val="left" w:pos="4680"/>
                <w:tab w:val="left" w:pos="6520"/>
              </w:tabs>
              <w:spacing w:line="197" w:lineRule="exact"/>
              <w:ind w:left="779" w:right="-20"/>
              <w:rPr>
                <w:sz w:val="18"/>
                <w:szCs w:val="18"/>
              </w:rPr>
            </w:pPr>
            <w:r>
              <w:rPr>
                <w:sz w:val="18"/>
                <w:szCs w:val="18"/>
              </w:rPr>
              <w:t>1</w:t>
            </w:r>
            <w:r>
              <w:rPr>
                <w:spacing w:val="2"/>
                <w:sz w:val="18"/>
                <w:szCs w:val="18"/>
              </w:rPr>
              <w:t xml:space="preserve"> </w:t>
            </w:r>
            <w:r>
              <w:rPr>
                <w:sz w:val="18"/>
                <w:szCs w:val="18"/>
              </w:rPr>
              <w:t>*</w:t>
            </w:r>
            <w:r>
              <w:rPr>
                <w:sz w:val="18"/>
                <w:szCs w:val="18"/>
              </w:rPr>
              <w:tab/>
            </w:r>
            <w:r>
              <w:rPr>
                <w:spacing w:val="1"/>
                <w:sz w:val="18"/>
                <w:szCs w:val="18"/>
              </w:rPr>
              <w:t>25</w:t>
            </w:r>
            <w:r>
              <w:rPr>
                <w:sz w:val="18"/>
                <w:szCs w:val="18"/>
              </w:rPr>
              <w:t>%</w:t>
            </w:r>
            <w:r>
              <w:rPr>
                <w:sz w:val="18"/>
                <w:szCs w:val="18"/>
              </w:rPr>
              <w:tab/>
              <w:t>3 or more</w:t>
            </w:r>
            <w:r>
              <w:rPr>
                <w:sz w:val="18"/>
                <w:szCs w:val="18"/>
              </w:rPr>
              <w:tab/>
            </w:r>
            <w:r>
              <w:rPr>
                <w:spacing w:val="1"/>
                <w:sz w:val="18"/>
                <w:szCs w:val="18"/>
              </w:rPr>
              <w:t>100</w:t>
            </w:r>
            <w:r>
              <w:rPr>
                <w:sz w:val="18"/>
                <w:szCs w:val="18"/>
              </w:rPr>
              <w:t>%</w:t>
            </w:r>
            <w:r>
              <w:rPr>
                <w:sz w:val="18"/>
                <w:szCs w:val="18"/>
              </w:rPr>
              <w:tab/>
              <w:t>3</w:t>
            </w:r>
            <w:r>
              <w:rPr>
                <w:spacing w:val="1"/>
                <w:sz w:val="18"/>
                <w:szCs w:val="18"/>
              </w:rPr>
              <w:t xml:space="preserve"> </w:t>
            </w:r>
            <w:r>
              <w:rPr>
                <w:sz w:val="18"/>
                <w:szCs w:val="18"/>
              </w:rPr>
              <w:t>phases</w:t>
            </w:r>
          </w:p>
        </w:tc>
      </w:tr>
      <w:tr w:rsidR="00F30BBC" w:rsidTr="0034205B">
        <w:trPr>
          <w:trHeight w:hRule="exact" w:val="211"/>
        </w:trPr>
        <w:tc>
          <w:tcPr>
            <w:tcW w:w="657" w:type="dxa"/>
            <w:gridSpan w:val="2"/>
            <w:vMerge/>
            <w:tcBorders>
              <w:left w:val="nil"/>
              <w:right w:val="nil"/>
            </w:tcBorders>
          </w:tcPr>
          <w:p w:rsidR="00F30BBC" w:rsidRDefault="00F30BBC" w:rsidP="0034205B"/>
        </w:tc>
        <w:tc>
          <w:tcPr>
            <w:tcW w:w="8481" w:type="dxa"/>
            <w:tcBorders>
              <w:top w:val="nil"/>
              <w:left w:val="nil"/>
              <w:bottom w:val="nil"/>
              <w:right w:val="nil"/>
            </w:tcBorders>
          </w:tcPr>
          <w:p w:rsidR="00F30BBC" w:rsidRDefault="00F30BBC" w:rsidP="0034205B">
            <w:pPr>
              <w:tabs>
                <w:tab w:val="left" w:pos="1680"/>
                <w:tab w:val="left" w:pos="3120"/>
                <w:tab w:val="left" w:pos="4680"/>
                <w:tab w:val="left" w:pos="6520"/>
              </w:tabs>
              <w:spacing w:line="199" w:lineRule="exact"/>
              <w:ind w:left="779" w:right="-20"/>
              <w:rPr>
                <w:sz w:val="18"/>
                <w:szCs w:val="18"/>
              </w:rPr>
            </w:pPr>
            <w:r>
              <w:rPr>
                <w:sz w:val="18"/>
                <w:szCs w:val="18"/>
              </w:rPr>
              <w:t>2</w:t>
            </w:r>
            <w:r>
              <w:rPr>
                <w:sz w:val="18"/>
                <w:szCs w:val="18"/>
              </w:rPr>
              <w:tab/>
            </w:r>
            <w:r>
              <w:rPr>
                <w:spacing w:val="1"/>
                <w:sz w:val="18"/>
                <w:szCs w:val="18"/>
              </w:rPr>
              <w:t>10</w:t>
            </w:r>
            <w:r>
              <w:rPr>
                <w:sz w:val="18"/>
                <w:szCs w:val="18"/>
              </w:rPr>
              <w:t>%</w:t>
            </w:r>
            <w:r>
              <w:rPr>
                <w:sz w:val="18"/>
                <w:szCs w:val="18"/>
              </w:rPr>
              <w:tab/>
              <w:t>1</w:t>
            </w:r>
            <w:r>
              <w:rPr>
                <w:spacing w:val="1"/>
                <w:sz w:val="18"/>
                <w:szCs w:val="18"/>
              </w:rPr>
              <w:t xml:space="preserve"> t</w:t>
            </w:r>
            <w:r>
              <w:rPr>
                <w:sz w:val="18"/>
                <w:szCs w:val="18"/>
              </w:rPr>
              <w:t>o</w:t>
            </w:r>
            <w:r>
              <w:rPr>
                <w:spacing w:val="1"/>
                <w:sz w:val="18"/>
                <w:szCs w:val="18"/>
              </w:rPr>
              <w:t xml:space="preserve"> &lt;</w:t>
            </w:r>
            <w:r>
              <w:rPr>
                <w:sz w:val="18"/>
                <w:szCs w:val="18"/>
              </w:rPr>
              <w:t>3</w:t>
            </w:r>
            <w:r>
              <w:rPr>
                <w:sz w:val="18"/>
                <w:szCs w:val="18"/>
              </w:rPr>
              <w:tab/>
            </w:r>
            <w:r>
              <w:rPr>
                <w:spacing w:val="1"/>
                <w:sz w:val="18"/>
                <w:szCs w:val="18"/>
              </w:rPr>
              <w:t>100</w:t>
            </w:r>
            <w:r>
              <w:rPr>
                <w:sz w:val="18"/>
                <w:szCs w:val="18"/>
              </w:rPr>
              <w:t>%</w:t>
            </w:r>
            <w:r>
              <w:rPr>
                <w:sz w:val="18"/>
                <w:szCs w:val="18"/>
              </w:rPr>
              <w:tab/>
              <w:t>3 phases</w:t>
            </w:r>
          </w:p>
        </w:tc>
      </w:tr>
      <w:tr w:rsidR="00F30BBC" w:rsidTr="0034205B">
        <w:trPr>
          <w:trHeight w:hRule="exact" w:val="296"/>
        </w:trPr>
        <w:tc>
          <w:tcPr>
            <w:tcW w:w="657" w:type="dxa"/>
            <w:gridSpan w:val="2"/>
            <w:vMerge/>
            <w:tcBorders>
              <w:left w:val="nil"/>
              <w:bottom w:val="nil"/>
              <w:right w:val="nil"/>
            </w:tcBorders>
          </w:tcPr>
          <w:p w:rsidR="00F30BBC" w:rsidRDefault="00F30BBC" w:rsidP="0034205B"/>
        </w:tc>
        <w:tc>
          <w:tcPr>
            <w:tcW w:w="8481" w:type="dxa"/>
            <w:tcBorders>
              <w:top w:val="nil"/>
              <w:left w:val="nil"/>
              <w:bottom w:val="nil"/>
              <w:right w:val="nil"/>
            </w:tcBorders>
          </w:tcPr>
          <w:p w:rsidR="00F30BBC" w:rsidRDefault="00F30BBC" w:rsidP="0034205B">
            <w:pPr>
              <w:tabs>
                <w:tab w:val="left" w:pos="1760"/>
                <w:tab w:val="left" w:pos="3240"/>
                <w:tab w:val="left" w:pos="4780"/>
                <w:tab w:val="left" w:pos="6760"/>
              </w:tabs>
              <w:spacing w:line="199" w:lineRule="exact"/>
              <w:ind w:left="779" w:right="-20"/>
              <w:rPr>
                <w:sz w:val="18"/>
                <w:szCs w:val="18"/>
              </w:rPr>
            </w:pPr>
            <w:r>
              <w:rPr>
                <w:sz w:val="18"/>
                <w:szCs w:val="18"/>
              </w:rPr>
              <w:t>3</w:t>
            </w:r>
            <w:r>
              <w:rPr>
                <w:sz w:val="18"/>
                <w:szCs w:val="18"/>
              </w:rPr>
              <w:tab/>
            </w:r>
            <w:r>
              <w:rPr>
                <w:spacing w:val="1"/>
                <w:sz w:val="18"/>
                <w:szCs w:val="18"/>
              </w:rPr>
              <w:t>5</w:t>
            </w:r>
            <w:r>
              <w:rPr>
                <w:sz w:val="18"/>
                <w:szCs w:val="18"/>
              </w:rPr>
              <w:t>%</w:t>
            </w:r>
            <w:r>
              <w:rPr>
                <w:sz w:val="18"/>
                <w:szCs w:val="18"/>
              </w:rPr>
              <w:tab/>
              <w:t>&lt; 1</w:t>
            </w:r>
            <w:r>
              <w:rPr>
                <w:sz w:val="18"/>
                <w:szCs w:val="18"/>
              </w:rPr>
              <w:tab/>
            </w:r>
            <w:r>
              <w:rPr>
                <w:spacing w:val="1"/>
                <w:sz w:val="18"/>
                <w:szCs w:val="18"/>
              </w:rPr>
              <w:t>n/</w:t>
            </w:r>
            <w:r>
              <w:rPr>
                <w:sz w:val="18"/>
                <w:szCs w:val="18"/>
              </w:rPr>
              <w:t>a</w:t>
            </w:r>
            <w:r>
              <w:rPr>
                <w:sz w:val="18"/>
                <w:szCs w:val="18"/>
              </w:rPr>
              <w:tab/>
            </w:r>
            <w:r>
              <w:rPr>
                <w:spacing w:val="1"/>
                <w:sz w:val="18"/>
                <w:szCs w:val="18"/>
              </w:rPr>
              <w:t>n/a</w:t>
            </w:r>
          </w:p>
        </w:tc>
      </w:tr>
    </w:tbl>
    <w:p w:rsidR="00F30BBC" w:rsidRDefault="00F30BBC" w:rsidP="00F30BBC">
      <w:pPr>
        <w:spacing w:before="9" w:line="110" w:lineRule="exact"/>
        <w:rPr>
          <w:sz w:val="11"/>
          <w:szCs w:val="11"/>
        </w:rPr>
      </w:pPr>
    </w:p>
    <w:p w:rsidR="00F30BBC" w:rsidRDefault="00F30BBC" w:rsidP="00F30BBC">
      <w:pPr>
        <w:ind w:left="1542" w:right="692"/>
        <w:jc w:val="both"/>
        <w:rPr>
          <w:sz w:val="18"/>
          <w:szCs w:val="18"/>
        </w:rPr>
      </w:pPr>
      <w:r>
        <w:rPr>
          <w:sz w:val="18"/>
          <w:szCs w:val="18"/>
        </w:rPr>
        <w:t>*</w:t>
      </w:r>
      <w:r>
        <w:rPr>
          <w:spacing w:val="-5"/>
          <w:sz w:val="18"/>
          <w:szCs w:val="18"/>
        </w:rPr>
        <w:t xml:space="preserve"> </w:t>
      </w:r>
      <w:r>
        <w:rPr>
          <w:sz w:val="18"/>
          <w:szCs w:val="18"/>
        </w:rPr>
        <w:t>The GAF Waiver will apply in lieu of Tier 1 ASRC for eligible conversions by Local Government Applicants.</w:t>
      </w:r>
    </w:p>
    <w:p w:rsidR="00F30BBC" w:rsidRDefault="00F30BBC" w:rsidP="00F30BBC">
      <w:pPr>
        <w:spacing w:before="86" w:line="244" w:lineRule="auto"/>
        <w:ind w:left="1542" w:right="68"/>
        <w:jc w:val="both"/>
        <w:rPr>
          <w:sz w:val="18"/>
          <w:szCs w:val="18"/>
        </w:rPr>
      </w:pPr>
      <w:r>
        <w:rPr>
          <w:color w:val="FF0000"/>
          <w:position w:val="8"/>
          <w:sz w:val="12"/>
          <w:szCs w:val="12"/>
        </w:rPr>
        <w:t>a</w:t>
      </w:r>
      <w:r>
        <w:rPr>
          <w:color w:val="FF0000"/>
          <w:spacing w:val="27"/>
          <w:position w:val="8"/>
          <w:sz w:val="12"/>
          <w:szCs w:val="12"/>
        </w:rPr>
        <w:t xml:space="preserve"> </w:t>
      </w:r>
      <w:r>
        <w:rPr>
          <w:color w:val="FF0000"/>
          <w:spacing w:val="1"/>
          <w:sz w:val="18"/>
          <w:szCs w:val="18"/>
        </w:rPr>
        <w:t>I</w:t>
      </w:r>
      <w:r>
        <w:rPr>
          <w:color w:val="FF0000"/>
          <w:sz w:val="18"/>
          <w:szCs w:val="18"/>
        </w:rPr>
        <w:t>n</w:t>
      </w:r>
      <w:r>
        <w:rPr>
          <w:color w:val="FF0000"/>
          <w:spacing w:val="11"/>
          <w:sz w:val="18"/>
          <w:szCs w:val="18"/>
        </w:rPr>
        <w:t xml:space="preserve"> </w:t>
      </w:r>
      <w:r>
        <w:rPr>
          <w:color w:val="FF0000"/>
          <w:sz w:val="18"/>
          <w:szCs w:val="18"/>
        </w:rPr>
        <w:t>calculating</w:t>
      </w:r>
      <w:r>
        <w:rPr>
          <w:color w:val="FF0000"/>
          <w:spacing w:val="10"/>
          <w:sz w:val="18"/>
          <w:szCs w:val="18"/>
        </w:rPr>
        <w:t xml:space="preserve"> </w:t>
      </w:r>
      <w:r>
        <w:rPr>
          <w:color w:val="FF0000"/>
          <w:sz w:val="18"/>
          <w:szCs w:val="18"/>
        </w:rPr>
        <w:t>the</w:t>
      </w:r>
      <w:r>
        <w:rPr>
          <w:color w:val="FF0000"/>
          <w:spacing w:val="10"/>
          <w:sz w:val="18"/>
          <w:szCs w:val="18"/>
        </w:rPr>
        <w:t xml:space="preserve"> </w:t>
      </w:r>
      <w:r>
        <w:rPr>
          <w:color w:val="FF0000"/>
          <w:sz w:val="18"/>
          <w:szCs w:val="18"/>
        </w:rPr>
        <w:t>Applicant’s</w:t>
      </w:r>
      <w:r>
        <w:rPr>
          <w:color w:val="FF0000"/>
          <w:spacing w:val="10"/>
          <w:sz w:val="18"/>
          <w:szCs w:val="18"/>
        </w:rPr>
        <w:t xml:space="preserve"> </w:t>
      </w:r>
      <w:r>
        <w:rPr>
          <w:color w:val="FF0000"/>
          <w:sz w:val="18"/>
          <w:szCs w:val="18"/>
        </w:rPr>
        <w:t>CIAC,</w:t>
      </w:r>
      <w:r>
        <w:rPr>
          <w:color w:val="FF0000"/>
          <w:spacing w:val="10"/>
          <w:sz w:val="18"/>
          <w:szCs w:val="18"/>
        </w:rPr>
        <w:t xml:space="preserve"> </w:t>
      </w:r>
      <w:r>
        <w:rPr>
          <w:color w:val="FF0000"/>
          <w:sz w:val="18"/>
          <w:szCs w:val="18"/>
        </w:rPr>
        <w:t>elements</w:t>
      </w:r>
      <w:r>
        <w:rPr>
          <w:color w:val="FF0000"/>
          <w:spacing w:val="10"/>
          <w:sz w:val="18"/>
          <w:szCs w:val="18"/>
        </w:rPr>
        <w:t xml:space="preserve"> </w:t>
      </w:r>
      <w:r>
        <w:rPr>
          <w:color w:val="FF0000"/>
          <w:spacing w:val="1"/>
          <w:sz w:val="18"/>
          <w:szCs w:val="18"/>
        </w:rPr>
        <w:t>2</w:t>
      </w:r>
      <w:r>
        <w:rPr>
          <w:color w:val="FF0000"/>
          <w:sz w:val="18"/>
          <w:szCs w:val="18"/>
        </w:rPr>
        <w:t>,</w:t>
      </w:r>
      <w:r>
        <w:rPr>
          <w:color w:val="FF0000"/>
          <w:spacing w:val="11"/>
          <w:sz w:val="18"/>
          <w:szCs w:val="18"/>
        </w:rPr>
        <w:t xml:space="preserve"> </w:t>
      </w:r>
      <w:r>
        <w:rPr>
          <w:color w:val="FF0000"/>
          <w:spacing w:val="1"/>
          <w:sz w:val="18"/>
          <w:szCs w:val="18"/>
        </w:rPr>
        <w:t>3</w:t>
      </w:r>
      <w:r>
        <w:rPr>
          <w:color w:val="FF0000"/>
          <w:sz w:val="18"/>
          <w:szCs w:val="18"/>
        </w:rPr>
        <w:t>,</w:t>
      </w:r>
      <w:r>
        <w:rPr>
          <w:color w:val="FF0000"/>
          <w:spacing w:val="11"/>
          <w:sz w:val="18"/>
          <w:szCs w:val="18"/>
        </w:rPr>
        <w:t xml:space="preserve"> </w:t>
      </w:r>
      <w:r>
        <w:rPr>
          <w:color w:val="FF0000"/>
          <w:spacing w:val="1"/>
          <w:sz w:val="18"/>
          <w:szCs w:val="18"/>
        </w:rPr>
        <w:t>an</w:t>
      </w:r>
      <w:r>
        <w:rPr>
          <w:color w:val="FF0000"/>
          <w:sz w:val="18"/>
          <w:szCs w:val="18"/>
        </w:rPr>
        <w:t>d</w:t>
      </w:r>
      <w:r>
        <w:rPr>
          <w:color w:val="FF0000"/>
          <w:spacing w:val="11"/>
          <w:sz w:val="18"/>
          <w:szCs w:val="18"/>
        </w:rPr>
        <w:t xml:space="preserve"> </w:t>
      </w:r>
      <w:r>
        <w:rPr>
          <w:color w:val="FF0000"/>
          <w:sz w:val="18"/>
          <w:szCs w:val="18"/>
        </w:rPr>
        <w:t>5</w:t>
      </w:r>
      <w:r>
        <w:rPr>
          <w:color w:val="FF0000"/>
          <w:spacing w:val="11"/>
          <w:sz w:val="18"/>
          <w:szCs w:val="18"/>
        </w:rPr>
        <w:t xml:space="preserve"> </w:t>
      </w:r>
      <w:r>
        <w:rPr>
          <w:color w:val="FF0000"/>
          <w:spacing w:val="-1"/>
          <w:sz w:val="18"/>
          <w:szCs w:val="18"/>
        </w:rPr>
        <w:t>o</w:t>
      </w:r>
      <w:r>
        <w:rPr>
          <w:color w:val="FF0000"/>
          <w:sz w:val="18"/>
          <w:szCs w:val="18"/>
        </w:rPr>
        <w:t>f</w:t>
      </w:r>
      <w:r>
        <w:rPr>
          <w:color w:val="FF0000"/>
          <w:spacing w:val="10"/>
          <w:sz w:val="18"/>
          <w:szCs w:val="18"/>
        </w:rPr>
        <w:t xml:space="preserve"> </w:t>
      </w:r>
      <w:r>
        <w:rPr>
          <w:color w:val="FF0000"/>
          <w:sz w:val="18"/>
          <w:szCs w:val="18"/>
        </w:rPr>
        <w:t>the</w:t>
      </w:r>
      <w:r>
        <w:rPr>
          <w:color w:val="FF0000"/>
          <w:spacing w:val="10"/>
          <w:sz w:val="18"/>
          <w:szCs w:val="18"/>
        </w:rPr>
        <w:t xml:space="preserve"> </w:t>
      </w:r>
      <w:r>
        <w:rPr>
          <w:color w:val="FF0000"/>
          <w:spacing w:val="-1"/>
          <w:sz w:val="18"/>
          <w:szCs w:val="18"/>
        </w:rPr>
        <w:t>CIA</w:t>
      </w:r>
      <w:r>
        <w:rPr>
          <w:color w:val="FF0000"/>
          <w:sz w:val="18"/>
          <w:szCs w:val="18"/>
        </w:rPr>
        <w:t>C</w:t>
      </w:r>
      <w:r>
        <w:rPr>
          <w:color w:val="FF0000"/>
          <w:spacing w:val="9"/>
          <w:sz w:val="18"/>
          <w:szCs w:val="18"/>
        </w:rPr>
        <w:t xml:space="preserve"> </w:t>
      </w:r>
      <w:r>
        <w:rPr>
          <w:color w:val="FF0000"/>
          <w:sz w:val="18"/>
          <w:szCs w:val="18"/>
        </w:rPr>
        <w:t>formula</w:t>
      </w:r>
      <w:r>
        <w:rPr>
          <w:color w:val="FF0000"/>
          <w:spacing w:val="10"/>
          <w:sz w:val="18"/>
          <w:szCs w:val="18"/>
        </w:rPr>
        <w:t xml:space="preserve"> </w:t>
      </w:r>
      <w:r>
        <w:rPr>
          <w:color w:val="FF0000"/>
          <w:sz w:val="18"/>
          <w:szCs w:val="18"/>
        </w:rPr>
        <w:t>above</w:t>
      </w:r>
      <w:r>
        <w:rPr>
          <w:color w:val="FF0000"/>
          <w:spacing w:val="10"/>
          <w:sz w:val="18"/>
          <w:szCs w:val="18"/>
        </w:rPr>
        <w:t xml:space="preserve"> </w:t>
      </w:r>
      <w:r>
        <w:rPr>
          <w:color w:val="FF0000"/>
          <w:sz w:val="18"/>
          <w:szCs w:val="18"/>
        </w:rPr>
        <w:t>are</w:t>
      </w:r>
      <w:r>
        <w:rPr>
          <w:color w:val="FF0000"/>
          <w:spacing w:val="10"/>
          <w:sz w:val="18"/>
          <w:szCs w:val="18"/>
        </w:rPr>
        <w:t xml:space="preserve"> </w:t>
      </w:r>
      <w:r>
        <w:rPr>
          <w:color w:val="FF0000"/>
          <w:spacing w:val="1"/>
          <w:sz w:val="18"/>
          <w:szCs w:val="18"/>
        </w:rPr>
        <w:t>t</w:t>
      </w:r>
      <w:r>
        <w:rPr>
          <w:color w:val="FF0000"/>
          <w:sz w:val="18"/>
          <w:szCs w:val="18"/>
        </w:rPr>
        <w:t>o</w:t>
      </w:r>
      <w:r>
        <w:rPr>
          <w:color w:val="FF0000"/>
          <w:spacing w:val="11"/>
          <w:sz w:val="18"/>
          <w:szCs w:val="18"/>
        </w:rPr>
        <w:t xml:space="preserve"> </w:t>
      </w:r>
      <w:r>
        <w:rPr>
          <w:color w:val="FF0000"/>
          <w:sz w:val="18"/>
          <w:szCs w:val="18"/>
        </w:rPr>
        <w:t>be</w:t>
      </w:r>
      <w:r>
        <w:rPr>
          <w:color w:val="FF0000"/>
          <w:spacing w:val="10"/>
          <w:sz w:val="18"/>
          <w:szCs w:val="18"/>
        </w:rPr>
        <w:t xml:space="preserve"> </w:t>
      </w:r>
      <w:r>
        <w:rPr>
          <w:color w:val="FF0000"/>
          <w:sz w:val="18"/>
          <w:szCs w:val="18"/>
        </w:rPr>
        <w:t>excluded</w:t>
      </w:r>
      <w:r>
        <w:rPr>
          <w:color w:val="FF0000"/>
          <w:spacing w:val="10"/>
          <w:sz w:val="18"/>
          <w:szCs w:val="18"/>
        </w:rPr>
        <w:t xml:space="preserve"> </w:t>
      </w:r>
      <w:r>
        <w:rPr>
          <w:color w:val="FF0000"/>
          <w:spacing w:val="-1"/>
          <w:sz w:val="18"/>
          <w:szCs w:val="18"/>
        </w:rPr>
        <w:t>fro</w:t>
      </w:r>
      <w:r>
        <w:rPr>
          <w:color w:val="FF0000"/>
          <w:sz w:val="18"/>
          <w:szCs w:val="18"/>
        </w:rPr>
        <w:t>m</w:t>
      </w:r>
      <w:r>
        <w:rPr>
          <w:color w:val="FF0000"/>
          <w:spacing w:val="9"/>
          <w:sz w:val="18"/>
          <w:szCs w:val="18"/>
        </w:rPr>
        <w:t xml:space="preserve"> </w:t>
      </w:r>
      <w:r>
        <w:rPr>
          <w:color w:val="FF0000"/>
          <w:spacing w:val="-1"/>
          <w:sz w:val="18"/>
          <w:szCs w:val="18"/>
        </w:rPr>
        <w:t xml:space="preserve">CIAC </w:t>
      </w:r>
      <w:r>
        <w:rPr>
          <w:color w:val="FF0000"/>
          <w:sz w:val="18"/>
          <w:szCs w:val="18"/>
          <w:u w:val="single" w:color="FF0000"/>
        </w:rPr>
        <w:t>due</w:t>
      </w:r>
      <w:r>
        <w:rPr>
          <w:color w:val="FF0000"/>
          <w:spacing w:val="-45"/>
          <w:sz w:val="18"/>
          <w:szCs w:val="18"/>
          <w:u w:val="single" w:color="FF0000"/>
        </w:rPr>
        <w:t xml:space="preserve"> </w:t>
      </w:r>
      <w:r>
        <w:rPr>
          <w:color w:val="FF0000"/>
          <w:sz w:val="18"/>
          <w:szCs w:val="18"/>
          <w:u w:val="single" w:color="FF0000"/>
        </w:rPr>
        <w:t>from</w:t>
      </w:r>
      <w:r>
        <w:rPr>
          <w:color w:val="FF0000"/>
          <w:spacing w:val="-45"/>
          <w:sz w:val="18"/>
          <w:szCs w:val="18"/>
          <w:u w:val="single" w:color="FF0000"/>
        </w:rPr>
        <w:t xml:space="preserve"> </w:t>
      </w:r>
      <w:r>
        <w:rPr>
          <w:color w:val="FF0000"/>
          <w:sz w:val="18"/>
          <w:szCs w:val="18"/>
          <w:u w:val="single" w:color="FF0000"/>
        </w:rPr>
        <w:t>an</w:t>
      </w:r>
      <w:r>
        <w:rPr>
          <w:color w:val="FF0000"/>
          <w:spacing w:val="-45"/>
          <w:sz w:val="18"/>
          <w:szCs w:val="18"/>
          <w:u w:val="single" w:color="FF0000"/>
        </w:rPr>
        <w:t xml:space="preserve"> </w:t>
      </w:r>
      <w:r>
        <w:rPr>
          <w:color w:val="FF0000"/>
          <w:sz w:val="18"/>
          <w:szCs w:val="18"/>
          <w:u w:val="single" w:color="FF0000"/>
        </w:rPr>
        <w:t>applica</w:t>
      </w:r>
      <w:r>
        <w:rPr>
          <w:color w:val="FF0000"/>
          <w:spacing w:val="1"/>
          <w:sz w:val="18"/>
          <w:szCs w:val="18"/>
          <w:u w:val="single" w:color="FF0000"/>
        </w:rPr>
        <w:t>n</w:t>
      </w:r>
      <w:r>
        <w:rPr>
          <w:color w:val="FF0000"/>
          <w:sz w:val="18"/>
          <w:szCs w:val="18"/>
          <w:u w:val="single" w:color="FF0000"/>
        </w:rPr>
        <w:t>t</w:t>
      </w:r>
      <w:r>
        <w:rPr>
          <w:color w:val="FF0000"/>
          <w:spacing w:val="-44"/>
          <w:sz w:val="18"/>
          <w:szCs w:val="18"/>
          <w:u w:val="single" w:color="FF0000"/>
        </w:rPr>
        <w:t xml:space="preserve"> </w:t>
      </w:r>
      <w:r>
        <w:rPr>
          <w:color w:val="FF0000"/>
          <w:spacing w:val="1"/>
          <w:sz w:val="18"/>
          <w:szCs w:val="18"/>
          <w:u w:val="single" w:color="FF0000"/>
        </w:rPr>
        <w:t>who</w:t>
      </w:r>
      <w:r>
        <w:rPr>
          <w:color w:val="FF0000"/>
          <w:spacing w:val="-44"/>
          <w:sz w:val="18"/>
          <w:szCs w:val="18"/>
          <w:u w:val="single" w:color="FF0000"/>
        </w:rPr>
        <w:t xml:space="preserve"> </w:t>
      </w:r>
      <w:r>
        <w:rPr>
          <w:color w:val="FF0000"/>
          <w:spacing w:val="1"/>
          <w:sz w:val="18"/>
          <w:szCs w:val="18"/>
          <w:u w:val="single" w:color="FF0000"/>
        </w:rPr>
        <w:t>submits</w:t>
      </w:r>
      <w:r>
        <w:rPr>
          <w:color w:val="FF0000"/>
          <w:spacing w:val="-44"/>
          <w:sz w:val="18"/>
          <w:szCs w:val="18"/>
          <w:u w:val="single" w:color="FF0000"/>
        </w:rPr>
        <w:t xml:space="preserve"> </w:t>
      </w:r>
      <w:r>
        <w:rPr>
          <w:color w:val="FF0000"/>
          <w:spacing w:val="1"/>
          <w:sz w:val="18"/>
          <w:szCs w:val="18"/>
          <w:u w:val="single" w:color="FF0000"/>
        </w:rPr>
        <w:t>an</w:t>
      </w:r>
      <w:r>
        <w:rPr>
          <w:color w:val="FF0000"/>
          <w:spacing w:val="-44"/>
          <w:sz w:val="18"/>
          <w:szCs w:val="18"/>
          <w:u w:val="single" w:color="FF0000"/>
        </w:rPr>
        <w:t xml:space="preserve"> </w:t>
      </w:r>
      <w:r>
        <w:rPr>
          <w:color w:val="FF0000"/>
          <w:spacing w:val="1"/>
          <w:sz w:val="18"/>
          <w:szCs w:val="18"/>
          <w:u w:val="single" w:color="FF0000"/>
        </w:rPr>
        <w:t>application</w:t>
      </w:r>
      <w:r>
        <w:rPr>
          <w:color w:val="FF0000"/>
          <w:spacing w:val="-44"/>
          <w:sz w:val="18"/>
          <w:szCs w:val="18"/>
          <w:u w:val="single" w:color="FF0000"/>
        </w:rPr>
        <w:t xml:space="preserve"> </w:t>
      </w:r>
      <w:r>
        <w:rPr>
          <w:color w:val="FF0000"/>
          <w:spacing w:val="1"/>
          <w:sz w:val="18"/>
          <w:szCs w:val="18"/>
          <w:u w:val="single" w:color="FF0000"/>
        </w:rPr>
        <w:t>providing</w:t>
      </w:r>
      <w:r>
        <w:rPr>
          <w:color w:val="FF0000"/>
          <w:spacing w:val="-44"/>
          <w:sz w:val="18"/>
          <w:szCs w:val="18"/>
          <w:u w:val="single" w:color="FF0000"/>
        </w:rPr>
        <w:t xml:space="preserve"> </w:t>
      </w:r>
      <w:r>
        <w:rPr>
          <w:color w:val="FF0000"/>
          <w:sz w:val="18"/>
          <w:szCs w:val="18"/>
          <w:u w:val="single" w:color="FF0000"/>
        </w:rPr>
        <w:t>a</w:t>
      </w:r>
      <w:r>
        <w:rPr>
          <w:color w:val="FF0000"/>
          <w:spacing w:val="-44"/>
          <w:sz w:val="18"/>
          <w:szCs w:val="18"/>
          <w:u w:val="single" w:color="FF0000"/>
        </w:rPr>
        <w:t xml:space="preserve"> </w:t>
      </w:r>
      <w:r>
        <w:rPr>
          <w:color w:val="FF0000"/>
          <w:spacing w:val="1"/>
          <w:sz w:val="18"/>
          <w:szCs w:val="18"/>
          <w:u w:val="single" w:color="FF0000"/>
        </w:rPr>
        <w:t>binding</w:t>
      </w:r>
      <w:r>
        <w:rPr>
          <w:color w:val="FF0000"/>
          <w:spacing w:val="-44"/>
          <w:sz w:val="18"/>
          <w:szCs w:val="18"/>
          <w:u w:val="single" w:color="FF0000"/>
        </w:rPr>
        <w:t xml:space="preserve"> </w:t>
      </w:r>
      <w:r>
        <w:rPr>
          <w:color w:val="FF0000"/>
          <w:spacing w:val="1"/>
          <w:sz w:val="18"/>
          <w:szCs w:val="18"/>
          <w:u w:val="single" w:color="FF0000"/>
        </w:rPr>
        <w:t>notification</w:t>
      </w:r>
      <w:r>
        <w:rPr>
          <w:color w:val="FF0000"/>
          <w:spacing w:val="-44"/>
          <w:sz w:val="18"/>
          <w:szCs w:val="18"/>
          <w:u w:val="single" w:color="FF0000"/>
        </w:rPr>
        <w:t xml:space="preserve"> </w:t>
      </w:r>
      <w:r>
        <w:rPr>
          <w:color w:val="FF0000"/>
          <w:spacing w:val="1"/>
          <w:sz w:val="18"/>
          <w:szCs w:val="18"/>
          <w:u w:val="single" w:color="FF0000"/>
        </w:rPr>
        <w:t>that</w:t>
      </w:r>
      <w:r>
        <w:rPr>
          <w:color w:val="FF0000"/>
          <w:spacing w:val="-44"/>
          <w:sz w:val="18"/>
          <w:szCs w:val="18"/>
          <w:u w:val="single" w:color="FF0000"/>
        </w:rPr>
        <w:t xml:space="preserve"> </w:t>
      </w:r>
      <w:r>
        <w:rPr>
          <w:color w:val="FF0000"/>
          <w:spacing w:val="1"/>
          <w:sz w:val="18"/>
          <w:szCs w:val="18"/>
          <w:u w:val="single" w:color="FF0000"/>
        </w:rPr>
        <w:t>said</w:t>
      </w:r>
      <w:r>
        <w:rPr>
          <w:color w:val="FF0000"/>
          <w:spacing w:val="-44"/>
          <w:sz w:val="18"/>
          <w:szCs w:val="18"/>
          <w:u w:val="single" w:color="FF0000"/>
        </w:rPr>
        <w:t xml:space="preserve"> </w:t>
      </w:r>
      <w:r>
        <w:rPr>
          <w:color w:val="FF0000"/>
          <w:spacing w:val="1"/>
          <w:sz w:val="18"/>
          <w:szCs w:val="18"/>
          <w:u w:val="single" w:color="FF0000"/>
        </w:rPr>
        <w:t>applicant</w:t>
      </w:r>
      <w:r>
        <w:rPr>
          <w:color w:val="FF0000"/>
          <w:spacing w:val="-44"/>
          <w:sz w:val="18"/>
          <w:szCs w:val="18"/>
          <w:u w:val="single" w:color="FF0000"/>
        </w:rPr>
        <w:t xml:space="preserve"> </w:t>
      </w:r>
      <w:r>
        <w:rPr>
          <w:color w:val="FF0000"/>
          <w:spacing w:val="1"/>
          <w:sz w:val="18"/>
          <w:szCs w:val="18"/>
          <w:u w:val="single" w:color="FF0000"/>
        </w:rPr>
        <w:t>intends</w:t>
      </w:r>
      <w:r>
        <w:rPr>
          <w:color w:val="FF0000"/>
          <w:spacing w:val="-44"/>
          <w:sz w:val="18"/>
          <w:szCs w:val="18"/>
          <w:u w:val="single" w:color="FF0000"/>
        </w:rPr>
        <w:t xml:space="preserve"> </w:t>
      </w:r>
      <w:r>
        <w:rPr>
          <w:color w:val="FF0000"/>
          <w:spacing w:val="1"/>
          <w:sz w:val="18"/>
          <w:szCs w:val="18"/>
          <w:u w:val="single" w:color="FF0000"/>
        </w:rPr>
        <w:t>to</w:t>
      </w:r>
      <w:r>
        <w:rPr>
          <w:color w:val="FF0000"/>
          <w:spacing w:val="-44"/>
          <w:sz w:val="18"/>
          <w:szCs w:val="18"/>
          <w:u w:val="single" w:color="FF0000"/>
        </w:rPr>
        <w:t xml:space="preserve"> </w:t>
      </w:r>
      <w:r>
        <w:rPr>
          <w:color w:val="FF0000"/>
          <w:spacing w:val="1"/>
          <w:sz w:val="18"/>
          <w:szCs w:val="18"/>
          <w:u w:val="single" w:color="FF0000"/>
        </w:rPr>
        <w:t>convert</w:t>
      </w:r>
      <w:r>
        <w:rPr>
          <w:color w:val="FF0000"/>
          <w:spacing w:val="1"/>
          <w:sz w:val="18"/>
          <w:szCs w:val="18"/>
        </w:rPr>
        <w:t xml:space="preserve">        </w:t>
      </w:r>
      <w:r>
        <w:rPr>
          <w:color w:val="FF0000"/>
          <w:sz w:val="18"/>
          <w:szCs w:val="18"/>
          <w:u w:val="single" w:color="FF0000"/>
        </w:rPr>
        <w:t>existing</w:t>
      </w:r>
      <w:r>
        <w:rPr>
          <w:color w:val="FF0000"/>
          <w:spacing w:val="-45"/>
          <w:sz w:val="18"/>
          <w:szCs w:val="18"/>
          <w:u w:val="single" w:color="FF0000"/>
        </w:rPr>
        <w:t xml:space="preserve"> </w:t>
      </w:r>
      <w:r>
        <w:rPr>
          <w:color w:val="FF0000"/>
          <w:sz w:val="18"/>
          <w:szCs w:val="18"/>
          <w:u w:val="single" w:color="FF0000"/>
        </w:rPr>
        <w:t>no</w:t>
      </w:r>
      <w:r>
        <w:rPr>
          <w:color w:val="FF0000"/>
          <w:spacing w:val="1"/>
          <w:sz w:val="18"/>
          <w:szCs w:val="18"/>
          <w:u w:val="single" w:color="FF0000"/>
        </w:rPr>
        <w:t>n</w:t>
      </w:r>
      <w:r>
        <w:rPr>
          <w:color w:val="FF0000"/>
          <w:sz w:val="18"/>
          <w:szCs w:val="18"/>
          <w:u w:val="single" w:color="FF0000"/>
        </w:rPr>
        <w:t>-hardened</w:t>
      </w:r>
      <w:r>
        <w:rPr>
          <w:color w:val="FF0000"/>
          <w:spacing w:val="-45"/>
          <w:sz w:val="18"/>
          <w:szCs w:val="18"/>
          <w:u w:val="single" w:color="FF0000"/>
        </w:rPr>
        <w:t xml:space="preserve"> </w:t>
      </w:r>
      <w:r>
        <w:rPr>
          <w:color w:val="FF0000"/>
          <w:sz w:val="18"/>
          <w:szCs w:val="18"/>
          <w:u w:val="single" w:color="FF0000"/>
        </w:rPr>
        <w:t>overhead</w:t>
      </w:r>
      <w:r>
        <w:rPr>
          <w:color w:val="FF0000"/>
          <w:spacing w:val="-45"/>
          <w:sz w:val="18"/>
          <w:szCs w:val="18"/>
          <w:u w:val="single" w:color="FF0000"/>
        </w:rPr>
        <w:t xml:space="preserve"> </w:t>
      </w:r>
      <w:r>
        <w:rPr>
          <w:color w:val="FF0000"/>
          <w:sz w:val="18"/>
          <w:szCs w:val="18"/>
          <w:u w:val="single" w:color="FF0000"/>
        </w:rPr>
        <w:t>feeder</w:t>
      </w:r>
      <w:r>
        <w:rPr>
          <w:color w:val="FF0000"/>
          <w:spacing w:val="-45"/>
          <w:sz w:val="18"/>
          <w:szCs w:val="18"/>
          <w:u w:val="single" w:color="FF0000"/>
        </w:rPr>
        <w:t xml:space="preserve"> </w:t>
      </w:r>
      <w:r>
        <w:rPr>
          <w:color w:val="FF0000"/>
          <w:sz w:val="18"/>
          <w:szCs w:val="18"/>
          <w:u w:val="single" w:color="FF0000"/>
        </w:rPr>
        <w:t>facilities</w:t>
      </w:r>
      <w:r>
        <w:rPr>
          <w:color w:val="FF0000"/>
          <w:spacing w:val="-45"/>
          <w:sz w:val="18"/>
          <w:szCs w:val="18"/>
          <w:u w:val="single" w:color="FF0000"/>
        </w:rPr>
        <w:t xml:space="preserve"> </w:t>
      </w:r>
      <w:r>
        <w:rPr>
          <w:color w:val="FF0000"/>
          <w:sz w:val="18"/>
          <w:szCs w:val="18"/>
          <w:u w:val="single" w:color="FF0000"/>
        </w:rPr>
        <w:t>to</w:t>
      </w:r>
      <w:r>
        <w:rPr>
          <w:color w:val="FF0000"/>
          <w:spacing w:val="-45"/>
          <w:sz w:val="18"/>
          <w:szCs w:val="18"/>
          <w:u w:val="single" w:color="FF0000"/>
        </w:rPr>
        <w:t xml:space="preserve"> </w:t>
      </w:r>
      <w:r>
        <w:rPr>
          <w:color w:val="FF0000"/>
          <w:sz w:val="18"/>
          <w:szCs w:val="18"/>
          <w:u w:val="single" w:color="FF0000"/>
        </w:rPr>
        <w:t>underground</w:t>
      </w:r>
      <w:r>
        <w:rPr>
          <w:color w:val="FF0000"/>
          <w:spacing w:val="-45"/>
          <w:sz w:val="18"/>
          <w:szCs w:val="18"/>
          <w:u w:val="single" w:color="FF0000"/>
        </w:rPr>
        <w:t xml:space="preserve"> </w:t>
      </w:r>
      <w:r>
        <w:rPr>
          <w:color w:val="FF0000"/>
          <w:sz w:val="18"/>
          <w:szCs w:val="18"/>
          <w:u w:val="single" w:color="FF0000"/>
        </w:rPr>
        <w:t>feeder</w:t>
      </w:r>
      <w:r>
        <w:rPr>
          <w:color w:val="FF0000"/>
          <w:spacing w:val="-45"/>
          <w:sz w:val="18"/>
          <w:szCs w:val="18"/>
          <w:u w:val="single" w:color="FF0000"/>
        </w:rPr>
        <w:t xml:space="preserve"> </w:t>
      </w:r>
      <w:r>
        <w:rPr>
          <w:color w:val="FF0000"/>
          <w:sz w:val="18"/>
          <w:szCs w:val="18"/>
          <w:u w:val="single" w:color="FF0000"/>
        </w:rPr>
        <w:t>facilities.</w:t>
      </w:r>
    </w:p>
    <w:p w:rsidR="00F30BBC" w:rsidRDefault="00F30BBC" w:rsidP="00F30BBC">
      <w:pPr>
        <w:spacing w:before="5" w:line="170" w:lineRule="exact"/>
        <w:rPr>
          <w:sz w:val="17"/>
          <w:szCs w:val="17"/>
        </w:rPr>
      </w:pPr>
    </w:p>
    <w:p w:rsidR="00F30BBC" w:rsidRDefault="00F30BBC" w:rsidP="00F30BBC">
      <w:pPr>
        <w:spacing w:before="36"/>
        <w:ind w:left="822" w:right="8565"/>
        <w:jc w:val="both"/>
        <w:rPr>
          <w:sz w:val="18"/>
          <w:szCs w:val="18"/>
        </w:rPr>
      </w:pPr>
      <w:r>
        <w:rPr>
          <w:spacing w:val="-1"/>
          <w:sz w:val="18"/>
          <w:szCs w:val="18"/>
          <w:u w:val="single" w:color="000000"/>
        </w:rPr>
        <w:t>GAF</w:t>
      </w:r>
      <w:r>
        <w:rPr>
          <w:spacing w:val="-46"/>
          <w:sz w:val="18"/>
          <w:szCs w:val="18"/>
          <w:u w:val="single" w:color="000000"/>
        </w:rPr>
        <w:t xml:space="preserve"> </w:t>
      </w:r>
      <w:r>
        <w:rPr>
          <w:spacing w:val="-1"/>
          <w:sz w:val="18"/>
          <w:szCs w:val="18"/>
          <w:u w:val="single" w:color="000000"/>
        </w:rPr>
        <w:t>Waiver</w:t>
      </w:r>
    </w:p>
    <w:p w:rsidR="00F30BBC" w:rsidRDefault="00F30BBC" w:rsidP="00F30BBC">
      <w:pPr>
        <w:spacing w:before="4" w:line="244" w:lineRule="auto"/>
        <w:ind w:left="822" w:right="69"/>
        <w:jc w:val="both"/>
        <w:rPr>
          <w:sz w:val="18"/>
          <w:szCs w:val="18"/>
        </w:rPr>
      </w:pPr>
      <w:r>
        <w:rPr>
          <w:spacing w:val="1"/>
          <w:sz w:val="18"/>
          <w:szCs w:val="18"/>
        </w:rPr>
        <w:t>Fo</w:t>
      </w:r>
      <w:r>
        <w:rPr>
          <w:sz w:val="18"/>
          <w:szCs w:val="18"/>
        </w:rPr>
        <w:t>r</w:t>
      </w:r>
      <w:r>
        <w:rPr>
          <w:spacing w:val="16"/>
          <w:sz w:val="18"/>
          <w:szCs w:val="18"/>
        </w:rPr>
        <w:t xml:space="preserve"> </w:t>
      </w:r>
      <w:r>
        <w:rPr>
          <w:sz w:val="18"/>
          <w:szCs w:val="18"/>
        </w:rPr>
        <w:t>Applicants</w:t>
      </w:r>
      <w:r>
        <w:rPr>
          <w:spacing w:val="15"/>
          <w:sz w:val="18"/>
          <w:szCs w:val="18"/>
        </w:rPr>
        <w:t xml:space="preserve"> </w:t>
      </w:r>
      <w:r>
        <w:rPr>
          <w:sz w:val="18"/>
          <w:szCs w:val="18"/>
        </w:rPr>
        <w:t>entering</w:t>
      </w:r>
      <w:r>
        <w:rPr>
          <w:spacing w:val="15"/>
          <w:sz w:val="18"/>
          <w:szCs w:val="18"/>
        </w:rPr>
        <w:t xml:space="preserve"> </w:t>
      </w:r>
      <w:r>
        <w:rPr>
          <w:spacing w:val="1"/>
          <w:sz w:val="18"/>
          <w:szCs w:val="18"/>
        </w:rPr>
        <w:t>int</w:t>
      </w:r>
      <w:r>
        <w:rPr>
          <w:sz w:val="18"/>
          <w:szCs w:val="18"/>
        </w:rPr>
        <w:t>o</w:t>
      </w:r>
      <w:r>
        <w:rPr>
          <w:spacing w:val="16"/>
          <w:sz w:val="18"/>
          <w:szCs w:val="18"/>
        </w:rPr>
        <w:t xml:space="preserve"> </w:t>
      </w:r>
      <w:r>
        <w:rPr>
          <w:sz w:val="18"/>
          <w:szCs w:val="18"/>
        </w:rPr>
        <w:t>an</w:t>
      </w:r>
      <w:r>
        <w:rPr>
          <w:spacing w:val="15"/>
          <w:sz w:val="18"/>
          <w:szCs w:val="18"/>
        </w:rPr>
        <w:t xml:space="preserve"> </w:t>
      </w:r>
      <w:r>
        <w:rPr>
          <w:sz w:val="18"/>
          <w:szCs w:val="18"/>
        </w:rPr>
        <w:t>Underground</w:t>
      </w:r>
      <w:r>
        <w:rPr>
          <w:spacing w:val="16"/>
          <w:sz w:val="18"/>
          <w:szCs w:val="18"/>
        </w:rPr>
        <w:t xml:space="preserve"> </w:t>
      </w:r>
      <w:r>
        <w:rPr>
          <w:sz w:val="18"/>
          <w:szCs w:val="18"/>
        </w:rPr>
        <w:t>Facilities</w:t>
      </w:r>
      <w:r>
        <w:rPr>
          <w:spacing w:val="15"/>
          <w:sz w:val="18"/>
          <w:szCs w:val="18"/>
        </w:rPr>
        <w:t xml:space="preserve"> </w:t>
      </w:r>
      <w:r>
        <w:rPr>
          <w:sz w:val="18"/>
          <w:szCs w:val="18"/>
        </w:rPr>
        <w:t>Conversion</w:t>
      </w:r>
      <w:r>
        <w:rPr>
          <w:spacing w:val="15"/>
          <w:sz w:val="18"/>
          <w:szCs w:val="18"/>
        </w:rPr>
        <w:t xml:space="preserve"> </w:t>
      </w:r>
      <w:r>
        <w:rPr>
          <w:spacing w:val="-1"/>
          <w:sz w:val="18"/>
          <w:szCs w:val="18"/>
        </w:rPr>
        <w:t>Agreemen</w:t>
      </w:r>
      <w:r>
        <w:rPr>
          <w:sz w:val="18"/>
          <w:szCs w:val="18"/>
        </w:rPr>
        <w:t>t</w:t>
      </w:r>
      <w:r>
        <w:rPr>
          <w:spacing w:val="14"/>
          <w:sz w:val="18"/>
          <w:szCs w:val="18"/>
        </w:rPr>
        <w:t xml:space="preserve"> </w:t>
      </w:r>
      <w:r>
        <w:rPr>
          <w:sz w:val="18"/>
          <w:szCs w:val="18"/>
        </w:rPr>
        <w:t>–</w:t>
      </w:r>
      <w:r>
        <w:rPr>
          <w:spacing w:val="16"/>
          <w:sz w:val="18"/>
          <w:szCs w:val="18"/>
        </w:rPr>
        <w:t xml:space="preserve"> </w:t>
      </w:r>
      <w:r>
        <w:rPr>
          <w:sz w:val="18"/>
          <w:szCs w:val="18"/>
        </w:rPr>
        <w:t>Governmental</w:t>
      </w:r>
      <w:r>
        <w:rPr>
          <w:spacing w:val="14"/>
          <w:sz w:val="18"/>
          <w:szCs w:val="18"/>
        </w:rPr>
        <w:t xml:space="preserve"> </w:t>
      </w:r>
      <w:r>
        <w:rPr>
          <w:sz w:val="18"/>
          <w:szCs w:val="18"/>
        </w:rPr>
        <w:t>Adjustment</w:t>
      </w:r>
      <w:r>
        <w:rPr>
          <w:spacing w:val="12"/>
          <w:sz w:val="18"/>
          <w:szCs w:val="18"/>
        </w:rPr>
        <w:t xml:space="preserve"> </w:t>
      </w:r>
      <w:r>
        <w:rPr>
          <w:sz w:val="18"/>
          <w:szCs w:val="18"/>
        </w:rPr>
        <w:t>Factor</w:t>
      </w:r>
      <w:r>
        <w:rPr>
          <w:spacing w:val="13"/>
          <w:sz w:val="18"/>
          <w:szCs w:val="18"/>
        </w:rPr>
        <w:t xml:space="preserve"> </w:t>
      </w:r>
      <w:r>
        <w:rPr>
          <w:spacing w:val="-1"/>
          <w:sz w:val="18"/>
          <w:szCs w:val="18"/>
        </w:rPr>
        <w:t>Waive</w:t>
      </w:r>
      <w:r>
        <w:rPr>
          <w:sz w:val="18"/>
          <w:szCs w:val="18"/>
        </w:rPr>
        <w:t>r</w:t>
      </w:r>
      <w:r>
        <w:rPr>
          <w:spacing w:val="12"/>
          <w:sz w:val="18"/>
          <w:szCs w:val="18"/>
        </w:rPr>
        <w:t xml:space="preserve"> </w:t>
      </w:r>
      <w:r>
        <w:rPr>
          <w:sz w:val="18"/>
          <w:szCs w:val="18"/>
        </w:rPr>
        <w:t>with the</w:t>
      </w:r>
      <w:r>
        <w:rPr>
          <w:spacing w:val="3"/>
          <w:sz w:val="18"/>
          <w:szCs w:val="18"/>
        </w:rPr>
        <w:t xml:space="preserve"> </w:t>
      </w:r>
      <w:r>
        <w:rPr>
          <w:sz w:val="18"/>
          <w:szCs w:val="18"/>
        </w:rPr>
        <w:t>Company,</w:t>
      </w:r>
      <w:r>
        <w:rPr>
          <w:spacing w:val="2"/>
          <w:sz w:val="18"/>
          <w:szCs w:val="18"/>
        </w:rPr>
        <w:t xml:space="preserve"> </w:t>
      </w:r>
      <w:r>
        <w:rPr>
          <w:sz w:val="18"/>
          <w:szCs w:val="18"/>
        </w:rPr>
        <w:t>the</w:t>
      </w:r>
      <w:r>
        <w:rPr>
          <w:spacing w:val="3"/>
          <w:sz w:val="18"/>
          <w:szCs w:val="18"/>
        </w:rPr>
        <w:t xml:space="preserve"> </w:t>
      </w:r>
      <w:r>
        <w:rPr>
          <w:sz w:val="18"/>
          <w:szCs w:val="18"/>
        </w:rPr>
        <w:t>otherwise</w:t>
      </w:r>
      <w:r>
        <w:rPr>
          <w:spacing w:val="2"/>
          <w:sz w:val="18"/>
          <w:szCs w:val="18"/>
        </w:rPr>
        <w:t xml:space="preserve"> </w:t>
      </w:r>
      <w:r>
        <w:rPr>
          <w:sz w:val="18"/>
          <w:szCs w:val="18"/>
        </w:rPr>
        <w:t>applicable</w:t>
      </w:r>
      <w:r>
        <w:rPr>
          <w:spacing w:val="3"/>
          <w:sz w:val="18"/>
          <w:szCs w:val="18"/>
        </w:rPr>
        <w:t xml:space="preserve"> </w:t>
      </w:r>
      <w:r>
        <w:rPr>
          <w:spacing w:val="-1"/>
          <w:sz w:val="18"/>
          <w:szCs w:val="18"/>
        </w:rPr>
        <w:t>CIA</w:t>
      </w:r>
      <w:r>
        <w:rPr>
          <w:sz w:val="18"/>
          <w:szCs w:val="18"/>
        </w:rPr>
        <w:t>C</w:t>
      </w:r>
      <w:r>
        <w:rPr>
          <w:spacing w:val="2"/>
          <w:sz w:val="18"/>
          <w:szCs w:val="18"/>
        </w:rPr>
        <w:t xml:space="preserve"> </w:t>
      </w:r>
      <w:r>
        <w:rPr>
          <w:sz w:val="18"/>
          <w:szCs w:val="18"/>
        </w:rPr>
        <w:t>amount,</w:t>
      </w:r>
      <w:r>
        <w:rPr>
          <w:spacing w:val="3"/>
          <w:sz w:val="18"/>
          <w:szCs w:val="18"/>
        </w:rPr>
        <w:t xml:space="preserve"> </w:t>
      </w:r>
      <w:r>
        <w:rPr>
          <w:spacing w:val="-1"/>
          <w:sz w:val="18"/>
          <w:szCs w:val="18"/>
        </w:rPr>
        <w:t>a</w:t>
      </w:r>
      <w:r>
        <w:rPr>
          <w:sz w:val="18"/>
          <w:szCs w:val="18"/>
        </w:rPr>
        <w:t>s</w:t>
      </w:r>
      <w:r>
        <w:rPr>
          <w:spacing w:val="2"/>
          <w:sz w:val="18"/>
          <w:szCs w:val="18"/>
        </w:rPr>
        <w:t xml:space="preserve"> </w:t>
      </w:r>
      <w:r>
        <w:rPr>
          <w:sz w:val="18"/>
          <w:szCs w:val="18"/>
        </w:rPr>
        <w:t>calculated</w:t>
      </w:r>
      <w:r>
        <w:rPr>
          <w:spacing w:val="3"/>
          <w:sz w:val="18"/>
          <w:szCs w:val="18"/>
        </w:rPr>
        <w:t xml:space="preserve"> </w:t>
      </w:r>
      <w:r>
        <w:rPr>
          <w:sz w:val="18"/>
          <w:szCs w:val="18"/>
        </w:rPr>
        <w:t>above,</w:t>
      </w:r>
      <w:r>
        <w:rPr>
          <w:spacing w:val="3"/>
          <w:sz w:val="18"/>
          <w:szCs w:val="18"/>
        </w:rPr>
        <w:t xml:space="preserve"> </w:t>
      </w:r>
      <w:r>
        <w:rPr>
          <w:sz w:val="18"/>
          <w:szCs w:val="18"/>
        </w:rPr>
        <w:t>shall</w:t>
      </w:r>
      <w:r>
        <w:rPr>
          <w:spacing w:val="3"/>
          <w:sz w:val="18"/>
          <w:szCs w:val="18"/>
        </w:rPr>
        <w:t xml:space="preserve"> </w:t>
      </w:r>
      <w:r>
        <w:rPr>
          <w:sz w:val="18"/>
          <w:szCs w:val="18"/>
        </w:rPr>
        <w:t>be</w:t>
      </w:r>
      <w:r>
        <w:rPr>
          <w:spacing w:val="3"/>
          <w:sz w:val="18"/>
          <w:szCs w:val="18"/>
        </w:rPr>
        <w:t xml:space="preserve"> </w:t>
      </w:r>
      <w:r>
        <w:rPr>
          <w:sz w:val="18"/>
          <w:szCs w:val="18"/>
        </w:rPr>
        <w:t>reduced</w:t>
      </w:r>
      <w:r>
        <w:rPr>
          <w:spacing w:val="3"/>
          <w:sz w:val="18"/>
          <w:szCs w:val="18"/>
        </w:rPr>
        <w:t xml:space="preserve"> </w:t>
      </w:r>
      <w:r>
        <w:rPr>
          <w:spacing w:val="-1"/>
          <w:sz w:val="18"/>
          <w:szCs w:val="18"/>
        </w:rPr>
        <w:t>b</w:t>
      </w:r>
      <w:r>
        <w:rPr>
          <w:sz w:val="18"/>
          <w:szCs w:val="18"/>
        </w:rPr>
        <w:t>y</w:t>
      </w:r>
      <w:r>
        <w:rPr>
          <w:spacing w:val="2"/>
          <w:sz w:val="18"/>
          <w:szCs w:val="18"/>
        </w:rPr>
        <w:t xml:space="preserve"> </w:t>
      </w:r>
      <w:r>
        <w:rPr>
          <w:sz w:val="18"/>
          <w:szCs w:val="18"/>
        </w:rPr>
        <w:t>the</w:t>
      </w:r>
      <w:r>
        <w:rPr>
          <w:spacing w:val="3"/>
          <w:sz w:val="18"/>
          <w:szCs w:val="18"/>
        </w:rPr>
        <w:t xml:space="preserve"> </w:t>
      </w:r>
      <w:r>
        <w:rPr>
          <w:spacing w:val="-2"/>
          <w:sz w:val="18"/>
          <w:szCs w:val="18"/>
        </w:rPr>
        <w:t>GA</w:t>
      </w:r>
      <w:r>
        <w:rPr>
          <w:sz w:val="18"/>
          <w:szCs w:val="18"/>
        </w:rPr>
        <w:t>F</w:t>
      </w:r>
      <w:r>
        <w:rPr>
          <w:spacing w:val="1"/>
          <w:sz w:val="18"/>
          <w:szCs w:val="18"/>
        </w:rPr>
        <w:t xml:space="preserve"> </w:t>
      </w:r>
      <w:r>
        <w:rPr>
          <w:sz w:val="18"/>
          <w:szCs w:val="18"/>
        </w:rPr>
        <w:t xml:space="preserve">Waiver. </w:t>
      </w:r>
      <w:r>
        <w:rPr>
          <w:spacing w:val="10"/>
          <w:sz w:val="18"/>
          <w:szCs w:val="18"/>
        </w:rPr>
        <w:t xml:space="preserve"> </w:t>
      </w:r>
      <w:r>
        <w:rPr>
          <w:spacing w:val="-2"/>
          <w:sz w:val="18"/>
          <w:szCs w:val="18"/>
        </w:rPr>
        <w:t>T</w:t>
      </w:r>
      <w:r>
        <w:rPr>
          <w:sz w:val="18"/>
          <w:szCs w:val="18"/>
        </w:rPr>
        <w:t>he</w:t>
      </w:r>
      <w:r>
        <w:rPr>
          <w:spacing w:val="3"/>
          <w:sz w:val="18"/>
          <w:szCs w:val="18"/>
        </w:rPr>
        <w:t xml:space="preserve"> </w:t>
      </w:r>
      <w:r>
        <w:rPr>
          <w:sz w:val="18"/>
          <w:szCs w:val="18"/>
        </w:rPr>
        <w:t xml:space="preserve">amount </w:t>
      </w:r>
      <w:r>
        <w:rPr>
          <w:spacing w:val="-1"/>
          <w:sz w:val="18"/>
          <w:szCs w:val="18"/>
        </w:rPr>
        <w:t xml:space="preserve">of </w:t>
      </w:r>
      <w:r>
        <w:rPr>
          <w:sz w:val="18"/>
          <w:szCs w:val="18"/>
        </w:rPr>
        <w:t>the</w:t>
      </w:r>
      <w:r>
        <w:rPr>
          <w:spacing w:val="-1"/>
          <w:sz w:val="18"/>
          <w:szCs w:val="18"/>
        </w:rPr>
        <w:t xml:space="preserve"> </w:t>
      </w:r>
      <w:r>
        <w:rPr>
          <w:sz w:val="18"/>
          <w:szCs w:val="18"/>
        </w:rPr>
        <w:t>GAF</w:t>
      </w:r>
      <w:r>
        <w:rPr>
          <w:spacing w:val="-1"/>
          <w:sz w:val="18"/>
          <w:szCs w:val="18"/>
        </w:rPr>
        <w:t xml:space="preserve"> </w:t>
      </w:r>
      <w:r>
        <w:rPr>
          <w:sz w:val="18"/>
          <w:szCs w:val="18"/>
        </w:rPr>
        <w:t>Wai</w:t>
      </w:r>
      <w:r>
        <w:rPr>
          <w:spacing w:val="-1"/>
          <w:sz w:val="18"/>
          <w:szCs w:val="18"/>
        </w:rPr>
        <w:t>v</w:t>
      </w:r>
      <w:r>
        <w:rPr>
          <w:sz w:val="18"/>
          <w:szCs w:val="18"/>
        </w:rPr>
        <w:t>er shall be calculated as follows:</w:t>
      </w:r>
    </w:p>
    <w:p w:rsidR="00F30BBC" w:rsidRDefault="00F30BBC" w:rsidP="00F30BBC">
      <w:pPr>
        <w:ind w:left="822" w:right="8414"/>
        <w:jc w:val="both"/>
        <w:rPr>
          <w:sz w:val="18"/>
          <w:szCs w:val="18"/>
        </w:rPr>
      </w:pPr>
      <w:r>
        <w:rPr>
          <w:sz w:val="18"/>
          <w:szCs w:val="18"/>
        </w:rPr>
        <w:t>GAF</w:t>
      </w:r>
      <w:r>
        <w:rPr>
          <w:spacing w:val="-1"/>
          <w:sz w:val="18"/>
          <w:szCs w:val="18"/>
        </w:rPr>
        <w:t xml:space="preserve"> </w:t>
      </w:r>
      <w:r>
        <w:rPr>
          <w:sz w:val="18"/>
          <w:szCs w:val="18"/>
        </w:rPr>
        <w:t>Waiver</w:t>
      </w:r>
      <w:r>
        <w:rPr>
          <w:spacing w:val="-1"/>
          <w:sz w:val="18"/>
          <w:szCs w:val="18"/>
        </w:rPr>
        <w:t xml:space="preserve"> </w:t>
      </w:r>
      <w:r>
        <w:rPr>
          <w:sz w:val="18"/>
          <w:szCs w:val="18"/>
        </w:rPr>
        <w:t>=</w:t>
      </w:r>
    </w:p>
    <w:p w:rsidR="00F30BBC" w:rsidRDefault="00F30BBC" w:rsidP="00F30BBC">
      <w:pPr>
        <w:spacing w:before="4"/>
        <w:ind w:left="1362" w:right="-20"/>
        <w:rPr>
          <w:sz w:val="18"/>
          <w:szCs w:val="18"/>
        </w:rPr>
      </w:pPr>
      <w:r>
        <w:rPr>
          <w:sz w:val="18"/>
          <w:szCs w:val="18"/>
        </w:rPr>
        <w:t>25% x the otherwise applicable CIAC;</w:t>
      </w:r>
    </w:p>
    <w:p w:rsidR="00F30BBC" w:rsidRDefault="00F30BBC" w:rsidP="00F30BBC">
      <w:pPr>
        <w:tabs>
          <w:tab w:val="left" w:pos="1360"/>
        </w:tabs>
        <w:spacing w:before="4"/>
        <w:ind w:left="1002" w:right="-20"/>
        <w:rPr>
          <w:sz w:val="18"/>
          <w:szCs w:val="18"/>
        </w:rPr>
      </w:pPr>
      <w:r>
        <w:rPr>
          <w:sz w:val="18"/>
          <w:szCs w:val="18"/>
        </w:rPr>
        <w:t>+</w:t>
      </w:r>
      <w:r>
        <w:rPr>
          <w:sz w:val="18"/>
          <w:szCs w:val="18"/>
        </w:rPr>
        <w:tab/>
        <w:t>75% x</w:t>
      </w:r>
      <w:r>
        <w:rPr>
          <w:spacing w:val="1"/>
          <w:sz w:val="18"/>
          <w:szCs w:val="18"/>
        </w:rPr>
        <w:t xml:space="preserve"> </w:t>
      </w:r>
      <w:r>
        <w:rPr>
          <w:sz w:val="18"/>
          <w:szCs w:val="18"/>
        </w:rPr>
        <w:t>the</w:t>
      </w:r>
      <w:r>
        <w:rPr>
          <w:spacing w:val="1"/>
          <w:sz w:val="18"/>
          <w:szCs w:val="18"/>
        </w:rPr>
        <w:t xml:space="preserve"> </w:t>
      </w:r>
      <w:r>
        <w:rPr>
          <w:sz w:val="18"/>
          <w:szCs w:val="18"/>
        </w:rPr>
        <w:t>ASRC</w:t>
      </w:r>
      <w:r>
        <w:rPr>
          <w:spacing w:val="1"/>
          <w:sz w:val="18"/>
          <w:szCs w:val="18"/>
        </w:rPr>
        <w:t xml:space="preserve"> </w:t>
      </w:r>
      <w:r>
        <w:rPr>
          <w:sz w:val="18"/>
          <w:szCs w:val="18"/>
        </w:rPr>
        <w:t>(avoids</w:t>
      </w:r>
      <w:r>
        <w:rPr>
          <w:spacing w:val="1"/>
          <w:sz w:val="18"/>
          <w:szCs w:val="18"/>
        </w:rPr>
        <w:t xml:space="preserve"> </w:t>
      </w:r>
      <w:r>
        <w:rPr>
          <w:sz w:val="18"/>
          <w:szCs w:val="18"/>
        </w:rPr>
        <w:t>doubl</w:t>
      </w:r>
      <w:r>
        <w:rPr>
          <w:spacing w:val="-1"/>
          <w:sz w:val="18"/>
          <w:szCs w:val="18"/>
        </w:rPr>
        <w:t>e</w:t>
      </w:r>
      <w:r>
        <w:rPr>
          <w:sz w:val="18"/>
          <w:szCs w:val="18"/>
        </w:rPr>
        <w:t>-counting the ASRC embedded in the otherwise applicable CIAC.)</w:t>
      </w:r>
    </w:p>
    <w:p w:rsidR="00F30BBC" w:rsidRDefault="00F30BBC" w:rsidP="00F30BBC">
      <w:pPr>
        <w:spacing w:before="15" w:line="200" w:lineRule="exact"/>
        <w:rPr>
          <w:sz w:val="20"/>
          <w:szCs w:val="20"/>
        </w:rPr>
      </w:pPr>
    </w:p>
    <w:p w:rsidR="00F30BBC" w:rsidRDefault="00F30BBC" w:rsidP="00F30BBC">
      <w:pPr>
        <w:spacing w:line="244" w:lineRule="auto"/>
        <w:ind w:left="822" w:right="69"/>
        <w:jc w:val="both"/>
        <w:rPr>
          <w:sz w:val="18"/>
          <w:szCs w:val="18"/>
        </w:rPr>
      </w:pPr>
      <w:r>
        <w:rPr>
          <w:spacing w:val="-1"/>
          <w:sz w:val="18"/>
          <w:szCs w:val="18"/>
        </w:rPr>
        <w:t>I</w:t>
      </w:r>
      <w:r>
        <w:rPr>
          <w:sz w:val="18"/>
          <w:szCs w:val="18"/>
        </w:rPr>
        <w:t>f</w:t>
      </w:r>
      <w:r>
        <w:rPr>
          <w:spacing w:val="7"/>
          <w:sz w:val="18"/>
          <w:szCs w:val="18"/>
        </w:rPr>
        <w:t xml:space="preserve"> </w:t>
      </w:r>
      <w:r>
        <w:rPr>
          <w:sz w:val="18"/>
          <w:szCs w:val="18"/>
        </w:rPr>
        <w:t>the</w:t>
      </w:r>
      <w:r>
        <w:rPr>
          <w:spacing w:val="8"/>
          <w:sz w:val="18"/>
          <w:szCs w:val="18"/>
        </w:rPr>
        <w:t xml:space="preserve"> </w:t>
      </w:r>
      <w:r>
        <w:rPr>
          <w:sz w:val="18"/>
          <w:szCs w:val="18"/>
        </w:rPr>
        <w:t>Applicant</w:t>
      </w:r>
      <w:r>
        <w:rPr>
          <w:spacing w:val="8"/>
          <w:sz w:val="18"/>
          <w:szCs w:val="18"/>
        </w:rPr>
        <w:t xml:space="preserve"> </w:t>
      </w:r>
      <w:r>
        <w:rPr>
          <w:sz w:val="18"/>
          <w:szCs w:val="18"/>
        </w:rPr>
        <w:t>elects</w:t>
      </w:r>
      <w:r>
        <w:rPr>
          <w:spacing w:val="7"/>
          <w:sz w:val="18"/>
          <w:szCs w:val="18"/>
        </w:rPr>
        <w:t xml:space="preserve"> </w:t>
      </w:r>
      <w:r>
        <w:rPr>
          <w:spacing w:val="1"/>
          <w:sz w:val="18"/>
          <w:szCs w:val="18"/>
        </w:rPr>
        <w:t>t</w:t>
      </w:r>
      <w:r>
        <w:rPr>
          <w:sz w:val="18"/>
          <w:szCs w:val="18"/>
        </w:rPr>
        <w:t>o</w:t>
      </w:r>
      <w:r>
        <w:rPr>
          <w:spacing w:val="9"/>
          <w:sz w:val="18"/>
          <w:szCs w:val="18"/>
        </w:rPr>
        <w:t xml:space="preserve"> </w:t>
      </w:r>
      <w:r>
        <w:rPr>
          <w:sz w:val="18"/>
          <w:szCs w:val="18"/>
        </w:rPr>
        <w:t>construct</w:t>
      </w:r>
      <w:r>
        <w:rPr>
          <w:spacing w:val="8"/>
          <w:sz w:val="18"/>
          <w:szCs w:val="18"/>
        </w:rPr>
        <w:t xml:space="preserve"> </w:t>
      </w:r>
      <w:r>
        <w:rPr>
          <w:spacing w:val="1"/>
          <w:sz w:val="18"/>
          <w:szCs w:val="18"/>
        </w:rPr>
        <w:t>an</w:t>
      </w:r>
      <w:r>
        <w:rPr>
          <w:sz w:val="18"/>
          <w:szCs w:val="18"/>
        </w:rPr>
        <w:t>d</w:t>
      </w:r>
      <w:r>
        <w:rPr>
          <w:spacing w:val="8"/>
          <w:sz w:val="18"/>
          <w:szCs w:val="18"/>
        </w:rPr>
        <w:t xml:space="preserve"> </w:t>
      </w:r>
      <w:r>
        <w:rPr>
          <w:sz w:val="18"/>
          <w:szCs w:val="18"/>
        </w:rPr>
        <w:t>install</w:t>
      </w:r>
      <w:r>
        <w:rPr>
          <w:spacing w:val="8"/>
          <w:sz w:val="18"/>
          <w:szCs w:val="18"/>
        </w:rPr>
        <w:t xml:space="preserve"> </w:t>
      </w:r>
      <w:r>
        <w:rPr>
          <w:sz w:val="18"/>
          <w:szCs w:val="18"/>
        </w:rPr>
        <w:t>all</w:t>
      </w:r>
      <w:r>
        <w:rPr>
          <w:spacing w:val="8"/>
          <w:sz w:val="18"/>
          <w:szCs w:val="18"/>
        </w:rPr>
        <w:t xml:space="preserve"> </w:t>
      </w:r>
      <w:r>
        <w:rPr>
          <w:spacing w:val="1"/>
          <w:sz w:val="18"/>
          <w:szCs w:val="18"/>
        </w:rPr>
        <w:t>o</w:t>
      </w:r>
      <w:r>
        <w:rPr>
          <w:sz w:val="18"/>
          <w:szCs w:val="18"/>
        </w:rPr>
        <w:t>r</w:t>
      </w:r>
      <w:r>
        <w:rPr>
          <w:spacing w:val="8"/>
          <w:sz w:val="18"/>
          <w:szCs w:val="18"/>
        </w:rPr>
        <w:t xml:space="preserve"> </w:t>
      </w:r>
      <w:r>
        <w:rPr>
          <w:sz w:val="18"/>
          <w:szCs w:val="18"/>
        </w:rPr>
        <w:t>part</w:t>
      </w:r>
      <w:r>
        <w:rPr>
          <w:spacing w:val="8"/>
          <w:sz w:val="18"/>
          <w:szCs w:val="18"/>
        </w:rPr>
        <w:t xml:space="preserve"> </w:t>
      </w:r>
      <w:r>
        <w:rPr>
          <w:spacing w:val="-1"/>
          <w:sz w:val="18"/>
          <w:szCs w:val="18"/>
        </w:rPr>
        <w:t>o</w:t>
      </w:r>
      <w:r>
        <w:rPr>
          <w:sz w:val="18"/>
          <w:szCs w:val="18"/>
        </w:rPr>
        <w:t>f</w:t>
      </w:r>
      <w:r>
        <w:rPr>
          <w:spacing w:val="7"/>
          <w:sz w:val="18"/>
          <w:szCs w:val="18"/>
        </w:rPr>
        <w:t xml:space="preserve"> </w:t>
      </w:r>
      <w:r>
        <w:rPr>
          <w:sz w:val="18"/>
          <w:szCs w:val="18"/>
        </w:rPr>
        <w:t>the</w:t>
      </w:r>
      <w:r>
        <w:rPr>
          <w:spacing w:val="8"/>
          <w:sz w:val="18"/>
          <w:szCs w:val="18"/>
        </w:rPr>
        <w:t xml:space="preserve"> </w:t>
      </w:r>
      <w:r>
        <w:rPr>
          <w:spacing w:val="1"/>
          <w:sz w:val="18"/>
          <w:szCs w:val="18"/>
        </w:rPr>
        <w:t>undergroun</w:t>
      </w:r>
      <w:r>
        <w:rPr>
          <w:sz w:val="18"/>
          <w:szCs w:val="18"/>
        </w:rPr>
        <w:t>d</w:t>
      </w:r>
      <w:r>
        <w:rPr>
          <w:spacing w:val="8"/>
          <w:sz w:val="18"/>
          <w:szCs w:val="18"/>
        </w:rPr>
        <w:t xml:space="preserve"> </w:t>
      </w:r>
      <w:r>
        <w:rPr>
          <w:sz w:val="18"/>
          <w:szCs w:val="18"/>
        </w:rPr>
        <w:t>facilities,</w:t>
      </w:r>
      <w:r>
        <w:rPr>
          <w:spacing w:val="5"/>
          <w:sz w:val="18"/>
          <w:szCs w:val="18"/>
        </w:rPr>
        <w:t xml:space="preserve"> </w:t>
      </w:r>
      <w:r>
        <w:rPr>
          <w:spacing w:val="1"/>
          <w:sz w:val="18"/>
          <w:szCs w:val="18"/>
        </w:rPr>
        <w:t>the</w:t>
      </w:r>
      <w:r>
        <w:rPr>
          <w:sz w:val="18"/>
          <w:szCs w:val="18"/>
        </w:rPr>
        <w:t>n</w:t>
      </w:r>
      <w:r>
        <w:rPr>
          <w:spacing w:val="6"/>
          <w:sz w:val="18"/>
          <w:szCs w:val="18"/>
        </w:rPr>
        <w:t xml:space="preserve"> </w:t>
      </w:r>
      <w:r>
        <w:rPr>
          <w:sz w:val="18"/>
          <w:szCs w:val="18"/>
        </w:rPr>
        <w:t>for</w:t>
      </w:r>
      <w:r>
        <w:rPr>
          <w:spacing w:val="5"/>
          <w:sz w:val="18"/>
          <w:szCs w:val="18"/>
        </w:rPr>
        <w:t xml:space="preserve"> </w:t>
      </w:r>
      <w:r>
        <w:rPr>
          <w:sz w:val="18"/>
          <w:szCs w:val="18"/>
        </w:rPr>
        <w:t>purposes</w:t>
      </w:r>
      <w:r>
        <w:rPr>
          <w:spacing w:val="6"/>
          <w:sz w:val="18"/>
          <w:szCs w:val="18"/>
        </w:rPr>
        <w:t xml:space="preserve"> </w:t>
      </w:r>
      <w:r>
        <w:rPr>
          <w:spacing w:val="-1"/>
          <w:sz w:val="18"/>
          <w:szCs w:val="18"/>
        </w:rPr>
        <w:t>o</w:t>
      </w:r>
      <w:r>
        <w:rPr>
          <w:sz w:val="18"/>
          <w:szCs w:val="18"/>
        </w:rPr>
        <w:t>f</w:t>
      </w:r>
      <w:r>
        <w:rPr>
          <w:spacing w:val="5"/>
          <w:sz w:val="18"/>
          <w:szCs w:val="18"/>
        </w:rPr>
        <w:t xml:space="preserve"> </w:t>
      </w:r>
      <w:r>
        <w:rPr>
          <w:sz w:val="18"/>
          <w:szCs w:val="18"/>
        </w:rPr>
        <w:t>calculating</w:t>
      </w:r>
      <w:r>
        <w:rPr>
          <w:spacing w:val="5"/>
          <w:sz w:val="18"/>
          <w:szCs w:val="18"/>
        </w:rPr>
        <w:t xml:space="preserve"> </w:t>
      </w:r>
      <w:r>
        <w:rPr>
          <w:sz w:val="18"/>
          <w:szCs w:val="18"/>
        </w:rPr>
        <w:t>the</w:t>
      </w:r>
      <w:r>
        <w:rPr>
          <w:spacing w:val="6"/>
          <w:sz w:val="18"/>
          <w:szCs w:val="18"/>
        </w:rPr>
        <w:t xml:space="preserve"> </w:t>
      </w:r>
      <w:r>
        <w:rPr>
          <w:spacing w:val="-1"/>
          <w:sz w:val="18"/>
          <w:szCs w:val="18"/>
        </w:rPr>
        <w:t>AS</w:t>
      </w:r>
      <w:r>
        <w:rPr>
          <w:sz w:val="18"/>
          <w:szCs w:val="18"/>
        </w:rPr>
        <w:t xml:space="preserve">RC </w:t>
      </w:r>
      <w:r>
        <w:rPr>
          <w:spacing w:val="1"/>
          <w:sz w:val="18"/>
          <w:szCs w:val="18"/>
        </w:rPr>
        <w:t>o</w:t>
      </w:r>
      <w:r>
        <w:rPr>
          <w:sz w:val="18"/>
          <w:szCs w:val="18"/>
        </w:rPr>
        <w:t>r</w:t>
      </w:r>
      <w:r>
        <w:rPr>
          <w:spacing w:val="6"/>
          <w:sz w:val="18"/>
          <w:szCs w:val="18"/>
        </w:rPr>
        <w:t xml:space="preserve"> </w:t>
      </w:r>
      <w:r>
        <w:rPr>
          <w:sz w:val="18"/>
          <w:szCs w:val="18"/>
        </w:rPr>
        <w:t>the</w:t>
      </w:r>
      <w:r>
        <w:rPr>
          <w:spacing w:val="6"/>
          <w:sz w:val="18"/>
          <w:szCs w:val="18"/>
        </w:rPr>
        <w:t xml:space="preserve"> </w:t>
      </w:r>
      <w:r>
        <w:rPr>
          <w:spacing w:val="-2"/>
          <w:sz w:val="18"/>
          <w:szCs w:val="18"/>
        </w:rPr>
        <w:t>GA</w:t>
      </w:r>
      <w:r>
        <w:rPr>
          <w:sz w:val="18"/>
          <w:szCs w:val="18"/>
        </w:rPr>
        <w:t>F</w:t>
      </w:r>
      <w:r>
        <w:rPr>
          <w:spacing w:val="4"/>
          <w:sz w:val="18"/>
          <w:szCs w:val="18"/>
        </w:rPr>
        <w:t xml:space="preserve"> </w:t>
      </w:r>
      <w:r>
        <w:rPr>
          <w:spacing w:val="-1"/>
          <w:sz w:val="18"/>
          <w:szCs w:val="18"/>
        </w:rPr>
        <w:t>Waive</w:t>
      </w:r>
      <w:r>
        <w:rPr>
          <w:sz w:val="18"/>
          <w:szCs w:val="18"/>
        </w:rPr>
        <w:t>r</w:t>
      </w:r>
      <w:r>
        <w:rPr>
          <w:spacing w:val="5"/>
          <w:sz w:val="18"/>
          <w:szCs w:val="18"/>
        </w:rPr>
        <w:t xml:space="preserve"> </w:t>
      </w:r>
      <w:r>
        <w:rPr>
          <w:sz w:val="18"/>
          <w:szCs w:val="18"/>
        </w:rPr>
        <w:t>amount</w:t>
      </w:r>
      <w:r>
        <w:rPr>
          <w:spacing w:val="6"/>
          <w:sz w:val="18"/>
          <w:szCs w:val="18"/>
        </w:rPr>
        <w:t xml:space="preserve"> </w:t>
      </w:r>
      <w:r>
        <w:rPr>
          <w:sz w:val="18"/>
          <w:szCs w:val="18"/>
        </w:rPr>
        <w:t>only,</w:t>
      </w:r>
      <w:r>
        <w:rPr>
          <w:spacing w:val="6"/>
          <w:sz w:val="18"/>
          <w:szCs w:val="18"/>
        </w:rPr>
        <w:t xml:space="preserve"> </w:t>
      </w:r>
      <w:r>
        <w:rPr>
          <w:sz w:val="18"/>
          <w:szCs w:val="18"/>
        </w:rPr>
        <w:t>the</w:t>
      </w:r>
      <w:r>
        <w:rPr>
          <w:spacing w:val="6"/>
          <w:sz w:val="18"/>
          <w:szCs w:val="18"/>
        </w:rPr>
        <w:t xml:space="preserve"> </w:t>
      </w:r>
      <w:r>
        <w:rPr>
          <w:sz w:val="18"/>
          <w:szCs w:val="18"/>
        </w:rPr>
        <w:t>otherwise</w:t>
      </w:r>
      <w:r>
        <w:rPr>
          <w:spacing w:val="5"/>
          <w:sz w:val="18"/>
          <w:szCs w:val="18"/>
        </w:rPr>
        <w:t xml:space="preserve"> </w:t>
      </w:r>
      <w:r>
        <w:rPr>
          <w:sz w:val="18"/>
          <w:szCs w:val="18"/>
        </w:rPr>
        <w:t>applicable</w:t>
      </w:r>
      <w:r>
        <w:rPr>
          <w:spacing w:val="6"/>
          <w:sz w:val="18"/>
          <w:szCs w:val="18"/>
        </w:rPr>
        <w:t xml:space="preserve"> </w:t>
      </w:r>
      <w:r>
        <w:rPr>
          <w:spacing w:val="-1"/>
          <w:sz w:val="18"/>
          <w:szCs w:val="18"/>
        </w:rPr>
        <w:t>CIA</w:t>
      </w:r>
      <w:r>
        <w:rPr>
          <w:sz w:val="18"/>
          <w:szCs w:val="18"/>
        </w:rPr>
        <w:t>C</w:t>
      </w:r>
      <w:r>
        <w:rPr>
          <w:spacing w:val="5"/>
          <w:sz w:val="18"/>
          <w:szCs w:val="18"/>
        </w:rPr>
        <w:t xml:space="preserve"> </w:t>
      </w:r>
      <w:r>
        <w:rPr>
          <w:sz w:val="18"/>
          <w:szCs w:val="18"/>
        </w:rPr>
        <w:t>shall</w:t>
      </w:r>
      <w:r>
        <w:rPr>
          <w:spacing w:val="6"/>
          <w:sz w:val="18"/>
          <w:szCs w:val="18"/>
        </w:rPr>
        <w:t xml:space="preserve"> </w:t>
      </w:r>
      <w:r>
        <w:rPr>
          <w:sz w:val="18"/>
          <w:szCs w:val="18"/>
        </w:rPr>
        <w:t>be</w:t>
      </w:r>
      <w:r>
        <w:rPr>
          <w:spacing w:val="6"/>
          <w:sz w:val="18"/>
          <w:szCs w:val="18"/>
        </w:rPr>
        <w:t xml:space="preserve"> </w:t>
      </w:r>
      <w:r>
        <w:rPr>
          <w:sz w:val="18"/>
          <w:szCs w:val="18"/>
        </w:rPr>
        <w:t>adjusted</w:t>
      </w:r>
      <w:r>
        <w:rPr>
          <w:spacing w:val="4"/>
          <w:sz w:val="18"/>
          <w:szCs w:val="18"/>
        </w:rPr>
        <w:t xml:space="preserve"> </w:t>
      </w:r>
      <w:r>
        <w:rPr>
          <w:spacing w:val="1"/>
          <w:sz w:val="18"/>
          <w:szCs w:val="18"/>
        </w:rPr>
        <w:t>t</w:t>
      </w:r>
      <w:r>
        <w:rPr>
          <w:sz w:val="18"/>
          <w:szCs w:val="18"/>
        </w:rPr>
        <w:t xml:space="preserve">o </w:t>
      </w:r>
      <w:r>
        <w:rPr>
          <w:spacing w:val="1"/>
          <w:sz w:val="18"/>
          <w:szCs w:val="18"/>
        </w:rPr>
        <w:t>ad</w:t>
      </w:r>
      <w:r>
        <w:rPr>
          <w:sz w:val="18"/>
          <w:szCs w:val="18"/>
        </w:rPr>
        <w:t xml:space="preserve">d </w:t>
      </w:r>
      <w:r>
        <w:rPr>
          <w:spacing w:val="1"/>
          <w:sz w:val="18"/>
          <w:szCs w:val="18"/>
        </w:rPr>
        <w:t>FPL’</w:t>
      </w:r>
      <w:r>
        <w:rPr>
          <w:sz w:val="18"/>
          <w:szCs w:val="18"/>
        </w:rPr>
        <w:t xml:space="preserve">s </w:t>
      </w:r>
      <w:r>
        <w:rPr>
          <w:spacing w:val="1"/>
          <w:sz w:val="18"/>
          <w:szCs w:val="18"/>
        </w:rPr>
        <w:t>estimate</w:t>
      </w:r>
      <w:r>
        <w:rPr>
          <w:sz w:val="18"/>
          <w:szCs w:val="18"/>
        </w:rPr>
        <w:t xml:space="preserve">d </w:t>
      </w:r>
      <w:r>
        <w:rPr>
          <w:spacing w:val="1"/>
          <w:sz w:val="18"/>
          <w:szCs w:val="18"/>
        </w:rPr>
        <w:t>cos</w:t>
      </w:r>
      <w:r>
        <w:rPr>
          <w:sz w:val="18"/>
          <w:szCs w:val="18"/>
        </w:rPr>
        <w:t xml:space="preserve">t </w:t>
      </w:r>
      <w:r>
        <w:rPr>
          <w:spacing w:val="1"/>
          <w:sz w:val="18"/>
          <w:szCs w:val="18"/>
        </w:rPr>
        <w:t>fo</w:t>
      </w:r>
      <w:r>
        <w:rPr>
          <w:sz w:val="18"/>
          <w:szCs w:val="18"/>
        </w:rPr>
        <w:t xml:space="preserve">r </w:t>
      </w:r>
      <w:r>
        <w:rPr>
          <w:spacing w:val="1"/>
          <w:sz w:val="18"/>
          <w:szCs w:val="18"/>
        </w:rPr>
        <w:t>th</w:t>
      </w:r>
      <w:r>
        <w:rPr>
          <w:sz w:val="18"/>
          <w:szCs w:val="18"/>
        </w:rPr>
        <w:t xml:space="preserve">e </w:t>
      </w:r>
      <w:r>
        <w:rPr>
          <w:spacing w:val="1"/>
          <w:sz w:val="18"/>
          <w:szCs w:val="18"/>
        </w:rPr>
        <w:t>Applican</w:t>
      </w:r>
      <w:r>
        <w:rPr>
          <w:sz w:val="18"/>
          <w:szCs w:val="18"/>
        </w:rPr>
        <w:t>t- per</w:t>
      </w:r>
      <w:r>
        <w:rPr>
          <w:spacing w:val="-2"/>
          <w:sz w:val="18"/>
          <w:szCs w:val="18"/>
        </w:rPr>
        <w:t>f</w:t>
      </w:r>
      <w:r>
        <w:rPr>
          <w:sz w:val="18"/>
          <w:szCs w:val="18"/>
        </w:rPr>
        <w:t>ormed</w:t>
      </w:r>
      <w:r>
        <w:rPr>
          <w:spacing w:val="2"/>
          <w:sz w:val="18"/>
          <w:szCs w:val="18"/>
        </w:rPr>
        <w:t xml:space="preserve"> </w:t>
      </w:r>
      <w:r>
        <w:rPr>
          <w:spacing w:val="-1"/>
          <w:sz w:val="18"/>
          <w:szCs w:val="18"/>
        </w:rPr>
        <w:t>work</w:t>
      </w:r>
      <w:r>
        <w:rPr>
          <w:sz w:val="18"/>
          <w:szCs w:val="18"/>
        </w:rPr>
        <w:t>.</w:t>
      </w:r>
      <w:r>
        <w:rPr>
          <w:spacing w:val="3"/>
          <w:sz w:val="18"/>
          <w:szCs w:val="18"/>
        </w:rPr>
        <w:t xml:space="preserve"> </w:t>
      </w:r>
      <w:r>
        <w:rPr>
          <w:spacing w:val="1"/>
          <w:sz w:val="18"/>
          <w:szCs w:val="18"/>
        </w:rPr>
        <w:t>I</w:t>
      </w:r>
      <w:r>
        <w:rPr>
          <w:sz w:val="18"/>
          <w:szCs w:val="18"/>
        </w:rPr>
        <w:t>n</w:t>
      </w:r>
      <w:r>
        <w:rPr>
          <w:spacing w:val="3"/>
          <w:sz w:val="18"/>
          <w:szCs w:val="18"/>
        </w:rPr>
        <w:t xml:space="preserve"> </w:t>
      </w:r>
      <w:r>
        <w:rPr>
          <w:spacing w:val="1"/>
          <w:sz w:val="18"/>
          <w:szCs w:val="18"/>
        </w:rPr>
        <w:t>addition</w:t>
      </w:r>
      <w:r>
        <w:rPr>
          <w:sz w:val="18"/>
          <w:szCs w:val="18"/>
        </w:rPr>
        <w:t>,</w:t>
      </w:r>
      <w:r>
        <w:rPr>
          <w:spacing w:val="3"/>
          <w:sz w:val="18"/>
          <w:szCs w:val="18"/>
        </w:rPr>
        <w:t xml:space="preserve"> </w:t>
      </w:r>
      <w:r>
        <w:rPr>
          <w:sz w:val="18"/>
          <w:szCs w:val="18"/>
        </w:rPr>
        <w:t>the</w:t>
      </w:r>
      <w:r>
        <w:rPr>
          <w:spacing w:val="3"/>
          <w:sz w:val="18"/>
          <w:szCs w:val="18"/>
        </w:rPr>
        <w:t xml:space="preserve"> </w:t>
      </w:r>
      <w:r>
        <w:rPr>
          <w:sz w:val="18"/>
          <w:szCs w:val="18"/>
        </w:rPr>
        <w:t>Direct</w:t>
      </w:r>
      <w:r>
        <w:rPr>
          <w:spacing w:val="2"/>
          <w:sz w:val="18"/>
          <w:szCs w:val="18"/>
        </w:rPr>
        <w:t xml:space="preserve"> </w:t>
      </w:r>
      <w:r>
        <w:rPr>
          <w:sz w:val="18"/>
          <w:szCs w:val="18"/>
        </w:rPr>
        <w:t>Engineering,</w:t>
      </w:r>
      <w:r>
        <w:rPr>
          <w:spacing w:val="2"/>
          <w:sz w:val="18"/>
          <w:szCs w:val="18"/>
        </w:rPr>
        <w:t xml:space="preserve"> </w:t>
      </w:r>
      <w:r>
        <w:rPr>
          <w:sz w:val="18"/>
          <w:szCs w:val="18"/>
        </w:rPr>
        <w:t>Supervision,</w:t>
      </w:r>
      <w:r>
        <w:rPr>
          <w:spacing w:val="3"/>
          <w:sz w:val="18"/>
          <w:szCs w:val="18"/>
        </w:rPr>
        <w:t xml:space="preserve"> </w:t>
      </w:r>
      <w:r>
        <w:rPr>
          <w:spacing w:val="1"/>
          <w:sz w:val="18"/>
          <w:szCs w:val="18"/>
        </w:rPr>
        <w:t>an</w:t>
      </w:r>
      <w:r>
        <w:rPr>
          <w:sz w:val="18"/>
          <w:szCs w:val="18"/>
        </w:rPr>
        <w:t>d</w:t>
      </w:r>
      <w:r>
        <w:rPr>
          <w:spacing w:val="3"/>
          <w:sz w:val="18"/>
          <w:szCs w:val="18"/>
        </w:rPr>
        <w:t xml:space="preserve"> </w:t>
      </w:r>
      <w:r>
        <w:rPr>
          <w:spacing w:val="1"/>
          <w:sz w:val="18"/>
          <w:szCs w:val="18"/>
        </w:rPr>
        <w:t>Suppor</w:t>
      </w:r>
      <w:r>
        <w:rPr>
          <w:sz w:val="18"/>
          <w:szCs w:val="18"/>
        </w:rPr>
        <w:t>t</w:t>
      </w:r>
      <w:r>
        <w:rPr>
          <w:spacing w:val="3"/>
          <w:sz w:val="18"/>
          <w:szCs w:val="18"/>
        </w:rPr>
        <w:t xml:space="preserve"> </w:t>
      </w:r>
      <w:r>
        <w:rPr>
          <w:sz w:val="18"/>
          <w:szCs w:val="18"/>
        </w:rPr>
        <w:t>(DESS)</w:t>
      </w:r>
      <w:r>
        <w:rPr>
          <w:spacing w:val="3"/>
          <w:sz w:val="18"/>
          <w:szCs w:val="18"/>
        </w:rPr>
        <w:t xml:space="preserve"> </w:t>
      </w:r>
      <w:r>
        <w:rPr>
          <w:sz w:val="18"/>
          <w:szCs w:val="18"/>
        </w:rPr>
        <w:t>costs</w:t>
      </w:r>
      <w:r>
        <w:rPr>
          <w:spacing w:val="2"/>
          <w:sz w:val="18"/>
          <w:szCs w:val="18"/>
        </w:rPr>
        <w:t xml:space="preserve"> </w:t>
      </w:r>
      <w:r>
        <w:rPr>
          <w:sz w:val="18"/>
          <w:szCs w:val="18"/>
        </w:rPr>
        <w:t>associated</w:t>
      </w:r>
      <w:r>
        <w:rPr>
          <w:spacing w:val="2"/>
          <w:sz w:val="18"/>
          <w:szCs w:val="18"/>
        </w:rPr>
        <w:t xml:space="preserve"> </w:t>
      </w:r>
      <w:r>
        <w:rPr>
          <w:sz w:val="18"/>
          <w:szCs w:val="18"/>
        </w:rPr>
        <w:t>with this Applicant- performed</w:t>
      </w:r>
      <w:r>
        <w:rPr>
          <w:spacing w:val="-1"/>
          <w:sz w:val="18"/>
          <w:szCs w:val="18"/>
        </w:rPr>
        <w:t xml:space="preserve"> </w:t>
      </w:r>
      <w:r>
        <w:rPr>
          <w:sz w:val="18"/>
          <w:szCs w:val="18"/>
        </w:rPr>
        <w:t>work</w:t>
      </w:r>
      <w:r>
        <w:rPr>
          <w:spacing w:val="-1"/>
          <w:sz w:val="18"/>
          <w:szCs w:val="18"/>
        </w:rPr>
        <w:t xml:space="preserve"> </w:t>
      </w:r>
      <w:r>
        <w:rPr>
          <w:sz w:val="18"/>
          <w:szCs w:val="18"/>
        </w:rPr>
        <w:t>will be</w:t>
      </w:r>
      <w:r>
        <w:rPr>
          <w:spacing w:val="1"/>
          <w:sz w:val="18"/>
          <w:szCs w:val="18"/>
        </w:rPr>
        <w:t xml:space="preserve"> </w:t>
      </w:r>
      <w:r>
        <w:rPr>
          <w:sz w:val="18"/>
          <w:szCs w:val="18"/>
        </w:rPr>
        <w:t>reduced by 20% from the amount that would have applied if FPL performed this work.</w:t>
      </w:r>
    </w:p>
    <w:p w:rsidR="00F30BBC" w:rsidRDefault="00F30BBC" w:rsidP="00F30BBC">
      <w:pPr>
        <w:spacing w:before="11" w:line="200" w:lineRule="exact"/>
        <w:rPr>
          <w:sz w:val="20"/>
          <w:szCs w:val="20"/>
        </w:rPr>
      </w:pPr>
    </w:p>
    <w:p w:rsidR="00F30BBC" w:rsidRDefault="00F30BBC" w:rsidP="00F30BBC">
      <w:pPr>
        <w:spacing w:line="244" w:lineRule="auto"/>
        <w:ind w:left="102" w:right="69"/>
        <w:jc w:val="both"/>
        <w:rPr>
          <w:sz w:val="18"/>
          <w:szCs w:val="18"/>
        </w:rPr>
      </w:pPr>
      <w:r>
        <w:rPr>
          <w:sz w:val="18"/>
          <w:szCs w:val="18"/>
          <w:u w:val="single" w:color="000000"/>
        </w:rPr>
        <w:t>DISTRIBUTION</w:t>
      </w:r>
      <w:r>
        <w:rPr>
          <w:spacing w:val="-13"/>
          <w:sz w:val="18"/>
          <w:szCs w:val="18"/>
          <w:u w:val="single" w:color="000000"/>
        </w:rPr>
        <w:t xml:space="preserve"> </w:t>
      </w:r>
      <w:r>
        <w:rPr>
          <w:sz w:val="18"/>
          <w:szCs w:val="18"/>
          <w:u w:val="single" w:color="000000"/>
        </w:rPr>
        <w:t>SYSTEM</w:t>
      </w:r>
      <w:r>
        <w:rPr>
          <w:spacing w:val="33"/>
          <w:sz w:val="18"/>
          <w:szCs w:val="18"/>
        </w:rPr>
        <w:t xml:space="preserve"> </w:t>
      </w:r>
      <w:r>
        <w:rPr>
          <w:sz w:val="18"/>
          <w:szCs w:val="18"/>
        </w:rPr>
        <w:t>-</w:t>
      </w:r>
      <w:r>
        <w:rPr>
          <w:spacing w:val="32"/>
          <w:sz w:val="18"/>
          <w:szCs w:val="18"/>
        </w:rPr>
        <w:t xml:space="preserve"> </w:t>
      </w:r>
      <w:r>
        <w:rPr>
          <w:sz w:val="18"/>
          <w:szCs w:val="18"/>
        </w:rPr>
        <w:t>Electric</w:t>
      </w:r>
      <w:r>
        <w:rPr>
          <w:spacing w:val="31"/>
          <w:sz w:val="18"/>
          <w:szCs w:val="18"/>
        </w:rPr>
        <w:t xml:space="preserve"> </w:t>
      </w:r>
      <w:r>
        <w:rPr>
          <w:sz w:val="18"/>
          <w:szCs w:val="18"/>
        </w:rPr>
        <w:t>service</w:t>
      </w:r>
      <w:r>
        <w:rPr>
          <w:spacing w:val="31"/>
          <w:sz w:val="18"/>
          <w:szCs w:val="18"/>
        </w:rPr>
        <w:t xml:space="preserve"> </w:t>
      </w:r>
      <w:r>
        <w:rPr>
          <w:sz w:val="18"/>
          <w:szCs w:val="18"/>
        </w:rPr>
        <w:t>facilities</w:t>
      </w:r>
      <w:r>
        <w:rPr>
          <w:spacing w:val="31"/>
          <w:sz w:val="18"/>
          <w:szCs w:val="18"/>
        </w:rPr>
        <w:t xml:space="preserve"> </w:t>
      </w:r>
      <w:r>
        <w:rPr>
          <w:sz w:val="18"/>
          <w:szCs w:val="18"/>
        </w:rPr>
        <w:t>consisting</w:t>
      </w:r>
      <w:r>
        <w:rPr>
          <w:spacing w:val="30"/>
          <w:sz w:val="18"/>
          <w:szCs w:val="18"/>
        </w:rPr>
        <w:t xml:space="preserve"> </w:t>
      </w:r>
      <w:r>
        <w:rPr>
          <w:spacing w:val="-1"/>
          <w:sz w:val="18"/>
          <w:szCs w:val="18"/>
        </w:rPr>
        <w:t>o</w:t>
      </w:r>
      <w:r>
        <w:rPr>
          <w:sz w:val="18"/>
          <w:szCs w:val="18"/>
        </w:rPr>
        <w:t>f</w:t>
      </w:r>
      <w:r>
        <w:rPr>
          <w:spacing w:val="29"/>
          <w:sz w:val="18"/>
          <w:szCs w:val="18"/>
        </w:rPr>
        <w:t xml:space="preserve"> </w:t>
      </w:r>
      <w:r>
        <w:rPr>
          <w:spacing w:val="-1"/>
          <w:sz w:val="18"/>
          <w:szCs w:val="18"/>
        </w:rPr>
        <w:t>primar</w:t>
      </w:r>
      <w:r>
        <w:rPr>
          <w:sz w:val="18"/>
          <w:szCs w:val="18"/>
        </w:rPr>
        <w:t>y</w:t>
      </w:r>
      <w:r>
        <w:rPr>
          <w:spacing w:val="28"/>
          <w:sz w:val="18"/>
          <w:szCs w:val="18"/>
        </w:rPr>
        <w:t xml:space="preserve"> </w:t>
      </w:r>
      <w:r>
        <w:rPr>
          <w:spacing w:val="1"/>
          <w:sz w:val="18"/>
          <w:szCs w:val="18"/>
        </w:rPr>
        <w:t>an</w:t>
      </w:r>
      <w:r>
        <w:rPr>
          <w:sz w:val="18"/>
          <w:szCs w:val="18"/>
        </w:rPr>
        <w:t>d</w:t>
      </w:r>
      <w:r>
        <w:rPr>
          <w:spacing w:val="30"/>
          <w:sz w:val="18"/>
          <w:szCs w:val="18"/>
        </w:rPr>
        <w:t xml:space="preserve"> </w:t>
      </w:r>
      <w:r>
        <w:rPr>
          <w:sz w:val="18"/>
          <w:szCs w:val="18"/>
        </w:rPr>
        <w:t>secondary</w:t>
      </w:r>
      <w:r>
        <w:rPr>
          <w:spacing w:val="29"/>
          <w:sz w:val="18"/>
          <w:szCs w:val="18"/>
        </w:rPr>
        <w:t xml:space="preserve"> </w:t>
      </w:r>
      <w:r>
        <w:rPr>
          <w:sz w:val="18"/>
          <w:szCs w:val="18"/>
        </w:rPr>
        <w:t>conductors,</w:t>
      </w:r>
      <w:r>
        <w:rPr>
          <w:spacing w:val="30"/>
          <w:sz w:val="18"/>
          <w:szCs w:val="18"/>
        </w:rPr>
        <w:t xml:space="preserve"> </w:t>
      </w:r>
      <w:r>
        <w:rPr>
          <w:sz w:val="18"/>
          <w:szCs w:val="18"/>
        </w:rPr>
        <w:t>service</w:t>
      </w:r>
      <w:r>
        <w:rPr>
          <w:spacing w:val="29"/>
          <w:sz w:val="18"/>
          <w:szCs w:val="18"/>
        </w:rPr>
        <w:t xml:space="preserve"> </w:t>
      </w:r>
      <w:r>
        <w:rPr>
          <w:spacing w:val="1"/>
          <w:sz w:val="18"/>
          <w:szCs w:val="18"/>
        </w:rPr>
        <w:t>drops</w:t>
      </w:r>
      <w:r>
        <w:rPr>
          <w:sz w:val="18"/>
          <w:szCs w:val="18"/>
        </w:rPr>
        <w:t>,</w:t>
      </w:r>
      <w:r>
        <w:rPr>
          <w:spacing w:val="30"/>
          <w:sz w:val="18"/>
          <w:szCs w:val="18"/>
        </w:rPr>
        <w:t xml:space="preserve"> </w:t>
      </w:r>
      <w:r>
        <w:rPr>
          <w:sz w:val="18"/>
          <w:szCs w:val="18"/>
        </w:rPr>
        <w:t>service</w:t>
      </w:r>
      <w:r>
        <w:rPr>
          <w:spacing w:val="29"/>
          <w:sz w:val="18"/>
          <w:szCs w:val="18"/>
        </w:rPr>
        <w:t xml:space="preserve"> </w:t>
      </w:r>
      <w:r>
        <w:rPr>
          <w:sz w:val="18"/>
          <w:szCs w:val="18"/>
        </w:rPr>
        <w:t>laterals, conduits, transformers and necessary accessories and appurtenances for the furnishing of electric power at utilization volta</w:t>
      </w:r>
      <w:r>
        <w:rPr>
          <w:spacing w:val="-2"/>
          <w:sz w:val="18"/>
          <w:szCs w:val="18"/>
        </w:rPr>
        <w:t>g</w:t>
      </w:r>
      <w:r>
        <w:rPr>
          <w:sz w:val="18"/>
          <w:szCs w:val="18"/>
        </w:rPr>
        <w:t>e.</w:t>
      </w:r>
    </w:p>
    <w:p w:rsidR="00F30BBC" w:rsidRDefault="00F30BBC" w:rsidP="00F30BBC">
      <w:pPr>
        <w:spacing w:line="200" w:lineRule="exact"/>
        <w:rPr>
          <w:sz w:val="20"/>
          <w:szCs w:val="20"/>
        </w:rPr>
      </w:pPr>
    </w:p>
    <w:p w:rsidR="00F30BBC" w:rsidRDefault="00F30BBC" w:rsidP="00F30BBC">
      <w:pPr>
        <w:spacing w:line="244" w:lineRule="auto"/>
        <w:ind w:left="102" w:right="69"/>
        <w:jc w:val="both"/>
        <w:rPr>
          <w:sz w:val="18"/>
          <w:szCs w:val="18"/>
        </w:rPr>
      </w:pPr>
      <w:r>
        <w:rPr>
          <w:spacing w:val="1"/>
          <w:sz w:val="18"/>
          <w:szCs w:val="18"/>
          <w:u w:val="single" w:color="000000"/>
        </w:rPr>
        <w:t>SERVIC</w:t>
      </w:r>
      <w:r>
        <w:rPr>
          <w:sz w:val="18"/>
          <w:szCs w:val="18"/>
          <w:u w:val="single" w:color="000000"/>
        </w:rPr>
        <w:t>E</w:t>
      </w:r>
      <w:r>
        <w:rPr>
          <w:spacing w:val="-35"/>
          <w:sz w:val="18"/>
          <w:szCs w:val="18"/>
          <w:u w:val="single" w:color="000000"/>
        </w:rPr>
        <w:t xml:space="preserve"> </w:t>
      </w:r>
      <w:r>
        <w:rPr>
          <w:spacing w:val="-1"/>
          <w:sz w:val="18"/>
          <w:szCs w:val="18"/>
          <w:u w:val="single" w:color="000000"/>
        </w:rPr>
        <w:t>FACILITIE</w:t>
      </w:r>
      <w:r>
        <w:rPr>
          <w:sz w:val="18"/>
          <w:szCs w:val="18"/>
          <w:u w:val="single" w:color="000000"/>
        </w:rPr>
        <w:t>S</w:t>
      </w:r>
      <w:r>
        <w:rPr>
          <w:spacing w:val="11"/>
          <w:sz w:val="18"/>
          <w:szCs w:val="18"/>
        </w:rPr>
        <w:t xml:space="preserve"> </w:t>
      </w:r>
      <w:r>
        <w:rPr>
          <w:sz w:val="18"/>
          <w:szCs w:val="18"/>
        </w:rPr>
        <w:t>-</w:t>
      </w:r>
      <w:r>
        <w:rPr>
          <w:spacing w:val="10"/>
          <w:sz w:val="18"/>
          <w:szCs w:val="18"/>
        </w:rPr>
        <w:t xml:space="preserve"> </w:t>
      </w:r>
      <w:r>
        <w:rPr>
          <w:sz w:val="18"/>
          <w:szCs w:val="18"/>
        </w:rPr>
        <w:t>The</w:t>
      </w:r>
      <w:r>
        <w:rPr>
          <w:spacing w:val="10"/>
          <w:sz w:val="18"/>
          <w:szCs w:val="18"/>
        </w:rPr>
        <w:t xml:space="preserve"> </w:t>
      </w:r>
      <w:r>
        <w:rPr>
          <w:sz w:val="18"/>
          <w:szCs w:val="18"/>
        </w:rPr>
        <w:t>entire</w:t>
      </w:r>
      <w:r>
        <w:rPr>
          <w:spacing w:val="10"/>
          <w:sz w:val="18"/>
          <w:szCs w:val="18"/>
        </w:rPr>
        <w:t xml:space="preserve"> </w:t>
      </w:r>
      <w:r>
        <w:rPr>
          <w:sz w:val="18"/>
          <w:szCs w:val="18"/>
        </w:rPr>
        <w:t>length</w:t>
      </w:r>
      <w:r>
        <w:rPr>
          <w:spacing w:val="10"/>
          <w:sz w:val="18"/>
          <w:szCs w:val="18"/>
        </w:rPr>
        <w:t xml:space="preserve"> </w:t>
      </w:r>
      <w:r>
        <w:rPr>
          <w:spacing w:val="-1"/>
          <w:sz w:val="18"/>
          <w:szCs w:val="18"/>
        </w:rPr>
        <w:t>o</w:t>
      </w:r>
      <w:r>
        <w:rPr>
          <w:sz w:val="18"/>
          <w:szCs w:val="18"/>
        </w:rPr>
        <w:t>f</w:t>
      </w:r>
      <w:r>
        <w:rPr>
          <w:spacing w:val="10"/>
          <w:sz w:val="18"/>
          <w:szCs w:val="18"/>
        </w:rPr>
        <w:t xml:space="preserve"> </w:t>
      </w:r>
      <w:r>
        <w:rPr>
          <w:sz w:val="18"/>
          <w:szCs w:val="18"/>
        </w:rPr>
        <w:t>conductors</w:t>
      </w:r>
      <w:r>
        <w:rPr>
          <w:spacing w:val="11"/>
          <w:sz w:val="18"/>
          <w:szCs w:val="18"/>
        </w:rPr>
        <w:t xml:space="preserve"> </w:t>
      </w:r>
      <w:r>
        <w:rPr>
          <w:sz w:val="18"/>
          <w:szCs w:val="18"/>
        </w:rPr>
        <w:t>between</w:t>
      </w:r>
      <w:r>
        <w:rPr>
          <w:spacing w:val="10"/>
          <w:sz w:val="18"/>
          <w:szCs w:val="18"/>
        </w:rPr>
        <w:t xml:space="preserve"> </w:t>
      </w:r>
      <w:r>
        <w:rPr>
          <w:sz w:val="18"/>
          <w:szCs w:val="18"/>
        </w:rPr>
        <w:t>the</w:t>
      </w:r>
      <w:r>
        <w:rPr>
          <w:spacing w:val="10"/>
          <w:sz w:val="18"/>
          <w:szCs w:val="18"/>
        </w:rPr>
        <w:t xml:space="preserve"> </w:t>
      </w:r>
      <w:r>
        <w:rPr>
          <w:spacing w:val="1"/>
          <w:sz w:val="18"/>
          <w:szCs w:val="18"/>
        </w:rPr>
        <w:t>distributio</w:t>
      </w:r>
      <w:r>
        <w:rPr>
          <w:sz w:val="18"/>
          <w:szCs w:val="18"/>
        </w:rPr>
        <w:t>n</w:t>
      </w:r>
      <w:r>
        <w:rPr>
          <w:spacing w:val="11"/>
          <w:sz w:val="18"/>
          <w:szCs w:val="18"/>
        </w:rPr>
        <w:t xml:space="preserve"> </w:t>
      </w:r>
      <w:r>
        <w:rPr>
          <w:sz w:val="18"/>
          <w:szCs w:val="18"/>
        </w:rPr>
        <w:t>source,</w:t>
      </w:r>
      <w:r>
        <w:rPr>
          <w:spacing w:val="10"/>
          <w:sz w:val="18"/>
          <w:szCs w:val="18"/>
        </w:rPr>
        <w:t xml:space="preserve"> </w:t>
      </w:r>
      <w:r>
        <w:rPr>
          <w:sz w:val="18"/>
          <w:szCs w:val="18"/>
        </w:rPr>
        <w:t>including</w:t>
      </w:r>
      <w:r>
        <w:rPr>
          <w:spacing w:val="11"/>
          <w:sz w:val="18"/>
          <w:szCs w:val="18"/>
        </w:rPr>
        <w:t xml:space="preserve"> </w:t>
      </w:r>
      <w:r>
        <w:rPr>
          <w:spacing w:val="-1"/>
          <w:sz w:val="18"/>
          <w:szCs w:val="18"/>
        </w:rPr>
        <w:t>an</w:t>
      </w:r>
      <w:r>
        <w:rPr>
          <w:sz w:val="18"/>
          <w:szCs w:val="18"/>
        </w:rPr>
        <w:t>y</w:t>
      </w:r>
      <w:r>
        <w:rPr>
          <w:spacing w:val="9"/>
          <w:sz w:val="18"/>
          <w:szCs w:val="18"/>
        </w:rPr>
        <w:t xml:space="preserve"> </w:t>
      </w:r>
      <w:r>
        <w:rPr>
          <w:spacing w:val="1"/>
          <w:sz w:val="18"/>
          <w:szCs w:val="18"/>
        </w:rPr>
        <w:t>condui</w:t>
      </w:r>
      <w:r>
        <w:rPr>
          <w:sz w:val="18"/>
          <w:szCs w:val="18"/>
        </w:rPr>
        <w:t>t</w:t>
      </w:r>
      <w:r>
        <w:rPr>
          <w:spacing w:val="11"/>
          <w:sz w:val="18"/>
          <w:szCs w:val="18"/>
        </w:rPr>
        <w:t xml:space="preserve"> </w:t>
      </w:r>
      <w:r>
        <w:rPr>
          <w:spacing w:val="1"/>
          <w:sz w:val="18"/>
          <w:szCs w:val="18"/>
        </w:rPr>
        <w:t>an</w:t>
      </w:r>
      <w:r>
        <w:rPr>
          <w:sz w:val="18"/>
          <w:szCs w:val="18"/>
        </w:rPr>
        <w:t>d</w:t>
      </w:r>
      <w:r>
        <w:rPr>
          <w:spacing w:val="11"/>
          <w:sz w:val="18"/>
          <w:szCs w:val="18"/>
        </w:rPr>
        <w:t xml:space="preserve"> </w:t>
      </w:r>
      <w:r>
        <w:rPr>
          <w:spacing w:val="1"/>
          <w:sz w:val="18"/>
          <w:szCs w:val="18"/>
        </w:rPr>
        <w:t>o</w:t>
      </w:r>
      <w:r>
        <w:rPr>
          <w:sz w:val="18"/>
          <w:szCs w:val="18"/>
        </w:rPr>
        <w:t>r</w:t>
      </w:r>
      <w:r>
        <w:rPr>
          <w:spacing w:val="11"/>
          <w:sz w:val="18"/>
          <w:szCs w:val="18"/>
        </w:rPr>
        <w:t xml:space="preserve"> </w:t>
      </w:r>
      <w:r>
        <w:rPr>
          <w:sz w:val="18"/>
          <w:szCs w:val="18"/>
        </w:rPr>
        <w:t>risers</w:t>
      </w:r>
      <w:r>
        <w:rPr>
          <w:spacing w:val="10"/>
          <w:sz w:val="18"/>
          <w:szCs w:val="18"/>
        </w:rPr>
        <w:t xml:space="preserve"> </w:t>
      </w:r>
      <w:r>
        <w:rPr>
          <w:sz w:val="18"/>
          <w:szCs w:val="18"/>
        </w:rPr>
        <w:t>at</w:t>
      </w:r>
      <w:r>
        <w:rPr>
          <w:spacing w:val="10"/>
          <w:sz w:val="18"/>
          <w:szCs w:val="18"/>
        </w:rPr>
        <w:t xml:space="preserve"> </w:t>
      </w:r>
      <w:r>
        <w:rPr>
          <w:sz w:val="18"/>
          <w:szCs w:val="18"/>
        </w:rPr>
        <w:t>a</w:t>
      </w:r>
      <w:r>
        <w:rPr>
          <w:spacing w:val="7"/>
          <w:sz w:val="18"/>
          <w:szCs w:val="18"/>
        </w:rPr>
        <w:t xml:space="preserve"> </w:t>
      </w:r>
      <w:r>
        <w:rPr>
          <w:spacing w:val="1"/>
          <w:sz w:val="18"/>
          <w:szCs w:val="18"/>
        </w:rPr>
        <w:t>pol</w:t>
      </w:r>
      <w:r>
        <w:rPr>
          <w:sz w:val="18"/>
          <w:szCs w:val="18"/>
        </w:rPr>
        <w:t>e</w:t>
      </w:r>
      <w:r>
        <w:rPr>
          <w:spacing w:val="8"/>
          <w:sz w:val="18"/>
          <w:szCs w:val="18"/>
        </w:rPr>
        <w:t xml:space="preserve"> </w:t>
      </w:r>
      <w:r>
        <w:rPr>
          <w:spacing w:val="1"/>
          <w:sz w:val="18"/>
          <w:szCs w:val="18"/>
        </w:rPr>
        <w:t xml:space="preserve">or </w:t>
      </w:r>
      <w:r>
        <w:rPr>
          <w:sz w:val="18"/>
          <w:szCs w:val="18"/>
        </w:rPr>
        <w:t>other</w:t>
      </w:r>
      <w:r>
        <w:rPr>
          <w:spacing w:val="30"/>
          <w:sz w:val="18"/>
          <w:szCs w:val="18"/>
        </w:rPr>
        <w:t xml:space="preserve"> </w:t>
      </w:r>
      <w:r>
        <w:rPr>
          <w:sz w:val="18"/>
          <w:szCs w:val="18"/>
        </w:rPr>
        <w:t>structure</w:t>
      </w:r>
      <w:r>
        <w:rPr>
          <w:spacing w:val="29"/>
          <w:sz w:val="18"/>
          <w:szCs w:val="18"/>
        </w:rPr>
        <w:t xml:space="preserve"> </w:t>
      </w:r>
      <w:r>
        <w:rPr>
          <w:spacing w:val="1"/>
          <w:sz w:val="18"/>
          <w:szCs w:val="18"/>
        </w:rPr>
        <w:t>o</w:t>
      </w:r>
      <w:r>
        <w:rPr>
          <w:sz w:val="18"/>
          <w:szCs w:val="18"/>
        </w:rPr>
        <w:t>r</w:t>
      </w:r>
      <w:r>
        <w:rPr>
          <w:spacing w:val="30"/>
          <w:sz w:val="18"/>
          <w:szCs w:val="18"/>
        </w:rPr>
        <w:t xml:space="preserve"> </w:t>
      </w:r>
      <w:r>
        <w:rPr>
          <w:spacing w:val="-1"/>
          <w:sz w:val="18"/>
          <w:szCs w:val="18"/>
        </w:rPr>
        <w:t>fro</w:t>
      </w:r>
      <w:r>
        <w:rPr>
          <w:sz w:val="18"/>
          <w:szCs w:val="18"/>
        </w:rPr>
        <w:t>m</w:t>
      </w:r>
      <w:r>
        <w:rPr>
          <w:spacing w:val="28"/>
          <w:sz w:val="18"/>
          <w:szCs w:val="18"/>
        </w:rPr>
        <w:t xml:space="preserve"> </w:t>
      </w:r>
      <w:r>
        <w:rPr>
          <w:sz w:val="18"/>
          <w:szCs w:val="18"/>
        </w:rPr>
        <w:t>transformers,</w:t>
      </w:r>
      <w:r>
        <w:rPr>
          <w:spacing w:val="29"/>
          <w:sz w:val="18"/>
          <w:szCs w:val="18"/>
        </w:rPr>
        <w:t xml:space="preserve"> </w:t>
      </w:r>
      <w:r>
        <w:rPr>
          <w:spacing w:val="-1"/>
          <w:sz w:val="18"/>
          <w:szCs w:val="18"/>
        </w:rPr>
        <w:t>fro</w:t>
      </w:r>
      <w:r>
        <w:rPr>
          <w:sz w:val="18"/>
          <w:szCs w:val="18"/>
        </w:rPr>
        <w:t>m</w:t>
      </w:r>
      <w:r>
        <w:rPr>
          <w:spacing w:val="28"/>
          <w:sz w:val="18"/>
          <w:szCs w:val="18"/>
        </w:rPr>
        <w:t xml:space="preserve"> </w:t>
      </w:r>
      <w:r>
        <w:rPr>
          <w:sz w:val="18"/>
          <w:szCs w:val="18"/>
        </w:rPr>
        <w:t>which</w:t>
      </w:r>
      <w:r>
        <w:rPr>
          <w:spacing w:val="29"/>
          <w:sz w:val="18"/>
          <w:szCs w:val="18"/>
        </w:rPr>
        <w:t xml:space="preserve"> </w:t>
      </w:r>
      <w:r>
        <w:rPr>
          <w:sz w:val="18"/>
          <w:szCs w:val="18"/>
        </w:rPr>
        <w:t>only</w:t>
      </w:r>
      <w:r>
        <w:rPr>
          <w:spacing w:val="29"/>
          <w:sz w:val="18"/>
          <w:szCs w:val="18"/>
        </w:rPr>
        <w:t xml:space="preserve"> </w:t>
      </w:r>
      <w:r>
        <w:rPr>
          <w:spacing w:val="1"/>
          <w:sz w:val="18"/>
          <w:szCs w:val="18"/>
        </w:rPr>
        <w:t>on</w:t>
      </w:r>
      <w:r>
        <w:rPr>
          <w:sz w:val="18"/>
          <w:szCs w:val="18"/>
        </w:rPr>
        <w:t>e</w:t>
      </w:r>
      <w:r>
        <w:rPr>
          <w:spacing w:val="30"/>
          <w:sz w:val="18"/>
          <w:szCs w:val="18"/>
        </w:rPr>
        <w:t xml:space="preserve"> </w:t>
      </w:r>
      <w:r>
        <w:rPr>
          <w:spacing w:val="1"/>
          <w:sz w:val="18"/>
          <w:szCs w:val="18"/>
        </w:rPr>
        <w:t>poin</w:t>
      </w:r>
      <w:r>
        <w:rPr>
          <w:sz w:val="18"/>
          <w:szCs w:val="18"/>
        </w:rPr>
        <w:t>t</w:t>
      </w:r>
      <w:r>
        <w:rPr>
          <w:spacing w:val="30"/>
          <w:sz w:val="18"/>
          <w:szCs w:val="18"/>
        </w:rPr>
        <w:t xml:space="preserve"> </w:t>
      </w:r>
      <w:r>
        <w:rPr>
          <w:spacing w:val="-1"/>
          <w:sz w:val="18"/>
          <w:szCs w:val="18"/>
        </w:rPr>
        <w:t>o</w:t>
      </w:r>
      <w:r>
        <w:rPr>
          <w:sz w:val="18"/>
          <w:szCs w:val="18"/>
        </w:rPr>
        <w:t>f</w:t>
      </w:r>
      <w:r>
        <w:rPr>
          <w:spacing w:val="29"/>
          <w:sz w:val="18"/>
          <w:szCs w:val="18"/>
        </w:rPr>
        <w:t xml:space="preserve"> </w:t>
      </w:r>
      <w:r>
        <w:rPr>
          <w:sz w:val="18"/>
          <w:szCs w:val="18"/>
        </w:rPr>
        <w:t>service</w:t>
      </w:r>
      <w:r>
        <w:rPr>
          <w:spacing w:val="26"/>
          <w:sz w:val="18"/>
          <w:szCs w:val="18"/>
        </w:rPr>
        <w:t xml:space="preserve"> </w:t>
      </w:r>
      <w:r>
        <w:rPr>
          <w:sz w:val="18"/>
          <w:szCs w:val="18"/>
        </w:rPr>
        <w:t>will</w:t>
      </w:r>
      <w:r>
        <w:rPr>
          <w:spacing w:val="27"/>
          <w:sz w:val="18"/>
          <w:szCs w:val="18"/>
        </w:rPr>
        <w:t xml:space="preserve"> </w:t>
      </w:r>
      <w:r>
        <w:rPr>
          <w:sz w:val="18"/>
          <w:szCs w:val="18"/>
        </w:rPr>
        <w:t>result,</w:t>
      </w:r>
      <w:r>
        <w:rPr>
          <w:spacing w:val="27"/>
          <w:sz w:val="18"/>
          <w:szCs w:val="18"/>
        </w:rPr>
        <w:t xml:space="preserve"> </w:t>
      </w:r>
      <w:r>
        <w:rPr>
          <w:spacing w:val="1"/>
          <w:sz w:val="18"/>
          <w:szCs w:val="18"/>
        </w:rPr>
        <w:t>an</w:t>
      </w:r>
      <w:r>
        <w:rPr>
          <w:sz w:val="18"/>
          <w:szCs w:val="18"/>
        </w:rPr>
        <w:t>d</w:t>
      </w:r>
      <w:r>
        <w:rPr>
          <w:spacing w:val="28"/>
          <w:sz w:val="18"/>
          <w:szCs w:val="18"/>
        </w:rPr>
        <w:t xml:space="preserve"> </w:t>
      </w:r>
      <w:r>
        <w:rPr>
          <w:sz w:val="18"/>
          <w:szCs w:val="18"/>
        </w:rPr>
        <w:t>the</w:t>
      </w:r>
      <w:r>
        <w:rPr>
          <w:spacing w:val="27"/>
          <w:sz w:val="18"/>
          <w:szCs w:val="18"/>
        </w:rPr>
        <w:t xml:space="preserve"> </w:t>
      </w:r>
      <w:r>
        <w:rPr>
          <w:spacing w:val="-1"/>
          <w:sz w:val="18"/>
          <w:szCs w:val="18"/>
        </w:rPr>
        <w:t>firs</w:t>
      </w:r>
      <w:r>
        <w:rPr>
          <w:sz w:val="18"/>
          <w:szCs w:val="18"/>
        </w:rPr>
        <w:t>t</w:t>
      </w:r>
      <w:r>
        <w:rPr>
          <w:spacing w:val="27"/>
          <w:sz w:val="18"/>
          <w:szCs w:val="18"/>
        </w:rPr>
        <w:t xml:space="preserve"> </w:t>
      </w:r>
      <w:r>
        <w:rPr>
          <w:spacing w:val="1"/>
          <w:sz w:val="18"/>
          <w:szCs w:val="18"/>
        </w:rPr>
        <w:t>poin</w:t>
      </w:r>
      <w:r>
        <w:rPr>
          <w:sz w:val="18"/>
          <w:szCs w:val="18"/>
        </w:rPr>
        <w:t>t</w:t>
      </w:r>
      <w:r>
        <w:rPr>
          <w:spacing w:val="28"/>
          <w:sz w:val="18"/>
          <w:szCs w:val="18"/>
        </w:rPr>
        <w:t xml:space="preserve"> </w:t>
      </w:r>
      <w:r>
        <w:rPr>
          <w:spacing w:val="-1"/>
          <w:sz w:val="18"/>
          <w:szCs w:val="18"/>
        </w:rPr>
        <w:t>o</w:t>
      </w:r>
      <w:r>
        <w:rPr>
          <w:sz w:val="18"/>
          <w:szCs w:val="18"/>
        </w:rPr>
        <w:t>f</w:t>
      </w:r>
      <w:r>
        <w:rPr>
          <w:spacing w:val="26"/>
          <w:sz w:val="18"/>
          <w:szCs w:val="18"/>
        </w:rPr>
        <w:t xml:space="preserve"> </w:t>
      </w:r>
      <w:r>
        <w:rPr>
          <w:sz w:val="18"/>
          <w:szCs w:val="18"/>
        </w:rPr>
        <w:t>connection</w:t>
      </w:r>
      <w:r>
        <w:rPr>
          <w:spacing w:val="27"/>
          <w:sz w:val="18"/>
          <w:szCs w:val="18"/>
        </w:rPr>
        <w:t xml:space="preserve"> </w:t>
      </w:r>
      <w:r>
        <w:rPr>
          <w:spacing w:val="1"/>
          <w:sz w:val="18"/>
          <w:szCs w:val="18"/>
        </w:rPr>
        <w:t>t</w:t>
      </w:r>
      <w:r>
        <w:rPr>
          <w:sz w:val="18"/>
          <w:szCs w:val="18"/>
        </w:rPr>
        <w:t>o</w:t>
      </w:r>
      <w:r>
        <w:rPr>
          <w:spacing w:val="28"/>
          <w:sz w:val="18"/>
          <w:szCs w:val="18"/>
        </w:rPr>
        <w:t xml:space="preserve"> </w:t>
      </w:r>
      <w:r>
        <w:rPr>
          <w:sz w:val="18"/>
          <w:szCs w:val="18"/>
        </w:rPr>
        <w:t>the</w:t>
      </w:r>
      <w:r>
        <w:rPr>
          <w:spacing w:val="27"/>
          <w:sz w:val="18"/>
          <w:szCs w:val="18"/>
        </w:rPr>
        <w:t xml:space="preserve"> </w:t>
      </w:r>
      <w:r>
        <w:rPr>
          <w:sz w:val="18"/>
          <w:szCs w:val="18"/>
        </w:rPr>
        <w:t>service entrance conductors at a weatherhead, in a terminal, or meter box outside the building wall; the terminal or meter box; and the</w:t>
      </w:r>
      <w:r>
        <w:rPr>
          <w:spacing w:val="-1"/>
          <w:sz w:val="18"/>
          <w:szCs w:val="18"/>
        </w:rPr>
        <w:t xml:space="preserve"> </w:t>
      </w:r>
      <w:r>
        <w:rPr>
          <w:sz w:val="18"/>
          <w:szCs w:val="18"/>
        </w:rPr>
        <w:t>meter.</w:t>
      </w:r>
    </w:p>
    <w:p w:rsidR="00F30BBC" w:rsidRDefault="00F30BBC" w:rsidP="00F30BBC">
      <w:pPr>
        <w:spacing w:line="203" w:lineRule="exact"/>
        <w:ind w:left="3979" w:right="3975"/>
        <w:jc w:val="center"/>
        <w:rPr>
          <w:spacing w:val="1"/>
          <w:position w:val="-1"/>
          <w:sz w:val="18"/>
          <w:szCs w:val="18"/>
        </w:rPr>
      </w:pPr>
    </w:p>
    <w:p w:rsidR="00F30BBC" w:rsidRDefault="00F30BBC" w:rsidP="00F30BBC">
      <w:pPr>
        <w:spacing w:line="203" w:lineRule="exact"/>
        <w:ind w:left="3979" w:right="3975"/>
        <w:jc w:val="center"/>
        <w:rPr>
          <w:sz w:val="18"/>
          <w:szCs w:val="18"/>
        </w:rPr>
      </w:pPr>
      <w:r>
        <w:rPr>
          <w:spacing w:val="1"/>
          <w:position w:val="-1"/>
          <w:sz w:val="18"/>
          <w:szCs w:val="18"/>
        </w:rPr>
        <w:t>(Continue</w:t>
      </w:r>
      <w:r>
        <w:rPr>
          <w:position w:val="-1"/>
          <w:sz w:val="18"/>
          <w:szCs w:val="18"/>
        </w:rPr>
        <w:t>d</w:t>
      </w:r>
      <w:r>
        <w:rPr>
          <w:spacing w:val="1"/>
          <w:position w:val="-1"/>
          <w:sz w:val="18"/>
          <w:szCs w:val="18"/>
        </w:rPr>
        <w:t xml:space="preserve"> o</w:t>
      </w:r>
      <w:r>
        <w:rPr>
          <w:position w:val="-1"/>
          <w:sz w:val="18"/>
          <w:szCs w:val="18"/>
        </w:rPr>
        <w:t>n</w:t>
      </w:r>
      <w:r>
        <w:rPr>
          <w:spacing w:val="1"/>
          <w:position w:val="-1"/>
          <w:sz w:val="18"/>
          <w:szCs w:val="18"/>
        </w:rPr>
        <w:t xml:space="preserve"> Shee</w:t>
      </w:r>
      <w:r>
        <w:rPr>
          <w:position w:val="-1"/>
          <w:sz w:val="18"/>
          <w:szCs w:val="18"/>
        </w:rPr>
        <w:t>t</w:t>
      </w:r>
      <w:r>
        <w:rPr>
          <w:spacing w:val="1"/>
          <w:position w:val="-1"/>
          <w:sz w:val="18"/>
          <w:szCs w:val="18"/>
        </w:rPr>
        <w:t xml:space="preserve"> No</w:t>
      </w:r>
      <w:r>
        <w:rPr>
          <w:position w:val="-1"/>
          <w:sz w:val="18"/>
          <w:szCs w:val="18"/>
        </w:rPr>
        <w:t>.</w:t>
      </w:r>
      <w:r>
        <w:rPr>
          <w:spacing w:val="1"/>
          <w:position w:val="-1"/>
          <w:sz w:val="18"/>
          <w:szCs w:val="18"/>
        </w:rPr>
        <w:t xml:space="preserve"> 6.301)</w:t>
      </w:r>
    </w:p>
    <w:p w:rsidR="00F30BBC" w:rsidRDefault="00F30BBC" w:rsidP="00F30BBC">
      <w:pPr>
        <w:spacing w:before="11" w:line="240" w:lineRule="exact"/>
      </w:pPr>
    </w:p>
    <w:p w:rsidR="00F30BBC" w:rsidRDefault="00F30BBC" w:rsidP="00F30BBC">
      <w:pPr>
        <w:spacing w:before="33"/>
        <w:ind w:left="102" w:right="-20"/>
        <w:rPr>
          <w:sz w:val="20"/>
          <w:szCs w:val="20"/>
        </w:rPr>
      </w:pPr>
      <w:r>
        <w:rPr>
          <w:b/>
          <w:bCs/>
          <w:sz w:val="20"/>
          <w:szCs w:val="20"/>
        </w:rPr>
        <w:t>Issued</w:t>
      </w:r>
      <w:r>
        <w:rPr>
          <w:b/>
          <w:bCs/>
          <w:spacing w:val="-5"/>
          <w:sz w:val="20"/>
          <w:szCs w:val="20"/>
        </w:rPr>
        <w:t xml:space="preserve"> </w:t>
      </w:r>
      <w:r>
        <w:rPr>
          <w:b/>
          <w:bCs/>
          <w:sz w:val="20"/>
          <w:szCs w:val="20"/>
        </w:rPr>
        <w:t>by:</w:t>
      </w:r>
      <w:r>
        <w:rPr>
          <w:b/>
          <w:bCs/>
          <w:spacing w:val="47"/>
          <w:sz w:val="20"/>
          <w:szCs w:val="20"/>
        </w:rPr>
        <w:t xml:space="preserve"> </w:t>
      </w:r>
      <w:r>
        <w:rPr>
          <w:b/>
          <w:bCs/>
          <w:sz w:val="20"/>
          <w:szCs w:val="20"/>
        </w:rPr>
        <w:t>S.</w:t>
      </w:r>
      <w:r>
        <w:rPr>
          <w:b/>
          <w:bCs/>
          <w:spacing w:val="-2"/>
          <w:sz w:val="20"/>
          <w:szCs w:val="20"/>
        </w:rPr>
        <w:t xml:space="preserve"> </w:t>
      </w:r>
      <w:r>
        <w:rPr>
          <w:b/>
          <w:bCs/>
          <w:sz w:val="20"/>
          <w:szCs w:val="20"/>
        </w:rPr>
        <w:t>E.</w:t>
      </w:r>
      <w:r>
        <w:rPr>
          <w:b/>
          <w:bCs/>
          <w:spacing w:val="-2"/>
          <w:sz w:val="20"/>
          <w:szCs w:val="20"/>
        </w:rPr>
        <w:t xml:space="preserve"> </w:t>
      </w:r>
      <w:r>
        <w:rPr>
          <w:b/>
          <w:bCs/>
          <w:sz w:val="20"/>
          <w:szCs w:val="20"/>
        </w:rPr>
        <w:t>Ro</w:t>
      </w:r>
      <w:r>
        <w:rPr>
          <w:b/>
          <w:bCs/>
          <w:spacing w:val="-5"/>
          <w:sz w:val="20"/>
          <w:szCs w:val="20"/>
        </w:rPr>
        <w:t>m</w:t>
      </w:r>
      <w:r>
        <w:rPr>
          <w:b/>
          <w:bCs/>
          <w:sz w:val="20"/>
          <w:szCs w:val="20"/>
        </w:rPr>
        <w:t>ig,</w:t>
      </w:r>
      <w:r>
        <w:rPr>
          <w:b/>
          <w:bCs/>
          <w:spacing w:val="-5"/>
          <w:sz w:val="20"/>
          <w:szCs w:val="20"/>
        </w:rPr>
        <w:t xml:space="preserve"> </w:t>
      </w:r>
      <w:r>
        <w:rPr>
          <w:b/>
          <w:bCs/>
          <w:sz w:val="20"/>
          <w:szCs w:val="20"/>
        </w:rPr>
        <w:t>Director,</w:t>
      </w:r>
      <w:r>
        <w:rPr>
          <w:b/>
          <w:bCs/>
          <w:spacing w:val="-7"/>
          <w:sz w:val="20"/>
          <w:szCs w:val="20"/>
        </w:rPr>
        <w:t xml:space="preserve"> </w:t>
      </w:r>
      <w:r>
        <w:rPr>
          <w:b/>
          <w:bCs/>
          <w:sz w:val="20"/>
          <w:szCs w:val="20"/>
        </w:rPr>
        <w:t>Rates</w:t>
      </w:r>
      <w:r>
        <w:rPr>
          <w:b/>
          <w:bCs/>
          <w:spacing w:val="-4"/>
          <w:sz w:val="20"/>
          <w:szCs w:val="20"/>
        </w:rPr>
        <w:t xml:space="preserve"> </w:t>
      </w:r>
      <w:r>
        <w:rPr>
          <w:b/>
          <w:bCs/>
          <w:sz w:val="20"/>
          <w:szCs w:val="20"/>
        </w:rPr>
        <w:t>and</w:t>
      </w:r>
      <w:r>
        <w:rPr>
          <w:b/>
          <w:bCs/>
          <w:spacing w:val="-2"/>
          <w:sz w:val="20"/>
          <w:szCs w:val="20"/>
        </w:rPr>
        <w:t xml:space="preserve"> </w:t>
      </w:r>
      <w:r>
        <w:rPr>
          <w:b/>
          <w:bCs/>
          <w:sz w:val="20"/>
          <w:szCs w:val="20"/>
        </w:rPr>
        <w:t>Tariffs</w:t>
      </w:r>
    </w:p>
    <w:p w:rsidR="00F30BBC" w:rsidRDefault="00F30BBC" w:rsidP="00F30BBC">
      <w:pPr>
        <w:spacing w:before="3"/>
        <w:ind w:left="102" w:right="-20"/>
      </w:pPr>
      <w:r>
        <w:rPr>
          <w:b/>
          <w:bCs/>
          <w:sz w:val="20"/>
          <w:szCs w:val="20"/>
        </w:rPr>
        <w:t>Effective:</w:t>
      </w:r>
      <w:r>
        <w:rPr>
          <w:b/>
          <w:bCs/>
          <w:spacing w:val="42"/>
          <w:sz w:val="20"/>
          <w:szCs w:val="20"/>
        </w:rPr>
        <w:t xml:space="preserve"> </w:t>
      </w:r>
      <w:r>
        <w:rPr>
          <w:b/>
          <w:bCs/>
          <w:color w:val="FF0000"/>
          <w:spacing w:val="-49"/>
          <w:sz w:val="20"/>
          <w:szCs w:val="20"/>
        </w:rPr>
        <w:t xml:space="preserve"> </w:t>
      </w:r>
      <w:r>
        <w:rPr>
          <w:b/>
          <w:bCs/>
          <w:strike/>
          <w:color w:val="FF0000"/>
          <w:spacing w:val="1"/>
          <w:sz w:val="20"/>
          <w:szCs w:val="20"/>
        </w:rPr>
        <w:t>March</w:t>
      </w:r>
      <w:r>
        <w:rPr>
          <w:b/>
          <w:bCs/>
          <w:strike/>
          <w:color w:val="FF0000"/>
          <w:spacing w:val="-104"/>
          <w:sz w:val="20"/>
          <w:szCs w:val="20"/>
        </w:rPr>
        <w:t xml:space="preserve"> </w:t>
      </w:r>
      <w:r>
        <w:rPr>
          <w:b/>
          <w:bCs/>
          <w:strike/>
          <w:color w:val="FF0000"/>
          <w:spacing w:val="1"/>
          <w:sz w:val="20"/>
          <w:szCs w:val="20"/>
        </w:rPr>
        <w:t>24,</w:t>
      </w:r>
      <w:r>
        <w:rPr>
          <w:b/>
          <w:bCs/>
          <w:strike/>
          <w:color w:val="FF0000"/>
          <w:spacing w:val="-104"/>
          <w:sz w:val="20"/>
          <w:szCs w:val="20"/>
        </w:rPr>
        <w:t xml:space="preserve"> </w:t>
      </w:r>
      <w:r>
        <w:rPr>
          <w:b/>
          <w:bCs/>
          <w:strike/>
          <w:color w:val="FF0000"/>
          <w:spacing w:val="1"/>
          <w:sz w:val="20"/>
          <w:szCs w:val="20"/>
        </w:rPr>
        <w:t>2015</w:t>
      </w:r>
    </w:p>
    <w:p w:rsidR="00F30BBC" w:rsidRPr="00F30BBC" w:rsidRDefault="00F30BBC" w:rsidP="00F30BBC">
      <w:pPr>
        <w:pStyle w:val="OrderBody"/>
      </w:pPr>
    </w:p>
    <w:sectPr w:rsidR="00F30BBC" w:rsidRPr="00F30BBC" w:rsidSect="00311B65">
      <w:headerReference w:type="default" r:id="rId10"/>
      <w:pgSz w:w="12240" w:h="15840"/>
      <w:pgMar w:top="800" w:right="600" w:bottom="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BC" w:rsidRDefault="00F30BBC">
      <w:r>
        <w:separator/>
      </w:r>
    </w:p>
  </w:endnote>
  <w:endnote w:type="continuationSeparator" w:id="0">
    <w:p w:rsidR="00F30BBC" w:rsidRDefault="00F3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BC" w:rsidRDefault="00F30BBC">
      <w:r>
        <w:separator/>
      </w:r>
    </w:p>
  </w:footnote>
  <w:footnote w:type="continuationSeparator" w:id="0">
    <w:p w:rsidR="00F30BBC" w:rsidRDefault="00F30BBC">
      <w:r>
        <w:continuationSeparator/>
      </w:r>
    </w:p>
  </w:footnote>
  <w:footnote w:id="1">
    <w:p w:rsidR="00F30BBC" w:rsidRDefault="00F30BBC" w:rsidP="00F30BBC">
      <w:pPr>
        <w:pStyle w:val="FootnoteText"/>
      </w:pPr>
      <w:r>
        <w:rPr>
          <w:rStyle w:val="FootnoteReference"/>
        </w:rPr>
        <w:footnoteRef/>
      </w:r>
      <w:r>
        <w:t xml:space="preserve"> Order No. PSC-2017-0316-PCO-EI, issued August 8, 2017, in Docket No. 20170148-EI, </w:t>
      </w:r>
      <w:r w:rsidRPr="00ED00EC">
        <w:rPr>
          <w:u w:val="single"/>
        </w:rPr>
        <w:t>In re: Petition for determination under Rule 25-6.115, F.A.C., and approval of associate revised tariff sheet 6.300, by Florida Power &amp; Light Company.</w:t>
      </w:r>
    </w:p>
  </w:footnote>
  <w:footnote w:id="2">
    <w:p w:rsidR="00F30BBC" w:rsidRDefault="00F30BBC" w:rsidP="00F30BBC">
      <w:pPr>
        <w:pStyle w:val="FootnoteText"/>
      </w:pPr>
      <w:r>
        <w:rPr>
          <w:rStyle w:val="FootnoteReference"/>
        </w:rPr>
        <w:footnoteRef/>
      </w:r>
      <w:r>
        <w:t xml:space="preserve"> Document No. 01382-16, filed on March 15, 2016, in Docket No. 160061-EI</w:t>
      </w:r>
      <w:r w:rsidR="008F6054">
        <w:t xml:space="preserve">, </w:t>
      </w:r>
      <w:r w:rsidRPr="00D13A00">
        <w:rPr>
          <w:u w:val="single"/>
        </w:rPr>
        <w:t>In re: Petition for approval of 2016-2018 storm hardening plan, by Florida Power &amp; Light Company</w:t>
      </w:r>
      <w:r>
        <w:t>.</w:t>
      </w:r>
    </w:p>
  </w:footnote>
  <w:footnote w:id="3">
    <w:p w:rsidR="00F30BBC" w:rsidRDefault="00F30BBC" w:rsidP="00F30BBC">
      <w:pPr>
        <w:pStyle w:val="FootnoteText"/>
      </w:pPr>
      <w:r>
        <w:rPr>
          <w:rStyle w:val="FootnoteReference"/>
        </w:rPr>
        <w:footnoteRef/>
      </w:r>
      <w:r>
        <w:t xml:space="preserve"> Order No. PSC-16-0560-AS-EI, issued December 15, 2016, in Docket No. 160021-EI, </w:t>
      </w:r>
      <w:r w:rsidRPr="00D13A00">
        <w:rPr>
          <w:u w:val="single"/>
        </w:rPr>
        <w:t>In re: Petition for rate increase by Florida Power &amp; Light Company.</w:t>
      </w:r>
    </w:p>
  </w:footnote>
  <w:footnote w:id="4">
    <w:p w:rsidR="00F30BBC" w:rsidRPr="00D13A00" w:rsidRDefault="00F30BBC" w:rsidP="00F30BBC">
      <w:pPr>
        <w:pStyle w:val="FootnoteText"/>
      </w:pPr>
      <w:r>
        <w:rPr>
          <w:rStyle w:val="FootnoteReference"/>
        </w:rPr>
        <w:footnoteRef/>
      </w:r>
      <w:r>
        <w:t xml:space="preserve"> </w:t>
      </w:r>
      <w:r w:rsidRPr="00D13A00">
        <w:rPr>
          <w:u w:val="single"/>
        </w:rPr>
        <w:t>Id</w:t>
      </w:r>
      <w:r w:rsidRPr="00D13A00">
        <w:t>.</w:t>
      </w:r>
    </w:p>
  </w:footnote>
  <w:footnote w:id="5">
    <w:p w:rsidR="00F30BBC" w:rsidRDefault="00F30BBC" w:rsidP="00F30BBC">
      <w:pPr>
        <w:pStyle w:val="FootnoteText"/>
      </w:pPr>
      <w:r>
        <w:rPr>
          <w:rStyle w:val="FootnoteReference"/>
        </w:rPr>
        <w:footnoteRef/>
      </w:r>
      <w:r>
        <w:t xml:space="preserve"> Staff’s First Data Request, response to Question 5</w:t>
      </w:r>
    </w:p>
  </w:footnote>
  <w:footnote w:id="6">
    <w:p w:rsidR="00F30BBC" w:rsidRDefault="00F30BBC" w:rsidP="00F30BBC">
      <w:pPr>
        <w:pStyle w:val="FootnoteText"/>
      </w:pPr>
      <w:r>
        <w:rPr>
          <w:rStyle w:val="FootnoteReference"/>
        </w:rPr>
        <w:footnoteRef/>
      </w:r>
      <w:r>
        <w:t xml:space="preserve"> Staff’s Second Data Request, response to Question 8</w:t>
      </w:r>
    </w:p>
  </w:footnote>
  <w:footnote w:id="7">
    <w:p w:rsidR="00F30BBC" w:rsidRDefault="00F30BBC" w:rsidP="00F30BBC">
      <w:pPr>
        <w:pStyle w:val="FootnoteText"/>
      </w:pPr>
      <w:r>
        <w:rPr>
          <w:rStyle w:val="FootnoteReference"/>
        </w:rPr>
        <w:footnoteRef/>
      </w:r>
      <w:r>
        <w:t xml:space="preserve"> Order No. PSC-10-0247-FOF-EI, issued April 22, 2010, in Docket No. 070231-EI, </w:t>
      </w:r>
      <w:r w:rsidRPr="000462ED">
        <w:rPr>
          <w:u w:val="single"/>
        </w:rPr>
        <w:t>In re: Petition for approval of 2007 revisions to underground residential and commercial distribution tariffs, by Florida Power &amp; Light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D72C05">
      <w:fldChar w:fldCharType="begin"/>
    </w:r>
    <w:r w:rsidR="00D72C05">
      <w:instrText xml:space="preserve"> REF OrderNo0050 </w:instrText>
    </w:r>
    <w:r w:rsidR="00D72C05">
      <w:fldChar w:fldCharType="separate"/>
    </w:r>
    <w:r w:rsidR="001D08ED">
      <w:t>PSC-2018-0050-TRF-EI</w:t>
    </w:r>
    <w:r w:rsidR="00D72C05">
      <w:fldChar w:fldCharType="end"/>
    </w:r>
  </w:p>
  <w:p w:rsidR="00FA6EFD" w:rsidRDefault="00F30BBC">
    <w:pPr>
      <w:pStyle w:val="OrderHeader"/>
    </w:pPr>
    <w:bookmarkStart w:id="8" w:name="HeaderDocketNo"/>
    <w:bookmarkEnd w:id="8"/>
    <w:r>
      <w:t>DOCKET NO. 20170148-EI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2C05">
      <w:rPr>
        <w:rStyle w:val="PageNumber"/>
        <w:noProof/>
      </w:rPr>
      <w:t>5</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BC" w:rsidRDefault="00F30BBC" w:rsidP="00F30BBC">
    <w:pPr>
      <w:pStyle w:val="OrderHeader"/>
    </w:pPr>
    <w:r>
      <w:t xml:space="preserve">ORDER NO. </w:t>
    </w:r>
    <w:r w:rsidR="001D08ED" w:rsidRPr="001D08ED">
      <w:t>PSC-2018-0050-TRF-EI</w:t>
    </w:r>
  </w:p>
  <w:p w:rsidR="00F30BBC" w:rsidRDefault="00F30BBC" w:rsidP="00F30BBC">
    <w:pPr>
      <w:pStyle w:val="OrderHeader"/>
    </w:pPr>
    <w:r>
      <w:t>DOCKET NO. 20170148-EI</w:t>
    </w:r>
    <w:r w:rsidR="00365D76">
      <w:tab/>
    </w:r>
    <w:r w:rsidR="00365D76">
      <w:tab/>
    </w:r>
    <w:r w:rsidR="002C0AAE">
      <w:t xml:space="preserve">                                                                    </w:t>
    </w:r>
    <w:r w:rsidR="00365D76">
      <w:t>ATTACHMENT A</w:t>
    </w:r>
  </w:p>
  <w:p w:rsidR="00F30BBC" w:rsidRDefault="00F30BBC" w:rsidP="00F30BB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72C05">
      <w:rPr>
        <w:rStyle w:val="PageNumber"/>
        <w:noProof/>
      </w:rPr>
      <w:t>6</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48-EI"/>
  </w:docVars>
  <w:rsids>
    <w:rsidRoot w:val="00F30BBC"/>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D08ED"/>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0AAE"/>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65D76"/>
    <w:rsid w:val="0037196E"/>
    <w:rsid w:val="003744F5"/>
    <w:rsid w:val="00390DD8"/>
    <w:rsid w:val="00394DC6"/>
    <w:rsid w:val="00397C3E"/>
    <w:rsid w:val="003D4CCA"/>
    <w:rsid w:val="003D52A6"/>
    <w:rsid w:val="003D6416"/>
    <w:rsid w:val="003E1D48"/>
    <w:rsid w:val="00411DF2"/>
    <w:rsid w:val="0042527B"/>
    <w:rsid w:val="00457DC7"/>
    <w:rsid w:val="00472BCC"/>
    <w:rsid w:val="00492B2D"/>
    <w:rsid w:val="004A25CD"/>
    <w:rsid w:val="004A26CC"/>
    <w:rsid w:val="004B2108"/>
    <w:rsid w:val="004B3A2B"/>
    <w:rsid w:val="004B70D3"/>
    <w:rsid w:val="004C312D"/>
    <w:rsid w:val="004D2D1B"/>
    <w:rsid w:val="004D5067"/>
    <w:rsid w:val="004E469D"/>
    <w:rsid w:val="004F2DDE"/>
    <w:rsid w:val="004F7826"/>
    <w:rsid w:val="0050097F"/>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F6054"/>
    <w:rsid w:val="009040EE"/>
    <w:rsid w:val="009057FD"/>
    <w:rsid w:val="00906FBA"/>
    <w:rsid w:val="009228C7"/>
    <w:rsid w:val="00922A7F"/>
    <w:rsid w:val="00923A5E"/>
    <w:rsid w:val="00926E27"/>
    <w:rsid w:val="00931C8C"/>
    <w:rsid w:val="0094504B"/>
    <w:rsid w:val="0096742B"/>
    <w:rsid w:val="009924CF"/>
    <w:rsid w:val="00994100"/>
    <w:rsid w:val="009A6B17"/>
    <w:rsid w:val="009D4C29"/>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33460"/>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72C05"/>
    <w:rsid w:val="00D8560E"/>
    <w:rsid w:val="00D8758F"/>
    <w:rsid w:val="00DA6B78"/>
    <w:rsid w:val="00DC1D94"/>
    <w:rsid w:val="00DC42CF"/>
    <w:rsid w:val="00DE057F"/>
    <w:rsid w:val="00DE2082"/>
    <w:rsid w:val="00DE2289"/>
    <w:rsid w:val="00E03A76"/>
    <w:rsid w:val="00E04410"/>
    <w:rsid w:val="00E11351"/>
    <w:rsid w:val="00E75AE0"/>
    <w:rsid w:val="00E83C1F"/>
    <w:rsid w:val="00EA172C"/>
    <w:rsid w:val="00EA259B"/>
    <w:rsid w:val="00EA35A3"/>
    <w:rsid w:val="00EA3E6A"/>
    <w:rsid w:val="00EB18EF"/>
    <w:rsid w:val="00EB7951"/>
    <w:rsid w:val="00EE17DF"/>
    <w:rsid w:val="00EF4621"/>
    <w:rsid w:val="00EF6312"/>
    <w:rsid w:val="00F234A7"/>
    <w:rsid w:val="00F277B6"/>
    <w:rsid w:val="00F30BBC"/>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30BBC"/>
  </w:style>
  <w:style w:type="paragraph" w:customStyle="1" w:styleId="First-LevelSubheading">
    <w:name w:val="First-Level Subheading"/>
    <w:basedOn w:val="Normal"/>
    <w:next w:val="BodyText"/>
    <w:qFormat/>
    <w:rsid w:val="00F30BBC"/>
    <w:pPr>
      <w:jc w:val="both"/>
      <w:outlineLvl w:val="2"/>
    </w:pPr>
    <w:rPr>
      <w:rFonts w:ascii="Arial" w:hAnsi="Arial" w:cs="Arial"/>
      <w:b/>
      <w:bCs/>
      <w:iCs/>
      <w:szCs w:val="28"/>
    </w:rPr>
  </w:style>
  <w:style w:type="character" w:customStyle="1" w:styleId="HeaderChar">
    <w:name w:val="Header Char"/>
    <w:link w:val="Header"/>
    <w:uiPriority w:val="99"/>
    <w:rsid w:val="00F30BBC"/>
    <w:rPr>
      <w:sz w:val="24"/>
      <w:szCs w:val="24"/>
    </w:rPr>
  </w:style>
  <w:style w:type="paragraph" w:styleId="BalloonText">
    <w:name w:val="Balloon Text"/>
    <w:basedOn w:val="Normal"/>
    <w:link w:val="BalloonTextChar"/>
    <w:rsid w:val="00F30BBC"/>
    <w:rPr>
      <w:rFonts w:ascii="Tahoma" w:hAnsi="Tahoma" w:cs="Tahoma"/>
      <w:sz w:val="16"/>
      <w:szCs w:val="16"/>
    </w:rPr>
  </w:style>
  <w:style w:type="character" w:customStyle="1" w:styleId="BalloonTextChar">
    <w:name w:val="Balloon Text Char"/>
    <w:link w:val="BalloonText"/>
    <w:rsid w:val="00F30B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uiPriority w:val="99"/>
    <w:rsid w:val="00F30BBC"/>
  </w:style>
  <w:style w:type="paragraph" w:customStyle="1" w:styleId="First-LevelSubheading">
    <w:name w:val="First-Level Subheading"/>
    <w:basedOn w:val="Normal"/>
    <w:next w:val="BodyText"/>
    <w:qFormat/>
    <w:rsid w:val="00F30BBC"/>
    <w:pPr>
      <w:jc w:val="both"/>
      <w:outlineLvl w:val="2"/>
    </w:pPr>
    <w:rPr>
      <w:rFonts w:ascii="Arial" w:hAnsi="Arial" w:cs="Arial"/>
      <w:b/>
      <w:bCs/>
      <w:iCs/>
      <w:szCs w:val="28"/>
    </w:rPr>
  </w:style>
  <w:style w:type="character" w:customStyle="1" w:styleId="HeaderChar">
    <w:name w:val="Header Char"/>
    <w:link w:val="Header"/>
    <w:uiPriority w:val="99"/>
    <w:rsid w:val="00F30BBC"/>
    <w:rPr>
      <w:sz w:val="24"/>
      <w:szCs w:val="24"/>
    </w:rPr>
  </w:style>
  <w:style w:type="paragraph" w:styleId="BalloonText">
    <w:name w:val="Balloon Text"/>
    <w:basedOn w:val="Normal"/>
    <w:link w:val="BalloonTextChar"/>
    <w:rsid w:val="00F30BBC"/>
    <w:rPr>
      <w:rFonts w:ascii="Tahoma" w:hAnsi="Tahoma" w:cs="Tahoma"/>
      <w:sz w:val="16"/>
      <w:szCs w:val="16"/>
    </w:rPr>
  </w:style>
  <w:style w:type="character" w:customStyle="1" w:styleId="BalloonTextChar">
    <w:name w:val="Balloon Text Char"/>
    <w:link w:val="BalloonText"/>
    <w:rsid w:val="00F30B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21E47-32B9-43AB-A0E7-5F517459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6</Pages>
  <Words>2625</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2018-01-22T14:42:00Z</dcterms:created>
  <dcterms:modified xsi:type="dcterms:W3CDTF">2018-01-22T14:53:00Z</dcterms:modified>
</cp:coreProperties>
</file>