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35651" w:rsidP="00035651">
      <w:pPr>
        <w:pStyle w:val="OrderHeading"/>
      </w:pPr>
      <w:r>
        <w:t>BEFORE THE FLORIDA PUBLIC SERVICE COMMISSION</w:t>
      </w:r>
    </w:p>
    <w:p w:rsidR="00035651" w:rsidRDefault="00035651" w:rsidP="00035651">
      <w:pPr>
        <w:pStyle w:val="OrderHeading"/>
      </w:pPr>
    </w:p>
    <w:p w:rsidR="00035651" w:rsidRDefault="00035651" w:rsidP="000356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C7D48" w:rsidTr="003C7D48">
        <w:trPr>
          <w:trHeight w:val="828"/>
        </w:trPr>
        <w:tc>
          <w:tcPr>
            <w:tcW w:w="4788" w:type="dxa"/>
            <w:tcBorders>
              <w:top w:val="nil"/>
              <w:left w:val="nil"/>
              <w:bottom w:val="single" w:sz="8" w:space="0" w:color="auto"/>
              <w:right w:val="double" w:sz="6" w:space="0" w:color="auto"/>
            </w:tcBorders>
            <w:hideMark/>
          </w:tcPr>
          <w:p w:rsidR="003C7D48" w:rsidRDefault="003C7D48">
            <w:pPr>
              <w:pStyle w:val="OrderBody"/>
              <w:tabs>
                <w:tab w:val="center" w:pos="4320"/>
                <w:tab w:val="right" w:pos="8640"/>
              </w:tabs>
              <w:jc w:val="left"/>
            </w:pPr>
            <w:r>
              <w:t>In re: Petition to determine need for Seminole combined cycle facility, by Seminole Electric Cooperative, Inc.</w:t>
            </w:r>
          </w:p>
        </w:tc>
        <w:tc>
          <w:tcPr>
            <w:tcW w:w="4788" w:type="dxa"/>
            <w:tcBorders>
              <w:top w:val="nil"/>
              <w:left w:val="double" w:sz="6" w:space="0" w:color="auto"/>
              <w:bottom w:val="nil"/>
              <w:right w:val="nil"/>
            </w:tcBorders>
            <w:hideMark/>
          </w:tcPr>
          <w:p w:rsidR="003C7D48" w:rsidRDefault="003C7D48">
            <w:pPr>
              <w:pStyle w:val="OrderBody"/>
            </w:pPr>
            <w:r>
              <w:t xml:space="preserve">DOCKET NO. 20170266-EC </w:t>
            </w:r>
          </w:p>
          <w:p w:rsidR="003C7D48" w:rsidRDefault="003C7D48">
            <w:pPr>
              <w:pStyle w:val="OrderBody"/>
              <w:tabs>
                <w:tab w:val="center" w:pos="4320"/>
                <w:tab w:val="right" w:pos="8640"/>
              </w:tabs>
              <w:jc w:val="left"/>
            </w:pPr>
          </w:p>
        </w:tc>
      </w:tr>
      <w:tr w:rsidR="003C7D48" w:rsidTr="003C7D48">
        <w:trPr>
          <w:trHeight w:val="828"/>
        </w:trPr>
        <w:tc>
          <w:tcPr>
            <w:tcW w:w="4788" w:type="dxa"/>
            <w:tcBorders>
              <w:top w:val="nil"/>
              <w:left w:val="nil"/>
              <w:bottom w:val="single" w:sz="8" w:space="0" w:color="auto"/>
              <w:right w:val="double" w:sz="6" w:space="0" w:color="auto"/>
            </w:tcBorders>
            <w:hideMark/>
          </w:tcPr>
          <w:p w:rsidR="003C7D48" w:rsidRDefault="003C7D48">
            <w:pPr>
              <w:pStyle w:val="OrderBody"/>
              <w:tabs>
                <w:tab w:val="center" w:pos="4320"/>
                <w:tab w:val="right" w:pos="8640"/>
              </w:tabs>
              <w:jc w:val="left"/>
            </w:pPr>
            <w:r>
              <w:t>In re: Joint petition for determination of need for Shady Hills combined cycle facility in Pasco County, by Seminole Electric Cooperative, Inc. and Shady Hills Energy Center, LLC.</w:t>
            </w:r>
          </w:p>
        </w:tc>
        <w:tc>
          <w:tcPr>
            <w:tcW w:w="4788" w:type="dxa"/>
            <w:tcBorders>
              <w:top w:val="nil"/>
              <w:left w:val="double" w:sz="6" w:space="0" w:color="auto"/>
              <w:bottom w:val="nil"/>
              <w:right w:val="nil"/>
            </w:tcBorders>
            <w:hideMark/>
          </w:tcPr>
          <w:p w:rsidR="003C7D48" w:rsidRDefault="003C7D48">
            <w:pPr>
              <w:pStyle w:val="OrderBody"/>
            </w:pPr>
            <w:r>
              <w:t xml:space="preserve">DOCKET NO. </w:t>
            </w:r>
            <w:bookmarkStart w:id="0" w:name="_GoBack"/>
            <w:r>
              <w:t>20170267-EC</w:t>
            </w:r>
            <w:bookmarkEnd w:id="0"/>
          </w:p>
          <w:p w:rsidR="003C7D48" w:rsidRDefault="003C7D48">
            <w:pPr>
              <w:pStyle w:val="OrderBody"/>
              <w:tabs>
                <w:tab w:val="center" w:pos="4320"/>
                <w:tab w:val="right" w:pos="8640"/>
              </w:tabs>
              <w:jc w:val="left"/>
            </w:pPr>
            <w:r>
              <w:t xml:space="preserve">ORDER NO. </w:t>
            </w:r>
            <w:r w:rsidR="006B6793">
              <w:t>PSC-2018-0062-PCO-EC</w:t>
            </w:r>
          </w:p>
          <w:p w:rsidR="003C7D48" w:rsidRDefault="003C7D48">
            <w:pPr>
              <w:pStyle w:val="OrderBody"/>
              <w:tabs>
                <w:tab w:val="center" w:pos="4320"/>
                <w:tab w:val="right" w:pos="8640"/>
              </w:tabs>
              <w:jc w:val="left"/>
            </w:pPr>
            <w:r>
              <w:t xml:space="preserve">ISSUED: </w:t>
            </w:r>
            <w:r w:rsidR="006B6793">
              <w:t>January 24, 2018</w:t>
            </w:r>
          </w:p>
        </w:tc>
      </w:tr>
    </w:tbl>
    <w:p w:rsidR="00035651" w:rsidRDefault="00035651" w:rsidP="00035651"/>
    <w:p w:rsidR="00035651" w:rsidRDefault="00035651" w:rsidP="00035651">
      <w:pPr>
        <w:pStyle w:val="CenterUnderline"/>
        <w:jc w:val="left"/>
        <w:rPr>
          <w:b/>
          <w:u w:val="none"/>
        </w:rPr>
      </w:pPr>
    </w:p>
    <w:p w:rsidR="00915582" w:rsidRDefault="00915582" w:rsidP="00915582">
      <w:pPr>
        <w:pStyle w:val="CenterUnderline"/>
      </w:pPr>
      <w:bookmarkStart w:id="1" w:name="OrderTitle"/>
      <w:r>
        <w:t xml:space="preserve">ORDER GRANTING INTERVENTION TO MICHAEL TULK AND PATRICK DALY  </w:t>
      </w:r>
      <w:bookmarkEnd w:id="1"/>
    </w:p>
    <w:p w:rsidR="00915582" w:rsidRDefault="00915582" w:rsidP="00915582">
      <w:pPr>
        <w:pStyle w:val="CenterUnderline"/>
      </w:pPr>
    </w:p>
    <w:p w:rsidR="00915582" w:rsidRDefault="00915582" w:rsidP="00915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December 21</w:t>
      </w:r>
      <w:r w:rsidR="00B0440A">
        <w:t>, 2017,</w:t>
      </w:r>
      <w:r w:rsidR="00CF4B78">
        <w:t xml:space="preserve"> </w:t>
      </w:r>
      <w:r w:rsidR="007711DF">
        <w:t xml:space="preserve">the </w:t>
      </w:r>
      <w:r w:rsidR="00CF4B78">
        <w:t>above referenced dockets</w:t>
      </w:r>
      <w:r w:rsidR="00B0440A">
        <w:t xml:space="preserve"> </w:t>
      </w:r>
      <w:r w:rsidR="00CF4B78">
        <w:t>were</w:t>
      </w:r>
      <w:r>
        <w:t xml:space="preserve"> opened for </w:t>
      </w:r>
      <w:r w:rsidR="007711DF">
        <w:t>this</w:t>
      </w:r>
      <w:r>
        <w:t xml:space="preserve"> Commission’s review of</w:t>
      </w:r>
      <w:r w:rsidRPr="0051738F">
        <w:t xml:space="preserve"> the</w:t>
      </w:r>
      <w:r>
        <w:t xml:space="preserve"> Petition for Determination of Need for Seminole Combined Cycle Facility</w:t>
      </w:r>
      <w:r w:rsidR="00A1609C">
        <w:t xml:space="preserve"> (Seminole Facility)</w:t>
      </w:r>
      <w:r w:rsidR="00ED376C">
        <w:t>, filed by Seminole Electric Cooperative, Inc. (Seminole)</w:t>
      </w:r>
      <w:r>
        <w:t xml:space="preserve"> and the Joint Petition for Determination of Need for Shady Hills Combined Cycle Facility</w:t>
      </w:r>
      <w:r w:rsidR="00A1609C">
        <w:t xml:space="preserve"> (Shady Hills Facility)</w:t>
      </w:r>
      <w:r>
        <w:t xml:space="preserve"> in Pasco County, filed by Seminole</w:t>
      </w:r>
      <w:r w:rsidR="00ED376C">
        <w:t xml:space="preserve"> and Shady Hills Energy Center, LLC (Shady Hills)</w:t>
      </w:r>
      <w:r>
        <w:t xml:space="preserve">. </w:t>
      </w:r>
      <w:r w:rsidR="00B0440A">
        <w:t>Docket Nos. 20170266-EC and 20170267-EC were consolidated for hearing purposes by Order No. PSC-2018-0018-PCO-EC</w:t>
      </w:r>
      <w:r w:rsidR="00DA6E81">
        <w:t xml:space="preserve"> (Order Establishing Procedure)</w:t>
      </w:r>
      <w:r w:rsidR="00B0440A">
        <w:t xml:space="preserve">, filed on January 5, 2018. </w:t>
      </w:r>
      <w:r w:rsidR="00A1609C">
        <w:t>The consolidated</w:t>
      </w:r>
      <w:r w:rsidR="00B0440A">
        <w:t xml:space="preserve"> </w:t>
      </w:r>
      <w:r w:rsidR="00A1609C">
        <w:t xml:space="preserve">dockets </w:t>
      </w:r>
      <w:r w:rsidR="00B0440A">
        <w:t>have</w:t>
      </w:r>
      <w:r>
        <w:t xml:space="preserve"> been set for hearing on March  21 and 22, 2018.  </w:t>
      </w:r>
      <w:r w:rsidRPr="00EB5771">
        <w:t xml:space="preserve">  </w:t>
      </w:r>
    </w:p>
    <w:p w:rsidR="00915582" w:rsidRDefault="00915582" w:rsidP="00915582">
      <w:pPr>
        <w:pStyle w:val="OrderBody"/>
        <w:rPr>
          <w:u w:val="single"/>
        </w:rPr>
      </w:pPr>
    </w:p>
    <w:p w:rsidR="00915582" w:rsidRDefault="005F020D" w:rsidP="00915582">
      <w:pPr>
        <w:pStyle w:val="OrderBody"/>
        <w:rPr>
          <w:u w:val="single"/>
        </w:rPr>
      </w:pPr>
      <w:r>
        <w:rPr>
          <w:u w:val="single"/>
        </w:rPr>
        <w:t>Motion</w:t>
      </w:r>
      <w:r w:rsidR="00915582">
        <w:rPr>
          <w:u w:val="single"/>
        </w:rPr>
        <w:t xml:space="preserve"> for Intervention</w:t>
      </w:r>
    </w:p>
    <w:p w:rsidR="00915582" w:rsidRPr="004B0509" w:rsidRDefault="00915582" w:rsidP="00915582">
      <w:pPr>
        <w:pStyle w:val="OrderBody"/>
        <w:rPr>
          <w:u w:val="single"/>
        </w:rPr>
      </w:pPr>
      <w:r>
        <w:rPr>
          <w:u w:val="single"/>
        </w:rPr>
        <w:t xml:space="preserve"> </w:t>
      </w:r>
    </w:p>
    <w:p w:rsidR="009F2299" w:rsidRDefault="00915582" w:rsidP="00915582">
      <w:pPr>
        <w:pStyle w:val="OrderBody"/>
      </w:pPr>
      <w:r>
        <w:tab/>
      </w:r>
      <w:r w:rsidRPr="00EB5771">
        <w:t xml:space="preserve">By </w:t>
      </w:r>
      <w:r w:rsidR="00A1609C">
        <w:t>motion</w:t>
      </w:r>
      <w:r w:rsidRPr="00EB5771">
        <w:t xml:space="preserve"> dated </w:t>
      </w:r>
      <w:r>
        <w:t>January 17, 2017</w:t>
      </w:r>
      <w:r w:rsidRPr="00EB5771">
        <w:t xml:space="preserve">, </w:t>
      </w:r>
      <w:r>
        <w:t>Michael Tulk and Patrick Daly (Intervenors) have</w:t>
      </w:r>
      <w:r w:rsidRPr="00EB5771">
        <w:t xml:space="preserve"> re</w:t>
      </w:r>
      <w:r w:rsidR="00127F8B">
        <w:t xml:space="preserve">quested permission to intervene </w:t>
      </w:r>
      <w:r>
        <w:t>(</w:t>
      </w:r>
      <w:r w:rsidR="00A1609C">
        <w:t>Motion</w:t>
      </w:r>
      <w:r>
        <w:t xml:space="preserve">).  The Intervenors state that they are “member-consumers” of the Withlacoochee River Electric Cooperative, Inc. (WREC), and as such are consumers of retail electricity provided by WREC. WREC is </w:t>
      </w:r>
      <w:r w:rsidR="00127F8B">
        <w:t xml:space="preserve">a </w:t>
      </w:r>
      <w:r>
        <w:t>not-for-profit rural electric cooperative and</w:t>
      </w:r>
      <w:r w:rsidR="0011560E">
        <w:t xml:space="preserve"> WREC</w:t>
      </w:r>
      <w:r>
        <w:t xml:space="preserve"> is a member of </w:t>
      </w:r>
      <w:r w:rsidR="002E2659">
        <w:t>Seminole</w:t>
      </w:r>
      <w:r w:rsidR="00333CF8">
        <w:t xml:space="preserve"> </w:t>
      </w:r>
      <w:r w:rsidR="00127F8B">
        <w:t>from whom it</w:t>
      </w:r>
      <w:r w:rsidR="0020571D">
        <w:t xml:space="preserve"> purchases wholesale power</w:t>
      </w:r>
      <w:r>
        <w:t>. The Intervenors assert that</w:t>
      </w:r>
      <w:r w:rsidR="00127F8B">
        <w:t xml:space="preserve"> because WREC is</w:t>
      </w:r>
      <w:r>
        <w:t xml:space="preserve"> a member of Seminole, WREC is a </w:t>
      </w:r>
      <w:r w:rsidR="00127F8B">
        <w:t>“</w:t>
      </w:r>
      <w:r>
        <w:t>primarily affected</w:t>
      </w:r>
      <w:r w:rsidR="00127F8B">
        <w:t>”</w:t>
      </w:r>
      <w:r>
        <w:t xml:space="preserve"> utility </w:t>
      </w:r>
      <w:r w:rsidR="00CF4B78">
        <w:t>as defined under Rule 25-22.081, Florida Administrative Code (F.A.C.).</w:t>
      </w:r>
    </w:p>
    <w:p w:rsidR="00CF4B78" w:rsidRDefault="00CF4B78" w:rsidP="00915582">
      <w:pPr>
        <w:pStyle w:val="OrderBody"/>
      </w:pPr>
    </w:p>
    <w:p w:rsidR="009F2299" w:rsidRDefault="00915582" w:rsidP="009F2299">
      <w:pPr>
        <w:pStyle w:val="OrderBody"/>
        <w:ind w:firstLine="720"/>
      </w:pPr>
      <w:r w:rsidRPr="00A1617C">
        <w:t xml:space="preserve">The Intervenors </w:t>
      </w:r>
      <w:r>
        <w:t>state</w:t>
      </w:r>
      <w:r w:rsidRPr="00A1617C">
        <w:t xml:space="preserve"> that their interests are of the type that </w:t>
      </w:r>
      <w:r w:rsidR="00E90DEC">
        <w:t>these</w:t>
      </w:r>
      <w:r w:rsidRPr="00A1617C">
        <w:t xml:space="preserve"> proceedi</w:t>
      </w:r>
      <w:r w:rsidR="00E966A2">
        <w:t>ng</w:t>
      </w:r>
      <w:r w:rsidR="00E90DEC">
        <w:t>s</w:t>
      </w:r>
      <w:r w:rsidR="00E966A2">
        <w:t xml:space="preserve"> </w:t>
      </w:r>
      <w:r w:rsidR="00E90DEC">
        <w:t>are</w:t>
      </w:r>
      <w:r w:rsidR="00E966A2">
        <w:t xml:space="preserve"> designed to </w:t>
      </w:r>
      <w:r w:rsidR="0085436A" w:rsidRPr="0085436A">
        <w:t>protect because</w:t>
      </w:r>
      <w:r w:rsidR="00127F8B">
        <w:t xml:space="preserve"> as member-consumers of WREC, a </w:t>
      </w:r>
      <w:r w:rsidR="0085436A">
        <w:t>determinati</w:t>
      </w:r>
      <w:r w:rsidR="00CF4B78">
        <w:t xml:space="preserve">on </w:t>
      </w:r>
      <w:r w:rsidR="00127F8B">
        <w:t>of</w:t>
      </w:r>
      <w:r w:rsidR="00CF4B78">
        <w:t xml:space="preserve"> need by this Commission may</w:t>
      </w:r>
      <w:r w:rsidR="00127F8B">
        <w:t xml:space="preserve"> have an adverse effect on</w:t>
      </w:r>
      <w:r w:rsidR="00923EEF">
        <w:t xml:space="preserve"> ensuring they are receiving th</w:t>
      </w:r>
      <w:r w:rsidR="0011560E">
        <w:t>e most cost-effective service</w:t>
      </w:r>
      <w:r w:rsidR="00923EEF">
        <w:t xml:space="preserve"> possible</w:t>
      </w:r>
      <w:r w:rsidR="0085436A">
        <w:t xml:space="preserve">. </w:t>
      </w:r>
      <w:r w:rsidR="002E2659">
        <w:t>The Intervenors</w:t>
      </w:r>
      <w:r w:rsidR="009F2299">
        <w:t xml:space="preserve"> assert</w:t>
      </w:r>
      <w:r w:rsidRPr="006541A5">
        <w:t xml:space="preserve"> that our evaluation of the need for the </w:t>
      </w:r>
      <w:r w:rsidR="00E966A2">
        <w:t>Seminole Facility and Shady Hills Facility</w:t>
      </w:r>
      <w:r w:rsidR="00127F8B">
        <w:t xml:space="preserve"> </w:t>
      </w:r>
      <w:r w:rsidRPr="006541A5">
        <w:t>is consistent with the</w:t>
      </w:r>
      <w:r w:rsidR="009F2299">
        <w:t>ir</w:t>
      </w:r>
      <w:r w:rsidRPr="006541A5">
        <w:t xml:space="preserve"> substantial interests, which </w:t>
      </w:r>
      <w:r w:rsidR="009F2299">
        <w:t>are (1)</w:t>
      </w:r>
      <w:r w:rsidR="008268B7">
        <w:t xml:space="preserve"> having the</w:t>
      </w:r>
      <w:r w:rsidR="009F2299">
        <w:t>i</w:t>
      </w:r>
      <w:r w:rsidR="008268B7">
        <w:t>r retail electric service supplied by the most cost-effectiv</w:t>
      </w:r>
      <w:r w:rsidR="00CF4B78">
        <w:t>e alternatives available;</w:t>
      </w:r>
      <w:r w:rsidR="009F2299">
        <w:t xml:space="preserve"> (2)</w:t>
      </w:r>
      <w:r w:rsidR="008268B7">
        <w:t xml:space="preserve"> bein</w:t>
      </w:r>
      <w:r w:rsidR="009F2299">
        <w:t>g</w:t>
      </w:r>
      <w:r w:rsidR="008268B7">
        <w:t xml:space="preserve"> protected from </w:t>
      </w:r>
      <w:r w:rsidR="009F2299">
        <w:t>paying</w:t>
      </w:r>
      <w:r w:rsidR="008268B7">
        <w:t xml:space="preserve"> rates resulting from the uneconomic dupli</w:t>
      </w:r>
      <w:r w:rsidR="00CF4B78">
        <w:t>cation of generating facilities;</w:t>
      </w:r>
      <w:r w:rsidR="009F2299">
        <w:t xml:space="preserve"> and (3) ensuring that the best, most cost-effective power supply resources are selected and approved </w:t>
      </w:r>
      <w:r w:rsidR="00B87AC5">
        <w:t>f</w:t>
      </w:r>
      <w:r w:rsidR="009F2299">
        <w:t xml:space="preserve">or operation by Seminole. </w:t>
      </w:r>
      <w:r w:rsidR="00B0440A">
        <w:t>T</w:t>
      </w:r>
      <w:r w:rsidR="008268B7">
        <w:t>he Intervenors believe that Seminole can obtain the required capacity and energy</w:t>
      </w:r>
      <w:r w:rsidR="00B87AC5">
        <w:t xml:space="preserve"> through more cost-effective </w:t>
      </w:r>
      <w:r w:rsidR="00333CF8">
        <w:t>resources</w:t>
      </w:r>
      <w:r w:rsidR="008268B7">
        <w:t xml:space="preserve"> than </w:t>
      </w:r>
      <w:r w:rsidR="008501A7">
        <w:t>those</w:t>
      </w:r>
      <w:r w:rsidR="00B87AC5">
        <w:t xml:space="preserve"> </w:t>
      </w:r>
      <w:r w:rsidR="008268B7">
        <w:t xml:space="preserve">proposed </w:t>
      </w:r>
      <w:r w:rsidR="00E966A2">
        <w:t>for</w:t>
      </w:r>
      <w:r w:rsidR="008268B7">
        <w:t xml:space="preserve"> </w:t>
      </w:r>
      <w:r w:rsidR="00A1609C">
        <w:t xml:space="preserve">the Seminole </w:t>
      </w:r>
      <w:r w:rsidR="00E966A2">
        <w:t>Facility</w:t>
      </w:r>
      <w:r w:rsidR="00A1609C">
        <w:t xml:space="preserve"> and Shady Hills </w:t>
      </w:r>
      <w:r w:rsidR="00E966A2">
        <w:t>Facility</w:t>
      </w:r>
      <w:r w:rsidRPr="006541A5">
        <w:t>.</w:t>
      </w:r>
      <w:r>
        <w:t xml:space="preserve"> </w:t>
      </w:r>
      <w:r w:rsidR="00A1609C">
        <w:t xml:space="preserve">Intervenors further aver that Seminole can acquire </w:t>
      </w:r>
      <w:r w:rsidR="00A1609C">
        <w:lastRenderedPageBreak/>
        <w:t>the needed capacity an</w:t>
      </w:r>
      <w:r w:rsidR="00CF4B78">
        <w:t>d energy at a significantly lower cost than</w:t>
      </w:r>
      <w:r w:rsidR="00A1609C">
        <w:t xml:space="preserve"> those </w:t>
      </w:r>
      <w:r w:rsidR="00333CF8">
        <w:t>proposed</w:t>
      </w:r>
      <w:r w:rsidR="00A1609C">
        <w:t xml:space="preserve"> under the tolling agreement </w:t>
      </w:r>
      <w:r w:rsidR="00E966A2">
        <w:t>for</w:t>
      </w:r>
      <w:r w:rsidR="00A1609C">
        <w:t xml:space="preserve"> the Shady Hills </w:t>
      </w:r>
      <w:r w:rsidR="00E966A2">
        <w:t>Facility</w:t>
      </w:r>
      <w:r w:rsidR="00A1609C">
        <w:t xml:space="preserve">. </w:t>
      </w:r>
    </w:p>
    <w:p w:rsidR="00A1609C" w:rsidRDefault="00A1609C" w:rsidP="00A1609C">
      <w:pPr>
        <w:pStyle w:val="OrderBody"/>
      </w:pPr>
    </w:p>
    <w:p w:rsidR="0058550C" w:rsidRDefault="0058550C" w:rsidP="0058550C">
      <w:pPr>
        <w:ind w:firstLine="720"/>
        <w:jc w:val="both"/>
      </w:pPr>
      <w:r>
        <w:t>On January 19, 2018, Seminole filed a response to the Motion. Seminole stated they take no position on the Motion, subject to proof of standing at the hearing. By taking no position on the Motion, Seminole does not agree with or concede to any of the allegations asserted therein. Furthermore, Seminole disputes the appropriateness of the issues proposed by the Intervenors that are in addition to the issues listed in Attachment A of the Order Establishing Procedure.</w:t>
      </w:r>
    </w:p>
    <w:p w:rsidR="00915582" w:rsidRDefault="00915582" w:rsidP="00915582">
      <w:pPr>
        <w:pStyle w:val="OrderBody"/>
        <w:tabs>
          <w:tab w:val="left" w:pos="1931"/>
        </w:tabs>
      </w:pPr>
      <w:r>
        <w:tab/>
      </w:r>
    </w:p>
    <w:p w:rsidR="00915582" w:rsidRDefault="00915582" w:rsidP="00915582">
      <w:pPr>
        <w:jc w:val="both"/>
        <w:rPr>
          <w:u w:val="single"/>
        </w:rPr>
      </w:pPr>
      <w:r>
        <w:rPr>
          <w:u w:val="single"/>
        </w:rPr>
        <w:t>Standards for Intervention</w:t>
      </w:r>
    </w:p>
    <w:p w:rsidR="00915582" w:rsidRDefault="00915582" w:rsidP="00915582">
      <w:pPr>
        <w:jc w:val="both"/>
        <w:rPr>
          <w:u w:val="single"/>
        </w:rPr>
      </w:pPr>
    </w:p>
    <w:p w:rsidR="00915582" w:rsidRDefault="00915582" w:rsidP="00915582">
      <w:pPr>
        <w:jc w:val="both"/>
      </w:pPr>
      <w:r>
        <w:tab/>
      </w:r>
      <w:r w:rsidRPr="008B6327">
        <w:t>Pursuant to Rule 28-106.205</w:t>
      </w:r>
      <w:r w:rsidR="00127F8B">
        <w:t>,</w:t>
      </w:r>
      <w:r w:rsidRPr="008B6327">
        <w:t xml:space="preserve"> F.A.C.,</w:t>
      </w:r>
    </w:p>
    <w:p w:rsidR="00915582" w:rsidRDefault="00915582" w:rsidP="00915582">
      <w:pPr>
        <w:jc w:val="both"/>
      </w:pPr>
    </w:p>
    <w:p w:rsidR="00915582" w:rsidRDefault="00915582" w:rsidP="00915582">
      <w:pPr>
        <w:ind w:left="720" w:right="720"/>
        <w:jc w:val="both"/>
        <w:rPr>
          <w:noProof/>
          <w:color w:val="000000"/>
        </w:rPr>
      </w:pPr>
      <w:r>
        <w:rPr>
          <w:noProof/>
          <w:color w:val="000000"/>
        </w:rPr>
        <w:t xml:space="preserve">Persons other than the original parties to a pending proceeding whose substantial interest will be affected by the proceeding and who desire to become parties may move the presiding officer for leave to intervene. Except for good casue shown, motions for leave to intervene must be filed at least 20 days before the final hearing unless otherwise provided by law. The parties may, within 7 days of service of the motion, file a response in opposition. The presiding officer may impose terms and conditions on the intervenor to limit prejudice to other parties. </w:t>
      </w:r>
    </w:p>
    <w:p w:rsidR="00915582" w:rsidRDefault="00915582" w:rsidP="00915582">
      <w:pPr>
        <w:jc w:val="both"/>
        <w:rPr>
          <w:u w:val="single"/>
        </w:rPr>
      </w:pPr>
    </w:p>
    <w:p w:rsidR="00915582" w:rsidRDefault="00915582" w:rsidP="00915582">
      <w:pPr>
        <w:ind w:firstLine="720"/>
        <w:jc w:val="both"/>
      </w:pPr>
      <w:r>
        <w:t xml:space="preserve">To have standing, the intervenor must meet the two-prong standing test set forth in </w:t>
      </w:r>
      <w:r>
        <w:rPr>
          <w:u w:val="single"/>
        </w:rPr>
        <w:t>Agrico Chemical Company v. Department of Environmental Regulation</w:t>
      </w:r>
      <w:r>
        <w:t>, 406 So. 2d 478, 482 (Fla. 2nd DCA 1981).  The intervenor must show that (1) he will suffer injury in fact which is of sufficient immediacy to enti</w:t>
      </w:r>
      <w:r w:rsidR="00CF4B78">
        <w:t>tle him to a Section 120.57, Florida Statutes (F</w:t>
      </w:r>
      <w:r>
        <w:t>.</w:t>
      </w:r>
      <w:r w:rsidR="00CF4B78">
        <w:t>S.)</w:t>
      </w:r>
      <w:r>
        <w:t xml:space="preserve">, hearing, and (2) this substantial injury is of a type or nature which the proceeding is designed to protect.  The first prong of the test addresses the degree of injury.  The second addresses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3rd DCA 1990).  </w:t>
      </w:r>
      <w:r>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915582" w:rsidRDefault="00915582" w:rsidP="00915582">
      <w:pPr>
        <w:pStyle w:val="OrderBody"/>
      </w:pPr>
    </w:p>
    <w:p w:rsidR="00915582" w:rsidRDefault="00915582" w:rsidP="00915582">
      <w:pPr>
        <w:jc w:val="both"/>
      </w:pPr>
      <w:r w:rsidRPr="00DA6E81">
        <w:rPr>
          <w:u w:val="single"/>
        </w:rPr>
        <w:t>Analysis &amp; Ruling</w:t>
      </w:r>
    </w:p>
    <w:p w:rsidR="00915582" w:rsidRDefault="00915582" w:rsidP="00915582">
      <w:pPr>
        <w:jc w:val="both"/>
      </w:pPr>
    </w:p>
    <w:p w:rsidR="004B0BC8" w:rsidRDefault="00915582" w:rsidP="0011560E">
      <w:pPr>
        <w:ind w:firstLine="720"/>
        <w:jc w:val="both"/>
      </w:pPr>
      <w:r>
        <w:t xml:space="preserve">Based upon a review of the materials provided, </w:t>
      </w:r>
      <w:r w:rsidR="00B87AC5">
        <w:t>the Intervenors meet</w:t>
      </w:r>
      <w:r>
        <w:t xml:space="preserve"> the two-prong standing test in </w:t>
      </w:r>
      <w:r>
        <w:rPr>
          <w:u w:val="single"/>
        </w:rPr>
        <w:t>Agrico</w:t>
      </w:r>
      <w:r w:rsidR="00DA6E81">
        <w:t xml:space="preserve">. </w:t>
      </w:r>
      <w:r w:rsidR="00E90DEC">
        <w:t>These</w:t>
      </w:r>
      <w:r>
        <w:t xml:space="preserve"> proceeding</w:t>
      </w:r>
      <w:r w:rsidR="00E90DEC">
        <w:t>s</w:t>
      </w:r>
      <w:r>
        <w:t xml:space="preserve"> </w:t>
      </w:r>
      <w:r w:rsidR="00E90DEC">
        <w:t>are</w:t>
      </w:r>
      <w:r>
        <w:t xml:space="preserve"> designed to determine the need</w:t>
      </w:r>
      <w:r w:rsidR="00B87AC5">
        <w:t xml:space="preserve"> for the </w:t>
      </w:r>
      <w:r w:rsidR="00DA6E81">
        <w:t xml:space="preserve">Seminole Facility and the Shady Hills Facility </w:t>
      </w:r>
      <w:r w:rsidR="00B87AC5">
        <w:t>proposed by Seminole</w:t>
      </w:r>
      <w:r>
        <w:t xml:space="preserve">. </w:t>
      </w:r>
      <w:r w:rsidR="00B87AC5">
        <w:t>The Intervenors meet</w:t>
      </w:r>
      <w:r>
        <w:t xml:space="preserve"> the first prong of </w:t>
      </w:r>
      <w:r w:rsidRPr="00462DAE">
        <w:rPr>
          <w:u w:val="single"/>
        </w:rPr>
        <w:t>Agrico</w:t>
      </w:r>
      <w:r>
        <w:t xml:space="preserve"> because</w:t>
      </w:r>
      <w:r w:rsidR="0011560E">
        <w:t xml:space="preserve"> the</w:t>
      </w:r>
      <w:r>
        <w:t xml:space="preserve"> </w:t>
      </w:r>
      <w:r w:rsidR="0011560E">
        <w:t>i</w:t>
      </w:r>
      <w:r w:rsidR="00333CF8">
        <w:t>ntervenors must pay WREC’s retail rates, which are directly tied to the rates at which WREC purchases wholesale power from Seminole.</w:t>
      </w:r>
      <w:r w:rsidR="0011560E">
        <w:t xml:space="preserve"> As WREC member-consumers, the Intervenors’ would bear the cost burden for the Seminole Facility and Shady Hills Facility through their rates. Therefore, Intervenors will be </w:t>
      </w:r>
      <w:r w:rsidR="008501A7">
        <w:t>directly affected by this Commission’s decis</w:t>
      </w:r>
      <w:r w:rsidR="004B0BC8">
        <w:t>ion in the consolidated dockets and</w:t>
      </w:r>
      <w:r w:rsidR="00127F8B">
        <w:t xml:space="preserve"> they may</w:t>
      </w:r>
      <w:r w:rsidR="004B0BC8">
        <w:t xml:space="preserve"> suffer injury-in-fact that </w:t>
      </w:r>
      <w:r w:rsidR="00BB3FB6">
        <w:t>is</w:t>
      </w:r>
      <w:r w:rsidR="0011560E">
        <w:t xml:space="preserve"> both real and sufficiently immediate, and not speculative or conjectural.</w:t>
      </w:r>
      <w:r w:rsidR="00BB3FB6">
        <w:t xml:space="preserve"> </w:t>
      </w:r>
    </w:p>
    <w:p w:rsidR="00127F8B" w:rsidRDefault="00127F8B" w:rsidP="008501A7">
      <w:pPr>
        <w:ind w:firstLine="720"/>
        <w:jc w:val="both"/>
      </w:pPr>
    </w:p>
    <w:p w:rsidR="0011560E" w:rsidRDefault="006C0FF8" w:rsidP="008501A7">
      <w:pPr>
        <w:ind w:firstLine="720"/>
        <w:jc w:val="both"/>
      </w:pPr>
      <w:r>
        <w:lastRenderedPageBreak/>
        <w:t>The Intervenors meet</w:t>
      </w:r>
      <w:r w:rsidR="00915582">
        <w:t xml:space="preserve"> the second prong of </w:t>
      </w:r>
      <w:r w:rsidR="00915582" w:rsidRPr="00462DAE">
        <w:rPr>
          <w:u w:val="single"/>
        </w:rPr>
        <w:t>Agrico</w:t>
      </w:r>
      <w:r w:rsidR="0011560E" w:rsidRPr="0011560E">
        <w:t>.</w:t>
      </w:r>
      <w:r w:rsidR="0011560E">
        <w:t xml:space="preserve"> In this proceeding, the Commission must consider the most cost-effective renewable measures that could be utilized, which will ultimately impact the rates charged to Intervenors. Intervenors are appropriately utilizing this proceeding to argue that the Seminole Facility and Shady Hills Facility c</w:t>
      </w:r>
      <w:r w:rsidR="005D7717">
        <w:t>ould</w:t>
      </w:r>
      <w:r w:rsidR="0011560E">
        <w:t xml:space="preserve"> utilize less costly and more cost-effective means to address its energy needs.</w:t>
      </w:r>
    </w:p>
    <w:p w:rsidR="008501A7" w:rsidRDefault="008501A7" w:rsidP="0011560E">
      <w:pPr>
        <w:jc w:val="both"/>
      </w:pPr>
    </w:p>
    <w:p w:rsidR="00035651" w:rsidRPr="00444D06" w:rsidRDefault="00915582" w:rsidP="00444D06">
      <w:pPr>
        <w:pStyle w:val="Heading3"/>
      </w:pPr>
      <w:r>
        <w:t xml:space="preserve">Because the Intervenors meet the two-prong standing test established in </w:t>
      </w:r>
      <w:r>
        <w:rPr>
          <w:u w:val="single"/>
        </w:rPr>
        <w:t>Agrico</w:t>
      </w:r>
      <w:r w:rsidRPr="00826D5E">
        <w:t>, it appears that</w:t>
      </w:r>
      <w:r>
        <w:t xml:space="preserve"> the</w:t>
      </w:r>
      <w:r w:rsidRPr="00826D5E">
        <w:t xml:space="preserve"> </w:t>
      </w:r>
      <w:r w:rsidR="00333CF8">
        <w:t>Intervenors</w:t>
      </w:r>
      <w:r w:rsidR="007711DF">
        <w:t>’</w:t>
      </w:r>
      <w:r w:rsidRPr="004F3364">
        <w:t xml:space="preserve"> substantial interests may</w:t>
      </w:r>
      <w:r>
        <w:t xml:space="preserve"> be affected by </w:t>
      </w:r>
      <w:r w:rsidR="00E90DEC">
        <w:t>these</w:t>
      </w:r>
      <w:r>
        <w:t xml:space="preserve"> proceeding</w:t>
      </w:r>
      <w:r w:rsidR="00E90DEC">
        <w:t>s</w:t>
      </w:r>
      <w:r w:rsidR="00127F8B">
        <w:t>, as required by Chapter 120, F.S</w:t>
      </w:r>
      <w:r>
        <w:t>.</w:t>
      </w:r>
      <w:r w:rsidRPr="004F3364">
        <w:t xml:space="preserve"> </w:t>
      </w:r>
      <w:r w:rsidR="00323A6C" w:rsidRPr="00B63CE3">
        <w:t xml:space="preserve">Therefore, the </w:t>
      </w:r>
      <w:r w:rsidR="00323A6C">
        <w:t>Motion</w:t>
      </w:r>
      <w:r w:rsidR="00323A6C" w:rsidRPr="00B63CE3">
        <w:t xml:space="preserve"> </w:t>
      </w:r>
      <w:r w:rsidR="00323A6C">
        <w:t xml:space="preserve">to Intervene </w:t>
      </w:r>
      <w:r w:rsidR="00323A6C" w:rsidRPr="00B63CE3">
        <w:t>shall be granted</w:t>
      </w:r>
      <w:r w:rsidR="00323A6C">
        <w:t xml:space="preserve"> for Docket Nos. 20170266-EC and 20170267-EC</w:t>
      </w:r>
      <w:r w:rsidRPr="004F3364">
        <w:t>.</w:t>
      </w:r>
      <w:r>
        <w:t xml:space="preserve"> Notwithstanding</w:t>
      </w:r>
      <w:r w:rsidR="007711DF">
        <w:t xml:space="preserve"> the</w:t>
      </w:r>
      <w:r>
        <w:t xml:space="preserve"> granting </w:t>
      </w:r>
      <w:r w:rsidR="007711DF">
        <w:t xml:space="preserve">of </w:t>
      </w:r>
      <w:r>
        <w:t>intervention, I remind the Intervenors that issues shall be limited to those appropriate to the scope of a determination of need.</w:t>
      </w:r>
      <w:r w:rsidR="007711DF">
        <w:t xml:space="preserve"> T</w:t>
      </w:r>
      <w:r>
        <w:t>he Intervenors take the case as they find</w:t>
      </w:r>
      <w:r w:rsidRPr="004F3364">
        <w:t xml:space="preserve"> it.</w:t>
      </w:r>
    </w:p>
    <w:p w:rsidR="00035651" w:rsidRPr="00817318" w:rsidRDefault="00035651" w:rsidP="00035651">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rsidR="00035651" w:rsidRPr="00817318" w:rsidRDefault="00035651" w:rsidP="00035651">
      <w:pPr>
        <w:pStyle w:val="ListParagraph"/>
        <w:ind w:left="0"/>
        <w:jc w:val="both"/>
        <w:rPr>
          <w:rFonts w:ascii="Times New Roman" w:hAnsi="Times New Roman"/>
          <w:iCs/>
          <w:color w:val="212121"/>
        </w:rPr>
      </w:pPr>
    </w:p>
    <w:p w:rsidR="00915582" w:rsidRDefault="00035651" w:rsidP="00915582">
      <w:pPr>
        <w:jc w:val="both"/>
      </w:pPr>
      <w:r w:rsidRPr="00817318">
        <w:rPr>
          <w:iCs/>
          <w:color w:val="212121"/>
        </w:rPr>
        <w:tab/>
      </w:r>
      <w:r w:rsidR="00915582" w:rsidRPr="00826D5E">
        <w:t xml:space="preserve">ORDERED by </w:t>
      </w:r>
      <w:r w:rsidR="00915582">
        <w:t xml:space="preserve">Commissioner Gary F. Clark, as Prehearing Officer, </w:t>
      </w:r>
      <w:r w:rsidR="00915582" w:rsidRPr="00826D5E">
        <w:t xml:space="preserve">that the </w:t>
      </w:r>
      <w:r w:rsidR="00127F8B">
        <w:t>Motion</w:t>
      </w:r>
      <w:r w:rsidR="00915582" w:rsidRPr="00826D5E">
        <w:t xml:space="preserve"> to Intervene filed by </w:t>
      </w:r>
      <w:r w:rsidR="00915582">
        <w:t>Michael Tulk and Patrick Daly</w:t>
      </w:r>
      <w:r w:rsidR="00915582" w:rsidRPr="004F3364">
        <w:t xml:space="preserve"> </w:t>
      </w:r>
      <w:r w:rsidR="00915582" w:rsidRPr="00826D5E">
        <w:t>is hereby granted.  It is further</w:t>
      </w:r>
    </w:p>
    <w:p w:rsidR="00915582" w:rsidRDefault="00915582" w:rsidP="00915582">
      <w:pPr>
        <w:jc w:val="both"/>
      </w:pPr>
    </w:p>
    <w:p w:rsidR="00915582" w:rsidRPr="00826D5E" w:rsidRDefault="00915582" w:rsidP="00915582">
      <w:pPr>
        <w:ind w:firstLine="720"/>
        <w:jc w:val="both"/>
      </w:pPr>
      <w:r w:rsidRPr="00826D5E">
        <w:t xml:space="preserve">ORDERED </w:t>
      </w:r>
      <w:r>
        <w:t xml:space="preserve">that Michael Tulk and Patrick Daly </w:t>
      </w:r>
      <w:r w:rsidR="00127F8B">
        <w:t>are</w:t>
      </w:r>
      <w:r>
        <w:t xml:space="preserve"> granted intervention in both Docket Nos. 20170266-EC and 20170267-EC.  </w:t>
      </w:r>
      <w:r w:rsidRPr="00826D5E">
        <w:t>It is further</w:t>
      </w:r>
    </w:p>
    <w:p w:rsidR="00915582" w:rsidRPr="00826D5E" w:rsidRDefault="00915582" w:rsidP="00915582">
      <w:pPr>
        <w:jc w:val="both"/>
      </w:pPr>
    </w:p>
    <w:p w:rsidR="00915582" w:rsidRPr="00826D5E" w:rsidRDefault="00915582" w:rsidP="00915582">
      <w:pPr>
        <w:jc w:val="both"/>
      </w:pPr>
      <w:r w:rsidRPr="00826D5E">
        <w:tab/>
        <w:t xml:space="preserve">ORDERED that all parties to </w:t>
      </w:r>
      <w:r w:rsidR="00E90DEC">
        <w:t>these</w:t>
      </w:r>
      <w:r w:rsidRPr="00826D5E">
        <w:t xml:space="preserve"> proceeding</w:t>
      </w:r>
      <w:r w:rsidR="00E90DEC">
        <w:t>s</w:t>
      </w:r>
      <w:r w:rsidRPr="00826D5E">
        <w:t xml:space="preserve"> shall furnish copies of all testimony, exhibits, pleadings and other documents which may hereinafter be filed in this proceeding, to:</w:t>
      </w:r>
    </w:p>
    <w:p w:rsidR="00915582" w:rsidRPr="00826D5E" w:rsidRDefault="00915582" w:rsidP="00915582"/>
    <w:tbl>
      <w:tblPr>
        <w:tblW w:w="0" w:type="auto"/>
        <w:tblInd w:w="129" w:type="dxa"/>
        <w:tblLayout w:type="fixed"/>
        <w:tblCellMar>
          <w:left w:w="129" w:type="dxa"/>
          <w:right w:w="129" w:type="dxa"/>
        </w:tblCellMar>
        <w:tblLook w:val="0000" w:firstRow="0" w:lastRow="0" w:firstColumn="0" w:lastColumn="0" w:noHBand="0" w:noVBand="0"/>
      </w:tblPr>
      <w:tblGrid>
        <w:gridCol w:w="4682"/>
        <w:gridCol w:w="4682"/>
      </w:tblGrid>
      <w:tr w:rsidR="00915582" w:rsidRPr="00826D5E" w:rsidTr="00127F8B">
        <w:trPr>
          <w:cantSplit/>
          <w:trHeight w:val="1620"/>
        </w:trPr>
        <w:tc>
          <w:tcPr>
            <w:tcW w:w="4682" w:type="dxa"/>
            <w:tcBorders>
              <w:top w:val="nil"/>
              <w:left w:val="nil"/>
              <w:bottom w:val="nil"/>
              <w:right w:val="nil"/>
            </w:tcBorders>
          </w:tcPr>
          <w:p w:rsidR="00915582" w:rsidRDefault="00915582" w:rsidP="00816E71">
            <w:r>
              <w:t>Robert Scheffel Wright, Esq.</w:t>
            </w:r>
          </w:p>
          <w:p w:rsidR="00915582" w:rsidRDefault="00915582" w:rsidP="00816E71">
            <w:r>
              <w:t xml:space="preserve">Gardner, Bist, Bowden, Bush, Dee, </w:t>
            </w:r>
          </w:p>
          <w:p w:rsidR="00915582" w:rsidRDefault="00915582" w:rsidP="00816E71">
            <w:r>
              <w:t xml:space="preserve">LaVia, &amp; Wright, P.A. </w:t>
            </w:r>
          </w:p>
          <w:p w:rsidR="00915582" w:rsidRDefault="00915582" w:rsidP="00816E71">
            <w:r>
              <w:t>1300 Thomaswood Drive</w:t>
            </w:r>
          </w:p>
          <w:p w:rsidR="00915582" w:rsidRDefault="00915582" w:rsidP="00816E71">
            <w:r>
              <w:t>Tallahassee, FL 32308</w:t>
            </w:r>
          </w:p>
          <w:p w:rsidR="00915582" w:rsidRPr="00826D5E" w:rsidRDefault="00915582" w:rsidP="00816E71">
            <w:r>
              <w:t>850-385-0070</w:t>
            </w:r>
          </w:p>
        </w:tc>
        <w:tc>
          <w:tcPr>
            <w:tcW w:w="4682" w:type="dxa"/>
            <w:tcBorders>
              <w:top w:val="nil"/>
              <w:left w:val="nil"/>
              <w:bottom w:val="nil"/>
              <w:right w:val="nil"/>
            </w:tcBorders>
          </w:tcPr>
          <w:p w:rsidR="00915582" w:rsidRDefault="00915582" w:rsidP="00816E71">
            <w:r>
              <w:t xml:space="preserve">      John T. LaVia, III, Esq. </w:t>
            </w:r>
          </w:p>
          <w:p w:rsidR="00915582" w:rsidRDefault="00915582" w:rsidP="00915582">
            <w:r>
              <w:t xml:space="preserve">      Gardner, Bist, Bowden, Bush, Dee, </w:t>
            </w:r>
          </w:p>
          <w:p w:rsidR="00915582" w:rsidRDefault="00915582" w:rsidP="00915582">
            <w:r>
              <w:t xml:space="preserve">      LaVia, &amp; Wright, P.A. </w:t>
            </w:r>
          </w:p>
          <w:p w:rsidR="00915582" w:rsidRDefault="00915582" w:rsidP="00915582">
            <w:r>
              <w:t xml:space="preserve">      1300 Thomaswood Drive</w:t>
            </w:r>
          </w:p>
          <w:p w:rsidR="00915582" w:rsidRDefault="00915582" w:rsidP="00915582">
            <w:r>
              <w:t xml:space="preserve">      Tallahassee, FL 32308</w:t>
            </w:r>
          </w:p>
          <w:p w:rsidR="00915582" w:rsidRPr="00826D5E" w:rsidRDefault="00915582" w:rsidP="00915582">
            <w:r>
              <w:t xml:space="preserve">      850-385-0070</w:t>
            </w:r>
          </w:p>
        </w:tc>
      </w:tr>
    </w:tbl>
    <w:p w:rsidR="00915582" w:rsidRDefault="00127F8B" w:rsidP="00915582">
      <w:pPr>
        <w:pStyle w:val="ListParagraph"/>
        <w:ind w:left="0"/>
        <w:jc w:val="both"/>
        <w:rPr>
          <w:rFonts w:ascii="Times New Roman" w:hAnsi="Times New Roman"/>
          <w:iCs/>
          <w:color w:val="212121"/>
        </w:rPr>
      </w:pPr>
      <w:r>
        <w:rPr>
          <w:rFonts w:ascii="Times New Roman" w:hAnsi="Times New Roman"/>
          <w:iCs/>
          <w:color w:val="212121"/>
        </w:rPr>
        <w:t xml:space="preserve">  </w:t>
      </w:r>
      <w:hyperlink r:id="rId7" w:history="1">
        <w:r w:rsidRPr="00E87575">
          <w:rPr>
            <w:rStyle w:val="Hyperlink"/>
            <w:rFonts w:ascii="Times New Roman" w:hAnsi="Times New Roman"/>
            <w:iCs/>
          </w:rPr>
          <w:t>schef@gbwlegal.com</w:t>
        </w:r>
      </w:hyperlink>
      <w:r>
        <w:rPr>
          <w:rFonts w:ascii="Times New Roman" w:hAnsi="Times New Roman"/>
          <w:iCs/>
          <w:color w:val="212121"/>
        </w:rPr>
        <w:t xml:space="preserve">                                                  </w:t>
      </w:r>
      <w:hyperlink r:id="rId8" w:history="1">
        <w:r w:rsidRPr="00E87575">
          <w:rPr>
            <w:rStyle w:val="Hyperlink"/>
            <w:rFonts w:ascii="Times New Roman" w:hAnsi="Times New Roman"/>
            <w:iCs/>
          </w:rPr>
          <w:t>jlavia@gbwlegal.com</w:t>
        </w:r>
      </w:hyperlink>
      <w:r>
        <w:rPr>
          <w:rFonts w:ascii="Times New Roman" w:hAnsi="Times New Roman"/>
          <w:iCs/>
          <w:color w:val="212121"/>
        </w:rPr>
        <w:t xml:space="preserve"> </w:t>
      </w:r>
    </w:p>
    <w:p w:rsidR="00DA6E81" w:rsidRDefault="00DA6E81" w:rsidP="00915582">
      <w:pPr>
        <w:pStyle w:val="ListParagraph"/>
        <w:ind w:left="0" w:firstLine="720"/>
        <w:jc w:val="both"/>
        <w:rPr>
          <w:rFonts w:ascii="Times New Roman" w:hAnsi="Times New Roman"/>
          <w:iCs/>
          <w:color w:val="212121"/>
        </w:rPr>
      </w:pPr>
    </w:p>
    <w:p w:rsidR="00DA6E81" w:rsidRDefault="00DA6E81" w:rsidP="00915582">
      <w:pPr>
        <w:pStyle w:val="ListParagraph"/>
        <w:ind w:left="0" w:firstLine="720"/>
        <w:jc w:val="both"/>
        <w:rPr>
          <w:rFonts w:ascii="Times New Roman" w:hAnsi="Times New Roman"/>
          <w:iCs/>
          <w:color w:val="212121"/>
        </w:rPr>
      </w:pPr>
    </w:p>
    <w:p w:rsidR="00DA6E81" w:rsidRDefault="00DA6E81" w:rsidP="00915582">
      <w:pPr>
        <w:pStyle w:val="ListParagraph"/>
        <w:ind w:left="0" w:firstLine="720"/>
        <w:jc w:val="both"/>
        <w:rPr>
          <w:rFonts w:ascii="Times New Roman" w:hAnsi="Times New Roman"/>
          <w:iCs/>
          <w:color w:val="212121"/>
        </w:rPr>
      </w:pPr>
    </w:p>
    <w:p w:rsidR="0078486D" w:rsidRDefault="0078486D" w:rsidP="00915582">
      <w:pPr>
        <w:pStyle w:val="ListParagraph"/>
        <w:ind w:left="0" w:firstLine="720"/>
        <w:jc w:val="both"/>
        <w:rPr>
          <w:rFonts w:ascii="Times New Roman" w:hAnsi="Times New Roman"/>
          <w:iCs/>
          <w:color w:val="212121"/>
        </w:rPr>
      </w:pPr>
    </w:p>
    <w:p w:rsidR="00BA3D56" w:rsidRDefault="00BA3D56" w:rsidP="00915582">
      <w:pPr>
        <w:pStyle w:val="ListParagraph"/>
        <w:ind w:left="0" w:firstLine="720"/>
        <w:jc w:val="both"/>
        <w:rPr>
          <w:rFonts w:ascii="Times New Roman" w:hAnsi="Times New Roman"/>
          <w:iCs/>
          <w:color w:val="212121"/>
        </w:rPr>
      </w:pPr>
    </w:p>
    <w:p w:rsidR="00BA3D56" w:rsidRDefault="00BA3D56" w:rsidP="00915582">
      <w:pPr>
        <w:pStyle w:val="ListParagraph"/>
        <w:ind w:left="0" w:firstLine="720"/>
        <w:jc w:val="both"/>
        <w:rPr>
          <w:rFonts w:ascii="Times New Roman" w:hAnsi="Times New Roman"/>
          <w:iCs/>
          <w:color w:val="212121"/>
        </w:rPr>
      </w:pPr>
    </w:p>
    <w:p w:rsidR="00BA3D56" w:rsidRDefault="00BA3D56" w:rsidP="00915582">
      <w:pPr>
        <w:pStyle w:val="ListParagraph"/>
        <w:ind w:left="0" w:firstLine="720"/>
        <w:jc w:val="both"/>
        <w:rPr>
          <w:rFonts w:ascii="Times New Roman" w:hAnsi="Times New Roman"/>
          <w:iCs/>
          <w:color w:val="212121"/>
        </w:rPr>
      </w:pPr>
    </w:p>
    <w:p w:rsidR="00BA3D56" w:rsidRDefault="00BA3D56" w:rsidP="00915582">
      <w:pPr>
        <w:pStyle w:val="ListParagraph"/>
        <w:ind w:left="0" w:firstLine="720"/>
        <w:jc w:val="both"/>
        <w:rPr>
          <w:rFonts w:ascii="Times New Roman" w:hAnsi="Times New Roman"/>
          <w:iCs/>
          <w:color w:val="212121"/>
        </w:rPr>
      </w:pPr>
    </w:p>
    <w:p w:rsidR="0078486D" w:rsidRDefault="0078486D" w:rsidP="00915582">
      <w:pPr>
        <w:pStyle w:val="ListParagraph"/>
        <w:ind w:left="0" w:firstLine="720"/>
        <w:jc w:val="both"/>
        <w:rPr>
          <w:rFonts w:ascii="Times New Roman" w:hAnsi="Times New Roman"/>
          <w:iCs/>
          <w:color w:val="212121"/>
        </w:rPr>
      </w:pPr>
    </w:p>
    <w:p w:rsidR="009B4F0E" w:rsidRDefault="009B4F0E" w:rsidP="00915582">
      <w:pPr>
        <w:pStyle w:val="ListParagraph"/>
        <w:ind w:left="0" w:firstLine="720"/>
        <w:jc w:val="both"/>
        <w:rPr>
          <w:rFonts w:ascii="Times New Roman" w:hAnsi="Times New Roman"/>
          <w:iCs/>
          <w:color w:val="212121"/>
        </w:rPr>
      </w:pPr>
    </w:p>
    <w:p w:rsidR="0078486D" w:rsidRDefault="0078486D" w:rsidP="00915582">
      <w:pPr>
        <w:pStyle w:val="ListParagraph"/>
        <w:ind w:left="0" w:firstLine="720"/>
        <w:jc w:val="both"/>
        <w:rPr>
          <w:rFonts w:ascii="Times New Roman" w:hAnsi="Times New Roman"/>
          <w:iCs/>
          <w:color w:val="212121"/>
        </w:rPr>
      </w:pPr>
    </w:p>
    <w:p w:rsidR="00DA6E81" w:rsidRDefault="00DA6E81" w:rsidP="00915582">
      <w:pPr>
        <w:pStyle w:val="ListParagraph"/>
        <w:ind w:left="0" w:firstLine="720"/>
        <w:jc w:val="both"/>
        <w:rPr>
          <w:rFonts w:ascii="Times New Roman" w:hAnsi="Times New Roman"/>
          <w:iCs/>
          <w:color w:val="212121"/>
        </w:rPr>
      </w:pPr>
    </w:p>
    <w:p w:rsidR="00DA6E81" w:rsidRPr="0085436A" w:rsidRDefault="00DA6E81" w:rsidP="0085436A">
      <w:pPr>
        <w:jc w:val="both"/>
        <w:rPr>
          <w:iCs/>
          <w:color w:val="212121"/>
        </w:rPr>
      </w:pPr>
    </w:p>
    <w:p w:rsidR="00035651" w:rsidRDefault="00035651" w:rsidP="00915582">
      <w:pPr>
        <w:pStyle w:val="ListParagraph"/>
        <w:ind w:left="0" w:firstLine="720"/>
        <w:jc w:val="both"/>
        <w:rPr>
          <w:rFonts w:ascii="Times New Roman" w:hAnsi="Times New Roman"/>
          <w:iCs/>
          <w:color w:val="212121"/>
        </w:rPr>
      </w:pPr>
      <w:r>
        <w:rPr>
          <w:rFonts w:ascii="Times New Roman" w:hAnsi="Times New Roman"/>
          <w:iCs/>
          <w:color w:val="212121"/>
        </w:rPr>
        <w:lastRenderedPageBreak/>
        <w:t xml:space="preserve">By ORDER of Commissioner Gary F. Clark, as Prehearing Officer, this </w:t>
      </w:r>
      <w:bookmarkStart w:id="2" w:name="replaceDate"/>
      <w:bookmarkEnd w:id="2"/>
      <w:r w:rsidR="006B6793">
        <w:rPr>
          <w:rFonts w:ascii="Times New Roman" w:hAnsi="Times New Roman"/>
          <w:iCs/>
          <w:color w:val="212121"/>
          <w:u w:val="single"/>
        </w:rPr>
        <w:t>24th</w:t>
      </w:r>
      <w:r>
        <w:rPr>
          <w:rFonts w:ascii="Times New Roman" w:hAnsi="Times New Roman"/>
          <w:iCs/>
          <w:color w:val="212121"/>
          <w:u w:val="single"/>
        </w:rPr>
        <w:t> </w:t>
      </w:r>
      <w:r>
        <w:rPr>
          <w:rFonts w:ascii="Times New Roman" w:hAnsi="Times New Roman"/>
          <w:iCs/>
          <w:color w:val="212121"/>
        </w:rPr>
        <w:t xml:space="preserve"> day of </w:t>
      </w:r>
      <w:r>
        <w:rPr>
          <w:rFonts w:ascii="Times New Roman" w:hAnsi="Times New Roman"/>
          <w:iCs/>
          <w:color w:val="212121"/>
          <w:u w:val="single"/>
        </w:rPr>
        <w:t> </w:t>
      </w:r>
      <w:r w:rsidR="006B6793">
        <w:rPr>
          <w:rFonts w:ascii="Times New Roman" w:hAnsi="Times New Roman"/>
          <w:iCs/>
          <w:color w:val="212121"/>
          <w:u w:val="single"/>
        </w:rPr>
        <w:t>January</w:t>
      </w:r>
      <w:r>
        <w:rPr>
          <w:rFonts w:ascii="Times New Roman" w:hAnsi="Times New Roman"/>
          <w:iCs/>
          <w:color w:val="212121"/>
        </w:rPr>
        <w:t>,</w:t>
      </w:r>
      <w:r w:rsidR="006B6793">
        <w:rPr>
          <w:rFonts w:ascii="Times New Roman" w:hAnsi="Times New Roman"/>
          <w:iCs/>
          <w:color w:val="212121"/>
        </w:rPr>
        <w:t xml:space="preserve"> </w:t>
      </w:r>
      <w:r w:rsidR="006B6793">
        <w:rPr>
          <w:rFonts w:ascii="Times New Roman" w:hAnsi="Times New Roman"/>
          <w:iCs/>
          <w:color w:val="212121"/>
          <w:u w:val="single"/>
        </w:rPr>
        <w:t>2018</w:t>
      </w:r>
      <w:r w:rsidR="00915582">
        <w:rPr>
          <w:rFonts w:ascii="Times New Roman" w:hAnsi="Times New Roman"/>
          <w:iCs/>
          <w:color w:val="212121"/>
        </w:rPr>
        <w:t>.</w:t>
      </w:r>
    </w:p>
    <w:tbl>
      <w:tblPr>
        <w:tblW w:w="4720" w:type="dxa"/>
        <w:tblInd w:w="3800" w:type="dxa"/>
        <w:tblLayout w:type="fixed"/>
        <w:tblLook w:val="0000" w:firstRow="0" w:lastRow="0" w:firstColumn="0" w:lastColumn="0" w:noHBand="0" w:noVBand="0"/>
      </w:tblPr>
      <w:tblGrid>
        <w:gridCol w:w="686"/>
        <w:gridCol w:w="4034"/>
      </w:tblGrid>
      <w:tr w:rsidR="00035651" w:rsidTr="00035651">
        <w:tc>
          <w:tcPr>
            <w:tcW w:w="720" w:type="dxa"/>
            <w:shd w:val="clear" w:color="auto" w:fill="auto"/>
          </w:tcPr>
          <w:p w:rsidR="00035651" w:rsidRDefault="00035651" w:rsidP="00035651">
            <w:pPr>
              <w:pStyle w:val="ListParagraph"/>
              <w:keepNext/>
              <w:keepLines/>
              <w:ind w:left="0"/>
              <w:jc w:val="both"/>
              <w:rPr>
                <w:rFonts w:ascii="Times New Roman" w:hAnsi="Times New Roman"/>
                <w:iCs/>
                <w:color w:val="212121"/>
              </w:rPr>
            </w:pPr>
            <w:bookmarkStart w:id="3" w:name="bkmrkSignature" w:colFirst="0" w:colLast="0"/>
          </w:p>
        </w:tc>
        <w:tc>
          <w:tcPr>
            <w:tcW w:w="4320" w:type="dxa"/>
            <w:tcBorders>
              <w:bottom w:val="single" w:sz="4" w:space="0" w:color="auto"/>
            </w:tcBorders>
            <w:shd w:val="clear" w:color="auto" w:fill="auto"/>
          </w:tcPr>
          <w:p w:rsidR="006B6793" w:rsidRDefault="006B6793" w:rsidP="00035651">
            <w:pPr>
              <w:pStyle w:val="ListParagraph"/>
              <w:keepNext/>
              <w:keepLines/>
              <w:ind w:left="0"/>
              <w:jc w:val="both"/>
              <w:rPr>
                <w:rFonts w:ascii="Times New Roman" w:hAnsi="Times New Roman"/>
                <w:iCs/>
                <w:color w:val="212121"/>
              </w:rPr>
            </w:pPr>
          </w:p>
          <w:p w:rsidR="00915582" w:rsidRDefault="006B6793" w:rsidP="00035651">
            <w:pPr>
              <w:pStyle w:val="ListParagraph"/>
              <w:keepNext/>
              <w:keepLines/>
              <w:ind w:left="0"/>
              <w:jc w:val="both"/>
              <w:rPr>
                <w:rFonts w:ascii="Times New Roman" w:hAnsi="Times New Roman"/>
                <w:iCs/>
                <w:color w:val="212121"/>
              </w:rPr>
            </w:pPr>
            <w:r>
              <w:rPr>
                <w:rFonts w:ascii="Times New Roman" w:hAnsi="Times New Roman"/>
                <w:iCs/>
                <w:color w:val="212121"/>
              </w:rPr>
              <w:t>/s/ Gary F. Clark</w:t>
            </w:r>
          </w:p>
        </w:tc>
      </w:tr>
      <w:bookmarkEnd w:id="3"/>
      <w:tr w:rsidR="00035651" w:rsidTr="00035651">
        <w:tc>
          <w:tcPr>
            <w:tcW w:w="720" w:type="dxa"/>
            <w:shd w:val="clear" w:color="auto" w:fill="auto"/>
          </w:tcPr>
          <w:p w:rsidR="00035651" w:rsidRDefault="00035651" w:rsidP="00035651">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035651" w:rsidRDefault="00035651" w:rsidP="00035651">
            <w:pPr>
              <w:pStyle w:val="ListParagraph"/>
              <w:keepNext/>
              <w:keepLines/>
              <w:ind w:left="0"/>
              <w:jc w:val="both"/>
              <w:rPr>
                <w:rFonts w:ascii="Times New Roman" w:hAnsi="Times New Roman"/>
                <w:iCs/>
                <w:color w:val="212121"/>
              </w:rPr>
            </w:pPr>
            <w:r>
              <w:rPr>
                <w:rFonts w:ascii="Times New Roman" w:hAnsi="Times New Roman"/>
                <w:iCs/>
                <w:color w:val="212121"/>
              </w:rPr>
              <w:t>GARY F. CLARK</w:t>
            </w:r>
          </w:p>
          <w:p w:rsidR="00035651" w:rsidRDefault="00035651" w:rsidP="00035651">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rsidR="00035651" w:rsidRDefault="00035651" w:rsidP="00035651">
      <w:pPr>
        <w:pStyle w:val="OrderSigInfo"/>
        <w:keepNext/>
        <w:keepLines/>
      </w:pPr>
      <w:r>
        <w:t>Florida Public Service Commission</w:t>
      </w:r>
    </w:p>
    <w:p w:rsidR="00035651" w:rsidRDefault="00035651" w:rsidP="00035651">
      <w:pPr>
        <w:pStyle w:val="OrderSigInfo"/>
        <w:keepNext/>
        <w:keepLines/>
      </w:pPr>
      <w:r>
        <w:t>2540 Shumard Oak Boulevard</w:t>
      </w:r>
    </w:p>
    <w:p w:rsidR="00035651" w:rsidRDefault="00035651" w:rsidP="00035651">
      <w:pPr>
        <w:pStyle w:val="OrderSigInfo"/>
        <w:keepNext/>
        <w:keepLines/>
      </w:pPr>
      <w:r>
        <w:t>Tallahassee, Florida  32399</w:t>
      </w:r>
    </w:p>
    <w:p w:rsidR="00035651" w:rsidRDefault="00035651" w:rsidP="00035651">
      <w:pPr>
        <w:pStyle w:val="OrderSigInfo"/>
        <w:keepNext/>
        <w:keepLines/>
      </w:pPr>
      <w:r>
        <w:t>(850) 413</w:t>
      </w:r>
      <w:r>
        <w:noBreakHyphen/>
        <w:t>6770</w:t>
      </w:r>
    </w:p>
    <w:p w:rsidR="00035651" w:rsidRDefault="00035651" w:rsidP="00035651">
      <w:pPr>
        <w:pStyle w:val="OrderSigInfo"/>
        <w:keepNext/>
        <w:keepLines/>
      </w:pPr>
      <w:r>
        <w:t>www.floridapsc.com</w:t>
      </w:r>
    </w:p>
    <w:p w:rsidR="00035651" w:rsidRDefault="00035651" w:rsidP="00035651">
      <w:pPr>
        <w:pStyle w:val="OrderSigInfo"/>
        <w:keepNext/>
        <w:keepLines/>
      </w:pPr>
    </w:p>
    <w:p w:rsidR="00035651" w:rsidRDefault="00035651" w:rsidP="00E570C6">
      <w:pPr>
        <w:pStyle w:val="OrderSigInfo"/>
        <w:keepNext/>
        <w:keepLines/>
      </w:pPr>
      <w:r>
        <w:t>Copies furnished:  A copy of this document is provided to the parties of record at the time of issuance and, if applicable, interested persons.</w:t>
      </w:r>
    </w:p>
    <w:p w:rsidR="00035651" w:rsidRDefault="00035651" w:rsidP="00035651">
      <w:pPr>
        <w:pStyle w:val="ListParagraph"/>
        <w:keepNext/>
        <w:keepLines/>
        <w:ind w:left="0"/>
        <w:jc w:val="both"/>
        <w:rPr>
          <w:rFonts w:ascii="Times New Roman" w:hAnsi="Times New Roman"/>
          <w:iCs/>
          <w:color w:val="212121"/>
        </w:rPr>
      </w:pPr>
    </w:p>
    <w:p w:rsidR="00035651" w:rsidRDefault="00915582" w:rsidP="00035651">
      <w:pPr>
        <w:pStyle w:val="ListParagraph"/>
        <w:keepNext/>
        <w:keepLines/>
        <w:ind w:left="0"/>
        <w:jc w:val="both"/>
        <w:rPr>
          <w:rFonts w:ascii="Times New Roman" w:hAnsi="Times New Roman"/>
          <w:iCs/>
          <w:color w:val="212121"/>
        </w:rPr>
      </w:pPr>
      <w:r>
        <w:rPr>
          <w:rFonts w:ascii="Times New Roman" w:hAnsi="Times New Roman"/>
          <w:iCs/>
          <w:color w:val="212121"/>
        </w:rPr>
        <w:t>SAC</w:t>
      </w:r>
    </w:p>
    <w:p w:rsidR="0056365C" w:rsidRDefault="0056365C" w:rsidP="00035651">
      <w:pPr>
        <w:pStyle w:val="ListParagraph"/>
        <w:keepNext/>
        <w:keepLines/>
        <w:ind w:left="0"/>
        <w:jc w:val="both"/>
        <w:rPr>
          <w:rFonts w:ascii="Times New Roman" w:hAnsi="Times New Roman"/>
          <w:iCs/>
          <w:color w:val="212121"/>
        </w:rPr>
      </w:pPr>
    </w:p>
    <w:p w:rsidR="0056365C" w:rsidRDefault="0056365C" w:rsidP="00035651">
      <w:pPr>
        <w:pStyle w:val="ListParagraph"/>
        <w:keepNext/>
        <w:keepLines/>
        <w:ind w:left="0"/>
        <w:jc w:val="both"/>
        <w:rPr>
          <w:rFonts w:ascii="Times New Roman" w:hAnsi="Times New Roman"/>
          <w:iCs/>
          <w:color w:val="212121"/>
        </w:rPr>
      </w:pPr>
    </w:p>
    <w:p w:rsidR="00B0440A" w:rsidRDefault="00B0440A" w:rsidP="00035651">
      <w:pPr>
        <w:pStyle w:val="CenterUnderline"/>
      </w:pPr>
    </w:p>
    <w:p w:rsidR="00035651" w:rsidRDefault="00035651" w:rsidP="00035651">
      <w:pPr>
        <w:pStyle w:val="CenterUnderline"/>
      </w:pPr>
      <w:r>
        <w:t>NOTICE OF FURTHER PROCEEDINGS OR JUDICIAL REVIEW</w:t>
      </w:r>
    </w:p>
    <w:p w:rsidR="00035651" w:rsidRDefault="00035651" w:rsidP="00035651">
      <w:pPr>
        <w:pStyle w:val="CenterUnderline"/>
      </w:pPr>
    </w:p>
    <w:p w:rsidR="00035651" w:rsidRDefault="00035651" w:rsidP="0003565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35651" w:rsidRDefault="00035651" w:rsidP="00035651">
      <w:pPr>
        <w:pStyle w:val="OrderBody"/>
      </w:pPr>
    </w:p>
    <w:p w:rsidR="00035651" w:rsidRDefault="00035651" w:rsidP="00035651">
      <w:pPr>
        <w:pStyle w:val="OrderBody"/>
      </w:pPr>
      <w:r>
        <w:tab/>
        <w:t>Mediation may be available on a case-by-case basis.  If mediation is conducted, it does not affect a substantially interested person's right to a hearing.</w:t>
      </w:r>
    </w:p>
    <w:p w:rsidR="00035651" w:rsidRDefault="00035651" w:rsidP="00035651">
      <w:pPr>
        <w:pStyle w:val="OrderBody"/>
      </w:pPr>
    </w:p>
    <w:p w:rsidR="00035651" w:rsidRDefault="00035651" w:rsidP="0003565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356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A96" w:rsidRDefault="00F63A96">
      <w:r>
        <w:separator/>
      </w:r>
    </w:p>
  </w:endnote>
  <w:endnote w:type="continuationSeparator" w:id="0">
    <w:p w:rsidR="00F63A96" w:rsidRDefault="00F6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A96" w:rsidRDefault="00F63A96">
      <w:r>
        <w:separator/>
      </w:r>
    </w:p>
  </w:footnote>
  <w:footnote w:type="continuationSeparator" w:id="0">
    <w:p w:rsidR="00F63A96" w:rsidRDefault="00F63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4" w:name="HeaderOrderNo"/>
    <w:bookmarkEnd w:id="4"/>
    <w:r w:rsidR="006B6793">
      <w:t>PSC-2018-0062-PCO-EC</w:t>
    </w:r>
  </w:p>
  <w:p w:rsidR="00FA6EFD" w:rsidRDefault="00035651">
    <w:pPr>
      <w:pStyle w:val="OrderHeader"/>
    </w:pPr>
    <w:bookmarkStart w:id="5" w:name="HeaderDocketNo"/>
    <w:bookmarkEnd w:id="5"/>
    <w:r>
      <w:t>DOCKET NO. 20170266-EC</w:t>
    </w:r>
    <w:r w:rsidR="009E3BC7">
      <w:t xml:space="preserve">, </w:t>
    </w:r>
    <w:r w:rsidR="009E3BC7">
      <w:t>20170267-EC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3BC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6-EC"/>
  </w:docVars>
  <w:rsids>
    <w:rsidRoot w:val="00035651"/>
    <w:rsid w:val="000022B8"/>
    <w:rsid w:val="00035651"/>
    <w:rsid w:val="00044201"/>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48BD"/>
    <w:rsid w:val="000F63EB"/>
    <w:rsid w:val="000F648A"/>
    <w:rsid w:val="000F7BE3"/>
    <w:rsid w:val="001052BA"/>
    <w:rsid w:val="001107B3"/>
    <w:rsid w:val="001114B1"/>
    <w:rsid w:val="001139D8"/>
    <w:rsid w:val="0011560E"/>
    <w:rsid w:val="00116AD3"/>
    <w:rsid w:val="00121957"/>
    <w:rsid w:val="00126593"/>
    <w:rsid w:val="00127F8B"/>
    <w:rsid w:val="00142A96"/>
    <w:rsid w:val="001513DE"/>
    <w:rsid w:val="00187E32"/>
    <w:rsid w:val="00194E81"/>
    <w:rsid w:val="001A15E7"/>
    <w:rsid w:val="001A33C9"/>
    <w:rsid w:val="001A58F3"/>
    <w:rsid w:val="001C2847"/>
    <w:rsid w:val="001C3F8C"/>
    <w:rsid w:val="001D008A"/>
    <w:rsid w:val="001E0152"/>
    <w:rsid w:val="001E0FF5"/>
    <w:rsid w:val="002002ED"/>
    <w:rsid w:val="0020571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659"/>
    <w:rsid w:val="002E27EB"/>
    <w:rsid w:val="002F2A9D"/>
    <w:rsid w:val="002F3DCB"/>
    <w:rsid w:val="00303FDE"/>
    <w:rsid w:val="003140E8"/>
    <w:rsid w:val="00321956"/>
    <w:rsid w:val="003231C7"/>
    <w:rsid w:val="00323A6C"/>
    <w:rsid w:val="003270C4"/>
    <w:rsid w:val="00331ED0"/>
    <w:rsid w:val="00332B0A"/>
    <w:rsid w:val="00333A41"/>
    <w:rsid w:val="00333CF8"/>
    <w:rsid w:val="0035495B"/>
    <w:rsid w:val="00361522"/>
    <w:rsid w:val="0037196E"/>
    <w:rsid w:val="003744F5"/>
    <w:rsid w:val="00387BDE"/>
    <w:rsid w:val="00390DD8"/>
    <w:rsid w:val="00394DC6"/>
    <w:rsid w:val="00397C3E"/>
    <w:rsid w:val="003B1A09"/>
    <w:rsid w:val="003C7D48"/>
    <w:rsid w:val="003D4CCA"/>
    <w:rsid w:val="003D52A6"/>
    <w:rsid w:val="003D6416"/>
    <w:rsid w:val="003E1D48"/>
    <w:rsid w:val="003F7A3C"/>
    <w:rsid w:val="00411DF2"/>
    <w:rsid w:val="00411E8F"/>
    <w:rsid w:val="0042527B"/>
    <w:rsid w:val="00444D06"/>
    <w:rsid w:val="0045537F"/>
    <w:rsid w:val="00457DC7"/>
    <w:rsid w:val="00466238"/>
    <w:rsid w:val="00472BCC"/>
    <w:rsid w:val="004A25CD"/>
    <w:rsid w:val="004A26CC"/>
    <w:rsid w:val="004B0BC8"/>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338D"/>
    <w:rsid w:val="0055595D"/>
    <w:rsid w:val="00556A10"/>
    <w:rsid w:val="00557F50"/>
    <w:rsid w:val="0056365C"/>
    <w:rsid w:val="00571D3D"/>
    <w:rsid w:val="00573950"/>
    <w:rsid w:val="0058550C"/>
    <w:rsid w:val="005868AA"/>
    <w:rsid w:val="00590845"/>
    <w:rsid w:val="005963C2"/>
    <w:rsid w:val="005A0D69"/>
    <w:rsid w:val="005A31F4"/>
    <w:rsid w:val="005A637F"/>
    <w:rsid w:val="005B45F7"/>
    <w:rsid w:val="005B63EA"/>
    <w:rsid w:val="005C1A88"/>
    <w:rsid w:val="005C5033"/>
    <w:rsid w:val="005D7717"/>
    <w:rsid w:val="005E751B"/>
    <w:rsid w:val="005F020D"/>
    <w:rsid w:val="005F3354"/>
    <w:rsid w:val="0060005E"/>
    <w:rsid w:val="00601266"/>
    <w:rsid w:val="00610E73"/>
    <w:rsid w:val="0063168D"/>
    <w:rsid w:val="00660774"/>
    <w:rsid w:val="00660B5C"/>
    <w:rsid w:val="00662159"/>
    <w:rsid w:val="0066389A"/>
    <w:rsid w:val="0066495C"/>
    <w:rsid w:val="00665CC7"/>
    <w:rsid w:val="00672612"/>
    <w:rsid w:val="00675605"/>
    <w:rsid w:val="00677F18"/>
    <w:rsid w:val="006A0BF3"/>
    <w:rsid w:val="006B0DA6"/>
    <w:rsid w:val="006B6793"/>
    <w:rsid w:val="006C0FF8"/>
    <w:rsid w:val="006C547E"/>
    <w:rsid w:val="006D5575"/>
    <w:rsid w:val="00704C5D"/>
    <w:rsid w:val="007072BC"/>
    <w:rsid w:val="00715275"/>
    <w:rsid w:val="007232A2"/>
    <w:rsid w:val="00726366"/>
    <w:rsid w:val="00733B6B"/>
    <w:rsid w:val="007467C4"/>
    <w:rsid w:val="0076170F"/>
    <w:rsid w:val="0076669C"/>
    <w:rsid w:val="00766E46"/>
    <w:rsid w:val="007711DF"/>
    <w:rsid w:val="00777727"/>
    <w:rsid w:val="00782B79"/>
    <w:rsid w:val="0078486D"/>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68B7"/>
    <w:rsid w:val="008278FE"/>
    <w:rsid w:val="00832598"/>
    <w:rsid w:val="0083397E"/>
    <w:rsid w:val="0083534B"/>
    <w:rsid w:val="00842602"/>
    <w:rsid w:val="00847B45"/>
    <w:rsid w:val="008501A7"/>
    <w:rsid w:val="0085436A"/>
    <w:rsid w:val="00863A1D"/>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1535A"/>
    <w:rsid w:val="00915582"/>
    <w:rsid w:val="009228C7"/>
    <w:rsid w:val="00922A7F"/>
    <w:rsid w:val="00923A5E"/>
    <w:rsid w:val="00923EEF"/>
    <w:rsid w:val="00926E27"/>
    <w:rsid w:val="00931C8C"/>
    <w:rsid w:val="0094504B"/>
    <w:rsid w:val="00966A9D"/>
    <w:rsid w:val="0096742B"/>
    <w:rsid w:val="009924CF"/>
    <w:rsid w:val="00994100"/>
    <w:rsid w:val="009A6B17"/>
    <w:rsid w:val="009B4F0E"/>
    <w:rsid w:val="009D4C29"/>
    <w:rsid w:val="009E3BC7"/>
    <w:rsid w:val="009F2299"/>
    <w:rsid w:val="009F6AD2"/>
    <w:rsid w:val="00A00D8D"/>
    <w:rsid w:val="00A01BB6"/>
    <w:rsid w:val="00A1609C"/>
    <w:rsid w:val="00A4303C"/>
    <w:rsid w:val="00A470FD"/>
    <w:rsid w:val="00A62DAB"/>
    <w:rsid w:val="00A726A6"/>
    <w:rsid w:val="00A94F3F"/>
    <w:rsid w:val="00A97535"/>
    <w:rsid w:val="00AA2BAA"/>
    <w:rsid w:val="00AA73F1"/>
    <w:rsid w:val="00AB0E1A"/>
    <w:rsid w:val="00AB1A30"/>
    <w:rsid w:val="00AB3C36"/>
    <w:rsid w:val="00AC64A1"/>
    <w:rsid w:val="00AD10EB"/>
    <w:rsid w:val="00AD1ED3"/>
    <w:rsid w:val="00B03C50"/>
    <w:rsid w:val="00B0440A"/>
    <w:rsid w:val="00B0777D"/>
    <w:rsid w:val="00B1195F"/>
    <w:rsid w:val="00B209C7"/>
    <w:rsid w:val="00B3119F"/>
    <w:rsid w:val="00B3644F"/>
    <w:rsid w:val="00B4057A"/>
    <w:rsid w:val="00B40894"/>
    <w:rsid w:val="00B444AE"/>
    <w:rsid w:val="00B45E75"/>
    <w:rsid w:val="00B50876"/>
    <w:rsid w:val="00B55AB0"/>
    <w:rsid w:val="00B55EE5"/>
    <w:rsid w:val="00B71D1F"/>
    <w:rsid w:val="00B73DE6"/>
    <w:rsid w:val="00B86EF0"/>
    <w:rsid w:val="00B87AC5"/>
    <w:rsid w:val="00B96969"/>
    <w:rsid w:val="00B97900"/>
    <w:rsid w:val="00BA1229"/>
    <w:rsid w:val="00BA3D56"/>
    <w:rsid w:val="00BA44A8"/>
    <w:rsid w:val="00BB3FB6"/>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B78"/>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A6E81"/>
    <w:rsid w:val="00DC1D94"/>
    <w:rsid w:val="00DC42CF"/>
    <w:rsid w:val="00DE057F"/>
    <w:rsid w:val="00DE2082"/>
    <w:rsid w:val="00DE2289"/>
    <w:rsid w:val="00DF09A7"/>
    <w:rsid w:val="00E001D6"/>
    <w:rsid w:val="00E00DF3"/>
    <w:rsid w:val="00E03A76"/>
    <w:rsid w:val="00E04410"/>
    <w:rsid w:val="00E11351"/>
    <w:rsid w:val="00E44879"/>
    <w:rsid w:val="00E570C6"/>
    <w:rsid w:val="00E75AE0"/>
    <w:rsid w:val="00E83C1F"/>
    <w:rsid w:val="00E90DEC"/>
    <w:rsid w:val="00E966A2"/>
    <w:rsid w:val="00EA172C"/>
    <w:rsid w:val="00EA259B"/>
    <w:rsid w:val="00EA35A3"/>
    <w:rsid w:val="00EA3E6A"/>
    <w:rsid w:val="00EB18EF"/>
    <w:rsid w:val="00EB7951"/>
    <w:rsid w:val="00ED376C"/>
    <w:rsid w:val="00ED6A79"/>
    <w:rsid w:val="00EE17DF"/>
    <w:rsid w:val="00EF4621"/>
    <w:rsid w:val="00EF6312"/>
    <w:rsid w:val="00F22B27"/>
    <w:rsid w:val="00F234A7"/>
    <w:rsid w:val="00F277B6"/>
    <w:rsid w:val="00F37E07"/>
    <w:rsid w:val="00F54380"/>
    <w:rsid w:val="00F54B47"/>
    <w:rsid w:val="00F61247"/>
    <w:rsid w:val="00F63A96"/>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35651"/>
    <w:pPr>
      <w:ind w:left="720"/>
      <w:contextualSpacing/>
    </w:pPr>
    <w:rPr>
      <w:rFonts w:ascii="Calibri" w:eastAsia="Calibri" w:hAnsi="Calibri"/>
    </w:rPr>
  </w:style>
  <w:style w:type="character" w:styleId="Hyperlink">
    <w:name w:val="Hyperlink"/>
    <w:basedOn w:val="DefaultParagraphFont"/>
    <w:rsid w:val="009155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35651"/>
    <w:pPr>
      <w:ind w:left="720"/>
      <w:contextualSpacing/>
    </w:pPr>
    <w:rPr>
      <w:rFonts w:ascii="Calibri" w:eastAsia="Calibri" w:hAnsi="Calibri"/>
    </w:rPr>
  </w:style>
  <w:style w:type="character" w:styleId="Hyperlink">
    <w:name w:val="Hyperlink"/>
    <w:basedOn w:val="DefaultParagraphFont"/>
    <w:rsid w:val="00915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58819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avia@gbwlegal.com" TargetMode="External"/><Relationship Id="rId3" Type="http://schemas.openxmlformats.org/officeDocument/2006/relationships/settings" Target="settings.xml"/><Relationship Id="rId7" Type="http://schemas.openxmlformats.org/officeDocument/2006/relationships/hyperlink" Target="mailto:schef@gbwlega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4</Pages>
  <Words>1470</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2018-01-24T20:42:00Z</dcterms:created>
  <dcterms:modified xsi:type="dcterms:W3CDTF">2018-01-24T21:59:00Z</dcterms:modified>
</cp:coreProperties>
</file>