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39" w:rsidRDefault="00326B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r>
              <w:t>State of Florida</w:t>
            </w:r>
          </w:p>
          <w:p w:rsidR="007C0528" w:rsidRDefault="00B976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288DDF" wp14:editId="48D787E4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B976FE">
            <w:pPr>
              <w:pStyle w:val="MemoHeading"/>
            </w:pPr>
            <w:bookmarkStart w:id="0" w:name="FilingDate"/>
            <w:r>
              <w:t>January 25, 2018</w:t>
            </w:r>
            <w:bookmarkEnd w:id="0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976FE" w:rsidRDefault="00B976FE">
            <w:pPr>
              <w:pStyle w:val="MemoHeading"/>
            </w:pPr>
            <w:bookmarkStart w:id="1" w:name="From"/>
            <w:r>
              <w:t>Division of Engineering (Mtenga)</w:t>
            </w:r>
          </w:p>
          <w:p w:rsidR="007C0528" w:rsidRDefault="00B976FE">
            <w:pPr>
              <w:pStyle w:val="MemoHeading"/>
            </w:pPr>
            <w:r>
              <w:t>Office of the General Counsel (Murphy, Cuello)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976FE">
            <w:pPr>
              <w:pStyle w:val="MemoHeadingRe"/>
            </w:pPr>
            <w:bookmarkStart w:id="2" w:name="Re"/>
            <w:r>
              <w:t>Docket No. 20180007-EI – Environmental cost recovery clause.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976FE">
            <w:pPr>
              <w:pStyle w:val="MemoHeading"/>
            </w:pPr>
            <w:bookmarkStart w:id="3" w:name="AgendaDate"/>
            <w:r>
              <w:t>02/06/18</w:t>
            </w:r>
            <w:bookmarkEnd w:id="3"/>
            <w:r w:rsidR="007C0528">
              <w:t xml:space="preserve"> – </w:t>
            </w:r>
            <w:bookmarkStart w:id="4" w:name="PermittedStatus"/>
            <w:r>
              <w:t>Regular Agenda – Interested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C65D5">
            <w:pPr>
              <w:pStyle w:val="MemoHeading"/>
            </w:pPr>
            <w:bookmarkStart w:id="5" w:name="CommissionersAssigned"/>
            <w:bookmarkEnd w:id="5"/>
            <w:r>
              <w:t>All Commissioners</w:t>
            </w:r>
            <w:bookmarkStart w:id="6" w:name="_GoBack"/>
            <w:bookmarkEnd w:id="6"/>
          </w:p>
        </w:tc>
      </w:tr>
      <w:tr w:rsidR="007C0528" w:rsidTr="00E2232C">
        <w:trPr>
          <w:trHeight w:val="351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F320B">
            <w:pPr>
              <w:pStyle w:val="MemoHeading"/>
            </w:pPr>
            <w:bookmarkStart w:id="7" w:name="PrehearingOfficer"/>
            <w:r>
              <w:t>Clark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976FE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976FE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EC4955" w:rsidRDefault="002C179C">
      <w:pPr>
        <w:pStyle w:val="BodyText"/>
      </w:pPr>
      <w:r>
        <w:t xml:space="preserve">On November 17, 2017, Florida Power </w:t>
      </w:r>
      <w:r w:rsidR="00FE3111">
        <w:t>&amp;</w:t>
      </w:r>
      <w:r>
        <w:t xml:space="preserve"> Light</w:t>
      </w:r>
      <w:r w:rsidR="00571168">
        <w:t xml:space="preserve"> Company</w:t>
      </w:r>
      <w:r>
        <w:t xml:space="preserve"> (FPL) filed a </w:t>
      </w:r>
      <w:r w:rsidR="00DC083A">
        <w:t>p</w:t>
      </w:r>
      <w:r>
        <w:t xml:space="preserve">etition for </w:t>
      </w:r>
      <w:r w:rsidR="00FE3111">
        <w:t>m</w:t>
      </w:r>
      <w:r>
        <w:t>id-</w:t>
      </w:r>
      <w:r w:rsidR="00FE3111">
        <w:t>c</w:t>
      </w:r>
      <w:r>
        <w:t xml:space="preserve">ourse </w:t>
      </w:r>
      <w:r w:rsidR="00FE3111">
        <w:t>c</w:t>
      </w:r>
      <w:r>
        <w:t>orrection</w:t>
      </w:r>
      <w:r w:rsidR="008B1D02">
        <w:rPr>
          <w:rStyle w:val="FootnoteReference"/>
        </w:rPr>
        <w:footnoteReference w:id="1"/>
      </w:r>
      <w:r>
        <w:t xml:space="preserve"> to its 2018 Environmental Cost Recovery Clause (ECRC) factors</w:t>
      </w:r>
      <w:r w:rsidR="002C47D4">
        <w:t xml:space="preserve"> approved in Order No. PSC-2018-0014-FOF-EI.</w:t>
      </w:r>
      <w:r w:rsidR="002C47D4">
        <w:rPr>
          <w:rStyle w:val="FootnoteReference"/>
        </w:rPr>
        <w:footnoteReference w:id="2"/>
      </w:r>
      <w:r w:rsidR="002C47D4">
        <w:t xml:space="preserve"> FPL has requested that the revised fac</w:t>
      </w:r>
      <w:r w:rsidR="006C0BD0">
        <w:t xml:space="preserve">tors become effective </w:t>
      </w:r>
      <w:r w:rsidR="002C47D4">
        <w:t xml:space="preserve">March 1, 2018. </w:t>
      </w:r>
      <w:r w:rsidR="00AA37B4">
        <w:t xml:space="preserve">The mid-course correction is a result of stipulation 10G entered by FPL and other parties and approved by the </w:t>
      </w:r>
      <w:r w:rsidR="00357AF1">
        <w:t>Florida Public Service Commission (</w:t>
      </w:r>
      <w:r w:rsidR="00AA37B4">
        <w:t>Commission</w:t>
      </w:r>
      <w:r w:rsidR="00357AF1">
        <w:t>)</w:t>
      </w:r>
      <w:r w:rsidR="00AA37B4">
        <w:t xml:space="preserve"> on October 25, 2017</w:t>
      </w:r>
      <w:r w:rsidR="00DB23A0">
        <w:t>.</w:t>
      </w:r>
      <w:r w:rsidR="00EC4955">
        <w:t xml:space="preserve"> </w:t>
      </w:r>
    </w:p>
    <w:bookmarkEnd w:id="12"/>
    <w:p w:rsidR="00DB23A0" w:rsidRDefault="00571168" w:rsidP="00DB23A0">
      <w:pPr>
        <w:pStyle w:val="BodyText"/>
      </w:pPr>
      <w:r>
        <w:t xml:space="preserve">Mid-course corrections are rare in the ECRC docket and are more typical in the fuel docket. </w:t>
      </w:r>
      <w:r w:rsidR="00DB23A0" w:rsidRPr="00C42E1C">
        <w:t xml:space="preserve">Mid-course corrections are considered preliminary procedural decisions, and any over-recoveries </w:t>
      </w:r>
      <w:r w:rsidR="00DB23A0" w:rsidRPr="00C42E1C">
        <w:lastRenderedPageBreak/>
        <w:t>or under-recoveries caused by</w:t>
      </w:r>
      <w:r>
        <w:t>,</w:t>
      </w:r>
      <w:r w:rsidR="00DB23A0" w:rsidRPr="00C42E1C">
        <w:t xml:space="preserve"> or resulting from</w:t>
      </w:r>
      <w:r>
        <w:t>,</w:t>
      </w:r>
      <w:r w:rsidR="00DB23A0" w:rsidRPr="00C42E1C">
        <w:t xml:space="preserve"> the </w:t>
      </w:r>
      <w:r w:rsidR="00DB23A0">
        <w:t>Commission-approved adjusted cost recovery factors</w:t>
      </w:r>
      <w:r w:rsidR="00DB23A0" w:rsidRPr="00C42E1C">
        <w:t xml:space="preserve"> may be included in the following year’s </w:t>
      </w:r>
      <w:r w:rsidR="00DB23A0">
        <w:t xml:space="preserve">cost recovery </w:t>
      </w:r>
      <w:r w:rsidR="00DB23A0" w:rsidRPr="00C42E1C">
        <w:t>factors.</w:t>
      </w:r>
      <w:r w:rsidR="00DB23A0">
        <w:t xml:space="preserve"> If approved by the Commission, this mid-course correction will result in lower cost recovery factors for FPL’s customers. </w:t>
      </w:r>
    </w:p>
    <w:p w:rsidR="00DB23A0" w:rsidRDefault="00DB23A0" w:rsidP="00DB23A0">
      <w:pPr>
        <w:pStyle w:val="BodyText"/>
      </w:pPr>
      <w:r w:rsidRPr="00C42E1C">
        <w:t xml:space="preserve">This </w:t>
      </w:r>
      <w:r>
        <w:t xml:space="preserve">mid-course correction was filed by FPL with the intention of the proposed decrease in rates becoming effective March 1, 2018. </w:t>
      </w:r>
      <w:r w:rsidRPr="00A6487F">
        <w:t xml:space="preserve">Typically, effective dates are set a minimum of 30 days after a Commission vote modifying </w:t>
      </w:r>
      <w:r>
        <w:t xml:space="preserve">the </w:t>
      </w:r>
      <w:r w:rsidRPr="00A6487F">
        <w:t>charges as the result of a mid-course correction.</w:t>
      </w:r>
      <w:r w:rsidRPr="00A6487F">
        <w:rPr>
          <w:vertAlign w:val="superscript"/>
        </w:rPr>
        <w:footnoteReference w:id="3"/>
      </w:r>
      <w:r w:rsidRPr="00A6487F">
        <w:t xml:space="preserve"> However, the Commission has also implemented charges in less than 30 days when circumstances warrant.</w:t>
      </w:r>
      <w:r w:rsidRPr="00A6487F">
        <w:rPr>
          <w:vertAlign w:val="superscript"/>
        </w:rPr>
        <w:footnoteReference w:id="4"/>
      </w:r>
      <w:r w:rsidRPr="00A6487F">
        <w:t xml:space="preserve"> In this instance, the interval between the Commission’s vote on this matter (February 6, 2018) and the proposed implementation date (expected to be March 1, 2018) is 22 days</w:t>
      </w:r>
      <w:r>
        <w:t>. Since this filing, if approved, results in a decrease to rates, staff believes the 22 day interval is sufficient.</w:t>
      </w:r>
    </w:p>
    <w:p w:rsidR="00DB23A0" w:rsidRDefault="00DB23A0" w:rsidP="00DB23A0">
      <w:pPr>
        <w:pStyle w:val="BodyText"/>
      </w:pPr>
      <w:r>
        <w:t>The Commission has jurisdiction over this matter pursuant to Section 366.05</w:t>
      </w:r>
      <w:r w:rsidR="00571168">
        <w:t xml:space="preserve"> and 366.8255</w:t>
      </w:r>
      <w:r>
        <w:t xml:space="preserve">, Florida Statutes. </w:t>
      </w:r>
    </w:p>
    <w:p w:rsidR="00DB23A0" w:rsidRPr="00DB23A0" w:rsidRDefault="00DB23A0" w:rsidP="00DB23A0">
      <w:pPr>
        <w:pStyle w:val="BodyText"/>
        <w:sectPr w:rsidR="00DB23A0" w:rsidRPr="00DB23A0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B976FE" w:rsidRDefault="00B976FE">
      <w:pPr>
        <w:pStyle w:val="IssueHeading"/>
        <w:rPr>
          <w:vanish/>
          <w:specVanish/>
        </w:rPr>
      </w:pPr>
      <w:r w:rsidRPr="004C3641">
        <w:t xml:space="preserve">Issue </w:t>
      </w:r>
      <w:r w:rsidR="002C65D5">
        <w:fldChar w:fldCharType="begin"/>
      </w:r>
      <w:r w:rsidR="002C65D5">
        <w:instrText xml:space="preserve"> SEQ Issue \* MERGEFORMAT </w:instrText>
      </w:r>
      <w:r w:rsidR="002C65D5">
        <w:fldChar w:fldCharType="separate"/>
      </w:r>
      <w:r w:rsidR="00326B39">
        <w:rPr>
          <w:noProof/>
        </w:rPr>
        <w:t>1</w:t>
      </w:r>
      <w:r w:rsidR="002C65D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326B39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B976FE" w:rsidRDefault="00B976FE">
      <w:pPr>
        <w:pStyle w:val="BodyText"/>
      </w:pPr>
      <w:r>
        <w:t> Should the Commission approve FPL’s petition for a mid-c</w:t>
      </w:r>
      <w:r w:rsidR="004F5E1B">
        <w:t>ourse</w:t>
      </w:r>
      <w:r>
        <w:t xml:space="preserve"> revision to its 2018 ECRC factors and associated tariff sheets?</w:t>
      </w:r>
    </w:p>
    <w:p w:rsidR="00B976FE" w:rsidRPr="004C3641" w:rsidRDefault="00B976FE">
      <w:pPr>
        <w:pStyle w:val="IssueSubsectionHeading"/>
        <w:rPr>
          <w:vanish/>
          <w:specVanish/>
        </w:rPr>
      </w:pPr>
      <w:r w:rsidRPr="004C3641">
        <w:t>Recommendation: </w:t>
      </w:r>
    </w:p>
    <w:p w:rsidR="00B976FE" w:rsidRDefault="00B976FE">
      <w:pPr>
        <w:pStyle w:val="BodyText"/>
      </w:pPr>
      <w:r>
        <w:t> </w:t>
      </w:r>
      <w:r w:rsidR="004F38B6">
        <w:t xml:space="preserve">Yes. FPL’s </w:t>
      </w:r>
      <w:r w:rsidR="00E2232C">
        <w:t>p</w:t>
      </w:r>
      <w:r w:rsidR="004F38B6">
        <w:t>etition for mid-course correction to its 2018 ECRC factors and associated tariff she</w:t>
      </w:r>
      <w:r w:rsidR="00571168">
        <w:t>ets reflect</w:t>
      </w:r>
      <w:r w:rsidR="00E82880">
        <w:t xml:space="preserve"> the results of the prior stipulation that was approved by the Commission.</w:t>
      </w:r>
      <w:r w:rsidR="004F38B6">
        <w:t xml:space="preserve"> The revised factors and associated tariffs should become effective March 1, 2018.</w:t>
      </w:r>
      <w:r w:rsidR="00EB35DE">
        <w:t xml:space="preserve"> (Mtenga)</w:t>
      </w:r>
      <w:r w:rsidR="004F38B6">
        <w:t xml:space="preserve"> </w:t>
      </w:r>
      <w:r>
        <w:t xml:space="preserve"> </w:t>
      </w:r>
    </w:p>
    <w:p w:rsidR="00B976FE" w:rsidRPr="004C3641" w:rsidRDefault="00B976FE">
      <w:pPr>
        <w:pStyle w:val="IssueSubsectionHeading"/>
        <w:rPr>
          <w:vanish/>
          <w:specVanish/>
        </w:rPr>
      </w:pPr>
      <w:r w:rsidRPr="004C3641">
        <w:t>Staff Analysis: </w:t>
      </w:r>
    </w:p>
    <w:p w:rsidR="00B976FE" w:rsidRDefault="00B976FE">
      <w:pPr>
        <w:pStyle w:val="BodyText"/>
      </w:pPr>
      <w:r>
        <w:t> </w:t>
      </w:r>
      <w:r w:rsidR="00832CA8">
        <w:t>The St. John River Power Plant</w:t>
      </w:r>
      <w:r w:rsidR="00330E5D">
        <w:t xml:space="preserve"> </w:t>
      </w:r>
      <w:r w:rsidR="00832CA8">
        <w:t>(SJRPP) transaction was resolved by settlement between the Office of Public Counsel and FPL through a joint stipulation approved by the Commission on September 25, 2017</w:t>
      </w:r>
      <w:r w:rsidR="00CC53E2">
        <w:t>.</w:t>
      </w:r>
      <w:r w:rsidR="00E82880">
        <w:rPr>
          <w:rStyle w:val="FootnoteReference"/>
        </w:rPr>
        <w:footnoteReference w:id="5"/>
      </w:r>
      <w:r w:rsidR="00832CA8">
        <w:t xml:space="preserve"> At the time FPL had already filed its 2018</w:t>
      </w:r>
      <w:r w:rsidR="00EB35DE">
        <w:t xml:space="preserve"> ECRC</w:t>
      </w:r>
      <w:r w:rsidR="00832CA8">
        <w:t xml:space="preserve"> projection filings on August 11, 2017. A consensus was reached between the parties involved in the ECRC proceedings that FPL would be required to file a mid-course correction instead of modifying the August 11, 2017 filing. Th</w:t>
      </w:r>
      <w:r w:rsidR="00EB35DE">
        <w:t>e parties presented</w:t>
      </w:r>
      <w:r w:rsidR="007A4041">
        <w:t xml:space="preserve"> a</w:t>
      </w:r>
      <w:r w:rsidR="00EB35DE">
        <w:t xml:space="preserve"> stipulation</w:t>
      </w:r>
      <w:r w:rsidR="00832CA8">
        <w:t xml:space="preserve"> to the Commission</w:t>
      </w:r>
      <w:r w:rsidR="00EB35DE">
        <w:t xml:space="preserve"> which noted that FPL </w:t>
      </w:r>
      <w:r w:rsidR="00330E5D">
        <w:t>would</w:t>
      </w:r>
      <w:r w:rsidR="00EB35DE">
        <w:t xml:space="preserve"> file a mid-course correction</w:t>
      </w:r>
      <w:r w:rsidR="00330E5D">
        <w:t xml:space="preserve"> on</w:t>
      </w:r>
      <w:r w:rsidR="00832CA8">
        <w:t xml:space="preserve"> November 17, 2017</w:t>
      </w:r>
      <w:r w:rsidR="00330E5D">
        <w:t>,</w:t>
      </w:r>
      <w:r w:rsidR="00832CA8">
        <w:t xml:space="preserve"> and the Commission will rule on the petition at the February 6, 2018 </w:t>
      </w:r>
      <w:r w:rsidR="00EB35DE">
        <w:t>Commission Conference</w:t>
      </w:r>
      <w:r w:rsidR="00832CA8">
        <w:t>. If approved</w:t>
      </w:r>
      <w:r w:rsidR="00571168">
        <w:t>,</w:t>
      </w:r>
      <w:r w:rsidR="00832CA8">
        <w:t xml:space="preserve"> the revised ECRC factors will go into effect on March 1, 2018. </w:t>
      </w:r>
    </w:p>
    <w:p w:rsidR="006656B7" w:rsidRDefault="006656B7">
      <w:pPr>
        <w:pStyle w:val="BodyText"/>
      </w:pPr>
      <w:r>
        <w:t>The impact of the SJRPP transaction is a reduction in ECRC revenue requirements by  $1,123,318 for the projected year</w:t>
      </w:r>
      <w:r w:rsidR="00330E5D">
        <w:t xml:space="preserve"> of</w:t>
      </w:r>
      <w:r>
        <w:t xml:space="preserve"> 2018. This reduction in revenue requirement results in the 2018 ECRC factor for the RS-1 rate decreasing from 0.159 cents per kilowatt/hour(kWh) to 0.158 cents per kWh</w:t>
      </w:r>
      <w:r w:rsidR="008E11EB">
        <w:t xml:space="preserve">, </w:t>
      </w:r>
      <w:r w:rsidR="008E11EB" w:rsidRPr="0068088A">
        <w:rPr>
          <w:bCs/>
          <w:kern w:val="32"/>
          <w:szCs w:val="32"/>
        </w:rPr>
        <w:t>included as Attachment A</w:t>
      </w:r>
      <w:r>
        <w:t>.</w:t>
      </w:r>
      <w:r w:rsidR="00504665">
        <w:t xml:space="preserve"> </w:t>
      </w:r>
      <w:r>
        <w:t>At an informal meeting held January 4, 2018</w:t>
      </w:r>
      <w:r w:rsidR="00330E5D">
        <w:t>,</w:t>
      </w:r>
      <w:r>
        <w:t xml:space="preserve"> between staff and interested parties, FPL stated</w:t>
      </w:r>
      <w:r w:rsidR="00571168">
        <w:t xml:space="preserve"> that</w:t>
      </w:r>
      <w:r>
        <w:t xml:space="preserve"> it will provide customers notice of the reduction in their March bill</w:t>
      </w:r>
      <w:r w:rsidR="00330E5D">
        <w:t>ing</w:t>
      </w:r>
      <w:r>
        <w:t xml:space="preserve"> inserts in </w:t>
      </w:r>
      <w:r w:rsidR="00EE1B5F">
        <w:t>conjunction</w:t>
      </w:r>
      <w:r>
        <w:t xml:space="preserve"> with the mid-course cor</w:t>
      </w:r>
      <w:r w:rsidR="00EB35DE">
        <w:t>rection that is occurring in Docket No. 20170001-EI</w:t>
      </w:r>
      <w:r>
        <w:t xml:space="preserve">. </w:t>
      </w:r>
    </w:p>
    <w:p w:rsidR="00B976FE" w:rsidRDefault="00EE1B5F">
      <w:pPr>
        <w:pStyle w:val="IssueHeading"/>
        <w:rPr>
          <w:vanish/>
          <w:specVanish/>
        </w:rPr>
      </w:pPr>
      <w:r w:rsidRPr="00EE1B5F">
        <w:rPr>
          <w:rFonts w:ascii="Times New Roman" w:hAnsi="Times New Roman" w:cs="Times New Roman"/>
          <w:b w:val="0"/>
          <w:i w:val="0"/>
        </w:rPr>
        <w:t xml:space="preserve">Staff recommends that the Commission approve FPL’s </w:t>
      </w:r>
      <w:r w:rsidR="00E2232C">
        <w:rPr>
          <w:rFonts w:ascii="Times New Roman" w:hAnsi="Times New Roman" w:cs="Times New Roman"/>
          <w:b w:val="0"/>
          <w:i w:val="0"/>
        </w:rPr>
        <w:t>p</w:t>
      </w:r>
      <w:r w:rsidRPr="00EE1B5F">
        <w:rPr>
          <w:rFonts w:ascii="Times New Roman" w:hAnsi="Times New Roman" w:cs="Times New Roman"/>
          <w:b w:val="0"/>
          <w:i w:val="0"/>
        </w:rPr>
        <w:t>etition for mid-course correction to its 2018 ECRC factors and associated tariff sheets. The revised factors and associated tariffs should become effective March 1, 2018.</w:t>
      </w:r>
      <w:r w:rsidR="001C5646" w:rsidRPr="004C3641">
        <w:rPr>
          <w:b w:val="0"/>
          <w:i w:val="0"/>
        </w:rPr>
        <w:t xml:space="preserve"> </w:t>
      </w:r>
      <w:r w:rsidR="00B976FE" w:rsidRPr="004C3641">
        <w:rPr>
          <w:b w:val="0"/>
          <w:i w:val="0"/>
        </w:rPr>
        <w:br w:type="page"/>
      </w:r>
      <w:r w:rsidR="00B976FE" w:rsidRPr="004C3641">
        <w:lastRenderedPageBreak/>
        <w:t xml:space="preserve">Issue </w:t>
      </w:r>
      <w:r w:rsidR="002C65D5">
        <w:fldChar w:fldCharType="begin"/>
      </w:r>
      <w:r w:rsidR="002C65D5">
        <w:instrText xml:space="preserve"> SEQ Issue \* MERGEFORMAT </w:instrText>
      </w:r>
      <w:r w:rsidR="002C65D5">
        <w:fldChar w:fldCharType="separate"/>
      </w:r>
      <w:r w:rsidR="00326B39">
        <w:rPr>
          <w:noProof/>
        </w:rPr>
        <w:t>2</w:t>
      </w:r>
      <w:r w:rsidR="002C65D5">
        <w:rPr>
          <w:noProof/>
        </w:rPr>
        <w:fldChar w:fldCharType="end"/>
      </w:r>
      <w:r w:rsidR="00B976FE" w:rsidRPr="004C3641">
        <w:t>:</w:t>
      </w:r>
      <w:r w:rsidR="00B976FE">
        <w:fldChar w:fldCharType="begin"/>
      </w:r>
      <w:r w:rsidR="00B976FE">
        <w:instrText xml:space="preserve"> TC "</w:instrText>
      </w:r>
      <w:r w:rsidR="00B976FE">
        <w:fldChar w:fldCharType="begin"/>
      </w:r>
      <w:r w:rsidR="00B976FE">
        <w:instrText xml:space="preserve"> SEQ issue \c </w:instrText>
      </w:r>
      <w:r w:rsidR="00B976FE">
        <w:fldChar w:fldCharType="separate"/>
      </w:r>
      <w:r w:rsidR="00326B39">
        <w:rPr>
          <w:noProof/>
        </w:rPr>
        <w:instrText>2</w:instrText>
      </w:r>
      <w:r w:rsidR="00B976FE">
        <w:fldChar w:fldCharType="end"/>
      </w:r>
      <w:r w:rsidR="00B976FE">
        <w:tab/>
        <w:instrText xml:space="preserve">" \l 1 </w:instrText>
      </w:r>
      <w:r w:rsidR="00B976FE">
        <w:fldChar w:fldCharType="end"/>
      </w:r>
      <w:r w:rsidR="00B976FE">
        <w:t> </w:t>
      </w:r>
    </w:p>
    <w:p w:rsidR="00B976FE" w:rsidRDefault="00B976FE">
      <w:pPr>
        <w:pStyle w:val="BodyText"/>
      </w:pPr>
      <w:r>
        <w:t> Should this docket be closed?</w:t>
      </w:r>
    </w:p>
    <w:p w:rsidR="00B976FE" w:rsidRPr="004C3641" w:rsidRDefault="00B976FE">
      <w:pPr>
        <w:pStyle w:val="IssueSubsectionHeading"/>
        <w:rPr>
          <w:vanish/>
          <w:specVanish/>
        </w:rPr>
      </w:pPr>
      <w:r w:rsidRPr="004C3641">
        <w:t>Recommendation: </w:t>
      </w:r>
    </w:p>
    <w:p w:rsidR="00B976FE" w:rsidRDefault="00B976FE">
      <w:pPr>
        <w:pStyle w:val="BodyText"/>
      </w:pPr>
      <w:r>
        <w:t> </w:t>
      </w:r>
      <w:r w:rsidR="00040D25">
        <w:t>No. The ECRC docket is on-going and should remain open.</w:t>
      </w:r>
      <w:r w:rsidR="00EB35DE">
        <w:t xml:space="preserve">(Murphy) </w:t>
      </w:r>
      <w:r w:rsidR="00040D25">
        <w:t xml:space="preserve"> </w:t>
      </w:r>
      <w:r>
        <w:t xml:space="preserve"> </w:t>
      </w:r>
    </w:p>
    <w:p w:rsidR="00B976FE" w:rsidRPr="004C3641" w:rsidRDefault="00B976FE">
      <w:pPr>
        <w:pStyle w:val="IssueSubsectionHeading"/>
        <w:rPr>
          <w:vanish/>
          <w:specVanish/>
        </w:rPr>
      </w:pPr>
      <w:r w:rsidRPr="004C3641">
        <w:t>Staff Analysis: </w:t>
      </w:r>
    </w:p>
    <w:p w:rsidR="00B976FE" w:rsidRDefault="00B976FE">
      <w:pPr>
        <w:pStyle w:val="BodyText"/>
      </w:pPr>
      <w:r>
        <w:t> </w:t>
      </w:r>
      <w:r w:rsidR="00040D25">
        <w:t xml:space="preserve">The ECRC docket is on-going and should remain open. </w:t>
      </w:r>
    </w:p>
    <w:p w:rsidR="002F4A15" w:rsidRDefault="002F4A15" w:rsidP="00E275D8">
      <w:pPr>
        <w:pStyle w:val="BodyText"/>
        <w:sectPr w:rsidR="002F4A15" w:rsidSect="0068481F"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2F4A15" w:rsidRDefault="00C91D90" w:rsidP="00E275D8">
      <w:pPr>
        <w:pStyle w:val="BodyText"/>
        <w:sectPr w:rsidR="002F4A15" w:rsidSect="0068481F">
          <w:headerReference w:type="default" r:id="rId15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7691755"/>
            <wp:effectExtent l="0" t="0" r="0" b="444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315">
        <w:br w:type="textWrapping" w:clear="all"/>
      </w:r>
    </w:p>
    <w:p w:rsidR="00C91D90" w:rsidRDefault="00C91D90" w:rsidP="00C91D90"/>
    <w:p w:rsidR="00E06484" w:rsidRDefault="00C91D90" w:rsidP="00E275D8">
      <w:pPr>
        <w:pStyle w:val="BodyText"/>
      </w:pPr>
      <w:r>
        <w:rPr>
          <w:noProof/>
        </w:rPr>
        <w:drawing>
          <wp:inline distT="0" distB="0" distL="0" distR="0" wp14:anchorId="4A8CD7DF" wp14:editId="18425AC2">
            <wp:extent cx="5943600" cy="7691755"/>
            <wp:effectExtent l="0" t="0" r="0" b="444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484" w:rsidSect="0068481F">
      <w:headerReference w:type="default" r:id="rId18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FE" w:rsidRDefault="00B976FE">
      <w:r>
        <w:separator/>
      </w:r>
    </w:p>
  </w:endnote>
  <w:endnote w:type="continuationSeparator" w:id="0">
    <w:p w:rsidR="00B976FE" w:rsidRDefault="00B9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65D5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FE" w:rsidRDefault="00B976FE">
      <w:r>
        <w:separator/>
      </w:r>
    </w:p>
  </w:footnote>
  <w:footnote w:type="continuationSeparator" w:id="0">
    <w:p w:rsidR="00B976FE" w:rsidRDefault="00B976FE">
      <w:r>
        <w:continuationSeparator/>
      </w:r>
    </w:p>
  </w:footnote>
  <w:footnote w:id="1">
    <w:p w:rsidR="008B1D02" w:rsidRDefault="008B1D02">
      <w:pPr>
        <w:pStyle w:val="FootnoteText"/>
      </w:pPr>
      <w:r>
        <w:rPr>
          <w:rStyle w:val="FootnoteReference"/>
        </w:rPr>
        <w:footnoteRef/>
      </w:r>
      <w:r>
        <w:t xml:space="preserve">Document No. 09919-2017, filed November 17, 2017, in Docket No. 20170007-EI, </w:t>
      </w:r>
      <w:r w:rsidRPr="004F5E1B">
        <w:rPr>
          <w:i/>
        </w:rPr>
        <w:t>In re: Environmental cost recovery clause.</w:t>
      </w:r>
    </w:p>
  </w:footnote>
  <w:footnote w:id="2">
    <w:p w:rsidR="002C47D4" w:rsidRDefault="002C47D4">
      <w:pPr>
        <w:pStyle w:val="FootnoteText"/>
      </w:pPr>
      <w:r>
        <w:rPr>
          <w:rStyle w:val="FootnoteReference"/>
        </w:rPr>
        <w:footnoteRef/>
      </w:r>
      <w:r>
        <w:t>Order No. PSC-2018-0014-FOF-EI</w:t>
      </w:r>
      <w:r w:rsidR="00FE3111">
        <w:t xml:space="preserve"> </w:t>
      </w:r>
      <w:r>
        <w:t>issued January 4, 2018</w:t>
      </w:r>
      <w:r w:rsidR="00FE3111">
        <w:t>,</w:t>
      </w:r>
      <w:r w:rsidR="00571168">
        <w:t xml:space="preserve"> in Docket No. 2018</w:t>
      </w:r>
      <w:r>
        <w:t>0007-EI</w:t>
      </w:r>
      <w:r w:rsidR="00330E5D">
        <w:t xml:space="preserve">, </w:t>
      </w:r>
      <w:r w:rsidR="00330E5D" w:rsidRPr="00330E5D">
        <w:rPr>
          <w:i/>
        </w:rPr>
        <w:t>In re:</w:t>
      </w:r>
      <w:r w:rsidRPr="00330E5D">
        <w:rPr>
          <w:i/>
        </w:rPr>
        <w:t xml:space="preserve"> </w:t>
      </w:r>
      <w:r w:rsidRPr="002C47D4">
        <w:rPr>
          <w:i/>
        </w:rPr>
        <w:t>Environmental Cost Recovery Clause.</w:t>
      </w:r>
      <w:r>
        <w:t xml:space="preserve">  </w:t>
      </w:r>
    </w:p>
  </w:footnote>
  <w:footnote w:id="3">
    <w:p w:rsidR="00DB23A0" w:rsidRPr="000C268A" w:rsidRDefault="00DB23A0" w:rsidP="00DB23A0">
      <w:pPr>
        <w:pStyle w:val="FootnoteText"/>
        <w:rPr>
          <w:u w:val="single"/>
        </w:rPr>
      </w:pPr>
      <w:r>
        <w:rPr>
          <w:rStyle w:val="FootnoteReference"/>
        </w:rPr>
        <w:footnoteRef/>
      </w:r>
      <w:r w:rsidR="00571168" w:rsidRPr="00571168">
        <w:rPr>
          <w:i/>
        </w:rPr>
        <w:t>See e.g.,</w:t>
      </w:r>
      <w:r w:rsidR="00571168">
        <w:rPr>
          <w:u w:val="single"/>
        </w:rPr>
        <w:t xml:space="preserve"> </w:t>
      </w:r>
      <w:r>
        <w:rPr>
          <w:u w:val="single"/>
        </w:rPr>
        <w:t>Gulf Power Co. v. Cresse</w:t>
      </w:r>
      <w:r>
        <w:t xml:space="preserve">, 410 So.2d 492 (Fla. 1982); Order No. PSC-96-0907-FOF-EI, issued on July 15, 1996, in Docket No. Docket No. 19960001-EI, </w:t>
      </w:r>
      <w:r w:rsidRPr="00C30694">
        <w:rPr>
          <w:i/>
        </w:rPr>
        <w:t>In re: Fuel and purchased power cost recovery clause and generating performance incentive factor</w:t>
      </w:r>
      <w:r>
        <w:t xml:space="preserve">; Order No. PSC-1996-0908-FOF-EI, issued July 15, 1996, in Docket No. 19960001-EI, </w:t>
      </w:r>
      <w:r w:rsidRPr="00C30694">
        <w:rPr>
          <w:i/>
        </w:rPr>
        <w:t>In re: Fuel and purchased power cost recovery clause and generating performance incentive factor</w:t>
      </w:r>
      <w:r>
        <w:t xml:space="preserve">; Order No. PSC-97-0021-FOF-EI, issued on January 6, 1997, in Docket No. 19970001-EI, </w:t>
      </w:r>
      <w:r w:rsidRPr="00C30694">
        <w:rPr>
          <w:i/>
        </w:rPr>
        <w:t>In re: Fuel and purchased power cost recovery clause and generating performance incentive factor</w:t>
      </w:r>
      <w:r>
        <w:t>.</w:t>
      </w:r>
    </w:p>
  </w:footnote>
  <w:footnote w:id="4">
    <w:p w:rsidR="00DB23A0" w:rsidRDefault="00DB23A0" w:rsidP="00DB23A0">
      <w:pPr>
        <w:pStyle w:val="FootnoteText"/>
      </w:pPr>
      <w:r>
        <w:rPr>
          <w:rStyle w:val="FootnoteReference"/>
        </w:rPr>
        <w:footnoteRef/>
      </w:r>
      <w:r w:rsidR="00571168" w:rsidRPr="00571168">
        <w:rPr>
          <w:i/>
        </w:rPr>
        <w:t>See e.g.,</w:t>
      </w:r>
      <w:r w:rsidR="00571168">
        <w:t xml:space="preserve"> </w:t>
      </w:r>
      <w:r>
        <w:t xml:space="preserve">Order No. PSC-01-0963-PCO-EI, issued April 18, 2001, in Docket No. 20010001-EI, </w:t>
      </w:r>
      <w:r w:rsidRPr="00C30694">
        <w:rPr>
          <w:i/>
        </w:rPr>
        <w:t>In re: Fuel and purchased power cost recovery clause and generating performance incentive factor,</w:t>
      </w:r>
      <w:r>
        <w:t xml:space="preserve"> (allowing recovery of increase in fuel factor in order to decrease the carrying costs and therefore the  total amount ratepayers were ultimately required to repay.); Order No. PSC-00-2383-FOF-GU, issued December 12, 2000, in Docket No. 20000003-GU, </w:t>
      </w:r>
      <w:r w:rsidRPr="00C30694">
        <w:rPr>
          <w:i/>
        </w:rPr>
        <w:t>In re: Purchased gas adjustment (PGA) true-up (</w:t>
      </w:r>
      <w:r w:rsidRPr="00C81DF7">
        <w:t>allowing recovery of an increased gas fuel factor due to drastic increases in natural gas prices in winter of 2000-2001</w:t>
      </w:r>
      <w:r w:rsidRPr="00C30694">
        <w:rPr>
          <w:i/>
        </w:rPr>
        <w:t>.)</w:t>
      </w:r>
      <w:r>
        <w:t xml:space="preserve">; Order No. PSC-15-0161-PCO-EI, issued April 30, 2015, in Docket No. 20150001-EI, </w:t>
      </w:r>
      <w:r>
        <w:rPr>
          <w:i/>
        </w:rPr>
        <w:t xml:space="preserve">In re: </w:t>
      </w:r>
      <w:r w:rsidRPr="00C30694">
        <w:rPr>
          <w:i/>
        </w:rPr>
        <w:t>Fuel and Purchased Power Cost Recovery Clause with Generating Performance Incentive Factor</w:t>
      </w:r>
      <w:r>
        <w:t>. (approving FPL’s petition for a mid-course correction, thereby reducing fuel factors with less than 30 days notice).</w:t>
      </w:r>
    </w:p>
    <w:p w:rsidR="00DB23A0" w:rsidRDefault="00DB23A0" w:rsidP="00DB23A0">
      <w:pPr>
        <w:pStyle w:val="FootnoteText"/>
      </w:pPr>
    </w:p>
  </w:footnote>
  <w:footnote w:id="5">
    <w:p w:rsidR="00E82880" w:rsidRDefault="00E82880">
      <w:pPr>
        <w:pStyle w:val="FootnoteText"/>
      </w:pPr>
      <w:r>
        <w:rPr>
          <w:rStyle w:val="FootnoteReference"/>
        </w:rPr>
        <w:footnoteRef/>
      </w:r>
      <w:r>
        <w:t>Order No. PSC-2017-0415-AS-EI issued October 24, 2017</w:t>
      </w:r>
      <w:r w:rsidR="004B235A">
        <w:t>,</w:t>
      </w:r>
      <w:r>
        <w:t xml:space="preserve"> in Docket No. 20170123-EI</w:t>
      </w:r>
      <w:r w:rsidR="004B235A">
        <w:t xml:space="preserve">, </w:t>
      </w:r>
      <w:r w:rsidR="004B235A" w:rsidRPr="004B235A">
        <w:rPr>
          <w:i/>
        </w:rPr>
        <w:t>In re:</w:t>
      </w:r>
      <w:r w:rsidRPr="004B235A">
        <w:rPr>
          <w:i/>
        </w:rPr>
        <w:t xml:space="preserve"> Petition for approval of arrangement to mitigate unfavorable impact of St. Johns River Power Park, by Florida Pow</w:t>
      </w:r>
      <w:r w:rsidRPr="00E82880">
        <w:rPr>
          <w:i/>
        </w:rPr>
        <w:t>er &amp; Light Company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976FE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20180007-EI</w:t>
    </w:r>
    <w:bookmarkEnd w:id="15"/>
  </w:p>
  <w:p w:rsidR="00BC402E" w:rsidRDefault="00BC402E">
    <w:pPr>
      <w:pStyle w:val="Header"/>
    </w:pPr>
    <w:r>
      <w:t xml:space="preserve">Date: </w:t>
    </w:r>
    <w:r w:rsidR="002C65D5">
      <w:fldChar w:fldCharType="begin"/>
    </w:r>
    <w:r w:rsidR="002C65D5">
      <w:instrText xml:space="preserve"> REF FilingDate </w:instrText>
    </w:r>
    <w:r w:rsidR="002C65D5">
      <w:fldChar w:fldCharType="separate"/>
    </w:r>
    <w:r w:rsidR="00326B39">
      <w:t>January 25, 2018</w:t>
    </w:r>
    <w:r w:rsidR="002C65D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326B39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326B39">
      <w:t>20180007-EI</w:t>
    </w:r>
    <w:r>
      <w:fldChar w:fldCharType="end"/>
    </w:r>
    <w:r>
      <w:tab/>
      <w:t xml:space="preserve">Issue </w:t>
    </w:r>
    <w:r w:rsidR="002C65D5">
      <w:fldChar w:fldCharType="begin"/>
    </w:r>
    <w:r w:rsidR="002C65D5">
      <w:instrText xml:space="preserve"> Seq Issue \c \* Arabic </w:instrText>
    </w:r>
    <w:r w:rsidR="002C65D5">
      <w:fldChar w:fldCharType="separate"/>
    </w:r>
    <w:r w:rsidR="002C65D5">
      <w:rPr>
        <w:noProof/>
      </w:rPr>
      <w:t>2</w:t>
    </w:r>
    <w:r w:rsidR="002C65D5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2C65D5">
      <w:fldChar w:fldCharType="begin"/>
    </w:r>
    <w:r w:rsidR="002C65D5">
      <w:instrText xml:space="preserve"> REF FilingDate </w:instrText>
    </w:r>
    <w:r w:rsidR="002C65D5">
      <w:fldChar w:fldCharType="separate"/>
    </w:r>
    <w:r w:rsidR="00326B39">
      <w:t>January 25, 2018</w:t>
    </w:r>
    <w:r w:rsidR="002C65D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FE" w:rsidRDefault="00B976F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326B39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326B39">
      <w:t>20180007-EI</w:t>
    </w:r>
    <w:r>
      <w:fldChar w:fldCharType="end"/>
    </w:r>
    <w:r>
      <w:tab/>
      <w:t>Attachment</w:t>
    </w:r>
    <w:r w:rsidR="00C91D90">
      <w:t xml:space="preserve"> A</w:t>
    </w:r>
  </w:p>
  <w:p w:rsidR="00B976FE" w:rsidRDefault="00B976FE" w:rsidP="00C91D90">
    <w:pPr>
      <w:pStyle w:val="Header"/>
      <w:tabs>
        <w:tab w:val="clear" w:pos="8640"/>
        <w:tab w:val="right" w:pos="9360"/>
      </w:tabs>
    </w:pPr>
    <w:r>
      <w:t xml:space="preserve">Date: </w:t>
    </w:r>
    <w:r w:rsidR="002C65D5">
      <w:fldChar w:fldCharType="begin"/>
    </w:r>
    <w:r w:rsidR="002C65D5">
      <w:instrText xml:space="preserve"> REF FilingDate </w:instrText>
    </w:r>
    <w:r w:rsidR="002C65D5">
      <w:fldChar w:fldCharType="separate"/>
    </w:r>
    <w:r w:rsidR="00326B39">
      <w:t>January 25, 2018</w:t>
    </w:r>
    <w:r w:rsidR="002C65D5">
      <w:fldChar w:fldCharType="end"/>
    </w:r>
    <w:r w:rsidR="00C91D90">
      <w:tab/>
    </w:r>
    <w:r w:rsidR="00C91D90">
      <w:tab/>
      <w:t>Page</w:t>
    </w:r>
    <w:r w:rsidR="006847EA">
      <w:t xml:space="preserve"> </w:t>
    </w:r>
    <w:r w:rsidR="002F4A15">
      <w:t>1</w:t>
    </w:r>
    <w:r w:rsidR="006847EA">
      <w:t xml:space="preserve"> of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15" w:rsidRDefault="002F4A15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326B39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326B39">
      <w:t>20180007-EI</w:t>
    </w:r>
    <w:r>
      <w:fldChar w:fldCharType="end"/>
    </w:r>
    <w:r>
      <w:tab/>
      <w:t>Attachment A</w:t>
    </w:r>
  </w:p>
  <w:p w:rsidR="002F4A15" w:rsidRDefault="002F4A15" w:rsidP="00C91D90">
    <w:pPr>
      <w:pStyle w:val="Header"/>
      <w:tabs>
        <w:tab w:val="clear" w:pos="8640"/>
        <w:tab w:val="right" w:pos="9360"/>
      </w:tabs>
    </w:pPr>
    <w:r>
      <w:t xml:space="preserve">Date: </w:t>
    </w:r>
    <w:r w:rsidR="002C65D5">
      <w:fldChar w:fldCharType="begin"/>
    </w:r>
    <w:r w:rsidR="002C65D5">
      <w:instrText xml:space="preserve"> REF FilingDate </w:instrText>
    </w:r>
    <w:r w:rsidR="002C65D5">
      <w:fldChar w:fldCharType="separate"/>
    </w:r>
    <w:r w:rsidR="00326B39">
      <w:t>January 25, 2018</w:t>
    </w:r>
    <w:r w:rsidR="002C65D5">
      <w:fldChar w:fldCharType="end"/>
    </w:r>
    <w:r>
      <w:tab/>
    </w:r>
    <w:r>
      <w:tab/>
      <w:t>Page 2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B976FE"/>
    <w:rsid w:val="000043D5"/>
    <w:rsid w:val="00006170"/>
    <w:rsid w:val="00010E37"/>
    <w:rsid w:val="000172DA"/>
    <w:rsid w:val="000247C5"/>
    <w:rsid w:val="000277C2"/>
    <w:rsid w:val="00035B48"/>
    <w:rsid w:val="00036CE2"/>
    <w:rsid w:val="00040D25"/>
    <w:rsid w:val="000437FE"/>
    <w:rsid w:val="000513BE"/>
    <w:rsid w:val="00065A06"/>
    <w:rsid w:val="000666F3"/>
    <w:rsid w:val="00070DCB"/>
    <w:rsid w:val="00073120"/>
    <w:rsid w:val="000764D0"/>
    <w:rsid w:val="000828D3"/>
    <w:rsid w:val="000A2B57"/>
    <w:rsid w:val="000A418B"/>
    <w:rsid w:val="000C4431"/>
    <w:rsid w:val="000D1C06"/>
    <w:rsid w:val="000D4319"/>
    <w:rsid w:val="000E7315"/>
    <w:rsid w:val="000F374A"/>
    <w:rsid w:val="001076AF"/>
    <w:rsid w:val="00117C8C"/>
    <w:rsid w:val="0012319A"/>
    <w:rsid w:val="00124E2E"/>
    <w:rsid w:val="00125ED4"/>
    <w:rsid w:val="001305E9"/>
    <w:rsid w:val="001307AF"/>
    <w:rsid w:val="00135687"/>
    <w:rsid w:val="0015506E"/>
    <w:rsid w:val="00155FFC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C5646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702AD"/>
    <w:rsid w:val="00292D82"/>
    <w:rsid w:val="002963CB"/>
    <w:rsid w:val="002C179C"/>
    <w:rsid w:val="002C47D4"/>
    <w:rsid w:val="002C65D5"/>
    <w:rsid w:val="002D226D"/>
    <w:rsid w:val="002F4A15"/>
    <w:rsid w:val="002F6030"/>
    <w:rsid w:val="003037E1"/>
    <w:rsid w:val="00307E51"/>
    <w:rsid w:val="003103EC"/>
    <w:rsid w:val="003144EF"/>
    <w:rsid w:val="00322F74"/>
    <w:rsid w:val="00326B39"/>
    <w:rsid w:val="00330E5D"/>
    <w:rsid w:val="00340073"/>
    <w:rsid w:val="00357AF1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71860"/>
    <w:rsid w:val="004A744D"/>
    <w:rsid w:val="004B235A"/>
    <w:rsid w:val="004B60BD"/>
    <w:rsid w:val="004C3150"/>
    <w:rsid w:val="004C3641"/>
    <w:rsid w:val="004C4390"/>
    <w:rsid w:val="004C4AF7"/>
    <w:rsid w:val="004C61E4"/>
    <w:rsid w:val="004D2881"/>
    <w:rsid w:val="004D385F"/>
    <w:rsid w:val="004D5B39"/>
    <w:rsid w:val="004E330D"/>
    <w:rsid w:val="004E5147"/>
    <w:rsid w:val="004F38B6"/>
    <w:rsid w:val="004F5C43"/>
    <w:rsid w:val="004F5E1B"/>
    <w:rsid w:val="00504665"/>
    <w:rsid w:val="0050652D"/>
    <w:rsid w:val="00506C03"/>
    <w:rsid w:val="00511A11"/>
    <w:rsid w:val="00516496"/>
    <w:rsid w:val="00523B11"/>
    <w:rsid w:val="0052572A"/>
    <w:rsid w:val="00543CB3"/>
    <w:rsid w:val="005442E4"/>
    <w:rsid w:val="00560FF0"/>
    <w:rsid w:val="005614BD"/>
    <w:rsid w:val="00571168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55E65"/>
    <w:rsid w:val="006656B7"/>
    <w:rsid w:val="00667036"/>
    <w:rsid w:val="00673BDB"/>
    <w:rsid w:val="00674341"/>
    <w:rsid w:val="006771B8"/>
    <w:rsid w:val="006843B6"/>
    <w:rsid w:val="006847EA"/>
    <w:rsid w:val="0068481F"/>
    <w:rsid w:val="00696F5D"/>
    <w:rsid w:val="00697249"/>
    <w:rsid w:val="006B3947"/>
    <w:rsid w:val="006B4293"/>
    <w:rsid w:val="006B624F"/>
    <w:rsid w:val="006C0BD0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455C7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A4041"/>
    <w:rsid w:val="007C0528"/>
    <w:rsid w:val="007C3D38"/>
    <w:rsid w:val="007D0F35"/>
    <w:rsid w:val="007D4FEB"/>
    <w:rsid w:val="007D6146"/>
    <w:rsid w:val="007E0CE7"/>
    <w:rsid w:val="007E26FE"/>
    <w:rsid w:val="007F1193"/>
    <w:rsid w:val="007F417F"/>
    <w:rsid w:val="007F7644"/>
    <w:rsid w:val="008042BD"/>
    <w:rsid w:val="00816624"/>
    <w:rsid w:val="00822427"/>
    <w:rsid w:val="00822562"/>
    <w:rsid w:val="00823663"/>
    <w:rsid w:val="00832CA8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1D02"/>
    <w:rsid w:val="008B62AE"/>
    <w:rsid w:val="008C04B5"/>
    <w:rsid w:val="008C14FA"/>
    <w:rsid w:val="008C6A9F"/>
    <w:rsid w:val="008C7B0B"/>
    <w:rsid w:val="008D4057"/>
    <w:rsid w:val="008E11EB"/>
    <w:rsid w:val="008E1F19"/>
    <w:rsid w:val="008F2262"/>
    <w:rsid w:val="008F320B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391B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37B4"/>
    <w:rsid w:val="00AA77B5"/>
    <w:rsid w:val="00AB6C5D"/>
    <w:rsid w:val="00AC3401"/>
    <w:rsid w:val="00AC51A7"/>
    <w:rsid w:val="00AD444B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976FE"/>
    <w:rsid w:val="00BA0D55"/>
    <w:rsid w:val="00BA37B3"/>
    <w:rsid w:val="00BA4CC6"/>
    <w:rsid w:val="00BB3493"/>
    <w:rsid w:val="00BB4672"/>
    <w:rsid w:val="00BB7468"/>
    <w:rsid w:val="00BC188A"/>
    <w:rsid w:val="00BC402E"/>
    <w:rsid w:val="00BD0F48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75BC5"/>
    <w:rsid w:val="00C81670"/>
    <w:rsid w:val="00C81773"/>
    <w:rsid w:val="00C82861"/>
    <w:rsid w:val="00C86896"/>
    <w:rsid w:val="00C907A8"/>
    <w:rsid w:val="00C91D90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C53E2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1DE1"/>
    <w:rsid w:val="00DA51E7"/>
    <w:rsid w:val="00DB0260"/>
    <w:rsid w:val="00DB1C78"/>
    <w:rsid w:val="00DB23A0"/>
    <w:rsid w:val="00DB7D96"/>
    <w:rsid w:val="00DC083A"/>
    <w:rsid w:val="00DC23FE"/>
    <w:rsid w:val="00DC59E6"/>
    <w:rsid w:val="00DD150B"/>
    <w:rsid w:val="00DD5025"/>
    <w:rsid w:val="00DF1510"/>
    <w:rsid w:val="00E02F1F"/>
    <w:rsid w:val="00E06484"/>
    <w:rsid w:val="00E20A7D"/>
    <w:rsid w:val="00E2232C"/>
    <w:rsid w:val="00E275D8"/>
    <w:rsid w:val="00E30F6A"/>
    <w:rsid w:val="00E3117C"/>
    <w:rsid w:val="00E375CA"/>
    <w:rsid w:val="00E567E8"/>
    <w:rsid w:val="00E64679"/>
    <w:rsid w:val="00E65EBC"/>
    <w:rsid w:val="00E677FE"/>
    <w:rsid w:val="00E73432"/>
    <w:rsid w:val="00E77B0C"/>
    <w:rsid w:val="00E77FB8"/>
    <w:rsid w:val="00E82880"/>
    <w:rsid w:val="00E838B0"/>
    <w:rsid w:val="00E86A7C"/>
    <w:rsid w:val="00E878E1"/>
    <w:rsid w:val="00E87F2C"/>
    <w:rsid w:val="00E95278"/>
    <w:rsid w:val="00EA2273"/>
    <w:rsid w:val="00EA7C3C"/>
    <w:rsid w:val="00EB2DB3"/>
    <w:rsid w:val="00EB35DE"/>
    <w:rsid w:val="00EC3FBB"/>
    <w:rsid w:val="00EC4955"/>
    <w:rsid w:val="00EC6B7A"/>
    <w:rsid w:val="00ED3A87"/>
    <w:rsid w:val="00ED5B67"/>
    <w:rsid w:val="00EE1B5F"/>
    <w:rsid w:val="00EE5B41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45FF5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3111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4F5E1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4F5E1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8F7F-DE5E-43EA-8D47-ED488041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6</Pages>
  <Words>682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Patricia Zellner</dc:creator>
  <cp:lastModifiedBy>Nickalus  Holmes</cp:lastModifiedBy>
  <cp:revision>3</cp:revision>
  <cp:lastPrinted>2018-01-23T18:37:00Z</cp:lastPrinted>
  <dcterms:created xsi:type="dcterms:W3CDTF">2018-01-25T13:28:00Z</dcterms:created>
  <dcterms:modified xsi:type="dcterms:W3CDTF">2018-01-25T17:47:00Z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20180007-EI</vt:lpwstr>
  </property>
  <property fmtid="{D5CDD505-2E9C-101B-9397-08002B2CF9AE}" pid="3" name="MasterDocument">
    <vt:bool>false</vt:bool>
  </property>
</Properties>
</file>