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707190">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55ACF">
            <w:pPr>
              <w:pStyle w:val="MemoHeading"/>
            </w:pPr>
            <w:bookmarkStart w:id="0" w:name="FilingDate"/>
            <w:r>
              <w:t>January 25, 2018</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55ACF" w:rsidRDefault="00E55ACF">
            <w:pPr>
              <w:pStyle w:val="MemoHeading"/>
            </w:pPr>
            <w:bookmarkStart w:id="1" w:name="From"/>
            <w:r>
              <w:t>Division of Accounting and Finance (</w:t>
            </w:r>
            <w:r w:rsidR="008E1C6F">
              <w:t xml:space="preserve">D. </w:t>
            </w:r>
            <w:r>
              <w:t>Smith, Mouring</w:t>
            </w:r>
            <w:r w:rsidR="00672C66">
              <w:t>, D. Buys</w:t>
            </w:r>
            <w:r>
              <w:t>)</w:t>
            </w:r>
          </w:p>
          <w:p w:rsidR="00E55ACF" w:rsidRDefault="00E55ACF">
            <w:pPr>
              <w:pStyle w:val="MemoHeading"/>
            </w:pPr>
            <w:r>
              <w:t>Division of Economics (Doherty, Draper)</w:t>
            </w:r>
          </w:p>
          <w:p w:rsidR="00E55ACF" w:rsidRDefault="00E55ACF">
            <w:pPr>
              <w:pStyle w:val="MemoHeading"/>
            </w:pPr>
            <w:r>
              <w:t>Division of Engineering (</w:t>
            </w:r>
            <w:r w:rsidR="008E1C6F">
              <w:t xml:space="preserve">P. </w:t>
            </w:r>
            <w:r>
              <w:t>Buys, Graves)</w:t>
            </w:r>
          </w:p>
          <w:p w:rsidR="007C0528" w:rsidRDefault="00E55ACF">
            <w:pPr>
              <w:pStyle w:val="MemoHeading"/>
            </w:pPr>
            <w:r>
              <w:t>Office of the General Counsel (Crawford, Mapp, Janjic)</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55ACF">
            <w:pPr>
              <w:pStyle w:val="MemoHeadingRe"/>
            </w:pPr>
            <w:bookmarkStart w:id="2" w:name="Re"/>
            <w:r>
              <w:t>Docket No. 20170272-EI – Application for limited proceeding for recovery of incremental storm restoration costs related to Hurricanes Irma and Nate, by Duke Energy Florida, LLC.</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55ACF" w:rsidP="00FB655F">
            <w:pPr>
              <w:pStyle w:val="MemoHeading"/>
            </w:pPr>
            <w:bookmarkStart w:id="3" w:name="AgendaDate"/>
            <w:r>
              <w:t>02/06/18</w:t>
            </w:r>
            <w:bookmarkEnd w:id="3"/>
            <w:r w:rsidR="007C0528">
              <w:t xml:space="preserve"> – </w:t>
            </w:r>
            <w:bookmarkStart w:id="4" w:name="PermittedStatus"/>
            <w:r>
              <w:t>Regular Agenda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612CD">
            <w:pPr>
              <w:pStyle w:val="MemoHeading"/>
            </w:pPr>
            <w:bookmarkStart w:id="5" w:name="CommissionersAssigned"/>
            <w:bookmarkEnd w:id="5"/>
            <w:r>
              <w:t>All Commissioners</w:t>
            </w:r>
            <w:bookmarkStart w:id="6" w:name="_GoBack"/>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25B2F">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55ACF">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55ACF">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D03A01" w:rsidRDefault="00D03A01" w:rsidP="00D03A01">
      <w:pPr>
        <w:pStyle w:val="BodyText"/>
      </w:pPr>
      <w:r>
        <w:t>On December 28, 2017, Duke Energy Florida</w:t>
      </w:r>
      <w:r w:rsidR="00B916E8">
        <w:t>,</w:t>
      </w:r>
      <w:r w:rsidR="008E1C6F">
        <w:t xml:space="preserve"> LLC</w:t>
      </w:r>
      <w:r>
        <w:t xml:space="preserve"> (DEF) filed a petition for a limited proceeding seeking authority to implement an interim storm restoration recovery charge to recover a total of $513</w:t>
      </w:r>
      <w:r w:rsidR="00595A02">
        <w:t>.2</w:t>
      </w:r>
      <w:r>
        <w:t xml:space="preserve"> million for the incremental restoration costs related to Hurricanes Irma and Nate and to replenish its storm reser</w:t>
      </w:r>
      <w:r w:rsidR="00B916E8">
        <w:t>ve. In its petition, DEF asserted</w:t>
      </w:r>
      <w:r>
        <w:t xml:space="preserve"> that</w:t>
      </w:r>
      <w:r w:rsidR="00B916E8">
        <w:t>,</w:t>
      </w:r>
      <w:r>
        <w:t xml:space="preserve"> as a res</w:t>
      </w:r>
      <w:r w:rsidR="00B916E8">
        <w:t>ult of Hurricanes Irma and Nate,</w:t>
      </w:r>
      <w:r>
        <w:t xml:space="preserve"> </w:t>
      </w:r>
      <w:r w:rsidR="00B916E8">
        <w:t>it</w:t>
      </w:r>
      <w:r>
        <w:t xml:space="preserve"> incurred total retail recoverable costs of approximately $</w:t>
      </w:r>
      <w:r w:rsidR="00B916E8">
        <w:t xml:space="preserve">425 million, less its pre-storm </w:t>
      </w:r>
      <w:r>
        <w:t xml:space="preserve">reserve balance of $54 million, resulting in net recoverable costs of $371 million. In addition, DEF proposes to replenish its storm reserve to the $132 million balance that </w:t>
      </w:r>
      <w:r w:rsidR="00595A02">
        <w:t>existed i</w:t>
      </w:r>
      <w:r w:rsidR="001F6F50">
        <w:t>n February</w:t>
      </w:r>
      <w:r>
        <w:t xml:space="preserve"> 201</w:t>
      </w:r>
      <w:r w:rsidR="00595A02">
        <w:t>2</w:t>
      </w:r>
      <w:r>
        <w:t>. Interest</w:t>
      </w:r>
      <w:r w:rsidR="00595A02">
        <w:t>, bond issuance expense,</w:t>
      </w:r>
      <w:r>
        <w:t xml:space="preserve"> and the regulatory assessment fee gross-up</w:t>
      </w:r>
      <w:r w:rsidR="00595A02">
        <w:t xml:space="preserve"> add</w:t>
      </w:r>
      <w:r w:rsidR="009F187C">
        <w:t>s</w:t>
      </w:r>
      <w:r w:rsidR="00595A02">
        <w:t xml:space="preserve"> an additional $10.2</w:t>
      </w:r>
      <w:r>
        <w:t xml:space="preserve"> million to the </w:t>
      </w:r>
      <w:r w:rsidR="009F187C">
        <w:t xml:space="preserve">amount of </w:t>
      </w:r>
      <w:r>
        <w:t>recoverable costs.</w:t>
      </w:r>
    </w:p>
    <w:p w:rsidR="00D03A01" w:rsidRDefault="00595A02" w:rsidP="006D13DF">
      <w:pPr>
        <w:autoSpaceDE w:val="0"/>
        <w:autoSpaceDN w:val="0"/>
        <w:adjustRightInd w:val="0"/>
        <w:jc w:val="both"/>
      </w:pPr>
      <w:r>
        <w:lastRenderedPageBreak/>
        <w:t>DEF</w:t>
      </w:r>
      <w:r w:rsidR="00D03A01">
        <w:t xml:space="preserve"> filed its petition pursuant to the provisions of the </w:t>
      </w:r>
      <w:r w:rsidR="001302BB">
        <w:t xml:space="preserve">2017 </w:t>
      </w:r>
      <w:r>
        <w:t xml:space="preserve">Second </w:t>
      </w:r>
      <w:r w:rsidR="001302BB">
        <w:t xml:space="preserve">Revised </w:t>
      </w:r>
      <w:r w:rsidR="00BA180D">
        <w:t xml:space="preserve">and Restated </w:t>
      </w:r>
      <w:r w:rsidR="00D03A01">
        <w:t>Settlement Agreement (</w:t>
      </w:r>
      <w:r w:rsidR="001122F7">
        <w:t>2017 Settlement</w:t>
      </w:r>
      <w:r w:rsidR="00D03A01">
        <w:t xml:space="preserve">) approved by the Commission in Order No. </w:t>
      </w:r>
      <w:r>
        <w:t>PSC-2017-0451-AS-EU</w:t>
      </w:r>
      <w:r w:rsidR="001302BB">
        <w:t>.</w:t>
      </w:r>
      <w:r w:rsidR="00D03A01">
        <w:rPr>
          <w:rStyle w:val="FootnoteReference"/>
        </w:rPr>
        <w:footnoteReference w:id="1"/>
      </w:r>
      <w:r w:rsidR="00D03A01">
        <w:t xml:space="preserve"> Pursuant to </w:t>
      </w:r>
      <w:r w:rsidR="001302BB">
        <w:t>the</w:t>
      </w:r>
      <w:r w:rsidR="00D03A01">
        <w:t xml:space="preserve"> </w:t>
      </w:r>
      <w:r w:rsidR="001122F7">
        <w:t>2017 Settlement</w:t>
      </w:r>
      <w:r w:rsidR="00D03A01">
        <w:t xml:space="preserve">, </w:t>
      </w:r>
      <w:r w:rsidR="001302BB">
        <w:t>DEF</w:t>
      </w:r>
      <w:r w:rsidR="00D03A01">
        <w:t xml:space="preserve"> can recover storm costs, </w:t>
      </w:r>
      <w:r w:rsidR="001302BB">
        <w:t>without a cap on the level of charges on customer bills</w:t>
      </w:r>
      <w:r w:rsidR="00D03A01">
        <w:t xml:space="preserve">, on an interim basis beginning </w:t>
      </w:r>
      <w:r w:rsidR="00D8135C">
        <w:t>60</w:t>
      </w:r>
      <w:r w:rsidR="00D03A01">
        <w:t xml:space="preserve"> days following the filing of a petition for recovery.</w:t>
      </w:r>
      <w:r w:rsidR="001302BB">
        <w:t xml:space="preserve"> </w:t>
      </w:r>
      <w:r w:rsidR="006D13DF">
        <w:t xml:space="preserve">Although the </w:t>
      </w:r>
      <w:r w:rsidR="001122F7">
        <w:t>2017 Settlement</w:t>
      </w:r>
      <w:r w:rsidR="006D13DF">
        <w:t xml:space="preserve"> provides for a 12-month recovery period</w:t>
      </w:r>
      <w:r w:rsidR="001302BB">
        <w:t>, DEF recognizes t</w:t>
      </w:r>
      <w:r w:rsidR="006B15C9">
        <w:t>hat the imposition of the full storm recovery a</w:t>
      </w:r>
      <w:r w:rsidR="001302BB">
        <w:t>mount o</w:t>
      </w:r>
      <w:r w:rsidR="00300F2A">
        <w:t>ver 12 months would result in an</w:t>
      </w:r>
      <w:r w:rsidR="001302BB">
        <w:t xml:space="preserve"> interim storm restoration recovery surcharge of over $15 per 1,000 kWh on a residential customer bill. Therefore, to mitigate this large rate increase, DEF proposes to spread the </w:t>
      </w:r>
      <w:r w:rsidR="006B15C9">
        <w:t>s</w:t>
      </w:r>
      <w:r w:rsidR="001302BB">
        <w:t>torm</w:t>
      </w:r>
      <w:r w:rsidR="006B15C9">
        <w:t xml:space="preserve"> r</w:t>
      </w:r>
      <w:r w:rsidR="001302BB">
        <w:t xml:space="preserve">ecovery </w:t>
      </w:r>
      <w:r w:rsidR="006B15C9">
        <w:t>a</w:t>
      </w:r>
      <w:r w:rsidR="001302BB">
        <w:t>mount over 36 months</w:t>
      </w:r>
      <w:r w:rsidR="006D13DF">
        <w:t xml:space="preserve"> </w:t>
      </w:r>
      <w:r>
        <w:t>effective March 1, 2018</w:t>
      </w:r>
      <w:r w:rsidR="001122F7">
        <w:t>, which would result in a</w:t>
      </w:r>
      <w:r w:rsidR="00300F2A">
        <w:t>n</w:t>
      </w:r>
      <w:r w:rsidR="001122F7">
        <w:t xml:space="preserve"> interim storm restoration recovery surcharge of $5.20 per 1,000 kWh on a residential customer bill</w:t>
      </w:r>
      <w:r w:rsidR="00D03A01">
        <w:t xml:space="preserve">. </w:t>
      </w:r>
    </w:p>
    <w:p w:rsidR="001302BB" w:rsidRDefault="001302BB" w:rsidP="001302BB">
      <w:pPr>
        <w:autoSpaceDE w:val="0"/>
        <w:autoSpaceDN w:val="0"/>
        <w:adjustRightInd w:val="0"/>
      </w:pPr>
    </w:p>
    <w:p w:rsidR="00D03A01" w:rsidRDefault="00D03A01" w:rsidP="00D03A01">
      <w:pPr>
        <w:pStyle w:val="BodyText"/>
      </w:pPr>
      <w:r>
        <w:t>The Office of Public Counsel intervened in this docket</w:t>
      </w:r>
      <w:r w:rsidR="00B916E8">
        <w:t xml:space="preserve"> on January 4, 2018</w:t>
      </w:r>
      <w:r w:rsidR="00300F2A">
        <w:t>.</w:t>
      </w:r>
      <w:r w:rsidR="00B916E8">
        <w:rPr>
          <w:rStyle w:val="FootnoteReference"/>
        </w:rPr>
        <w:footnoteReference w:id="2"/>
      </w:r>
    </w:p>
    <w:p w:rsidR="0068481F" w:rsidRDefault="00D03A01" w:rsidP="00D03A01">
      <w:pPr>
        <w:pStyle w:val="BodyText"/>
      </w:pPr>
      <w:r>
        <w:t>The Commission has jurisdiction over this matter pursuant to Sections 366.04, 366.05, 366.06, and 366.076, Florida Statutes.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E55ACF" w:rsidRDefault="00E55ACF">
      <w:pPr>
        <w:pStyle w:val="IssueHeading"/>
        <w:rPr>
          <w:vanish/>
          <w:specVanish/>
        </w:rPr>
      </w:pPr>
      <w:r w:rsidRPr="004C3641">
        <w:t xml:space="preserve">Issue </w:t>
      </w:r>
      <w:r w:rsidR="008612CD">
        <w:fldChar w:fldCharType="begin"/>
      </w:r>
      <w:r w:rsidR="008612CD">
        <w:instrText xml:space="preserve"> SEQ Issue \* MERGEFORMAT </w:instrText>
      </w:r>
      <w:r w:rsidR="008612CD">
        <w:fldChar w:fldCharType="separate"/>
      </w:r>
      <w:r w:rsidR="002F216A">
        <w:rPr>
          <w:noProof/>
        </w:rPr>
        <w:t>1</w:t>
      </w:r>
      <w:r w:rsidR="008612C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F216A">
        <w:rPr>
          <w:noProof/>
        </w:rPr>
        <w:instrText>1</w:instrText>
      </w:r>
      <w:r>
        <w:fldChar w:fldCharType="end"/>
      </w:r>
      <w:r>
        <w:tab/>
        <w:instrText xml:space="preserve">" \l 1 </w:instrText>
      </w:r>
      <w:r>
        <w:fldChar w:fldCharType="end"/>
      </w:r>
      <w:r>
        <w:t> </w:t>
      </w:r>
    </w:p>
    <w:p w:rsidR="00E55ACF" w:rsidRDefault="00E55ACF">
      <w:pPr>
        <w:pStyle w:val="BodyText"/>
      </w:pPr>
      <w:r>
        <w:t xml:space="preserve"> Should the Commission authorize </w:t>
      </w:r>
      <w:r w:rsidR="001F6F50">
        <w:t>DEF</w:t>
      </w:r>
      <w:r w:rsidR="00707190">
        <w:t xml:space="preserve"> to implement </w:t>
      </w:r>
      <w:r w:rsidR="009F187C">
        <w:t>an</w:t>
      </w:r>
      <w:r>
        <w:t xml:space="preserve"> </w:t>
      </w:r>
      <w:r w:rsidR="009F187C">
        <w:t>i</w:t>
      </w:r>
      <w:r>
        <w:t xml:space="preserve">nterim </w:t>
      </w:r>
      <w:r w:rsidR="00300F2A">
        <w:t>s</w:t>
      </w:r>
      <w:r>
        <w:t xml:space="preserve">torm </w:t>
      </w:r>
      <w:r w:rsidR="00300F2A">
        <w:t>r</w:t>
      </w:r>
      <w:r>
        <w:t xml:space="preserve">estoration </w:t>
      </w:r>
      <w:r w:rsidR="00300F2A">
        <w:t>r</w:t>
      </w:r>
      <w:r>
        <w:t xml:space="preserve">ecovery </w:t>
      </w:r>
      <w:r w:rsidR="00300F2A">
        <w:t>c</w:t>
      </w:r>
      <w:r>
        <w:t>harge?</w:t>
      </w:r>
    </w:p>
    <w:p w:rsidR="00E55ACF" w:rsidRPr="004C3641" w:rsidRDefault="00E55ACF">
      <w:pPr>
        <w:pStyle w:val="IssueSubsectionHeading"/>
        <w:rPr>
          <w:vanish/>
          <w:specVanish/>
        </w:rPr>
      </w:pPr>
      <w:r w:rsidRPr="004C3641">
        <w:t>Recommendation: </w:t>
      </w:r>
    </w:p>
    <w:p w:rsidR="00D41C06" w:rsidRDefault="00E55ACF">
      <w:pPr>
        <w:pStyle w:val="BodyText"/>
      </w:pPr>
      <w:r>
        <w:t> </w:t>
      </w:r>
      <w:r w:rsidR="001F6F50">
        <w:t>Yes, the Commission should authorize DEF to implement a</w:t>
      </w:r>
      <w:r w:rsidR="009F187C">
        <w:t>n i</w:t>
      </w:r>
      <w:r w:rsidR="001F6F50">
        <w:t xml:space="preserve">nterim </w:t>
      </w:r>
      <w:r w:rsidR="00300F2A">
        <w:t>s</w:t>
      </w:r>
      <w:r w:rsidR="001F6F50">
        <w:t>t</w:t>
      </w:r>
      <w:r w:rsidR="00B916E8">
        <w:t xml:space="preserve">orm </w:t>
      </w:r>
      <w:r w:rsidR="00300F2A">
        <w:t>r</w:t>
      </w:r>
      <w:r w:rsidR="00B916E8">
        <w:t>estoration</w:t>
      </w:r>
      <w:r w:rsidR="00300F2A">
        <w:t xml:space="preserve"> r</w:t>
      </w:r>
      <w:r w:rsidR="00B916E8">
        <w:t xml:space="preserve">ecovery </w:t>
      </w:r>
      <w:r w:rsidR="00300F2A">
        <w:t>c</w:t>
      </w:r>
      <w:r w:rsidR="00B916E8">
        <w:t>harge</w:t>
      </w:r>
      <w:r w:rsidR="001F6F50">
        <w:t xml:space="preserve">. Once the total actual storm costs are known, DEF should be required to file documentation of the total storm costs for Commission review and </w:t>
      </w:r>
      <w:r w:rsidR="00B916E8">
        <w:t>true-</w:t>
      </w:r>
      <w:r w:rsidR="001F6F50">
        <w:t>up of any excess or shortfall.</w:t>
      </w:r>
      <w:r>
        <w:t xml:space="preserve"> </w:t>
      </w:r>
    </w:p>
    <w:p w:rsidR="00E55ACF" w:rsidRDefault="00D41C06">
      <w:pPr>
        <w:pStyle w:val="BodyText"/>
      </w:pPr>
      <w:r w:rsidRPr="00751CE7">
        <w:t>The appropriate security to guarantee the funds collected subject to refund is a corporate undertaking.</w:t>
      </w:r>
      <w:r>
        <w:t xml:space="preserve"> </w:t>
      </w:r>
      <w:r w:rsidR="00E55ACF">
        <w:t>(D. Smith</w:t>
      </w:r>
      <w:r w:rsidR="00672C66">
        <w:t>, D. Buys</w:t>
      </w:r>
      <w:r w:rsidR="00E55ACF">
        <w:t>)</w:t>
      </w:r>
    </w:p>
    <w:p w:rsidR="00E55ACF" w:rsidRPr="004C3641" w:rsidRDefault="00E55ACF">
      <w:pPr>
        <w:pStyle w:val="IssueSubsectionHeading"/>
        <w:rPr>
          <w:vanish/>
          <w:specVanish/>
        </w:rPr>
      </w:pPr>
      <w:r w:rsidRPr="004C3641">
        <w:t>Staff Analysis: </w:t>
      </w:r>
    </w:p>
    <w:p w:rsidR="00E55ACF" w:rsidRDefault="00E55ACF">
      <w:pPr>
        <w:pStyle w:val="BodyText"/>
      </w:pPr>
      <w:r>
        <w:t> </w:t>
      </w:r>
      <w:r w:rsidR="001F6F50">
        <w:t xml:space="preserve">As stated in the case background, DEF filed a petition for a limited proceeding seeking authority to implement an interim storm restoration recovery charge to recover a total of $513.2 million for the incremental restoration costs related to </w:t>
      </w:r>
      <w:r w:rsidR="00431FCC">
        <w:t>Hurricanes</w:t>
      </w:r>
      <w:r w:rsidR="001F6F50">
        <w:t xml:space="preserve"> Irma and Nate an</w:t>
      </w:r>
      <w:r w:rsidR="00431FCC">
        <w:t>d to replenish its storm reserve</w:t>
      </w:r>
      <w:r w:rsidR="001F6F50">
        <w:t xml:space="preserve">. The requested recovery of $513.2 million represents net retail recoverable costs of approximately $371 million, plus an additional $132 million to replenish its storm reserve to the balance that existed in February 2012. </w:t>
      </w:r>
      <w:r w:rsidR="000775F3">
        <w:t>In addition, the $</w:t>
      </w:r>
      <w:r w:rsidR="00431FCC">
        <w:t>513.2</w:t>
      </w:r>
      <w:r w:rsidR="000775F3">
        <w:t xml:space="preserve"> million includes an addition</w:t>
      </w:r>
      <w:r w:rsidR="00431FCC">
        <w:t>al</w:t>
      </w:r>
      <w:r w:rsidR="000775F3">
        <w:t xml:space="preserve"> $10.2 million for interest, bond </w:t>
      </w:r>
      <w:r w:rsidR="005D2080">
        <w:t>issuance costs, and a</w:t>
      </w:r>
      <w:r w:rsidR="00B916E8">
        <w:t xml:space="preserve"> regulatory assessment fee true-</w:t>
      </w:r>
      <w:r w:rsidR="005D2080">
        <w:t>up</w:t>
      </w:r>
      <w:r w:rsidR="000775F3">
        <w:t xml:space="preserve">. The petition was filed pursuant to the provisions of the 2017 Settlement approved by the Commission in Order No. </w:t>
      </w:r>
      <w:r w:rsidR="001F6F50">
        <w:t xml:space="preserve"> </w:t>
      </w:r>
      <w:r w:rsidR="000775F3">
        <w:t xml:space="preserve">PSC-2017-0451-AS-EU. </w:t>
      </w:r>
      <w:r w:rsidR="00431FCC">
        <w:t>Pursuant</w:t>
      </w:r>
      <w:r w:rsidR="000775F3">
        <w:t xml:space="preserve"> to </w:t>
      </w:r>
      <w:r w:rsidR="00D91CD8">
        <w:t xml:space="preserve">Paragraph 38 of </w:t>
      </w:r>
      <w:r w:rsidR="00957A41">
        <w:t>the 2017 Settlement, DEF can begin recovery of storm costs</w:t>
      </w:r>
      <w:r w:rsidR="00D91CD8">
        <w:t xml:space="preserve">, without </w:t>
      </w:r>
      <w:r w:rsidR="009F187C">
        <w:t xml:space="preserve">a </w:t>
      </w:r>
      <w:r w:rsidR="00D91CD8">
        <w:t>cap,</w:t>
      </w:r>
      <w:r w:rsidR="00957A41">
        <w:t xml:space="preserve"> </w:t>
      </w:r>
      <w:r w:rsidR="00D8135C">
        <w:t>60</w:t>
      </w:r>
      <w:r w:rsidR="00957A41">
        <w:t xml:space="preserve"> days following the filing of a petition for recovery. </w:t>
      </w:r>
      <w:r w:rsidR="00D91CD8">
        <w:t>I</w:t>
      </w:r>
      <w:r w:rsidR="00957A41">
        <w:t>n order to limit the monthly charge to customers</w:t>
      </w:r>
      <w:r w:rsidR="00D91CD8">
        <w:t>,</w:t>
      </w:r>
      <w:r w:rsidR="00957A41">
        <w:t xml:space="preserve"> DEF has requested an interim storm restoration recovery charge of $5.20 on a monthly 1,00</w:t>
      </w:r>
      <w:r w:rsidR="005D2080">
        <w:t>0</w:t>
      </w:r>
      <w:r w:rsidR="00957A41">
        <w:t xml:space="preserve"> kWh residential bill to be recovered over a 36-month period, effective March 1, 2018 through February 28, 2021.</w:t>
      </w:r>
    </w:p>
    <w:p w:rsidR="002D5FE3" w:rsidRDefault="002D5FE3">
      <w:pPr>
        <w:pStyle w:val="BodyText"/>
      </w:pPr>
      <w:r>
        <w:t xml:space="preserve">In its petition, DEF asserts that it incurred total retail recoverable costs of approximately $371 million as a result of Hurricanes Irma and Nate. </w:t>
      </w:r>
      <w:r w:rsidR="009F187C">
        <w:t>DEF further asserts that t</w:t>
      </w:r>
      <w:r>
        <w:t>his amount was calculated in accordance with the Incremental Cost and Capitalization Approach (ICCA) methodology prescribed in Rule 25-6.0143, Florida Administrative Code (F.A.C</w:t>
      </w:r>
      <w:r w:rsidR="005D2080">
        <w:t>.</w:t>
      </w:r>
      <w:r>
        <w:t xml:space="preserve">). The net retail recoverable costs of $371 million were determined by reducing the $425 million total recoverable costs by the pre-storm storm reserve balance of $54 million. </w:t>
      </w:r>
      <w:r w:rsidR="00D91CD8">
        <w:t xml:space="preserve">Paragraph 38 of the </w:t>
      </w:r>
      <w:r>
        <w:t>2017 Settlement also allows DEF to request the replenishment of its storm reserve to $132 million.</w:t>
      </w:r>
    </w:p>
    <w:p w:rsidR="00D8135C" w:rsidRDefault="002D5FE3">
      <w:pPr>
        <w:pStyle w:val="BodyText"/>
      </w:pPr>
      <w:r>
        <w:t xml:space="preserve">The approval of an interim storm restoration recovery charge is preliminary in nature and is subject to refund pending further review once the total actual storm restoration costs are known. After the actual costs are reviewed for prudence and reasonableness, and are compared to the actual amount recovered through the interim storm </w:t>
      </w:r>
      <w:r w:rsidR="00D91CD8">
        <w:t xml:space="preserve">restoration recovery charge, a determination will be made whether any over/under recovery has occurred. The </w:t>
      </w:r>
      <w:r w:rsidR="00431FCC">
        <w:t>disposition</w:t>
      </w:r>
      <w:r w:rsidR="00D91CD8">
        <w:t xml:space="preserve"> of any over/under recovery, and associated interest, would be considered by the Commission at a later date. </w:t>
      </w:r>
    </w:p>
    <w:p w:rsidR="002D5FE3" w:rsidRDefault="00D91CD8">
      <w:pPr>
        <w:pStyle w:val="BodyText"/>
      </w:pPr>
      <w:r>
        <w:t xml:space="preserve">Based on a review of the information provided by DEF in its petition, staff recommends that the Commission authorize DEF to implement </w:t>
      </w:r>
      <w:r w:rsidR="009F187C">
        <w:t>an i</w:t>
      </w:r>
      <w:r>
        <w:t xml:space="preserve">nterim </w:t>
      </w:r>
      <w:r w:rsidR="00300F2A">
        <w:t>s</w:t>
      </w:r>
      <w:r>
        <w:t xml:space="preserve">torm </w:t>
      </w:r>
      <w:r w:rsidR="00300F2A">
        <w:t>r</w:t>
      </w:r>
      <w:r>
        <w:t xml:space="preserve">estoration </w:t>
      </w:r>
      <w:r w:rsidR="00300F2A">
        <w:t>r</w:t>
      </w:r>
      <w:r>
        <w:t xml:space="preserve">ecovery </w:t>
      </w:r>
      <w:r w:rsidR="00300F2A">
        <w:t>c</w:t>
      </w:r>
      <w:r>
        <w:t>harge subject to refund. Once the tot</w:t>
      </w:r>
      <w:r w:rsidR="005D2080">
        <w:t>al</w:t>
      </w:r>
      <w:r>
        <w:t xml:space="preserve"> actual storm costs are known, DEF should be required to file </w:t>
      </w:r>
      <w:r>
        <w:lastRenderedPageBreak/>
        <w:t>documentation of the storm costs</w:t>
      </w:r>
      <w:r w:rsidR="00B916E8">
        <w:t xml:space="preserve"> for Commission review and true-</w:t>
      </w:r>
      <w:r>
        <w:t>up of any excess</w:t>
      </w:r>
      <w:r w:rsidR="005D2080">
        <w:t xml:space="preserve"> or</w:t>
      </w:r>
      <w:r>
        <w:t xml:space="preserve"> shortfall. Staff emphasizes that this recommendation</w:t>
      </w:r>
      <w:r w:rsidR="00431FCC">
        <w:t xml:space="preserve"> is</w:t>
      </w:r>
      <w:r w:rsidR="009F187C">
        <w:t xml:space="preserve"> only for interim recovery charges and is not a confirmation or</w:t>
      </w:r>
      <w:r w:rsidR="00431FCC">
        <w:t xml:space="preserve"> endorsement of the prudenc</w:t>
      </w:r>
      <w:r w:rsidR="009F187C">
        <w:t>e</w:t>
      </w:r>
      <w:r w:rsidR="00431FCC">
        <w:t xml:space="preserve"> of DEF’s forecasted costs and plans. This recommendation </w:t>
      </w:r>
      <w:r w:rsidR="005D2080">
        <w:t>only</w:t>
      </w:r>
      <w:r w:rsidR="00431FCC">
        <w:t xml:space="preserve"> allows DEF to begin recovery on an interim basis in accordance with the 2017 Settlement agreement. This interim recovery is subject to refund following a hearing or formal proceeding where the veracity and prudenc</w:t>
      </w:r>
      <w:r w:rsidR="009F187C">
        <w:t>e</w:t>
      </w:r>
      <w:r w:rsidR="00431FCC">
        <w:t xml:space="preserve"> of DEF’s actual restoration costs can be fully vetted. </w:t>
      </w:r>
    </w:p>
    <w:p w:rsidR="00D41C06" w:rsidRDefault="00D41C06">
      <w:pPr>
        <w:pStyle w:val="BodyText"/>
      </w:pPr>
      <w:r w:rsidRPr="00101316">
        <w:t>Staff recommends that all funds collected subject to refund be secured by a corporate undertaking. The criteria for a corporate undertaking include sufficient liquidity, ownership equity, profitability, and interest coverage to guarantee any potential refund.</w:t>
      </w:r>
      <w:r w:rsidR="00901833">
        <w:t xml:space="preserve"> </w:t>
      </w:r>
      <w:r w:rsidR="00901833" w:rsidRPr="00901833">
        <w:t xml:space="preserve">Staff believes </w:t>
      </w:r>
      <w:r w:rsidR="00901833">
        <w:t>DEF</w:t>
      </w:r>
      <w:r w:rsidR="00901833" w:rsidRPr="00901833">
        <w:t xml:space="preserve"> has adequate resources to support a corporate undertaking in the amount requested.</w:t>
      </w:r>
    </w:p>
    <w:p w:rsidR="00E55ACF" w:rsidRDefault="00E55ACF">
      <w:pPr>
        <w:pStyle w:val="IssueHeading"/>
        <w:rPr>
          <w:vanish/>
          <w:specVanish/>
        </w:rPr>
      </w:pPr>
      <w:r w:rsidRPr="004C3641">
        <w:rPr>
          <w:b w:val="0"/>
          <w:i w:val="0"/>
        </w:rPr>
        <w:br w:type="page"/>
      </w:r>
      <w:r w:rsidRPr="004C3641">
        <w:lastRenderedPageBreak/>
        <w:t xml:space="preserve">Issue </w:t>
      </w:r>
      <w:r w:rsidR="008612CD">
        <w:fldChar w:fldCharType="begin"/>
      </w:r>
      <w:r w:rsidR="008612CD">
        <w:instrText xml:space="preserve"> SEQ Issue \* MERGEFORMAT </w:instrText>
      </w:r>
      <w:r w:rsidR="008612CD">
        <w:fldChar w:fldCharType="separate"/>
      </w:r>
      <w:r w:rsidR="002F216A">
        <w:rPr>
          <w:noProof/>
        </w:rPr>
        <w:t>2</w:t>
      </w:r>
      <w:r w:rsidR="008612C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F216A">
        <w:rPr>
          <w:noProof/>
        </w:rPr>
        <w:instrText>2</w:instrText>
      </w:r>
      <w:r>
        <w:fldChar w:fldCharType="end"/>
      </w:r>
      <w:r>
        <w:tab/>
        <w:instrText xml:space="preserve">(R. Doherty)" \l 1 </w:instrText>
      </w:r>
      <w:r>
        <w:fldChar w:fldCharType="end"/>
      </w:r>
      <w:r>
        <w:t> </w:t>
      </w:r>
    </w:p>
    <w:p w:rsidR="00E55ACF" w:rsidRDefault="00E55ACF">
      <w:pPr>
        <w:pStyle w:val="BodyText"/>
      </w:pPr>
      <w:r>
        <w:t> </w:t>
      </w:r>
      <w:r w:rsidR="001F6F50" w:rsidRPr="001F6F50">
        <w:t>Should the Commission approve DEF’s proposed tariffs?</w:t>
      </w:r>
    </w:p>
    <w:p w:rsidR="00E55ACF" w:rsidRPr="004C3641" w:rsidRDefault="00E55ACF">
      <w:pPr>
        <w:pStyle w:val="IssueSubsectionHeading"/>
        <w:rPr>
          <w:vanish/>
          <w:specVanish/>
        </w:rPr>
      </w:pPr>
      <w:r w:rsidRPr="004C3641">
        <w:t>Recommendation: </w:t>
      </w:r>
    </w:p>
    <w:p w:rsidR="00E55ACF" w:rsidRDefault="00E55ACF">
      <w:pPr>
        <w:pStyle w:val="BodyText"/>
      </w:pPr>
      <w:r>
        <w:t> </w:t>
      </w:r>
      <w:r w:rsidR="00C82D29" w:rsidRPr="00BC546D">
        <w:t xml:space="preserve">Yes. </w:t>
      </w:r>
      <w:r w:rsidR="00C82D29">
        <w:t>T</w:t>
      </w:r>
      <w:r w:rsidR="00C82D29" w:rsidRPr="00BC546D">
        <w:t xml:space="preserve">he Commission </w:t>
      </w:r>
      <w:r w:rsidR="00C82D29">
        <w:t>should approve D</w:t>
      </w:r>
      <w:r w:rsidR="00300F2A">
        <w:t>EF</w:t>
      </w:r>
      <w:r w:rsidR="00C82D29">
        <w:t>’s</w:t>
      </w:r>
      <w:r w:rsidR="00C82D29" w:rsidRPr="00BC546D">
        <w:t xml:space="preserve"> proposed tariffs </w:t>
      </w:r>
      <w:r w:rsidR="00C82D29">
        <w:t xml:space="preserve">to </w:t>
      </w:r>
      <w:r w:rsidR="00C82D29" w:rsidRPr="00BC546D">
        <w:t xml:space="preserve">go into effect </w:t>
      </w:r>
      <w:r w:rsidR="00FB655F">
        <w:t>February 6, 2018</w:t>
      </w:r>
      <w:r w:rsidR="00C82D29" w:rsidRPr="00BC546D">
        <w:t>.</w:t>
      </w:r>
      <w:r w:rsidR="00C82D29">
        <w:t xml:space="preserve"> (</w:t>
      </w:r>
      <w:r>
        <w:t>Doherty)</w:t>
      </w:r>
    </w:p>
    <w:p w:rsidR="00E55ACF" w:rsidRPr="004C3641" w:rsidRDefault="00E55ACF">
      <w:pPr>
        <w:pStyle w:val="IssueSubsectionHeading"/>
        <w:rPr>
          <w:vanish/>
          <w:specVanish/>
        </w:rPr>
      </w:pPr>
      <w:r w:rsidRPr="004C3641">
        <w:t>Staff Analysis: </w:t>
      </w:r>
    </w:p>
    <w:p w:rsidR="00C82D29" w:rsidRDefault="00E55ACF" w:rsidP="00C82D29">
      <w:pPr>
        <w:jc w:val="both"/>
      </w:pPr>
      <w:r>
        <w:t> </w:t>
      </w:r>
      <w:r w:rsidR="00C82D29">
        <w:t>D</w:t>
      </w:r>
      <w:r w:rsidR="00300F2A">
        <w:t>EF</w:t>
      </w:r>
      <w:r w:rsidR="00C82D29" w:rsidRPr="00BC546D">
        <w:t xml:space="preserve"> is seeking </w:t>
      </w:r>
      <w:r w:rsidR="00C82D29">
        <w:t>approval of i</w:t>
      </w:r>
      <w:r w:rsidR="00C82D29" w:rsidRPr="00BC546D">
        <w:t xml:space="preserve">nterim </w:t>
      </w:r>
      <w:r w:rsidR="00C82D29">
        <w:t>s</w:t>
      </w:r>
      <w:r w:rsidR="00C82D29" w:rsidRPr="00BC546D">
        <w:t xml:space="preserve">torm </w:t>
      </w:r>
      <w:r w:rsidR="00C82D29">
        <w:t>r</w:t>
      </w:r>
      <w:r w:rsidR="00C82D29" w:rsidRPr="00BC546D">
        <w:t xml:space="preserve">ecovery </w:t>
      </w:r>
      <w:r w:rsidR="00C82D29">
        <w:t>c</w:t>
      </w:r>
      <w:r w:rsidR="00C82D29" w:rsidRPr="00BC546D">
        <w:t>harge</w:t>
      </w:r>
      <w:r w:rsidR="00C82D29">
        <w:t>s</w:t>
      </w:r>
      <w:r w:rsidR="00C82D29" w:rsidRPr="00BC546D">
        <w:t xml:space="preserve"> as shown in proposed </w:t>
      </w:r>
      <w:r w:rsidR="00C82D29">
        <w:t>Eighty-First</w:t>
      </w:r>
      <w:r w:rsidR="00C82D29" w:rsidRPr="00E9202A">
        <w:t xml:space="preserve"> Revised Tariff Sheet No. </w:t>
      </w:r>
      <w:r w:rsidR="00C82D29">
        <w:t>6.105 (</w:t>
      </w:r>
      <w:r w:rsidR="00C82D29" w:rsidRPr="00E9202A">
        <w:t>Attachment A</w:t>
      </w:r>
      <w:r w:rsidR="00C82D29">
        <w:t xml:space="preserve"> to this recommendation)</w:t>
      </w:r>
      <w:r w:rsidR="00C82D29" w:rsidRPr="00BC546D">
        <w:t xml:space="preserve">. </w:t>
      </w:r>
      <w:r w:rsidR="00C82D29">
        <w:t>Appendix F to the petition includes revisions to all tariffs reflecting the addition of the i</w:t>
      </w:r>
      <w:r w:rsidR="00C82D29" w:rsidRPr="00BC546D">
        <w:t xml:space="preserve">nterim </w:t>
      </w:r>
      <w:r w:rsidR="00C82D29">
        <w:t>s</w:t>
      </w:r>
      <w:r w:rsidR="00C82D29" w:rsidRPr="00BC546D">
        <w:t xml:space="preserve">torm </w:t>
      </w:r>
      <w:r w:rsidR="00C82D29">
        <w:t>r</w:t>
      </w:r>
      <w:r w:rsidR="00C82D29" w:rsidRPr="00BC546D">
        <w:t xml:space="preserve">ecovery </w:t>
      </w:r>
      <w:r w:rsidR="00C82D29">
        <w:t>c</w:t>
      </w:r>
      <w:r w:rsidR="00C82D29" w:rsidRPr="00BC546D">
        <w:t>harge</w:t>
      </w:r>
      <w:r w:rsidR="00C82D29">
        <w:t xml:space="preserve">s as shown on </w:t>
      </w:r>
      <w:r w:rsidR="00C82D29" w:rsidRPr="00E9202A">
        <w:t>Tariff Sheet No. 6.</w:t>
      </w:r>
      <w:r w:rsidR="00C82D29">
        <w:t xml:space="preserve">105. </w:t>
      </w:r>
      <w:r w:rsidR="00C82D29" w:rsidRPr="00BC546D">
        <w:t xml:space="preserve">A residential customer who uses 1,000 kilowatt-hours will see a </w:t>
      </w:r>
      <w:r w:rsidR="00C82D29" w:rsidRPr="00E9202A">
        <w:t>$</w:t>
      </w:r>
      <w:r w:rsidR="00C82D29">
        <w:t>5.20</w:t>
      </w:r>
      <w:r w:rsidR="00C82D29" w:rsidRPr="00BC546D">
        <w:t xml:space="preserve"> increase on the monthly bill </w:t>
      </w:r>
      <w:r w:rsidR="00C82D29">
        <w:t>starting in</w:t>
      </w:r>
      <w:r w:rsidR="00C82D29" w:rsidRPr="00BC546D">
        <w:t xml:space="preserve"> March</w:t>
      </w:r>
      <w:r w:rsidR="00C82D29">
        <w:t xml:space="preserve"> 2018</w:t>
      </w:r>
      <w:r w:rsidR="00C82D29" w:rsidRPr="00BC546D">
        <w:t xml:space="preserve">. </w:t>
      </w:r>
      <w:r w:rsidR="00C82D29">
        <w:t xml:space="preserve"> </w:t>
      </w:r>
    </w:p>
    <w:p w:rsidR="00C82D29" w:rsidRPr="00BC546D" w:rsidRDefault="00C82D29" w:rsidP="00C82D29">
      <w:pPr>
        <w:jc w:val="both"/>
      </w:pPr>
    </w:p>
    <w:p w:rsidR="00C82D29" w:rsidRDefault="00C82D29" w:rsidP="00C82D29">
      <w:pPr>
        <w:jc w:val="both"/>
      </w:pPr>
      <w:r w:rsidRPr="00BC546D">
        <w:t xml:space="preserve">In response to staff’s request for additional information, </w:t>
      </w:r>
      <w:r>
        <w:t>D</w:t>
      </w:r>
      <w:r w:rsidR="00300F2A">
        <w:t>EF</w:t>
      </w:r>
      <w:r w:rsidRPr="00BC546D">
        <w:t xml:space="preserve"> </w:t>
      </w:r>
      <w:r w:rsidRPr="00E9202A">
        <w:t>stated that customers will be notified of the interim storm recovery charge via bill inserts on the first billing cycle in February 2018</w:t>
      </w:r>
      <w:r>
        <w:t xml:space="preserve"> and has provided the notice for staff review</w:t>
      </w:r>
      <w:r w:rsidRPr="00E9202A">
        <w:t>. The interim storm recovery charges will start with the first billing cycle in March 2018</w:t>
      </w:r>
      <w:r w:rsidRPr="00BB45C5">
        <w:t xml:space="preserve"> that occurs on February 27, 2018.</w:t>
      </w:r>
      <w:r>
        <w:t xml:space="preserve"> </w:t>
      </w:r>
    </w:p>
    <w:p w:rsidR="00C82D29" w:rsidRPr="00BC546D" w:rsidRDefault="00C82D29" w:rsidP="00C82D29">
      <w:pPr>
        <w:jc w:val="both"/>
      </w:pPr>
    </w:p>
    <w:p w:rsidR="00C82D29" w:rsidRPr="00BC546D" w:rsidRDefault="00C82D29" w:rsidP="00C82D29">
      <w:pPr>
        <w:jc w:val="both"/>
      </w:pPr>
      <w:r>
        <w:t xml:space="preserve">Staff recommends that the </w:t>
      </w:r>
      <w:r w:rsidRPr="00BC546D">
        <w:t xml:space="preserve">Commission </w:t>
      </w:r>
      <w:r>
        <w:t>approve D</w:t>
      </w:r>
      <w:r w:rsidR="00300F2A">
        <w:t>EF</w:t>
      </w:r>
      <w:r>
        <w:t>’s</w:t>
      </w:r>
      <w:r w:rsidRPr="00BC546D">
        <w:t xml:space="preserve"> proposed tariffs </w:t>
      </w:r>
      <w:r>
        <w:t xml:space="preserve">to </w:t>
      </w:r>
      <w:r w:rsidRPr="00BC546D">
        <w:t xml:space="preserve">go into effect </w:t>
      </w:r>
      <w:r w:rsidR="00FB655F">
        <w:t>February 6, 2018</w:t>
      </w:r>
      <w:r w:rsidRPr="00BC546D">
        <w:t>.</w:t>
      </w:r>
    </w:p>
    <w:p w:rsidR="00E55ACF" w:rsidRDefault="00E55ACF">
      <w:pPr>
        <w:pStyle w:val="BodyText"/>
      </w:pPr>
    </w:p>
    <w:p w:rsidR="00E55ACF" w:rsidRDefault="00E55ACF">
      <w:pPr>
        <w:pStyle w:val="IssueHeading"/>
        <w:rPr>
          <w:vanish/>
          <w:specVanish/>
        </w:rPr>
      </w:pPr>
      <w:r w:rsidRPr="004C3641">
        <w:rPr>
          <w:b w:val="0"/>
          <w:i w:val="0"/>
        </w:rPr>
        <w:br w:type="page"/>
      </w:r>
      <w:r w:rsidRPr="004C3641">
        <w:lastRenderedPageBreak/>
        <w:t xml:space="preserve">Issue </w:t>
      </w:r>
      <w:r w:rsidR="008612CD">
        <w:fldChar w:fldCharType="begin"/>
      </w:r>
      <w:r w:rsidR="008612CD">
        <w:instrText xml:space="preserve"> SEQ Issue \* MERGEFORMAT </w:instrText>
      </w:r>
      <w:r w:rsidR="008612CD">
        <w:fldChar w:fldCharType="separate"/>
      </w:r>
      <w:r w:rsidR="002F216A">
        <w:rPr>
          <w:noProof/>
        </w:rPr>
        <w:t>3</w:t>
      </w:r>
      <w:r w:rsidR="008612C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F216A">
        <w:rPr>
          <w:noProof/>
        </w:rPr>
        <w:instrText>3</w:instrText>
      </w:r>
      <w:r>
        <w:fldChar w:fldCharType="end"/>
      </w:r>
      <w:r>
        <w:tab/>
        <w:instrText xml:space="preserve">" \l 1 </w:instrText>
      </w:r>
      <w:r>
        <w:fldChar w:fldCharType="end"/>
      </w:r>
      <w:r>
        <w:t> </w:t>
      </w:r>
    </w:p>
    <w:p w:rsidR="00E55ACF" w:rsidRDefault="00E55ACF">
      <w:pPr>
        <w:pStyle w:val="BodyText"/>
      </w:pPr>
      <w:r>
        <w:t> </w:t>
      </w:r>
      <w:r w:rsidR="00D41C06">
        <w:t>Should this docket be closed?</w:t>
      </w:r>
    </w:p>
    <w:p w:rsidR="00E55ACF" w:rsidRPr="004C3641" w:rsidRDefault="00E55ACF">
      <w:pPr>
        <w:pStyle w:val="IssueSubsectionHeading"/>
        <w:rPr>
          <w:vanish/>
          <w:specVanish/>
        </w:rPr>
      </w:pPr>
      <w:r w:rsidRPr="004C3641">
        <w:t>Recommendation: </w:t>
      </w:r>
    </w:p>
    <w:p w:rsidR="00E55ACF" w:rsidRDefault="00E55ACF">
      <w:pPr>
        <w:pStyle w:val="BodyText"/>
      </w:pPr>
      <w:r>
        <w:t> </w:t>
      </w:r>
      <w:r w:rsidR="003828E7">
        <w:t>T</w:t>
      </w:r>
      <w:r w:rsidR="00854BAE">
        <w:t xml:space="preserve">his docket should remain open pending final reconciliation of actual recoverable storm costs with the amount collected pursuant to the interim </w:t>
      </w:r>
      <w:r w:rsidR="00300F2A">
        <w:t>storm r</w:t>
      </w:r>
      <w:r w:rsidR="00854BAE">
        <w:t xml:space="preserve">estoration </w:t>
      </w:r>
      <w:r w:rsidR="00300F2A">
        <w:t>recovery c</w:t>
      </w:r>
      <w:r w:rsidR="00854BAE">
        <w:t>harge, and the calculation of a refund or additional charge if warranted.</w:t>
      </w:r>
      <w:r>
        <w:t xml:space="preserve"> </w:t>
      </w:r>
      <w:r w:rsidR="003828E7">
        <w:t>(</w:t>
      </w:r>
      <w:r w:rsidR="00D41C06">
        <w:t>Mapp</w:t>
      </w:r>
      <w:r>
        <w:t>)</w:t>
      </w:r>
    </w:p>
    <w:p w:rsidR="00E55ACF" w:rsidRPr="004C3641" w:rsidRDefault="00E55ACF">
      <w:pPr>
        <w:pStyle w:val="IssueSubsectionHeading"/>
        <w:rPr>
          <w:vanish/>
          <w:specVanish/>
        </w:rPr>
      </w:pPr>
      <w:r w:rsidRPr="004C3641">
        <w:t>Staff Analysis: </w:t>
      </w:r>
    </w:p>
    <w:p w:rsidR="00854BAE" w:rsidRDefault="00E55ACF">
      <w:pPr>
        <w:pStyle w:val="BodyText"/>
        <w:sectPr w:rsidR="00854BAE"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 </w:t>
      </w:r>
      <w:r w:rsidR="00854BAE">
        <w:t xml:space="preserve">This docket should remain open pending final reconciliation of actual recoverable storm costs with the amount collected pursuant to the interim </w:t>
      </w:r>
      <w:r w:rsidR="00300F2A">
        <w:t>s</w:t>
      </w:r>
      <w:r w:rsidR="00854BAE">
        <w:t xml:space="preserve">torm </w:t>
      </w:r>
      <w:r w:rsidR="00300F2A">
        <w:t>r</w:t>
      </w:r>
      <w:r w:rsidR="00854BAE">
        <w:t xml:space="preserve">estoration </w:t>
      </w:r>
      <w:r w:rsidR="00300F2A">
        <w:t>r</w:t>
      </w:r>
      <w:r w:rsidR="00854BAE">
        <w:t xml:space="preserve">ecovery </w:t>
      </w:r>
      <w:r w:rsidR="00300F2A">
        <w:t>c</w:t>
      </w:r>
      <w:r w:rsidR="00854BAE">
        <w:t>harge, and the calculation of a refund or additional charge if warranted.</w:t>
      </w:r>
    </w:p>
    <w:p w:rsidR="00854BAE" w:rsidRDefault="00854BAE">
      <w:r>
        <w:lastRenderedPageBreak/>
        <w:br w:type="page"/>
      </w:r>
    </w:p>
    <w:p w:rsidR="00E55ACF" w:rsidRDefault="00FB02D4">
      <w:pPr>
        <w:pStyle w:val="BodyText"/>
      </w:pPr>
      <w:r>
        <w:rPr>
          <w:noProof/>
        </w:rPr>
        <w:lastRenderedPageBreak/>
        <w:drawing>
          <wp:inline distT="0" distB="0" distL="0" distR="0">
            <wp:extent cx="5934075" cy="7686675"/>
            <wp:effectExtent l="0" t="0" r="9525" b="9525"/>
            <wp:docPr id="4" name="Picture 4" descr="C:\Users\dasmith\Desktop\Duke Tariff Attach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smith\Desktop\Duke Tariff Attachmen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p>
    <w:sectPr w:rsidR="00E55ACF" w:rsidSect="00854BAE">
      <w:headerReference w:type="default" r:id="rId16"/>
      <w:type w:val="continuous"/>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ACF" w:rsidRDefault="00E55ACF">
      <w:r>
        <w:separator/>
      </w:r>
    </w:p>
  </w:endnote>
  <w:endnote w:type="continuationSeparator" w:id="0">
    <w:p w:rsidR="00E55ACF" w:rsidRDefault="00E55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612CD">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ACF" w:rsidRDefault="00E55ACF">
      <w:r>
        <w:separator/>
      </w:r>
    </w:p>
  </w:footnote>
  <w:footnote w:type="continuationSeparator" w:id="0">
    <w:p w:rsidR="00E55ACF" w:rsidRDefault="00E55ACF">
      <w:r>
        <w:continuationSeparator/>
      </w:r>
    </w:p>
  </w:footnote>
  <w:footnote w:id="1">
    <w:p w:rsidR="00D03A01" w:rsidRPr="001302BB" w:rsidRDefault="00D03A01" w:rsidP="001302BB">
      <w:pPr>
        <w:pStyle w:val="FootnoteText"/>
        <w:rPr>
          <w:i/>
        </w:rPr>
      </w:pPr>
      <w:r>
        <w:rPr>
          <w:rStyle w:val="FootnoteReference"/>
        </w:rPr>
        <w:footnoteRef/>
      </w:r>
      <w:r>
        <w:t xml:space="preserve"> Order No. </w:t>
      </w:r>
      <w:r w:rsidR="00595A02">
        <w:t>PSC-2017-0451-AS-EU</w:t>
      </w:r>
      <w:r>
        <w:t xml:space="preserve">, issued </w:t>
      </w:r>
      <w:r w:rsidR="001302BB">
        <w:t>November 20, 2017</w:t>
      </w:r>
      <w:r>
        <w:t xml:space="preserve">, in </w:t>
      </w:r>
      <w:r w:rsidR="00595A02" w:rsidRPr="00595A02">
        <w:t>Docket No. 20170183-</w:t>
      </w:r>
      <w:r w:rsidR="00595A02">
        <w:t xml:space="preserve">EI, </w:t>
      </w:r>
      <w:r>
        <w:t xml:space="preserve"> </w:t>
      </w:r>
      <w:r w:rsidRPr="003071C0">
        <w:rPr>
          <w:i/>
        </w:rPr>
        <w:t xml:space="preserve">In re: </w:t>
      </w:r>
      <w:r w:rsidR="001302BB" w:rsidRPr="001302BB">
        <w:rPr>
          <w:i/>
        </w:rPr>
        <w:t>Applic</w:t>
      </w:r>
      <w:r w:rsidR="001302BB">
        <w:rPr>
          <w:i/>
        </w:rPr>
        <w:t xml:space="preserve">ation for limited proceeding to </w:t>
      </w:r>
      <w:r w:rsidR="001302BB" w:rsidRPr="001302BB">
        <w:rPr>
          <w:i/>
        </w:rPr>
        <w:t>approve 2</w:t>
      </w:r>
      <w:r w:rsidR="001302BB">
        <w:rPr>
          <w:i/>
        </w:rPr>
        <w:t xml:space="preserve">017 second revised and restated </w:t>
      </w:r>
      <w:r w:rsidR="001302BB" w:rsidRPr="001302BB">
        <w:rPr>
          <w:i/>
        </w:rPr>
        <w:t>settlement ag</w:t>
      </w:r>
      <w:r w:rsidR="001302BB">
        <w:rPr>
          <w:i/>
        </w:rPr>
        <w:t xml:space="preserve">reement, including certain rate </w:t>
      </w:r>
      <w:r w:rsidR="001302BB" w:rsidRPr="001302BB">
        <w:rPr>
          <w:i/>
        </w:rPr>
        <w:t>adjustments, by Duke Energy Florida, LLC</w:t>
      </w:r>
      <w:r w:rsidR="001302BB">
        <w:rPr>
          <w:i/>
        </w:rPr>
        <w:t>.</w:t>
      </w:r>
    </w:p>
  </w:footnote>
  <w:footnote w:id="2">
    <w:p w:rsidR="00B916E8" w:rsidRDefault="00B916E8">
      <w:pPr>
        <w:pStyle w:val="FootnoteText"/>
      </w:pPr>
      <w:r>
        <w:rPr>
          <w:rStyle w:val="FootnoteReference"/>
        </w:rPr>
        <w:footnoteRef/>
      </w:r>
      <w:r>
        <w:t xml:space="preserve"> Document No. 00093-2018, in Docket No. 20170272-EI, </w:t>
      </w:r>
      <w:r w:rsidRPr="00B916E8">
        <w:rPr>
          <w:i/>
        </w:rPr>
        <w:t>In re: Application for limited proceeding for recovery of incremental storm restoration costs related to Hurricanes Irma and Nate, by Duke Energy Florida, LLC</w:t>
      </w:r>
      <w:r>
        <w:rPr>
          <w:i/>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E55ACF"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20170272-EI</w:t>
    </w:r>
    <w:bookmarkEnd w:id="15"/>
  </w:p>
  <w:p w:rsidR="00BC402E" w:rsidRDefault="00BC402E">
    <w:pPr>
      <w:pStyle w:val="Header"/>
    </w:pPr>
    <w:r>
      <w:t xml:space="preserve">Date: </w:t>
    </w:r>
    <w:r w:rsidR="008612CD">
      <w:fldChar w:fldCharType="begin"/>
    </w:r>
    <w:r w:rsidR="008612CD">
      <w:instrText xml:space="preserve"> REF FilingDate </w:instrText>
    </w:r>
    <w:r w:rsidR="008612CD">
      <w:fldChar w:fldCharType="separate"/>
    </w:r>
    <w:r w:rsidR="002F216A">
      <w:t>January 25, 2018</w:t>
    </w:r>
    <w:r w:rsidR="008612CD">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2F216A">
      <w:t>Docket No.</w:t>
    </w:r>
    <w:r>
      <w:fldChar w:fldCharType="end"/>
    </w:r>
    <w:r>
      <w:t xml:space="preserve"> </w:t>
    </w:r>
    <w:r>
      <w:fldChar w:fldCharType="begin"/>
    </w:r>
    <w:r>
      <w:instrText xml:space="preserve"> REF DocketList</w:instrText>
    </w:r>
    <w:r>
      <w:fldChar w:fldCharType="separate"/>
    </w:r>
    <w:r w:rsidR="002F216A">
      <w:t>20170272-EI</w:t>
    </w:r>
    <w:r>
      <w:fldChar w:fldCharType="end"/>
    </w:r>
    <w:r>
      <w:tab/>
      <w:t xml:space="preserve">Issue </w:t>
    </w:r>
    <w:r w:rsidR="008612CD">
      <w:fldChar w:fldCharType="begin"/>
    </w:r>
    <w:r w:rsidR="008612CD">
      <w:instrText xml:space="preserve"> Seq Issue \c \* Arabic </w:instrText>
    </w:r>
    <w:r w:rsidR="008612CD">
      <w:fldChar w:fldCharType="separate"/>
    </w:r>
    <w:r w:rsidR="008612CD">
      <w:rPr>
        <w:noProof/>
      </w:rPr>
      <w:t>3</w:t>
    </w:r>
    <w:r w:rsidR="008612CD">
      <w:rPr>
        <w:noProof/>
      </w:rPr>
      <w:fldChar w:fldCharType="end"/>
    </w:r>
  </w:p>
  <w:p w:rsidR="00BC402E" w:rsidRDefault="00BC402E">
    <w:pPr>
      <w:pStyle w:val="Header"/>
    </w:pPr>
    <w:r>
      <w:t xml:space="preserve">Date: </w:t>
    </w:r>
    <w:r w:rsidR="008612CD">
      <w:fldChar w:fldCharType="begin"/>
    </w:r>
    <w:r w:rsidR="008612CD">
      <w:instrText xml:space="preserve"> REF FilingDate </w:instrText>
    </w:r>
    <w:r w:rsidR="008612CD">
      <w:fldChar w:fldCharType="separate"/>
    </w:r>
    <w:r w:rsidR="002F216A">
      <w:t>January 25, 2018</w:t>
    </w:r>
    <w:r w:rsidR="008612CD">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BAE" w:rsidRDefault="00854BAE" w:rsidP="00220732">
    <w:pPr>
      <w:pStyle w:val="Header"/>
      <w:tabs>
        <w:tab w:val="clear" w:pos="4320"/>
        <w:tab w:val="clear" w:pos="8640"/>
        <w:tab w:val="right" w:pos="9360"/>
      </w:tabs>
    </w:pPr>
    <w:r>
      <w:fldChar w:fldCharType="begin"/>
    </w:r>
    <w:r>
      <w:instrText xml:space="preserve"> REF DocketLabel</w:instrText>
    </w:r>
    <w:r>
      <w:fldChar w:fldCharType="separate"/>
    </w:r>
    <w:r w:rsidR="002F216A">
      <w:t>Docket No.</w:t>
    </w:r>
    <w:r>
      <w:fldChar w:fldCharType="end"/>
    </w:r>
    <w:r>
      <w:t xml:space="preserve"> </w:t>
    </w:r>
    <w:r>
      <w:fldChar w:fldCharType="begin"/>
    </w:r>
    <w:r>
      <w:instrText xml:space="preserve"> REF DocketList</w:instrText>
    </w:r>
    <w:r>
      <w:fldChar w:fldCharType="separate"/>
    </w:r>
    <w:r w:rsidR="002F216A">
      <w:t>20170272-EI</w:t>
    </w:r>
    <w:r>
      <w:fldChar w:fldCharType="end"/>
    </w:r>
    <w:r>
      <w:tab/>
      <w:t>Attachment- A</w:t>
    </w:r>
  </w:p>
  <w:p w:rsidR="00854BAE" w:rsidRDefault="00854BAE">
    <w:pPr>
      <w:pStyle w:val="Header"/>
    </w:pPr>
    <w:r>
      <w:t xml:space="preserve">Date: </w:t>
    </w:r>
    <w:r w:rsidR="008612CD">
      <w:fldChar w:fldCharType="begin"/>
    </w:r>
    <w:r w:rsidR="008612CD">
      <w:instrText xml:space="preserve"> REF FilingDate </w:instrText>
    </w:r>
    <w:r w:rsidR="008612CD">
      <w:fldChar w:fldCharType="separate"/>
    </w:r>
    <w:r w:rsidR="002F216A">
      <w:t>January 25, 2018</w:t>
    </w:r>
    <w:r w:rsidR="008612C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55ACF"/>
    <w:rsid w:val="000043D5"/>
    <w:rsid w:val="00006170"/>
    <w:rsid w:val="00010E37"/>
    <w:rsid w:val="000172DA"/>
    <w:rsid w:val="00021549"/>
    <w:rsid w:val="000247C5"/>
    <w:rsid w:val="000277C2"/>
    <w:rsid w:val="00035B48"/>
    <w:rsid w:val="00036CE2"/>
    <w:rsid w:val="000437FE"/>
    <w:rsid w:val="000513BE"/>
    <w:rsid w:val="00065A06"/>
    <w:rsid w:val="000666F3"/>
    <w:rsid w:val="00070DCB"/>
    <w:rsid w:val="00073120"/>
    <w:rsid w:val="000764D0"/>
    <w:rsid w:val="000775F3"/>
    <w:rsid w:val="000828D3"/>
    <w:rsid w:val="000A0DC8"/>
    <w:rsid w:val="000A2B57"/>
    <w:rsid w:val="000A418B"/>
    <w:rsid w:val="000C4431"/>
    <w:rsid w:val="000D1C06"/>
    <w:rsid w:val="000D4319"/>
    <w:rsid w:val="000F374A"/>
    <w:rsid w:val="00101223"/>
    <w:rsid w:val="001076AF"/>
    <w:rsid w:val="001122F7"/>
    <w:rsid w:val="00117C8C"/>
    <w:rsid w:val="00124E2E"/>
    <w:rsid w:val="00125ED4"/>
    <w:rsid w:val="001302BB"/>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1F6F50"/>
    <w:rsid w:val="002044E6"/>
    <w:rsid w:val="00205C82"/>
    <w:rsid w:val="00205DC2"/>
    <w:rsid w:val="00212B17"/>
    <w:rsid w:val="002163B6"/>
    <w:rsid w:val="00220732"/>
    <w:rsid w:val="00221D32"/>
    <w:rsid w:val="00225C3F"/>
    <w:rsid w:val="00263D44"/>
    <w:rsid w:val="002702AD"/>
    <w:rsid w:val="00292D82"/>
    <w:rsid w:val="002963CB"/>
    <w:rsid w:val="002D226D"/>
    <w:rsid w:val="002D5FE3"/>
    <w:rsid w:val="002F216A"/>
    <w:rsid w:val="002F6030"/>
    <w:rsid w:val="00300F2A"/>
    <w:rsid w:val="003037E1"/>
    <w:rsid w:val="00307E51"/>
    <w:rsid w:val="003103EC"/>
    <w:rsid w:val="003144EF"/>
    <w:rsid w:val="00321C0D"/>
    <w:rsid w:val="00322F74"/>
    <w:rsid w:val="00340073"/>
    <w:rsid w:val="003632FD"/>
    <w:rsid w:val="00372805"/>
    <w:rsid w:val="00373180"/>
    <w:rsid w:val="00375AB9"/>
    <w:rsid w:val="003821A0"/>
    <w:rsid w:val="003828E7"/>
    <w:rsid w:val="00385B04"/>
    <w:rsid w:val="003864CF"/>
    <w:rsid w:val="003A22A6"/>
    <w:rsid w:val="003A5494"/>
    <w:rsid w:val="003B2510"/>
    <w:rsid w:val="003C2CC4"/>
    <w:rsid w:val="003C3710"/>
    <w:rsid w:val="003D6A8C"/>
    <w:rsid w:val="003E0EFC"/>
    <w:rsid w:val="003E4A2B"/>
    <w:rsid w:val="003E76C2"/>
    <w:rsid w:val="003F1679"/>
    <w:rsid w:val="003F21EB"/>
    <w:rsid w:val="003F4A35"/>
    <w:rsid w:val="003F7FDD"/>
    <w:rsid w:val="00402481"/>
    <w:rsid w:val="004042B4"/>
    <w:rsid w:val="00410DC4"/>
    <w:rsid w:val="00412DAE"/>
    <w:rsid w:val="00431598"/>
    <w:rsid w:val="004319AD"/>
    <w:rsid w:val="00431FCC"/>
    <w:rsid w:val="004426B8"/>
    <w:rsid w:val="00444432"/>
    <w:rsid w:val="00471201"/>
    <w:rsid w:val="00471860"/>
    <w:rsid w:val="004A744D"/>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572A"/>
    <w:rsid w:val="00543CB3"/>
    <w:rsid w:val="005442E4"/>
    <w:rsid w:val="00560FF0"/>
    <w:rsid w:val="005614BD"/>
    <w:rsid w:val="0057154F"/>
    <w:rsid w:val="00580F69"/>
    <w:rsid w:val="00581CA3"/>
    <w:rsid w:val="00587A44"/>
    <w:rsid w:val="00595A02"/>
    <w:rsid w:val="00597730"/>
    <w:rsid w:val="005977EC"/>
    <w:rsid w:val="00597DE7"/>
    <w:rsid w:val="005A4AA2"/>
    <w:rsid w:val="005B34B6"/>
    <w:rsid w:val="005B6C8F"/>
    <w:rsid w:val="005B6EC3"/>
    <w:rsid w:val="005D0F74"/>
    <w:rsid w:val="005D2080"/>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3959"/>
    <w:rsid w:val="00667036"/>
    <w:rsid w:val="00672C66"/>
    <w:rsid w:val="00673BDB"/>
    <w:rsid w:val="00674341"/>
    <w:rsid w:val="006771B8"/>
    <w:rsid w:val="00683DCC"/>
    <w:rsid w:val="006843B6"/>
    <w:rsid w:val="0068481F"/>
    <w:rsid w:val="00696F5D"/>
    <w:rsid w:val="00697249"/>
    <w:rsid w:val="006B15C9"/>
    <w:rsid w:val="006B3947"/>
    <w:rsid w:val="006B4293"/>
    <w:rsid w:val="006B624F"/>
    <w:rsid w:val="006C0C95"/>
    <w:rsid w:val="006C31E3"/>
    <w:rsid w:val="006D13DF"/>
    <w:rsid w:val="006D18D3"/>
    <w:rsid w:val="006E08CB"/>
    <w:rsid w:val="006E598D"/>
    <w:rsid w:val="0070437D"/>
    <w:rsid w:val="00704CF1"/>
    <w:rsid w:val="00705B04"/>
    <w:rsid w:val="00707190"/>
    <w:rsid w:val="00724992"/>
    <w:rsid w:val="00734820"/>
    <w:rsid w:val="007349DC"/>
    <w:rsid w:val="0074365E"/>
    <w:rsid w:val="00744B55"/>
    <w:rsid w:val="007515FD"/>
    <w:rsid w:val="00760D80"/>
    <w:rsid w:val="007647D9"/>
    <w:rsid w:val="00780C09"/>
    <w:rsid w:val="00780DDF"/>
    <w:rsid w:val="007834E9"/>
    <w:rsid w:val="00787DBC"/>
    <w:rsid w:val="0079019A"/>
    <w:rsid w:val="00792935"/>
    <w:rsid w:val="007A04A1"/>
    <w:rsid w:val="007A1840"/>
    <w:rsid w:val="007B02A6"/>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46965"/>
    <w:rsid w:val="00850BAC"/>
    <w:rsid w:val="00854A3E"/>
    <w:rsid w:val="00854BAE"/>
    <w:rsid w:val="00855D08"/>
    <w:rsid w:val="008612CD"/>
    <w:rsid w:val="00874344"/>
    <w:rsid w:val="00882155"/>
    <w:rsid w:val="0088233B"/>
    <w:rsid w:val="0088599E"/>
    <w:rsid w:val="00886C37"/>
    <w:rsid w:val="00892D99"/>
    <w:rsid w:val="00893315"/>
    <w:rsid w:val="008B62AE"/>
    <w:rsid w:val="008C04B5"/>
    <w:rsid w:val="008C14FA"/>
    <w:rsid w:val="008C7B0B"/>
    <w:rsid w:val="008D4057"/>
    <w:rsid w:val="008E1C6F"/>
    <w:rsid w:val="008E1F19"/>
    <w:rsid w:val="008F1412"/>
    <w:rsid w:val="008F2262"/>
    <w:rsid w:val="008F4D2B"/>
    <w:rsid w:val="008F7736"/>
    <w:rsid w:val="0090019E"/>
    <w:rsid w:val="00901086"/>
    <w:rsid w:val="00901833"/>
    <w:rsid w:val="00901C8A"/>
    <w:rsid w:val="00905886"/>
    <w:rsid w:val="009070D6"/>
    <w:rsid w:val="009076C6"/>
    <w:rsid w:val="0091019E"/>
    <w:rsid w:val="009106F1"/>
    <w:rsid w:val="00912404"/>
    <w:rsid w:val="009145D6"/>
    <w:rsid w:val="00920E64"/>
    <w:rsid w:val="00922002"/>
    <w:rsid w:val="00924020"/>
    <w:rsid w:val="009252C2"/>
    <w:rsid w:val="009271A7"/>
    <w:rsid w:val="0093658B"/>
    <w:rsid w:val="009429FF"/>
    <w:rsid w:val="00945BD6"/>
    <w:rsid w:val="009479FB"/>
    <w:rsid w:val="00951C45"/>
    <w:rsid w:val="00957A41"/>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187C"/>
    <w:rsid w:val="009F2A7C"/>
    <w:rsid w:val="009F3B36"/>
    <w:rsid w:val="00A019B9"/>
    <w:rsid w:val="00A12508"/>
    <w:rsid w:val="00A1282B"/>
    <w:rsid w:val="00A13A27"/>
    <w:rsid w:val="00A175B6"/>
    <w:rsid w:val="00A21835"/>
    <w:rsid w:val="00A235A9"/>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6C78"/>
    <w:rsid w:val="00AE2EAB"/>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516ED"/>
    <w:rsid w:val="00B57A6A"/>
    <w:rsid w:val="00B760F1"/>
    <w:rsid w:val="00B7669E"/>
    <w:rsid w:val="00B77DA1"/>
    <w:rsid w:val="00B822A0"/>
    <w:rsid w:val="00B856A4"/>
    <w:rsid w:val="00B858AE"/>
    <w:rsid w:val="00B85964"/>
    <w:rsid w:val="00B916E8"/>
    <w:rsid w:val="00B96250"/>
    <w:rsid w:val="00BA0D55"/>
    <w:rsid w:val="00BA180D"/>
    <w:rsid w:val="00BA37B3"/>
    <w:rsid w:val="00BA4CC6"/>
    <w:rsid w:val="00BB3493"/>
    <w:rsid w:val="00BB7468"/>
    <w:rsid w:val="00BC188A"/>
    <w:rsid w:val="00BC402E"/>
    <w:rsid w:val="00BD0F48"/>
    <w:rsid w:val="00BD12B5"/>
    <w:rsid w:val="00BF5010"/>
    <w:rsid w:val="00C03D5F"/>
    <w:rsid w:val="00C13791"/>
    <w:rsid w:val="00C25B2F"/>
    <w:rsid w:val="00C31BB3"/>
    <w:rsid w:val="00C31FF6"/>
    <w:rsid w:val="00C36977"/>
    <w:rsid w:val="00C467DA"/>
    <w:rsid w:val="00C477D9"/>
    <w:rsid w:val="00C51CA5"/>
    <w:rsid w:val="00C60BA3"/>
    <w:rsid w:val="00C623F7"/>
    <w:rsid w:val="00C75BC5"/>
    <w:rsid w:val="00C81670"/>
    <w:rsid w:val="00C81773"/>
    <w:rsid w:val="00C82861"/>
    <w:rsid w:val="00C82D29"/>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3A01"/>
    <w:rsid w:val="00D04BE4"/>
    <w:rsid w:val="00D12565"/>
    <w:rsid w:val="00D14127"/>
    <w:rsid w:val="00D41C06"/>
    <w:rsid w:val="00D45441"/>
    <w:rsid w:val="00D60B16"/>
    <w:rsid w:val="00D60F02"/>
    <w:rsid w:val="00D66E49"/>
    <w:rsid w:val="00D70D71"/>
    <w:rsid w:val="00D72F74"/>
    <w:rsid w:val="00D8135C"/>
    <w:rsid w:val="00D81563"/>
    <w:rsid w:val="00D85907"/>
    <w:rsid w:val="00D9073E"/>
    <w:rsid w:val="00D91CD8"/>
    <w:rsid w:val="00D9221D"/>
    <w:rsid w:val="00D958DF"/>
    <w:rsid w:val="00D96DA1"/>
    <w:rsid w:val="00DA51E7"/>
    <w:rsid w:val="00DB0260"/>
    <w:rsid w:val="00DB1C78"/>
    <w:rsid w:val="00DB7D96"/>
    <w:rsid w:val="00DC23FE"/>
    <w:rsid w:val="00DC59E6"/>
    <w:rsid w:val="00DD150B"/>
    <w:rsid w:val="00DD5025"/>
    <w:rsid w:val="00DE1707"/>
    <w:rsid w:val="00DF1510"/>
    <w:rsid w:val="00E02F1F"/>
    <w:rsid w:val="00E06484"/>
    <w:rsid w:val="00E20A7D"/>
    <w:rsid w:val="00E275D8"/>
    <w:rsid w:val="00E30F6A"/>
    <w:rsid w:val="00E3117C"/>
    <w:rsid w:val="00E375CA"/>
    <w:rsid w:val="00E55ACF"/>
    <w:rsid w:val="00E567E8"/>
    <w:rsid w:val="00E64679"/>
    <w:rsid w:val="00E65EBC"/>
    <w:rsid w:val="00E677FE"/>
    <w:rsid w:val="00E73432"/>
    <w:rsid w:val="00E77B0C"/>
    <w:rsid w:val="00E77FB8"/>
    <w:rsid w:val="00E838B0"/>
    <w:rsid w:val="00E86A7C"/>
    <w:rsid w:val="00E878E1"/>
    <w:rsid w:val="00E87F2C"/>
    <w:rsid w:val="00E95278"/>
    <w:rsid w:val="00EA2273"/>
    <w:rsid w:val="00EB2DB3"/>
    <w:rsid w:val="00EC3FBB"/>
    <w:rsid w:val="00EC6B7A"/>
    <w:rsid w:val="00ED3A87"/>
    <w:rsid w:val="00ED5B67"/>
    <w:rsid w:val="00EF264C"/>
    <w:rsid w:val="00EF3FEE"/>
    <w:rsid w:val="00F04B59"/>
    <w:rsid w:val="00F10E4F"/>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4175"/>
    <w:rsid w:val="00FA59CD"/>
    <w:rsid w:val="00FB02D4"/>
    <w:rsid w:val="00FB1740"/>
    <w:rsid w:val="00FB655F"/>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D03A0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D03A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22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96AE9-3836-44C0-85D1-1218A7F25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7</Pages>
  <Words>1333</Words>
  <Characters>7600</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Recommendation</vt:lpstr>
      <vt:lpstr>Case Background</vt:lpstr>
      <vt:lpstr/>
      <vt:lpstr>Discussion of Issues</vt:lpstr>
      <vt:lpstr>Issue 1: </vt:lpstr>
      <vt:lpstr>    Recommendation: </vt:lpstr>
      <vt:lpstr>    Staff Analysis: </vt:lpstr>
      <vt:lpstr>Issue 2: </vt:lpstr>
      <vt:lpstr>    Recommendation: </vt:lpstr>
      <vt:lpstr>    Staff Analysis: </vt:lpstr>
      <vt:lpstr>Issue 3: </vt:lpstr>
      <vt:lpstr>    Recommendation: </vt:lpstr>
      <vt:lpstr>    Staff Analysis: </vt:lpstr>
    </vt:vector>
  </TitlesOfParts>
  <Company>FPSC</Company>
  <LinksUpToDate>false</LinksUpToDate>
  <CharactersWithSpaces>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 Smith</dc:creator>
  <cp:lastModifiedBy>Nickalus  Holmes</cp:lastModifiedBy>
  <cp:revision>3</cp:revision>
  <cp:lastPrinted>2018-01-25T15:17:00Z</cp:lastPrinted>
  <dcterms:created xsi:type="dcterms:W3CDTF">2018-01-25T17:29:00Z</dcterms:created>
  <dcterms:modified xsi:type="dcterms:W3CDTF">2018-01-25T17:46:00Z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20170272-EI</vt:lpwstr>
  </property>
  <property fmtid="{D5CDD505-2E9C-101B-9397-08002B2CF9AE}" pid="3" name="MasterDocument">
    <vt:bool>false</vt:bool>
  </property>
</Properties>
</file>