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44E6" w:rsidP="000C44E6">
      <w:pPr>
        <w:pStyle w:val="OrderHeading"/>
      </w:pPr>
      <w:r>
        <w:t>BEFORE THE FLORIDA PUBLIC SERVICE COMMISSION</w:t>
      </w:r>
    </w:p>
    <w:p w:rsidR="000C44E6" w:rsidRDefault="000C44E6" w:rsidP="000C44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44E6" w:rsidRPr="00C63FCF" w:rsidTr="00C63FCF">
        <w:trPr>
          <w:trHeight w:val="828"/>
        </w:trPr>
        <w:tc>
          <w:tcPr>
            <w:tcW w:w="4788" w:type="dxa"/>
            <w:tcBorders>
              <w:bottom w:val="single" w:sz="8" w:space="0" w:color="auto"/>
              <w:right w:val="double" w:sz="6" w:space="0" w:color="auto"/>
            </w:tcBorders>
            <w:shd w:val="clear" w:color="auto" w:fill="auto"/>
          </w:tcPr>
          <w:p w:rsidR="000C44E6" w:rsidRDefault="000C44E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0C44E6" w:rsidRDefault="000C44E6" w:rsidP="000C44E6">
            <w:pPr>
              <w:pStyle w:val="OrderBody"/>
            </w:pPr>
            <w:r>
              <w:t xml:space="preserve">DOCKET NO. </w:t>
            </w:r>
            <w:bookmarkStart w:id="1" w:name="SSDocketNo"/>
            <w:bookmarkEnd w:id="1"/>
            <w:r>
              <w:t>20160251-EI</w:t>
            </w:r>
          </w:p>
          <w:p w:rsidR="000C44E6" w:rsidRDefault="000C44E6" w:rsidP="00C63FCF">
            <w:pPr>
              <w:pStyle w:val="OrderBody"/>
              <w:tabs>
                <w:tab w:val="center" w:pos="4320"/>
                <w:tab w:val="right" w:pos="8640"/>
              </w:tabs>
              <w:jc w:val="left"/>
            </w:pPr>
            <w:r>
              <w:t xml:space="preserve">ORDER NO. </w:t>
            </w:r>
            <w:bookmarkStart w:id="2" w:name="OrderNo0253"/>
            <w:r w:rsidR="001745A7">
              <w:t>PSC-2018-0253-PCO-EI</w:t>
            </w:r>
            <w:bookmarkEnd w:id="2"/>
          </w:p>
          <w:p w:rsidR="000C44E6" w:rsidRDefault="000C44E6" w:rsidP="00C63FCF">
            <w:pPr>
              <w:pStyle w:val="OrderBody"/>
              <w:tabs>
                <w:tab w:val="center" w:pos="4320"/>
                <w:tab w:val="right" w:pos="8640"/>
              </w:tabs>
              <w:jc w:val="left"/>
            </w:pPr>
            <w:r>
              <w:t xml:space="preserve">ISSUED: </w:t>
            </w:r>
            <w:r w:rsidR="001745A7">
              <w:t>May 18, 2018</w:t>
            </w:r>
          </w:p>
        </w:tc>
      </w:tr>
    </w:tbl>
    <w:p w:rsidR="000C44E6" w:rsidRDefault="000C44E6" w:rsidP="000C44E6"/>
    <w:p w:rsidR="000C44E6" w:rsidRDefault="000C44E6" w:rsidP="000C44E6">
      <w:pPr>
        <w:pStyle w:val="CenterUnderline"/>
      </w:pPr>
      <w:bookmarkStart w:id="3" w:name="Commissioners"/>
      <w:bookmarkEnd w:id="3"/>
      <w:r>
        <w:t>SECOND ORDER</w:t>
      </w:r>
      <w:bookmarkStart w:id="4" w:name="OrderTitle"/>
      <w:r>
        <w:t xml:space="preserve"> </w:t>
      </w:r>
      <w:r w:rsidR="00794709">
        <w:t xml:space="preserve">REVISING ORDER </w:t>
      </w:r>
      <w:r>
        <w:t xml:space="preserve">ESTABLISHING PROCEDURE </w:t>
      </w:r>
      <w:bookmarkEnd w:id="4"/>
    </w:p>
    <w:p w:rsidR="000C44E6" w:rsidRDefault="000C44E6" w:rsidP="000C44E6">
      <w:pPr>
        <w:pStyle w:val="CenterUnderline"/>
        <w:jc w:val="both"/>
      </w:pPr>
    </w:p>
    <w:p w:rsidR="00337808" w:rsidRDefault="000C44E6" w:rsidP="000C44E6">
      <w:pPr>
        <w:pStyle w:val="CenterUnderline"/>
        <w:jc w:val="both"/>
        <w:rPr>
          <w:u w:val="none"/>
        </w:rPr>
      </w:pPr>
      <w:r>
        <w:rPr>
          <w:u w:val="none"/>
        </w:rPr>
        <w:tab/>
      </w:r>
      <w:r w:rsidR="00DA3ADB">
        <w:rPr>
          <w:u w:val="none"/>
        </w:rPr>
        <w:t xml:space="preserve">Pursuant to </w:t>
      </w:r>
      <w:r>
        <w:rPr>
          <w:u w:val="none"/>
        </w:rPr>
        <w:t xml:space="preserve">Order No. PSC-2017-0471-PCO-EI, issued on December 15, 2017, the final hearing in this docket </w:t>
      </w:r>
      <w:r w:rsidR="00DA3ADB">
        <w:rPr>
          <w:u w:val="none"/>
        </w:rPr>
        <w:t xml:space="preserve">is scheduled </w:t>
      </w:r>
      <w:r>
        <w:rPr>
          <w:u w:val="none"/>
        </w:rPr>
        <w:t>for May 22 and 23, 2018.  On May 15, 2018, Florida Power &amp; Light Company (FPL) and the Office of Public Counsel (OPC) filed a Joint Motion for Approval of Settlement Agreement (Joint Motion) requesting that the Stipulation and Settlement Agreement</w:t>
      </w:r>
      <w:r w:rsidR="00FD19B1">
        <w:rPr>
          <w:u w:val="none"/>
        </w:rPr>
        <w:t xml:space="preserve"> (Settlement) signed on May 1</w:t>
      </w:r>
      <w:r w:rsidR="00337808">
        <w:rPr>
          <w:u w:val="none"/>
        </w:rPr>
        <w:t>4</w:t>
      </w:r>
      <w:r w:rsidR="00FD19B1">
        <w:rPr>
          <w:u w:val="none"/>
        </w:rPr>
        <w:t>, 2018</w:t>
      </w:r>
      <w:r w:rsidR="00300554">
        <w:rPr>
          <w:u w:val="none"/>
        </w:rPr>
        <w:t>,</w:t>
      </w:r>
      <w:r w:rsidR="00FD19B1">
        <w:rPr>
          <w:u w:val="none"/>
        </w:rPr>
        <w:t xml:space="preserve"> be approved by the Commission.  The signatories represent that the Settlement resolves all issues in this docket.  The Florida Retail Federation (FRF) and Florida Industrial Power Users Group (FIPUG)</w:t>
      </w:r>
      <w:r w:rsidR="00337808">
        <w:rPr>
          <w:u w:val="none"/>
        </w:rPr>
        <w:t xml:space="preserve"> are</w:t>
      </w:r>
      <w:r w:rsidR="00FD19B1">
        <w:rPr>
          <w:u w:val="none"/>
        </w:rPr>
        <w:t xml:space="preserve"> parties to this docket</w:t>
      </w:r>
      <w:r w:rsidR="00337808">
        <w:rPr>
          <w:u w:val="none"/>
        </w:rPr>
        <w:t xml:space="preserve"> and</w:t>
      </w:r>
      <w:r w:rsidR="00FD19B1">
        <w:rPr>
          <w:u w:val="none"/>
        </w:rPr>
        <w:t xml:space="preserve"> </w:t>
      </w:r>
      <w:r w:rsidR="00337808">
        <w:rPr>
          <w:u w:val="none"/>
        </w:rPr>
        <w:t xml:space="preserve">neither are </w:t>
      </w:r>
      <w:r w:rsidR="00FD19B1">
        <w:rPr>
          <w:u w:val="none"/>
        </w:rPr>
        <w:t>signatories to the Settlement</w:t>
      </w:r>
      <w:r w:rsidR="00337808">
        <w:rPr>
          <w:u w:val="none"/>
        </w:rPr>
        <w:t xml:space="preserve">.  </w:t>
      </w:r>
      <w:r w:rsidR="000D332C">
        <w:rPr>
          <w:u w:val="none"/>
        </w:rPr>
        <w:t>In the Joint Motion</w:t>
      </w:r>
      <w:r w:rsidR="00300554">
        <w:rPr>
          <w:u w:val="none"/>
        </w:rPr>
        <w:t>,</w:t>
      </w:r>
      <w:r w:rsidR="000D332C">
        <w:rPr>
          <w:u w:val="none"/>
        </w:rPr>
        <w:t xml:space="preserve"> the signatories represented that FRF and FIPUG were taking no position on the Joint Motion but reserved the right to take a position and file a response within the time allowed by Rule 28-106.204(1), Florida Administrative Code</w:t>
      </w:r>
      <w:r w:rsidR="00E06E5F">
        <w:rPr>
          <w:u w:val="none"/>
        </w:rPr>
        <w:t xml:space="preserve"> (F.A.C.)</w:t>
      </w:r>
      <w:r w:rsidR="000D332C">
        <w:rPr>
          <w:u w:val="none"/>
        </w:rPr>
        <w:t>, or by May 22, 2018.</w:t>
      </w:r>
      <w:r w:rsidR="003604EC">
        <w:rPr>
          <w:u w:val="none"/>
        </w:rPr>
        <w:t xml:space="preserve">  </w:t>
      </w:r>
    </w:p>
    <w:p w:rsidR="000D332C" w:rsidRDefault="000D332C" w:rsidP="000C44E6">
      <w:pPr>
        <w:pStyle w:val="CenterUnderline"/>
        <w:jc w:val="both"/>
        <w:rPr>
          <w:u w:val="none"/>
        </w:rPr>
      </w:pPr>
    </w:p>
    <w:p w:rsidR="000C44E6" w:rsidRDefault="000D332C" w:rsidP="000D332C">
      <w:pPr>
        <w:pStyle w:val="CenterUnderline"/>
        <w:jc w:val="both"/>
        <w:rPr>
          <w:u w:val="none"/>
        </w:rPr>
      </w:pPr>
      <w:r>
        <w:rPr>
          <w:u w:val="none"/>
        </w:rPr>
        <w:tab/>
      </w:r>
      <w:r w:rsidR="00E06E5F">
        <w:rPr>
          <w:u w:val="none"/>
        </w:rPr>
        <w:t xml:space="preserve">Due process requires that both FRF and FIPUG be given an adequate opportunity to review the Settlement prior to taking a position </w:t>
      </w:r>
      <w:r w:rsidR="00D31C3F">
        <w:rPr>
          <w:u w:val="none"/>
        </w:rPr>
        <w:t>on it</w:t>
      </w:r>
      <w:r w:rsidR="00DA3ADB">
        <w:rPr>
          <w:u w:val="none"/>
        </w:rPr>
        <w:t>.</w:t>
      </w:r>
      <w:r w:rsidR="00D31C3F">
        <w:rPr>
          <w:u w:val="none"/>
        </w:rPr>
        <w:t xml:space="preserve"> </w:t>
      </w:r>
      <w:r w:rsidR="001B0699">
        <w:rPr>
          <w:u w:val="none"/>
        </w:rPr>
        <w:t xml:space="preserve"> </w:t>
      </w:r>
      <w:r w:rsidR="00E06E5F">
        <w:rPr>
          <w:u w:val="none"/>
        </w:rPr>
        <w:t xml:space="preserve">Additionally, FRF’s and FIPUG’s final position on the Settlement </w:t>
      </w:r>
      <w:r w:rsidR="00794709">
        <w:rPr>
          <w:u w:val="none"/>
        </w:rPr>
        <w:t>may</w:t>
      </w:r>
      <w:r w:rsidR="00E06E5F">
        <w:rPr>
          <w:u w:val="none"/>
        </w:rPr>
        <w:t xml:space="preserve"> significantly affect how the case is tried, e.g., </w:t>
      </w:r>
      <w:r w:rsidR="00903BBA">
        <w:rPr>
          <w:u w:val="none"/>
        </w:rPr>
        <w:t>whether all or part of FPL’s, OPC’s</w:t>
      </w:r>
      <w:r w:rsidR="00DA3ADB">
        <w:rPr>
          <w:u w:val="none"/>
        </w:rPr>
        <w:t>,</w:t>
      </w:r>
      <w:r w:rsidR="00903BBA">
        <w:rPr>
          <w:u w:val="none"/>
        </w:rPr>
        <w:t xml:space="preserve"> and Commission staff’s </w:t>
      </w:r>
      <w:r w:rsidR="00E06E5F">
        <w:rPr>
          <w:u w:val="none"/>
        </w:rPr>
        <w:t xml:space="preserve">witnesses are </w:t>
      </w:r>
      <w:r w:rsidR="00903BBA">
        <w:rPr>
          <w:u w:val="none"/>
        </w:rPr>
        <w:t>required to testify or can be excused and their prefiled testimony and exhibits stipulated into the record.  T</w:t>
      </w:r>
      <w:r w:rsidR="00DA3ADB">
        <w:rPr>
          <w:u w:val="none"/>
        </w:rPr>
        <w:t>herefore</w:t>
      </w:r>
      <w:r w:rsidR="00903BBA">
        <w:rPr>
          <w:u w:val="none"/>
        </w:rPr>
        <w:t xml:space="preserve">, it is </w:t>
      </w:r>
      <w:r w:rsidR="00DA3ADB">
        <w:rPr>
          <w:u w:val="none"/>
        </w:rPr>
        <w:t xml:space="preserve">more </w:t>
      </w:r>
      <w:r w:rsidR="00903BBA">
        <w:rPr>
          <w:u w:val="none"/>
        </w:rPr>
        <w:t xml:space="preserve">administratively efficient to </w:t>
      </w:r>
      <w:r w:rsidR="00D00EF0">
        <w:rPr>
          <w:u w:val="none"/>
        </w:rPr>
        <w:t xml:space="preserve">allow </w:t>
      </w:r>
      <w:r w:rsidR="00903BBA">
        <w:rPr>
          <w:u w:val="none"/>
        </w:rPr>
        <w:t xml:space="preserve">the parties </w:t>
      </w:r>
      <w:r w:rsidR="00DA3ADB">
        <w:rPr>
          <w:u w:val="none"/>
        </w:rPr>
        <w:t>additional</w:t>
      </w:r>
      <w:r w:rsidR="00903BBA">
        <w:rPr>
          <w:u w:val="none"/>
        </w:rPr>
        <w:t xml:space="preserve"> time to review the Settlement</w:t>
      </w:r>
      <w:r w:rsidR="00D00EF0">
        <w:rPr>
          <w:u w:val="none"/>
        </w:rPr>
        <w:t xml:space="preserve"> and</w:t>
      </w:r>
      <w:r w:rsidR="00903BBA">
        <w:rPr>
          <w:u w:val="none"/>
        </w:rPr>
        <w:t xml:space="preserve"> take a position</w:t>
      </w:r>
      <w:r w:rsidR="00D00EF0">
        <w:rPr>
          <w:u w:val="none"/>
        </w:rPr>
        <w:t xml:space="preserve"> s</w:t>
      </w:r>
      <w:r w:rsidR="00903BBA">
        <w:rPr>
          <w:u w:val="none"/>
        </w:rPr>
        <w:t xml:space="preserve">o that the </w:t>
      </w:r>
      <w:r w:rsidR="00D31C3F">
        <w:rPr>
          <w:u w:val="none"/>
        </w:rPr>
        <w:t xml:space="preserve">final </w:t>
      </w:r>
      <w:r w:rsidR="00903BBA">
        <w:rPr>
          <w:u w:val="none"/>
        </w:rPr>
        <w:t>hearing</w:t>
      </w:r>
      <w:r w:rsidR="00396DA3">
        <w:rPr>
          <w:u w:val="none"/>
        </w:rPr>
        <w:t xml:space="preserve"> </w:t>
      </w:r>
      <w:r w:rsidR="00903BBA">
        <w:rPr>
          <w:u w:val="none"/>
        </w:rPr>
        <w:t xml:space="preserve">can be </w:t>
      </w:r>
      <w:r w:rsidR="002B7E42">
        <w:rPr>
          <w:u w:val="none"/>
        </w:rPr>
        <w:t xml:space="preserve">structured </w:t>
      </w:r>
      <w:r w:rsidR="00903BBA">
        <w:rPr>
          <w:u w:val="none"/>
        </w:rPr>
        <w:t>appropriately</w:t>
      </w:r>
      <w:r w:rsidR="002B7E42">
        <w:rPr>
          <w:u w:val="none"/>
        </w:rPr>
        <w:t>.</w:t>
      </w:r>
    </w:p>
    <w:p w:rsidR="00903BBA" w:rsidRDefault="00903BBA" w:rsidP="000D332C">
      <w:pPr>
        <w:pStyle w:val="CenterUnderline"/>
        <w:jc w:val="both"/>
        <w:rPr>
          <w:u w:val="none"/>
        </w:rPr>
      </w:pPr>
    </w:p>
    <w:p w:rsidR="00300554" w:rsidRDefault="00903BBA" w:rsidP="000D332C">
      <w:pPr>
        <w:pStyle w:val="CenterUnderline"/>
        <w:jc w:val="both"/>
        <w:rPr>
          <w:u w:val="none"/>
        </w:rPr>
      </w:pPr>
      <w:r>
        <w:rPr>
          <w:u w:val="none"/>
        </w:rPr>
        <w:tab/>
      </w:r>
      <w:r w:rsidR="00D31C3F">
        <w:rPr>
          <w:u w:val="none"/>
        </w:rPr>
        <w:t xml:space="preserve">For the reasons stated above, </w:t>
      </w:r>
      <w:r w:rsidR="002B7E42">
        <w:rPr>
          <w:u w:val="none"/>
        </w:rPr>
        <w:t>th</w:t>
      </w:r>
      <w:r w:rsidR="00300554">
        <w:rPr>
          <w:u w:val="none"/>
        </w:rPr>
        <w:t>e final</w:t>
      </w:r>
      <w:r w:rsidR="002B7E42">
        <w:rPr>
          <w:u w:val="none"/>
        </w:rPr>
        <w:t xml:space="preserve"> hearing will be rescheduled to June 5, 2018, to allow all parties an opportunity to review the Settlement</w:t>
      </w:r>
      <w:r w:rsidR="00300554">
        <w:rPr>
          <w:u w:val="none"/>
        </w:rPr>
        <w:t>, take a positon</w:t>
      </w:r>
      <w:r w:rsidR="00794709">
        <w:rPr>
          <w:u w:val="none"/>
        </w:rPr>
        <w:t xml:space="preserve"> no later than May 22, 2018</w:t>
      </w:r>
      <w:r w:rsidR="00300554">
        <w:rPr>
          <w:u w:val="none"/>
        </w:rPr>
        <w:t>,</w:t>
      </w:r>
      <w:r w:rsidR="002B7E42">
        <w:rPr>
          <w:u w:val="none"/>
        </w:rPr>
        <w:t xml:space="preserve"> and prepare for final hearing</w:t>
      </w:r>
      <w:r w:rsidR="00396DA3">
        <w:rPr>
          <w:u w:val="none"/>
        </w:rPr>
        <w:t xml:space="preserve">, </w:t>
      </w:r>
      <w:r w:rsidR="00396DA3" w:rsidRPr="00396DA3">
        <w:rPr>
          <w:u w:val="none"/>
        </w:rPr>
        <w:t>which will address both the identified issues in Order No. PSC-2018-0245-PHO-EI as well as the Settlement</w:t>
      </w:r>
      <w:r w:rsidR="002B7E42" w:rsidRPr="00396DA3">
        <w:rPr>
          <w:u w:val="none"/>
        </w:rPr>
        <w:t>.</w:t>
      </w:r>
      <w:r w:rsidR="00396DA3">
        <w:rPr>
          <w:u w:val="none"/>
        </w:rPr>
        <w:t xml:space="preserve"> </w:t>
      </w:r>
      <w:r w:rsidR="001B0699">
        <w:rPr>
          <w:u w:val="none"/>
        </w:rPr>
        <w:t xml:space="preserve"> </w:t>
      </w:r>
      <w:r w:rsidR="00396DA3">
        <w:rPr>
          <w:u w:val="none"/>
        </w:rPr>
        <w:t>A future order further establishing procedure</w:t>
      </w:r>
      <w:r w:rsidR="00AD0B4B">
        <w:rPr>
          <w:u w:val="none"/>
        </w:rPr>
        <w:t>s</w:t>
      </w:r>
      <w:r w:rsidR="00396DA3">
        <w:rPr>
          <w:u w:val="none"/>
        </w:rPr>
        <w:t xml:space="preserve"> for </w:t>
      </w:r>
      <w:r w:rsidR="00AD0B4B">
        <w:rPr>
          <w:u w:val="none"/>
        </w:rPr>
        <w:t xml:space="preserve">the </w:t>
      </w:r>
      <w:r w:rsidR="00396DA3">
        <w:rPr>
          <w:u w:val="none"/>
        </w:rPr>
        <w:t>final hearing may be forthcoming after May 22, 2018.</w:t>
      </w:r>
      <w:r w:rsidR="002B7E42">
        <w:rPr>
          <w:u w:val="none"/>
        </w:rPr>
        <w:t xml:space="preserve">  The time to file </w:t>
      </w:r>
      <w:r w:rsidR="00300554">
        <w:rPr>
          <w:u w:val="none"/>
        </w:rPr>
        <w:t xml:space="preserve">post-hearing </w:t>
      </w:r>
      <w:r w:rsidR="002B7E42">
        <w:rPr>
          <w:u w:val="none"/>
        </w:rPr>
        <w:t>briefs</w:t>
      </w:r>
      <w:r w:rsidR="00300554">
        <w:rPr>
          <w:u w:val="none"/>
        </w:rPr>
        <w:t xml:space="preserve">, should </w:t>
      </w:r>
      <w:r w:rsidR="00DA3ADB">
        <w:rPr>
          <w:u w:val="none"/>
        </w:rPr>
        <w:t xml:space="preserve">the </w:t>
      </w:r>
      <w:r w:rsidR="00300554">
        <w:rPr>
          <w:u w:val="none"/>
        </w:rPr>
        <w:t xml:space="preserve">parties desire to do so, </w:t>
      </w:r>
      <w:r w:rsidR="002B7E42">
        <w:rPr>
          <w:u w:val="none"/>
        </w:rPr>
        <w:t xml:space="preserve">will be set at </w:t>
      </w:r>
      <w:r w:rsidR="00794709">
        <w:rPr>
          <w:u w:val="none"/>
        </w:rPr>
        <w:t xml:space="preserve">the </w:t>
      </w:r>
      <w:r w:rsidR="00300554">
        <w:rPr>
          <w:u w:val="none"/>
        </w:rPr>
        <w:t xml:space="preserve">final </w:t>
      </w:r>
      <w:r w:rsidR="002B7E42">
        <w:rPr>
          <w:u w:val="none"/>
        </w:rPr>
        <w:t>hearing</w:t>
      </w:r>
      <w:r w:rsidR="00300554">
        <w:rPr>
          <w:u w:val="none"/>
        </w:rPr>
        <w:t>.</w:t>
      </w:r>
    </w:p>
    <w:p w:rsidR="002B7E42" w:rsidRDefault="00300554" w:rsidP="000D332C">
      <w:pPr>
        <w:pStyle w:val="CenterUnderline"/>
        <w:jc w:val="both"/>
        <w:rPr>
          <w:u w:val="none"/>
        </w:rPr>
      </w:pPr>
      <w:r>
        <w:rPr>
          <w:u w:val="none"/>
        </w:rPr>
        <w:t xml:space="preserve"> </w:t>
      </w:r>
    </w:p>
    <w:p w:rsidR="00D00EF0" w:rsidRDefault="00D00EF0" w:rsidP="000D332C">
      <w:pPr>
        <w:pStyle w:val="CenterUnderline"/>
        <w:jc w:val="both"/>
        <w:rPr>
          <w:u w:val="none"/>
        </w:rPr>
      </w:pPr>
      <w:r>
        <w:rPr>
          <w:u w:val="none"/>
        </w:rPr>
        <w:tab/>
        <w:t xml:space="preserve"> 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D00EF0" w:rsidRDefault="00D00EF0" w:rsidP="000D332C">
      <w:pPr>
        <w:pStyle w:val="CenterUnderline"/>
        <w:jc w:val="both"/>
        <w:rPr>
          <w:u w:val="none"/>
        </w:rPr>
      </w:pPr>
    </w:p>
    <w:p w:rsidR="00D00EF0" w:rsidRDefault="00D00EF0" w:rsidP="000D332C">
      <w:pPr>
        <w:pStyle w:val="CenterUnderline"/>
        <w:jc w:val="both"/>
        <w:rPr>
          <w:u w:val="none"/>
        </w:rPr>
      </w:pPr>
      <w:r>
        <w:rPr>
          <w:u w:val="none"/>
        </w:rPr>
        <w:tab/>
        <w:t>Based on the foregoing, it is</w:t>
      </w:r>
    </w:p>
    <w:p w:rsidR="00D00EF0" w:rsidRDefault="00D00EF0" w:rsidP="000D332C">
      <w:pPr>
        <w:pStyle w:val="CenterUnderline"/>
        <w:jc w:val="both"/>
        <w:rPr>
          <w:u w:val="none"/>
        </w:rPr>
      </w:pPr>
    </w:p>
    <w:p w:rsidR="00300554" w:rsidRDefault="00D00EF0" w:rsidP="000D332C">
      <w:pPr>
        <w:pStyle w:val="CenterUnderline"/>
        <w:jc w:val="both"/>
        <w:rPr>
          <w:u w:val="none"/>
        </w:rPr>
      </w:pPr>
      <w:r>
        <w:rPr>
          <w:u w:val="none"/>
        </w:rPr>
        <w:tab/>
        <w:t xml:space="preserve">ORDERED by Julie I. Brown, as Prehearing Officer, that </w:t>
      </w:r>
      <w:r w:rsidR="00300554">
        <w:rPr>
          <w:u w:val="none"/>
        </w:rPr>
        <w:t>the final hearing in this case currently scheduled for May 22 and 23, 2018, in this docket is cancelled.  It is further</w:t>
      </w:r>
    </w:p>
    <w:p w:rsidR="00300554" w:rsidRDefault="00300554" w:rsidP="000D332C">
      <w:pPr>
        <w:pStyle w:val="CenterUnderline"/>
        <w:jc w:val="both"/>
        <w:rPr>
          <w:u w:val="none"/>
        </w:rPr>
      </w:pPr>
    </w:p>
    <w:p w:rsidR="00300554" w:rsidRDefault="00300554" w:rsidP="000D332C">
      <w:pPr>
        <w:pStyle w:val="CenterUnderline"/>
        <w:jc w:val="both"/>
        <w:rPr>
          <w:u w:val="none"/>
        </w:rPr>
      </w:pPr>
      <w:r>
        <w:rPr>
          <w:u w:val="none"/>
        </w:rPr>
        <w:lastRenderedPageBreak/>
        <w:tab/>
        <w:t>ORDERED that the final hearing in this case will be held on June 5, 2018, and that the time to file briefs, should parties desire to do so, will be set at final hearing.  It is further</w:t>
      </w:r>
    </w:p>
    <w:p w:rsidR="001B0699" w:rsidRDefault="001B0699" w:rsidP="000D332C">
      <w:pPr>
        <w:pStyle w:val="CenterUnderline"/>
        <w:jc w:val="both"/>
        <w:rPr>
          <w:u w:val="none"/>
        </w:rPr>
      </w:pPr>
    </w:p>
    <w:p w:rsidR="00300554" w:rsidRDefault="00300554" w:rsidP="000D332C">
      <w:pPr>
        <w:pStyle w:val="CenterUnderline"/>
        <w:jc w:val="both"/>
        <w:rPr>
          <w:u w:val="none"/>
        </w:rPr>
      </w:pPr>
      <w:r>
        <w:rPr>
          <w:u w:val="none"/>
        </w:rPr>
        <w:tab/>
      </w:r>
      <w:r w:rsidR="00841C9F">
        <w:rPr>
          <w:u w:val="none"/>
        </w:rPr>
        <w:t>ORDERED that all other provisions of Order Nos. PSC-2017-0471-PCO-EI and PSC-2018-0189-PCO-EI not inconsistent with this order are hereby reaffirmed.</w:t>
      </w:r>
    </w:p>
    <w:p w:rsidR="00300554" w:rsidRDefault="00300554" w:rsidP="000D332C">
      <w:pPr>
        <w:pStyle w:val="CenterUnderline"/>
        <w:jc w:val="both"/>
        <w:rPr>
          <w:u w:val="none"/>
        </w:rPr>
      </w:pPr>
    </w:p>
    <w:p w:rsidR="00300554" w:rsidRDefault="00300554" w:rsidP="00300554">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1745A7">
        <w:t>18th</w:t>
      </w:r>
      <w:r w:rsidR="001745A7">
        <w:rPr>
          <w:u w:val="none"/>
        </w:rPr>
        <w:t xml:space="preserve"> day of </w:t>
      </w:r>
      <w:r w:rsidR="001745A7">
        <w:t>May</w:t>
      </w:r>
      <w:r w:rsidR="001745A7">
        <w:rPr>
          <w:u w:val="none"/>
        </w:rPr>
        <w:t xml:space="preserve">, </w:t>
      </w:r>
      <w:r w:rsidR="001745A7">
        <w:t>2018</w:t>
      </w:r>
      <w:r w:rsidR="001745A7">
        <w:rPr>
          <w:u w:val="none"/>
        </w:rPr>
        <w:t>.</w:t>
      </w:r>
    </w:p>
    <w:p w:rsidR="001745A7" w:rsidRPr="001745A7" w:rsidRDefault="001745A7" w:rsidP="00300554">
      <w:pPr>
        <w:pStyle w:val="CenterUnderline"/>
        <w:keepNext/>
        <w:keepLines/>
        <w:jc w:val="both"/>
        <w:rPr>
          <w:u w:val="none"/>
        </w:rPr>
      </w:pPr>
    </w:p>
    <w:p w:rsidR="00300554" w:rsidRDefault="00300554" w:rsidP="00300554">
      <w:pPr>
        <w:pStyle w:val="CenterUnderline"/>
        <w:keepNext/>
        <w:keepLines/>
        <w:jc w:val="both"/>
        <w:rPr>
          <w:u w:val="none"/>
        </w:rPr>
      </w:pPr>
    </w:p>
    <w:p w:rsidR="00300554" w:rsidRDefault="00300554" w:rsidP="0030055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00554" w:rsidTr="00300554">
        <w:tc>
          <w:tcPr>
            <w:tcW w:w="720" w:type="dxa"/>
            <w:shd w:val="clear" w:color="auto" w:fill="auto"/>
          </w:tcPr>
          <w:p w:rsidR="00300554" w:rsidRDefault="00300554" w:rsidP="0030055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00554" w:rsidRDefault="001745A7" w:rsidP="00300554">
            <w:pPr>
              <w:pStyle w:val="CenterUnderline"/>
              <w:keepNext/>
              <w:keepLines/>
              <w:jc w:val="both"/>
              <w:rPr>
                <w:u w:val="none"/>
              </w:rPr>
            </w:pPr>
            <w:r>
              <w:rPr>
                <w:u w:val="none"/>
              </w:rPr>
              <w:t>/s/ Julie I. Brown</w:t>
            </w:r>
            <w:bookmarkStart w:id="7" w:name="_GoBack"/>
            <w:bookmarkEnd w:id="7"/>
          </w:p>
        </w:tc>
      </w:tr>
      <w:bookmarkEnd w:id="6"/>
      <w:tr w:rsidR="00300554" w:rsidTr="00300554">
        <w:tc>
          <w:tcPr>
            <w:tcW w:w="720" w:type="dxa"/>
            <w:shd w:val="clear" w:color="auto" w:fill="auto"/>
          </w:tcPr>
          <w:p w:rsidR="00300554" w:rsidRDefault="00300554" w:rsidP="00300554">
            <w:pPr>
              <w:pStyle w:val="CenterUnderline"/>
              <w:keepNext/>
              <w:keepLines/>
              <w:jc w:val="both"/>
              <w:rPr>
                <w:u w:val="none"/>
              </w:rPr>
            </w:pPr>
          </w:p>
        </w:tc>
        <w:tc>
          <w:tcPr>
            <w:tcW w:w="4320" w:type="dxa"/>
            <w:tcBorders>
              <w:top w:val="single" w:sz="4" w:space="0" w:color="auto"/>
            </w:tcBorders>
            <w:shd w:val="clear" w:color="auto" w:fill="auto"/>
          </w:tcPr>
          <w:p w:rsidR="00300554" w:rsidRDefault="00300554" w:rsidP="00300554">
            <w:pPr>
              <w:pStyle w:val="CenterUnderline"/>
              <w:keepNext/>
              <w:keepLines/>
              <w:jc w:val="both"/>
              <w:rPr>
                <w:u w:val="none"/>
              </w:rPr>
            </w:pPr>
            <w:r>
              <w:rPr>
                <w:u w:val="none"/>
              </w:rPr>
              <w:t>JULIE I. BROWN</w:t>
            </w:r>
          </w:p>
          <w:p w:rsidR="00300554" w:rsidRDefault="00300554" w:rsidP="00300554">
            <w:pPr>
              <w:pStyle w:val="CenterUnderline"/>
              <w:keepNext/>
              <w:keepLines/>
              <w:jc w:val="both"/>
              <w:rPr>
                <w:u w:val="none"/>
              </w:rPr>
            </w:pPr>
            <w:r>
              <w:rPr>
                <w:u w:val="none"/>
              </w:rPr>
              <w:t>Commissioner and Prehearing Officer</w:t>
            </w:r>
          </w:p>
        </w:tc>
      </w:tr>
    </w:tbl>
    <w:p w:rsidR="00300554" w:rsidRDefault="00300554" w:rsidP="00300554">
      <w:pPr>
        <w:pStyle w:val="OrderSigInfo"/>
        <w:keepNext/>
        <w:keepLines/>
      </w:pPr>
      <w:r>
        <w:t>Florida Public Service Commission</w:t>
      </w:r>
    </w:p>
    <w:p w:rsidR="00300554" w:rsidRDefault="00300554" w:rsidP="00300554">
      <w:pPr>
        <w:pStyle w:val="OrderSigInfo"/>
        <w:keepNext/>
        <w:keepLines/>
      </w:pPr>
      <w:r>
        <w:t>2540 Shumard Oak Boulevard</w:t>
      </w:r>
    </w:p>
    <w:p w:rsidR="00300554" w:rsidRDefault="00300554" w:rsidP="00300554">
      <w:pPr>
        <w:pStyle w:val="OrderSigInfo"/>
        <w:keepNext/>
        <w:keepLines/>
      </w:pPr>
      <w:r>
        <w:t>Tallahassee, Florida 32399</w:t>
      </w:r>
    </w:p>
    <w:p w:rsidR="00300554" w:rsidRDefault="00300554" w:rsidP="00300554">
      <w:pPr>
        <w:pStyle w:val="OrderSigInfo"/>
        <w:keepNext/>
        <w:keepLines/>
      </w:pPr>
      <w:r>
        <w:t>(850) 413</w:t>
      </w:r>
      <w:r>
        <w:noBreakHyphen/>
        <w:t>6770</w:t>
      </w:r>
    </w:p>
    <w:p w:rsidR="00300554" w:rsidRDefault="00300554" w:rsidP="00300554">
      <w:pPr>
        <w:pStyle w:val="OrderSigInfo"/>
        <w:keepNext/>
        <w:keepLines/>
      </w:pPr>
      <w:r>
        <w:t>www.floridapsc.com</w:t>
      </w:r>
    </w:p>
    <w:p w:rsidR="00300554" w:rsidRDefault="00300554" w:rsidP="00300554">
      <w:pPr>
        <w:pStyle w:val="OrderSigInfo"/>
        <w:keepNext/>
        <w:keepLines/>
      </w:pPr>
    </w:p>
    <w:p w:rsidR="00300554" w:rsidRDefault="00300554" w:rsidP="00300554">
      <w:pPr>
        <w:pStyle w:val="OrderSigInfo"/>
        <w:keepNext/>
        <w:keepLines/>
      </w:pPr>
      <w:r>
        <w:t>Copies furnished:  A copy of this document is provided to the parties of record at the time of issuance and, if applicable, interested persons.</w:t>
      </w:r>
    </w:p>
    <w:p w:rsidR="00300554" w:rsidRDefault="00300554" w:rsidP="00300554">
      <w:pPr>
        <w:pStyle w:val="OrderBody"/>
        <w:keepNext/>
        <w:keepLines/>
      </w:pPr>
      <w:r>
        <w:t xml:space="preserve">   </w:t>
      </w:r>
      <w:r w:rsidR="00D00EF0">
        <w:t xml:space="preserve"> </w:t>
      </w:r>
    </w:p>
    <w:p w:rsidR="00300554" w:rsidRDefault="00300554" w:rsidP="00300554">
      <w:pPr>
        <w:pStyle w:val="OrderBody"/>
        <w:keepNext/>
        <w:keepLines/>
      </w:pPr>
      <w:r>
        <w:t>SBr</w:t>
      </w:r>
    </w:p>
    <w:p w:rsidR="00300554" w:rsidRDefault="00300554" w:rsidP="00300554">
      <w:pPr>
        <w:pStyle w:val="OrderBody"/>
        <w:keepNext/>
        <w:keepLines/>
      </w:pPr>
    </w:p>
    <w:p w:rsidR="00DC5C5C" w:rsidRDefault="00DC5C5C" w:rsidP="00300554">
      <w:pPr>
        <w:pStyle w:val="OrderBody"/>
        <w:keepNext/>
        <w:keepLines/>
      </w:pPr>
    </w:p>
    <w:p w:rsidR="00300554" w:rsidRDefault="00300554" w:rsidP="00300554">
      <w:pPr>
        <w:pStyle w:val="CenterUnderline"/>
      </w:pPr>
      <w:r>
        <w:t>NOTICE OF FURTHER PROCEEDINGS OR JUDICIAL REVIEW</w:t>
      </w:r>
    </w:p>
    <w:p w:rsidR="00300554" w:rsidRDefault="00300554" w:rsidP="00300554">
      <w:pPr>
        <w:pStyle w:val="CenterUnderline"/>
      </w:pPr>
    </w:p>
    <w:p w:rsidR="00300554" w:rsidRDefault="00300554" w:rsidP="003005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0554" w:rsidRDefault="00300554" w:rsidP="00300554">
      <w:pPr>
        <w:pStyle w:val="OrderBody"/>
      </w:pPr>
    </w:p>
    <w:p w:rsidR="00300554" w:rsidRDefault="00300554" w:rsidP="00300554">
      <w:pPr>
        <w:pStyle w:val="OrderBody"/>
      </w:pPr>
      <w:r>
        <w:tab/>
        <w:t>Mediation may be available on a case-by-case basis.  If mediation is conducted, it does not affect a substantially interested person's right to a hearing.</w:t>
      </w:r>
    </w:p>
    <w:p w:rsidR="00300554" w:rsidRDefault="00300554" w:rsidP="00300554">
      <w:pPr>
        <w:pStyle w:val="OrderBody"/>
      </w:pPr>
    </w:p>
    <w:p w:rsidR="00300554" w:rsidRDefault="00300554" w:rsidP="0030055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300554" w:rsidRDefault="00300554" w:rsidP="00300554">
      <w:pPr>
        <w:pStyle w:val="OrderBody"/>
      </w:pPr>
    </w:p>
    <w:p w:rsidR="00300554" w:rsidRDefault="00300554" w:rsidP="00300554">
      <w:pPr>
        <w:pStyle w:val="OrderBody"/>
      </w:pPr>
    </w:p>
    <w:p w:rsidR="00300554" w:rsidRDefault="00300554" w:rsidP="00300554">
      <w:pPr>
        <w:pStyle w:val="OrderBody"/>
      </w:pPr>
    </w:p>
    <w:sectPr w:rsidR="0030055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1F" w:rsidRDefault="00D9621F">
      <w:r>
        <w:separator/>
      </w:r>
    </w:p>
  </w:endnote>
  <w:endnote w:type="continuationSeparator" w:id="0">
    <w:p w:rsidR="00D9621F" w:rsidRDefault="00D9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1F" w:rsidRDefault="00D9621F">
      <w:r>
        <w:separator/>
      </w:r>
    </w:p>
  </w:footnote>
  <w:footnote w:type="continuationSeparator" w:id="0">
    <w:p w:rsidR="00D9621F" w:rsidRDefault="00D9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3 ">
      <w:r w:rsidR="001745A7">
        <w:t>PSC-2018-0253-PCO-EI</w:t>
      </w:r>
    </w:fldSimple>
  </w:p>
  <w:p w:rsidR="00FA6EFD" w:rsidRDefault="000C44E6">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45A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0C44E6"/>
    <w:rsid w:val="000022B8"/>
    <w:rsid w:val="00035A8C"/>
    <w:rsid w:val="00053AB9"/>
    <w:rsid w:val="00056229"/>
    <w:rsid w:val="00057AF1"/>
    <w:rsid w:val="00065FC2"/>
    <w:rsid w:val="00067685"/>
    <w:rsid w:val="00076E6B"/>
    <w:rsid w:val="0008247D"/>
    <w:rsid w:val="00090AFC"/>
    <w:rsid w:val="000B783E"/>
    <w:rsid w:val="000C44E6"/>
    <w:rsid w:val="000D02B8"/>
    <w:rsid w:val="000D06E8"/>
    <w:rsid w:val="000D332C"/>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45A7"/>
    <w:rsid w:val="00187E32"/>
    <w:rsid w:val="00194E81"/>
    <w:rsid w:val="001A15E7"/>
    <w:rsid w:val="001A33C9"/>
    <w:rsid w:val="001A58F3"/>
    <w:rsid w:val="001B0699"/>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4594"/>
    <w:rsid w:val="002A11AC"/>
    <w:rsid w:val="002A6F30"/>
    <w:rsid w:val="002B3111"/>
    <w:rsid w:val="002B7E42"/>
    <w:rsid w:val="002C7908"/>
    <w:rsid w:val="002D391B"/>
    <w:rsid w:val="002D4B1F"/>
    <w:rsid w:val="002D7D15"/>
    <w:rsid w:val="002E1B2E"/>
    <w:rsid w:val="002E27EB"/>
    <w:rsid w:val="002F2A9D"/>
    <w:rsid w:val="002F31C2"/>
    <w:rsid w:val="00300554"/>
    <w:rsid w:val="00303FDE"/>
    <w:rsid w:val="003140E8"/>
    <w:rsid w:val="003231C7"/>
    <w:rsid w:val="003270C4"/>
    <w:rsid w:val="00331ED0"/>
    <w:rsid w:val="00332B0A"/>
    <w:rsid w:val="00333A41"/>
    <w:rsid w:val="00337808"/>
    <w:rsid w:val="00345434"/>
    <w:rsid w:val="0035495B"/>
    <w:rsid w:val="00355A93"/>
    <w:rsid w:val="003604EC"/>
    <w:rsid w:val="00361522"/>
    <w:rsid w:val="0037196E"/>
    <w:rsid w:val="003744F5"/>
    <w:rsid w:val="00387BDE"/>
    <w:rsid w:val="00390DD8"/>
    <w:rsid w:val="00394DC6"/>
    <w:rsid w:val="00396DA3"/>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B7CD9"/>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ACE"/>
    <w:rsid w:val="005E751B"/>
    <w:rsid w:val="005F3354"/>
    <w:rsid w:val="005F493D"/>
    <w:rsid w:val="0060005E"/>
    <w:rsid w:val="0060095B"/>
    <w:rsid w:val="00601266"/>
    <w:rsid w:val="006054F5"/>
    <w:rsid w:val="00610E73"/>
    <w:rsid w:val="00611A2F"/>
    <w:rsid w:val="00616DF2"/>
    <w:rsid w:val="0063168D"/>
    <w:rsid w:val="006531A4"/>
    <w:rsid w:val="006558B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709"/>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1C9F"/>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3BBA"/>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87CED"/>
    <w:rsid w:val="00A97535"/>
    <w:rsid w:val="00AA2BAA"/>
    <w:rsid w:val="00AA73F1"/>
    <w:rsid w:val="00AB0E1A"/>
    <w:rsid w:val="00AB1A30"/>
    <w:rsid w:val="00AB3C36"/>
    <w:rsid w:val="00AD0B4B"/>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EF0"/>
    <w:rsid w:val="00D02E0F"/>
    <w:rsid w:val="00D03EE8"/>
    <w:rsid w:val="00D13535"/>
    <w:rsid w:val="00D17B79"/>
    <w:rsid w:val="00D23FEA"/>
    <w:rsid w:val="00D269CA"/>
    <w:rsid w:val="00D30B48"/>
    <w:rsid w:val="00D3168A"/>
    <w:rsid w:val="00D31C3F"/>
    <w:rsid w:val="00D46FAA"/>
    <w:rsid w:val="00D47A40"/>
    <w:rsid w:val="00D51D33"/>
    <w:rsid w:val="00D57BB2"/>
    <w:rsid w:val="00D57E57"/>
    <w:rsid w:val="00D70752"/>
    <w:rsid w:val="00D80E2D"/>
    <w:rsid w:val="00D84D5E"/>
    <w:rsid w:val="00D8560E"/>
    <w:rsid w:val="00D8758F"/>
    <w:rsid w:val="00D9621F"/>
    <w:rsid w:val="00DA3ADB"/>
    <w:rsid w:val="00DA4EDD"/>
    <w:rsid w:val="00DA6B78"/>
    <w:rsid w:val="00DC1D94"/>
    <w:rsid w:val="00DC42CF"/>
    <w:rsid w:val="00DC5C5C"/>
    <w:rsid w:val="00DE057F"/>
    <w:rsid w:val="00DE2082"/>
    <w:rsid w:val="00DE2289"/>
    <w:rsid w:val="00DE30E1"/>
    <w:rsid w:val="00DF09A7"/>
    <w:rsid w:val="00E001D6"/>
    <w:rsid w:val="00E03A76"/>
    <w:rsid w:val="00E04410"/>
    <w:rsid w:val="00E06E5F"/>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5B23"/>
    <w:rsid w:val="00F37E07"/>
    <w:rsid w:val="00F4182A"/>
    <w:rsid w:val="00F54380"/>
    <w:rsid w:val="00F54B47"/>
    <w:rsid w:val="00F61247"/>
    <w:rsid w:val="00F6702E"/>
    <w:rsid w:val="00F70E84"/>
    <w:rsid w:val="00FA092B"/>
    <w:rsid w:val="00FA4F6C"/>
    <w:rsid w:val="00FA6EFD"/>
    <w:rsid w:val="00FB74EA"/>
    <w:rsid w:val="00FD19B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DE30E1"/>
    <w:rPr>
      <w:sz w:val="16"/>
      <w:szCs w:val="16"/>
    </w:rPr>
  </w:style>
  <w:style w:type="paragraph" w:styleId="CommentText">
    <w:name w:val="annotation text"/>
    <w:basedOn w:val="Normal"/>
    <w:link w:val="CommentTextChar"/>
    <w:rsid w:val="00DE30E1"/>
    <w:rPr>
      <w:sz w:val="20"/>
      <w:szCs w:val="20"/>
    </w:rPr>
  </w:style>
  <w:style w:type="character" w:customStyle="1" w:styleId="CommentTextChar">
    <w:name w:val="Comment Text Char"/>
    <w:basedOn w:val="DefaultParagraphFont"/>
    <w:link w:val="CommentText"/>
    <w:rsid w:val="00DE30E1"/>
  </w:style>
  <w:style w:type="paragraph" w:styleId="CommentSubject">
    <w:name w:val="annotation subject"/>
    <w:basedOn w:val="CommentText"/>
    <w:next w:val="CommentText"/>
    <w:link w:val="CommentSubjectChar"/>
    <w:rsid w:val="00DE30E1"/>
    <w:rPr>
      <w:b/>
      <w:bCs/>
    </w:rPr>
  </w:style>
  <w:style w:type="character" w:customStyle="1" w:styleId="CommentSubjectChar">
    <w:name w:val="Comment Subject Char"/>
    <w:basedOn w:val="CommentTextChar"/>
    <w:link w:val="CommentSubject"/>
    <w:rsid w:val="00DE30E1"/>
    <w:rPr>
      <w:b/>
      <w:bCs/>
    </w:rPr>
  </w:style>
  <w:style w:type="paragraph" w:styleId="BalloonText">
    <w:name w:val="Balloon Text"/>
    <w:basedOn w:val="Normal"/>
    <w:link w:val="BalloonTextChar"/>
    <w:rsid w:val="00DE30E1"/>
    <w:rPr>
      <w:rFonts w:ascii="Tahoma" w:hAnsi="Tahoma" w:cs="Tahoma"/>
      <w:sz w:val="16"/>
      <w:szCs w:val="16"/>
    </w:rPr>
  </w:style>
  <w:style w:type="character" w:customStyle="1" w:styleId="BalloonTextChar">
    <w:name w:val="Balloon Text Char"/>
    <w:basedOn w:val="DefaultParagraphFont"/>
    <w:link w:val="BalloonText"/>
    <w:rsid w:val="00DE3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DE30E1"/>
    <w:rPr>
      <w:sz w:val="16"/>
      <w:szCs w:val="16"/>
    </w:rPr>
  </w:style>
  <w:style w:type="paragraph" w:styleId="CommentText">
    <w:name w:val="annotation text"/>
    <w:basedOn w:val="Normal"/>
    <w:link w:val="CommentTextChar"/>
    <w:rsid w:val="00DE30E1"/>
    <w:rPr>
      <w:sz w:val="20"/>
      <w:szCs w:val="20"/>
    </w:rPr>
  </w:style>
  <w:style w:type="character" w:customStyle="1" w:styleId="CommentTextChar">
    <w:name w:val="Comment Text Char"/>
    <w:basedOn w:val="DefaultParagraphFont"/>
    <w:link w:val="CommentText"/>
    <w:rsid w:val="00DE30E1"/>
  </w:style>
  <w:style w:type="paragraph" w:styleId="CommentSubject">
    <w:name w:val="annotation subject"/>
    <w:basedOn w:val="CommentText"/>
    <w:next w:val="CommentText"/>
    <w:link w:val="CommentSubjectChar"/>
    <w:rsid w:val="00DE30E1"/>
    <w:rPr>
      <w:b/>
      <w:bCs/>
    </w:rPr>
  </w:style>
  <w:style w:type="character" w:customStyle="1" w:styleId="CommentSubjectChar">
    <w:name w:val="Comment Subject Char"/>
    <w:basedOn w:val="CommentTextChar"/>
    <w:link w:val="CommentSubject"/>
    <w:rsid w:val="00DE30E1"/>
    <w:rPr>
      <w:b/>
      <w:bCs/>
    </w:rPr>
  </w:style>
  <w:style w:type="paragraph" w:styleId="BalloonText">
    <w:name w:val="Balloon Text"/>
    <w:basedOn w:val="Normal"/>
    <w:link w:val="BalloonTextChar"/>
    <w:rsid w:val="00DE30E1"/>
    <w:rPr>
      <w:rFonts w:ascii="Tahoma" w:hAnsi="Tahoma" w:cs="Tahoma"/>
      <w:sz w:val="16"/>
      <w:szCs w:val="16"/>
    </w:rPr>
  </w:style>
  <w:style w:type="character" w:customStyle="1" w:styleId="BalloonTextChar">
    <w:name w:val="Balloon Text Char"/>
    <w:basedOn w:val="DefaultParagraphFont"/>
    <w:link w:val="BalloonText"/>
    <w:rsid w:val="00DE3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833</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2018-05-18T15:54:00Z</dcterms:created>
  <dcterms:modified xsi:type="dcterms:W3CDTF">2018-05-18T17:00:00Z</dcterms:modified>
</cp:coreProperties>
</file>