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CB5276" w:rsidRDefault="007A20C0" w:rsidP="007A20C0">
      <w:pPr>
        <w:pStyle w:val="OrderHeading"/>
      </w:pPr>
      <w:r>
        <w:t>BEFORE THE FLORIDA PUBLIC SERVICE COMMISSION</w:t>
      </w:r>
    </w:p>
    <w:p w:rsidR="007A20C0" w:rsidRDefault="007A20C0" w:rsidP="007A20C0">
      <w:pPr>
        <w:pStyle w:val="OrderBody"/>
      </w:pPr>
    </w:p>
    <w:p w:rsidR="007A20C0" w:rsidRDefault="007A20C0" w:rsidP="007A20C0">
      <w:pPr>
        <w:pStyle w:val="OrderBody"/>
      </w:pPr>
    </w:p>
    <w:tbl>
      <w:tblPr>
        <w:tblW w:w="0" w:type="auto"/>
        <w:tblBorders>
          <w:insideV w:val="double" w:sz="4" w:space="0" w:color="auto"/>
        </w:tblBorders>
        <w:tblLook w:val="01E0" w:firstRow="1" w:lastRow="1" w:firstColumn="1" w:lastColumn="1" w:noHBand="0" w:noVBand="0"/>
      </w:tblPr>
      <w:tblGrid>
        <w:gridCol w:w="4788"/>
        <w:gridCol w:w="4788"/>
      </w:tblGrid>
      <w:tr w:rsidR="007A20C0" w:rsidRPr="00C63FCF" w:rsidTr="00C63FCF">
        <w:trPr>
          <w:trHeight w:val="828"/>
        </w:trPr>
        <w:tc>
          <w:tcPr>
            <w:tcW w:w="4788" w:type="dxa"/>
            <w:tcBorders>
              <w:bottom w:val="single" w:sz="8" w:space="0" w:color="auto"/>
              <w:right w:val="double" w:sz="6" w:space="0" w:color="auto"/>
            </w:tcBorders>
            <w:shd w:val="clear" w:color="auto" w:fill="auto"/>
          </w:tcPr>
          <w:p w:rsidR="007A20C0" w:rsidRDefault="007A20C0" w:rsidP="00C63FCF">
            <w:pPr>
              <w:pStyle w:val="OrderBody"/>
              <w:tabs>
                <w:tab w:val="center" w:pos="4320"/>
                <w:tab w:val="right" w:pos="8640"/>
              </w:tabs>
              <w:jc w:val="left"/>
            </w:pPr>
            <w:r>
              <w:t xml:space="preserve">In re: </w:t>
            </w:r>
            <w:bookmarkStart w:id="0" w:name="SSInRe"/>
            <w:bookmarkEnd w:id="0"/>
            <w:r>
              <w:t>Petition for approval of revisions to standard offer for energy purchased from cogenerators and renewable generating facilities and standard offer contract for purchases of firm capacity and energy, by Florida Public Utilities Company.</w:t>
            </w:r>
          </w:p>
        </w:tc>
        <w:tc>
          <w:tcPr>
            <w:tcW w:w="4788" w:type="dxa"/>
            <w:tcBorders>
              <w:left w:val="double" w:sz="6" w:space="0" w:color="auto"/>
            </w:tcBorders>
            <w:shd w:val="clear" w:color="auto" w:fill="auto"/>
          </w:tcPr>
          <w:p w:rsidR="007A20C0" w:rsidRDefault="007A20C0" w:rsidP="007A20C0">
            <w:pPr>
              <w:pStyle w:val="OrderBody"/>
            </w:pPr>
            <w:r>
              <w:t xml:space="preserve">DOCKET NO. </w:t>
            </w:r>
            <w:bookmarkStart w:id="1" w:name="SSDocketNo"/>
            <w:bookmarkEnd w:id="1"/>
            <w:r>
              <w:t>20180091-EQ</w:t>
            </w:r>
          </w:p>
          <w:p w:rsidR="007A20C0" w:rsidRDefault="007A20C0" w:rsidP="00C63FCF">
            <w:pPr>
              <w:pStyle w:val="OrderBody"/>
              <w:tabs>
                <w:tab w:val="center" w:pos="4320"/>
                <w:tab w:val="right" w:pos="8640"/>
              </w:tabs>
              <w:jc w:val="left"/>
            </w:pPr>
            <w:r>
              <w:t xml:space="preserve">ORDER NO. </w:t>
            </w:r>
            <w:bookmarkStart w:id="2" w:name="OrderNo0310"/>
            <w:r w:rsidR="00FB5B67">
              <w:t>PSC-2018-0310-PAA-EQ</w:t>
            </w:r>
            <w:bookmarkEnd w:id="2"/>
          </w:p>
          <w:p w:rsidR="007A20C0" w:rsidRDefault="007A20C0" w:rsidP="00C63FCF">
            <w:pPr>
              <w:pStyle w:val="OrderBody"/>
              <w:tabs>
                <w:tab w:val="center" w:pos="4320"/>
                <w:tab w:val="right" w:pos="8640"/>
              </w:tabs>
              <w:jc w:val="left"/>
            </w:pPr>
            <w:r>
              <w:t xml:space="preserve">ISSUED: </w:t>
            </w:r>
            <w:r w:rsidR="00FB5B67">
              <w:t>June 12, 2018</w:t>
            </w:r>
          </w:p>
        </w:tc>
      </w:tr>
    </w:tbl>
    <w:p w:rsidR="007A20C0" w:rsidRDefault="007A20C0" w:rsidP="007A20C0"/>
    <w:p w:rsidR="007A20C0" w:rsidRDefault="007A20C0" w:rsidP="007A20C0"/>
    <w:p w:rsidR="007A20C0" w:rsidRDefault="007A20C0">
      <w:pPr>
        <w:ind w:firstLine="720"/>
        <w:jc w:val="both"/>
      </w:pPr>
      <w:bookmarkStart w:id="3" w:name="Commissioners"/>
      <w:bookmarkEnd w:id="3"/>
      <w:r>
        <w:t>The following Commissioners participated in the disposition of this matter:</w:t>
      </w:r>
    </w:p>
    <w:p w:rsidR="007A20C0" w:rsidRDefault="007A20C0"/>
    <w:p w:rsidR="007A20C0" w:rsidRDefault="007A20C0">
      <w:pPr>
        <w:jc w:val="center"/>
      </w:pPr>
      <w:r>
        <w:t>ART GRAHAM, Chairman</w:t>
      </w:r>
    </w:p>
    <w:p w:rsidR="007A20C0" w:rsidRDefault="007A20C0">
      <w:pPr>
        <w:jc w:val="center"/>
      </w:pPr>
      <w:r>
        <w:t xml:space="preserve">JULIE I. BROWN </w:t>
      </w:r>
    </w:p>
    <w:p w:rsidR="007A20C0" w:rsidRDefault="007A20C0">
      <w:pPr>
        <w:jc w:val="center"/>
      </w:pPr>
      <w:r>
        <w:t>DONALD J. POLMANN</w:t>
      </w:r>
    </w:p>
    <w:p w:rsidR="007A20C0" w:rsidRDefault="007A20C0">
      <w:pPr>
        <w:jc w:val="center"/>
      </w:pPr>
      <w:r>
        <w:t>GARY F. CLARK</w:t>
      </w:r>
    </w:p>
    <w:p w:rsidR="007A20C0" w:rsidRDefault="007A20C0">
      <w:pPr>
        <w:jc w:val="center"/>
      </w:pPr>
      <w:r>
        <w:t>ANDREW GILES FAY</w:t>
      </w:r>
    </w:p>
    <w:p w:rsidR="007A20C0" w:rsidRDefault="007A20C0"/>
    <w:p w:rsidR="007A20C0" w:rsidRDefault="007A20C0" w:rsidP="007A20C0">
      <w:pPr>
        <w:pStyle w:val="OrderBody"/>
      </w:pPr>
    </w:p>
    <w:bookmarkStart w:id="4" w:name="OrderText"/>
    <w:bookmarkEnd w:id="4"/>
    <w:p w:rsidR="003475DE" w:rsidRDefault="007A20C0" w:rsidP="003475DE">
      <w:pPr>
        <w:pStyle w:val="OrderBody"/>
        <w:jc w:val="center"/>
        <w:rPr>
          <w:u w:val="single"/>
        </w:rPr>
      </w:pPr>
      <w:r w:rsidRPr="003E4B2D">
        <w:rPr>
          <w:lang w:val="en-CA"/>
        </w:rPr>
        <w:fldChar w:fldCharType="begin"/>
      </w:r>
      <w:r w:rsidRPr="003E4B2D">
        <w:rPr>
          <w:lang w:val="en-CA"/>
        </w:rPr>
        <w:instrText xml:space="preserve"> SEQ CHAPTER \h \r 1</w:instrText>
      </w:r>
      <w:r w:rsidRPr="003E4B2D">
        <w:fldChar w:fldCharType="end"/>
      </w:r>
      <w:r w:rsidRPr="003E4B2D">
        <w:rPr>
          <w:u w:val="single"/>
        </w:rPr>
        <w:t>NOTICE OF PROPOSED AGENCY ACTION</w:t>
      </w:r>
      <w:r w:rsidR="003475DE">
        <w:rPr>
          <w:u w:val="single"/>
        </w:rPr>
        <w:t xml:space="preserve"> </w:t>
      </w:r>
      <w:r w:rsidRPr="003E4B2D">
        <w:rPr>
          <w:u w:val="single"/>
        </w:rPr>
        <w:t>ORDER</w:t>
      </w:r>
      <w:bookmarkStart w:id="5" w:name="OrderTitle"/>
      <w:r>
        <w:rPr>
          <w:u w:val="single"/>
        </w:rPr>
        <w:t xml:space="preserve"> </w:t>
      </w:r>
      <w:bookmarkEnd w:id="5"/>
    </w:p>
    <w:p w:rsidR="003475DE" w:rsidRPr="003475DE" w:rsidRDefault="001A612B">
      <w:pPr>
        <w:pStyle w:val="OrderBody"/>
        <w:jc w:val="center"/>
        <w:rPr>
          <w:u w:val="single"/>
        </w:rPr>
      </w:pPr>
      <w:r w:rsidRPr="003475DE">
        <w:rPr>
          <w:u w:val="single"/>
        </w:rPr>
        <w:t xml:space="preserve">APPROVING FLORIDA PUBLIC UTILITIES COMPANY’S </w:t>
      </w:r>
    </w:p>
    <w:p w:rsidR="007A20C0" w:rsidRPr="003475DE" w:rsidRDefault="001A612B">
      <w:pPr>
        <w:pStyle w:val="OrderBody"/>
        <w:jc w:val="center"/>
        <w:rPr>
          <w:u w:val="single"/>
        </w:rPr>
      </w:pPr>
      <w:r w:rsidRPr="003475DE">
        <w:rPr>
          <w:u w:val="single"/>
        </w:rPr>
        <w:t>STANDARD OFFER CONTRACT AND SCHEDULE</w:t>
      </w:r>
    </w:p>
    <w:p w:rsidR="007A20C0" w:rsidRPr="003E4B2D" w:rsidRDefault="007A20C0">
      <w:pPr>
        <w:pStyle w:val="OrderBody"/>
      </w:pPr>
    </w:p>
    <w:p w:rsidR="007A20C0" w:rsidRPr="003E4B2D" w:rsidRDefault="007A20C0">
      <w:pPr>
        <w:pStyle w:val="OrderBody"/>
      </w:pPr>
    </w:p>
    <w:p w:rsidR="007A20C0" w:rsidRPr="003E4B2D" w:rsidRDefault="007A20C0">
      <w:pPr>
        <w:pStyle w:val="OrderBody"/>
      </w:pPr>
      <w:r w:rsidRPr="003E4B2D">
        <w:t>BY THE COMMISSION:</w:t>
      </w:r>
    </w:p>
    <w:p w:rsidR="007A20C0" w:rsidRPr="003E4B2D" w:rsidRDefault="007A20C0">
      <w:pPr>
        <w:pStyle w:val="OrderBody"/>
      </w:pPr>
    </w:p>
    <w:p w:rsidR="007A20C0" w:rsidRDefault="007A20C0">
      <w:pPr>
        <w:pStyle w:val="OrderBody"/>
      </w:pPr>
      <w:r w:rsidRPr="003E4B2D">
        <w:tab/>
        <w:t>NOTICE is hereby given by the Florida Public Service Commission</w:t>
      </w:r>
      <w:r w:rsidR="001A612B">
        <w:t xml:space="preserve"> (Commission)</w:t>
      </w:r>
      <w:r w:rsidRPr="003E4B2D">
        <w:t xml:space="preserve"> that the action discussed herein is preliminary in nature and will become final unless a person whose interests are substantially affected files a petition for a formal proceeding, pursuant to Rule 25-22.029, Florida Administrative Code</w:t>
      </w:r>
      <w:r>
        <w:t xml:space="preserve"> (F.A.C.)</w:t>
      </w:r>
      <w:r w:rsidRPr="003E4B2D">
        <w:t>.</w:t>
      </w:r>
    </w:p>
    <w:p w:rsidR="00CB5276" w:rsidRDefault="00CB5276" w:rsidP="007A20C0"/>
    <w:p w:rsidR="007A20C0" w:rsidRPr="007A20C0" w:rsidRDefault="007A20C0" w:rsidP="007A20C0">
      <w:pPr>
        <w:keepNext/>
        <w:spacing w:after="240"/>
        <w:jc w:val="center"/>
        <w:outlineLvl w:val="0"/>
        <w:rPr>
          <w:rFonts w:ascii="Arial" w:hAnsi="Arial" w:cs="Arial"/>
          <w:b/>
          <w:bCs/>
          <w:kern w:val="32"/>
          <w:szCs w:val="32"/>
        </w:rPr>
      </w:pPr>
      <w:r w:rsidRPr="007A20C0">
        <w:rPr>
          <w:rFonts w:ascii="Arial" w:hAnsi="Arial" w:cs="Arial"/>
          <w:b/>
          <w:bCs/>
          <w:kern w:val="32"/>
          <w:szCs w:val="32"/>
        </w:rPr>
        <w:t>Background</w:t>
      </w:r>
      <w:r w:rsidRPr="007A20C0">
        <w:rPr>
          <w:rFonts w:ascii="Arial" w:hAnsi="Arial" w:cs="Arial"/>
          <w:b/>
          <w:bCs/>
          <w:kern w:val="32"/>
          <w:szCs w:val="32"/>
        </w:rPr>
        <w:fldChar w:fldCharType="begin"/>
      </w:r>
      <w:r w:rsidRPr="007A20C0">
        <w:rPr>
          <w:rFonts w:ascii="Arial" w:hAnsi="Arial" w:cs="Arial"/>
          <w:b/>
          <w:bCs/>
          <w:kern w:val="32"/>
          <w:szCs w:val="32"/>
        </w:rPr>
        <w:instrText xml:space="preserve"> TC  "</w:instrText>
      </w:r>
      <w:r w:rsidRPr="007A20C0">
        <w:rPr>
          <w:rFonts w:ascii="Arial" w:hAnsi="Arial" w:cs="Arial"/>
          <w:b/>
          <w:bCs/>
          <w:kern w:val="32"/>
          <w:szCs w:val="32"/>
        </w:rPr>
        <w:tab/>
      </w:r>
      <w:bookmarkStart w:id="6" w:name="_Toc94516455"/>
      <w:r w:rsidRPr="007A20C0">
        <w:rPr>
          <w:rFonts w:ascii="Arial" w:hAnsi="Arial" w:cs="Arial"/>
          <w:b/>
          <w:bCs/>
          <w:kern w:val="32"/>
          <w:szCs w:val="32"/>
        </w:rPr>
        <w:instrText>Case Background</w:instrText>
      </w:r>
      <w:bookmarkEnd w:id="6"/>
      <w:r w:rsidRPr="007A20C0">
        <w:rPr>
          <w:rFonts w:ascii="Arial" w:hAnsi="Arial" w:cs="Arial"/>
          <w:b/>
          <w:bCs/>
          <w:kern w:val="32"/>
          <w:szCs w:val="32"/>
        </w:rPr>
        <w:instrText xml:space="preserve">" \l 1 </w:instrText>
      </w:r>
      <w:r w:rsidRPr="007A20C0">
        <w:rPr>
          <w:rFonts w:ascii="Arial" w:hAnsi="Arial" w:cs="Arial"/>
          <w:b/>
          <w:bCs/>
          <w:kern w:val="32"/>
          <w:szCs w:val="32"/>
        </w:rPr>
        <w:fldChar w:fldCharType="end"/>
      </w:r>
    </w:p>
    <w:p w:rsidR="007A20C0" w:rsidRPr="007A20C0" w:rsidRDefault="007A20C0" w:rsidP="007A20C0">
      <w:pPr>
        <w:spacing w:after="240"/>
        <w:jc w:val="both"/>
      </w:pPr>
      <w:r>
        <w:tab/>
      </w:r>
      <w:r w:rsidRPr="007A20C0">
        <w:t>Section 366.91(3), Florida Statutes (F.S.), requires that each investor-owned utility (IOU) continuously offer to purchase capacity and energy from renewable energy generators and small qualifying facilities. Rules 25-17.200 through 25-17.310,</w:t>
      </w:r>
      <w:r w:rsidR="001A612B">
        <w:t xml:space="preserve"> F.A.C.</w:t>
      </w:r>
      <w:r w:rsidRPr="007A20C0">
        <w:t>, implement the statute</w:t>
      </w:r>
      <w:r w:rsidR="001B61DF">
        <w:t>,</w:t>
      </w:r>
      <w:r w:rsidRPr="007A20C0">
        <w:t xml:space="preserve"> and r</w:t>
      </w:r>
      <w:r w:rsidR="00074D95">
        <w:t>equire each IOU to file with this</w:t>
      </w:r>
      <w:r w:rsidRPr="007A20C0">
        <w:t xml:space="preserve"> Commission, by April 1 of each year, a standard offer contract based on the next avoidable fossil fueled generating unit of each technology type identified in the Utility’s current Ten-Year Site Plan. On March 29, 2018, Florida Public Utilities Company (FPUC) submitted a petition for approval of its revised standard offer contract, pursuant to the rules cited above and Rules 25-9.003, 25-17.0825, and 25-17.0832, F.A.C. However, the petition w</w:t>
      </w:r>
      <w:r w:rsidR="000115CC">
        <w:t xml:space="preserve">as erroneously submitted to our </w:t>
      </w:r>
      <w:r w:rsidRPr="007A20C0">
        <w:t xml:space="preserve">Division of Economics. On April 5, 2018, FPUC filed its petition with the Office of Commission Clerk, requesting that </w:t>
      </w:r>
      <w:r w:rsidR="000115CC">
        <w:t xml:space="preserve">we </w:t>
      </w:r>
      <w:r w:rsidRPr="007A20C0">
        <w:t>accept its late-filed petition.</w:t>
      </w:r>
    </w:p>
    <w:p w:rsidR="007A20C0" w:rsidRPr="007A20C0" w:rsidRDefault="007A20C0" w:rsidP="007A20C0">
      <w:pPr>
        <w:spacing w:after="240"/>
        <w:jc w:val="both"/>
      </w:pPr>
      <w:r>
        <w:tab/>
      </w:r>
      <w:r w:rsidRPr="007A20C0">
        <w:t xml:space="preserve">Because FPUC, an IOU, does not own or operate any electric generating units, it does not have any avoidable units on which to base its standard offer contract. Rule 25-17.250(1), F.A.C., </w:t>
      </w:r>
      <w:r w:rsidRPr="007A20C0">
        <w:lastRenderedPageBreak/>
        <w:t xml:space="preserve">requires that, under these circumstances, the standard offer contract be based on avoiding or deferring a planned purchase. In its Northwest Division, FPUC currently purchases all of its electric power through purchased power agreements with Gulf Power Company (Gulf). FPUC has recently changed its full requirements purchased power supplier for the Northeast Division from JEA, formerly known as the Jacksonville Electric Authority, to Florida Power &amp; Light </w:t>
      </w:r>
      <w:r w:rsidR="005C0492">
        <w:t xml:space="preserve">Company </w:t>
      </w:r>
      <w:r w:rsidRPr="007A20C0">
        <w:t>(FPL). Revisions to FPUC’s standard offer contract and rate schedule are limited to changes reflecting FPL replacing JEA</w:t>
      </w:r>
      <w:r w:rsidR="001B61DF">
        <w:t xml:space="preserve"> in the Northeast Division</w:t>
      </w:r>
      <w:r w:rsidRPr="007A20C0">
        <w:t>.</w:t>
      </w:r>
    </w:p>
    <w:p w:rsidR="007A20C0" w:rsidRPr="007A20C0" w:rsidRDefault="007A20C0" w:rsidP="007A20C0">
      <w:pPr>
        <w:spacing w:after="240"/>
        <w:jc w:val="both"/>
      </w:pPr>
      <w:r>
        <w:tab/>
      </w:r>
      <w:r w:rsidR="00383DB5">
        <w:t xml:space="preserve">We have </w:t>
      </w:r>
      <w:r w:rsidRPr="007A20C0">
        <w:t>jurisdiction over this standard offer contract pursuant to Sections 366.04 through 366.06, and 366.91, F.S.</w:t>
      </w:r>
    </w:p>
    <w:p w:rsidR="007A20C0" w:rsidRPr="007A20C0" w:rsidRDefault="001A612B" w:rsidP="007A20C0">
      <w:pPr>
        <w:keepNext/>
        <w:spacing w:after="240"/>
        <w:jc w:val="center"/>
        <w:outlineLvl w:val="0"/>
        <w:rPr>
          <w:rFonts w:ascii="Arial" w:hAnsi="Arial" w:cs="Arial"/>
          <w:b/>
          <w:bCs/>
          <w:kern w:val="32"/>
          <w:szCs w:val="32"/>
        </w:rPr>
      </w:pPr>
      <w:bookmarkStart w:id="7" w:name="DiscussionOfIssues"/>
      <w:r>
        <w:rPr>
          <w:rFonts w:ascii="Arial" w:hAnsi="Arial" w:cs="Arial"/>
          <w:b/>
          <w:bCs/>
          <w:kern w:val="32"/>
          <w:szCs w:val="32"/>
        </w:rPr>
        <w:t>Review</w:t>
      </w:r>
    </w:p>
    <w:bookmarkEnd w:id="7"/>
    <w:p w:rsidR="007A20C0" w:rsidRPr="007A20C0" w:rsidRDefault="007A20C0" w:rsidP="001A612B">
      <w:pPr>
        <w:spacing w:after="240"/>
        <w:ind w:firstLine="720"/>
        <w:jc w:val="both"/>
      </w:pPr>
      <w:r w:rsidRPr="007A20C0">
        <w:t>Pursuant to Rule 25-17.250, F.A.C., an IOU must continuously make available a standard offer contract for the purchase of firm capacity and energy from renewable generating facilities (RF) and small qualifying facilities (QF) with a design capacity of 100 kilowatts (kW) or less. FPUC does not own or operate any of its own electric generating facilities, and thus does not file a Ten-Year Site Plan. Instead, FPUC purchases its electric energy under long-term, full requirements contracts with wholesale providers.</w:t>
      </w:r>
    </w:p>
    <w:p w:rsidR="007A20C0" w:rsidRPr="007A20C0" w:rsidRDefault="007A20C0" w:rsidP="007A20C0">
      <w:pPr>
        <w:spacing w:after="240"/>
        <w:jc w:val="both"/>
      </w:pPr>
      <w:r>
        <w:tab/>
      </w:r>
      <w:r w:rsidRPr="007A20C0">
        <w:t>The standard offer rate schedule consists of three components: (1) the Standard Offer – As Available Schedule (SOA); (2) the Standard Offer – Firm Schedule (SOF); and (3) the Standard Offer Contract. Current revisions to FPUC’s standard offer contract and rate schedule are limited to changes reflecting FPL replacing JEA as FPUC’s full requirements supplier for FPUC’s Northeast Division. The revised standard offer rate schedule and standard offer contract, in type-and-strike format, are included as Attachment A. The capacity and energy payments under the proposed rate schedule depend on the terms of FPUC’s wholesale contracts with its suppliers for FPUC's Northeast Division and Northwest Division.</w:t>
      </w:r>
    </w:p>
    <w:p w:rsidR="007A20C0" w:rsidRPr="007A20C0" w:rsidRDefault="007A20C0" w:rsidP="007A20C0">
      <w:pPr>
        <w:jc w:val="both"/>
        <w:outlineLvl w:val="2"/>
        <w:rPr>
          <w:rFonts w:ascii="Arial" w:hAnsi="Arial" w:cs="Arial"/>
          <w:b/>
          <w:bCs/>
          <w:iCs/>
          <w:szCs w:val="28"/>
        </w:rPr>
      </w:pPr>
      <w:r w:rsidRPr="007A20C0">
        <w:rPr>
          <w:rFonts w:ascii="Arial" w:hAnsi="Arial" w:cs="Arial"/>
          <w:b/>
          <w:bCs/>
          <w:iCs/>
          <w:szCs w:val="28"/>
        </w:rPr>
        <w:t>Northeast Division</w:t>
      </w:r>
    </w:p>
    <w:p w:rsidR="00837378" w:rsidRPr="007A20C0" w:rsidRDefault="007A20C0" w:rsidP="007A20C0">
      <w:pPr>
        <w:spacing w:after="240"/>
        <w:jc w:val="both"/>
      </w:pPr>
      <w:r>
        <w:tab/>
      </w:r>
      <w:r w:rsidRPr="007A20C0">
        <w:t>At present, FPL is the full requirements supplier for FPUC’s Northeast Division, which consists of Fernandina Beach and Amelia Island. In response to Staff’s First Data Request, FPUC provided estimates of the annual payments to an operator of a 10 megawatt (MW) facility, operating at a capacity factor of 70 percent, under a 20 year contract for (1) RF/QF operators located inside the service territory and (2) for operators delivering power to interconnection with the territory.</w:t>
      </w:r>
      <w:r w:rsidRPr="007A20C0">
        <w:rPr>
          <w:vertAlign w:val="superscript"/>
        </w:rPr>
        <w:footnoteReference w:id="1"/>
      </w:r>
      <w:r w:rsidRPr="007A20C0">
        <w:t xml:space="preserve"> Under both of these scenarios, FPUC estimated that its annual energy payments would be approximately $1.9 million starting in 2019 and would increase annually, based on the full reduction in FPL billing to FPUC. FPUC’s estimated annual capacity payments are confidential.</w:t>
      </w:r>
    </w:p>
    <w:p w:rsidR="007A20C0" w:rsidRPr="007A20C0" w:rsidRDefault="007A20C0" w:rsidP="007A20C0">
      <w:pPr>
        <w:jc w:val="both"/>
        <w:outlineLvl w:val="2"/>
        <w:rPr>
          <w:rFonts w:ascii="Arial" w:hAnsi="Arial" w:cs="Arial"/>
          <w:b/>
          <w:bCs/>
          <w:iCs/>
          <w:szCs w:val="28"/>
        </w:rPr>
      </w:pPr>
      <w:r w:rsidRPr="007A20C0">
        <w:rPr>
          <w:rFonts w:ascii="Arial" w:hAnsi="Arial" w:cs="Arial"/>
          <w:b/>
          <w:bCs/>
          <w:iCs/>
          <w:szCs w:val="28"/>
        </w:rPr>
        <w:t>Northwest Division</w:t>
      </w:r>
    </w:p>
    <w:p w:rsidR="007A20C0" w:rsidRDefault="007A20C0" w:rsidP="001A612B">
      <w:pPr>
        <w:contextualSpacing/>
        <w:jc w:val="both"/>
      </w:pPr>
      <w:r>
        <w:rPr>
          <w:rFonts w:cs="Arial"/>
          <w:bCs/>
          <w:kern w:val="32"/>
          <w:szCs w:val="32"/>
        </w:rPr>
        <w:tab/>
      </w:r>
      <w:r w:rsidRPr="007A20C0">
        <w:rPr>
          <w:rFonts w:cs="Arial"/>
          <w:bCs/>
          <w:kern w:val="32"/>
          <w:szCs w:val="32"/>
        </w:rPr>
        <w:t xml:space="preserve">At present, Gulf is the full requirements supplier for FPUC’s Northwest Division, which consists of portions of Jackson, Calhoun, and Liberty counties. </w:t>
      </w:r>
      <w:r w:rsidRPr="007A20C0">
        <w:t>In response to Staff’s First Data Request, FPUC</w:t>
      </w:r>
      <w:r w:rsidRPr="007A20C0">
        <w:rPr>
          <w:rFonts w:cs="Arial"/>
          <w:bCs/>
          <w:kern w:val="32"/>
          <w:szCs w:val="32"/>
        </w:rPr>
        <w:t xml:space="preserve"> provided estimates of the annual payments to an operator of a 10 MW facility, </w:t>
      </w:r>
      <w:r w:rsidRPr="007A20C0">
        <w:rPr>
          <w:rFonts w:cs="Arial"/>
          <w:bCs/>
          <w:kern w:val="32"/>
          <w:szCs w:val="32"/>
        </w:rPr>
        <w:lastRenderedPageBreak/>
        <w:t xml:space="preserve">operating at a capacity factor of 70 percent, under a 20 year contract </w:t>
      </w:r>
      <w:r w:rsidRPr="007A20C0">
        <w:t>for (1) RF/QF operators located inside the service territory and (2) for operators delivering power to interconnection with the territory.</w:t>
      </w:r>
      <w:r w:rsidRPr="007A20C0">
        <w:rPr>
          <w:rFonts w:cs="Arial"/>
          <w:bCs/>
          <w:kern w:val="32"/>
          <w:szCs w:val="32"/>
          <w:vertAlign w:val="superscript"/>
        </w:rPr>
        <w:footnoteReference w:id="2"/>
      </w:r>
      <w:r w:rsidRPr="007A20C0">
        <w:t xml:space="preserve"> Under both of these scenarios, FPUC estimated that its annual energy payments would be approximately $2.1 million starting in 2019 and would increase annually, based on the full reduction in Gulf billing to FPUC. FPUC’s estimated annual capacity payments are confidential.</w:t>
      </w:r>
    </w:p>
    <w:p w:rsidR="001A612B" w:rsidRPr="007A20C0" w:rsidRDefault="001A612B" w:rsidP="001A612B">
      <w:pPr>
        <w:contextualSpacing/>
        <w:jc w:val="both"/>
        <w:rPr>
          <w:rFonts w:cs="Arial"/>
          <w:bCs/>
          <w:kern w:val="32"/>
          <w:szCs w:val="32"/>
        </w:rPr>
      </w:pPr>
    </w:p>
    <w:p w:rsidR="007A20C0" w:rsidRDefault="001A612B" w:rsidP="001A612B">
      <w:pPr>
        <w:contextualSpacing/>
        <w:jc w:val="center"/>
        <w:outlineLvl w:val="2"/>
        <w:rPr>
          <w:rFonts w:ascii="Arial" w:hAnsi="Arial" w:cs="Arial"/>
          <w:b/>
          <w:bCs/>
          <w:iCs/>
          <w:szCs w:val="28"/>
        </w:rPr>
      </w:pPr>
      <w:r>
        <w:rPr>
          <w:rFonts w:ascii="Arial" w:hAnsi="Arial" w:cs="Arial"/>
          <w:b/>
          <w:bCs/>
          <w:iCs/>
          <w:szCs w:val="28"/>
        </w:rPr>
        <w:t>Decision</w:t>
      </w:r>
    </w:p>
    <w:p w:rsidR="001A612B" w:rsidRPr="007A20C0" w:rsidRDefault="001A612B" w:rsidP="001A612B">
      <w:pPr>
        <w:contextualSpacing/>
        <w:jc w:val="center"/>
        <w:outlineLvl w:val="2"/>
        <w:rPr>
          <w:rFonts w:ascii="Arial" w:hAnsi="Arial" w:cs="Arial"/>
          <w:b/>
          <w:bCs/>
          <w:iCs/>
          <w:szCs w:val="28"/>
        </w:rPr>
      </w:pPr>
    </w:p>
    <w:p w:rsidR="007A20C0" w:rsidRPr="007A20C0" w:rsidRDefault="007A20C0" w:rsidP="001A612B">
      <w:pPr>
        <w:contextualSpacing/>
        <w:jc w:val="both"/>
      </w:pPr>
      <w:r>
        <w:tab/>
      </w:r>
      <w:r w:rsidR="00383DB5">
        <w:t xml:space="preserve">Upon review, we find that the provisions of </w:t>
      </w:r>
      <w:r w:rsidRPr="007A20C0">
        <w:t xml:space="preserve">FPUC’s revised standard offer rate schedule and standard offer contract conform to all the requirements of Rules 25-17.200 through 25-17.310, F.A.C., and reflect the avoidable costs associated with FPUC’s power purchase agreements. </w:t>
      </w:r>
      <w:r w:rsidR="000115CC">
        <w:t xml:space="preserve">Thus, </w:t>
      </w:r>
      <w:r w:rsidRPr="007A20C0">
        <w:t xml:space="preserve">the revisions to the rate schedule and standard offer contract filed by FPUC </w:t>
      </w:r>
      <w:r w:rsidR="000115CC">
        <w:t xml:space="preserve">are </w:t>
      </w:r>
      <w:r w:rsidRPr="007A20C0">
        <w:t>approved as filed.</w:t>
      </w:r>
    </w:p>
    <w:p w:rsidR="007A20C0" w:rsidRPr="00692EBC" w:rsidRDefault="007A20C0" w:rsidP="007A20C0"/>
    <w:p w:rsidR="007A20C0" w:rsidRPr="00692EBC" w:rsidRDefault="007A20C0" w:rsidP="00AC12F3">
      <w:pPr>
        <w:jc w:val="both"/>
      </w:pPr>
      <w:r w:rsidRPr="00692EBC">
        <w:tab/>
        <w:t>Based on the foregoing, it is</w:t>
      </w:r>
    </w:p>
    <w:p w:rsidR="007A20C0" w:rsidRPr="00692EBC" w:rsidRDefault="007A20C0" w:rsidP="00AC12F3">
      <w:pPr>
        <w:jc w:val="both"/>
      </w:pPr>
    </w:p>
    <w:p w:rsidR="007A20C0" w:rsidRDefault="007A20C0" w:rsidP="00AC12F3">
      <w:pPr>
        <w:jc w:val="both"/>
      </w:pPr>
      <w:r w:rsidRPr="00692EBC">
        <w:tab/>
        <w:t xml:space="preserve">ORDERED by the </w:t>
      </w:r>
      <w:smartTag w:uri="urn:schemas-microsoft-com:office:smarttags" w:element="State">
        <w:smartTag w:uri="urn:schemas-microsoft-com:office:smarttags" w:element="place">
          <w:r w:rsidRPr="00692EBC">
            <w:t>Florida</w:t>
          </w:r>
        </w:smartTag>
      </w:smartTag>
      <w:r w:rsidRPr="00692EBC">
        <w:t xml:space="preserve"> Public Service Commission that </w:t>
      </w:r>
      <w:r w:rsidR="000115CC">
        <w:t>Florida Public Utilities Company’s standard offer contract and schedule are approved. It is further</w:t>
      </w:r>
    </w:p>
    <w:p w:rsidR="00F51E76" w:rsidRDefault="00F51E76" w:rsidP="007A20C0"/>
    <w:p w:rsidR="00F51E76" w:rsidRDefault="00F51E76" w:rsidP="00F51E76">
      <w:pPr>
        <w:pStyle w:val="OrderBody"/>
      </w:pPr>
      <w:r>
        <w:tab/>
        <w:t xml:space="preserve">ORDERED that the provisions of this Order, issued as proposed agency action, shall become final and effective upon the issuance of a Consummating Order unless an appropriate petition, in the form provided by Rule 28-106.201, Florida Administrative Code, is received by the Commission Clerk, 2540 Shumard Oak Boulevard, Tallahassee, Florida 32399-0850, by the close of business on the date set forth in the “Notice of Further Proceedings” attached hereto. </w:t>
      </w:r>
      <w:r w:rsidR="00EC1C17">
        <w:t>Potential signatories should be aware that, if a timely protest is filed, Florida Public Utilities Company’s standard offer contract may subsequently be revised.</w:t>
      </w:r>
      <w:r>
        <w:t xml:space="preserve"> It is further</w:t>
      </w:r>
    </w:p>
    <w:p w:rsidR="00F51E76" w:rsidRDefault="00F51E76" w:rsidP="00F51E76">
      <w:pPr>
        <w:pStyle w:val="OrderBody"/>
      </w:pPr>
    </w:p>
    <w:p w:rsidR="00F51E76" w:rsidRPr="00692EBC" w:rsidRDefault="00F51E76" w:rsidP="00F51E76">
      <w:pPr>
        <w:pStyle w:val="OrderBody"/>
      </w:pPr>
      <w:r>
        <w:tab/>
        <w:t>ORDERED that in the event this Order becomes final, this docket shall be closed.</w:t>
      </w:r>
    </w:p>
    <w:p w:rsidR="007A20C0" w:rsidRDefault="007A20C0" w:rsidP="007A20C0"/>
    <w:p w:rsidR="007A20C0" w:rsidRDefault="007A20C0" w:rsidP="007A20C0">
      <w:pPr>
        <w:keepNext/>
        <w:keepLines/>
      </w:pPr>
      <w:r>
        <w:lastRenderedPageBreak/>
        <w:tab/>
        <w:t xml:space="preserve">By ORDER of the Florida Public Service Commission this </w:t>
      </w:r>
      <w:bookmarkStart w:id="8" w:name="replaceDate"/>
      <w:bookmarkEnd w:id="8"/>
      <w:r w:rsidR="00FB5B67">
        <w:rPr>
          <w:u w:val="single"/>
        </w:rPr>
        <w:t>12th</w:t>
      </w:r>
      <w:r w:rsidR="00FB5B67">
        <w:t xml:space="preserve"> day of </w:t>
      </w:r>
      <w:r w:rsidR="00FB5B67">
        <w:rPr>
          <w:u w:val="single"/>
        </w:rPr>
        <w:t>June</w:t>
      </w:r>
      <w:r w:rsidR="00FB5B67">
        <w:t xml:space="preserve">, </w:t>
      </w:r>
      <w:r w:rsidR="00FB5B67">
        <w:rPr>
          <w:u w:val="single"/>
        </w:rPr>
        <w:t>2018</w:t>
      </w:r>
      <w:r w:rsidR="00FB5B67">
        <w:t>.</w:t>
      </w:r>
    </w:p>
    <w:p w:rsidR="00FB5B67" w:rsidRDefault="00FB5B67" w:rsidP="007A20C0">
      <w:pPr>
        <w:keepNext/>
        <w:keepLines/>
      </w:pPr>
    </w:p>
    <w:p w:rsidR="00FB5B67" w:rsidRPr="00FB5B67" w:rsidRDefault="00FB5B67" w:rsidP="007A20C0">
      <w:pPr>
        <w:keepNext/>
        <w:keepLines/>
      </w:pPr>
    </w:p>
    <w:tbl>
      <w:tblPr>
        <w:tblW w:w="4720" w:type="dxa"/>
        <w:tblInd w:w="3800" w:type="dxa"/>
        <w:tblLayout w:type="fixed"/>
        <w:tblLook w:val="0000" w:firstRow="0" w:lastRow="0" w:firstColumn="0" w:lastColumn="0" w:noHBand="0" w:noVBand="0"/>
      </w:tblPr>
      <w:tblGrid>
        <w:gridCol w:w="686"/>
        <w:gridCol w:w="4034"/>
      </w:tblGrid>
      <w:tr w:rsidR="007A20C0" w:rsidTr="007A20C0">
        <w:tc>
          <w:tcPr>
            <w:tcW w:w="720" w:type="dxa"/>
            <w:shd w:val="clear" w:color="auto" w:fill="auto"/>
          </w:tcPr>
          <w:p w:rsidR="007A20C0" w:rsidRDefault="007A20C0" w:rsidP="007A20C0">
            <w:pPr>
              <w:keepNext/>
              <w:keepLines/>
            </w:pPr>
            <w:bookmarkStart w:id="9" w:name="bkmrkSignature" w:colFirst="0" w:colLast="0"/>
          </w:p>
        </w:tc>
        <w:tc>
          <w:tcPr>
            <w:tcW w:w="4320" w:type="dxa"/>
            <w:tcBorders>
              <w:bottom w:val="single" w:sz="4" w:space="0" w:color="auto"/>
            </w:tcBorders>
            <w:shd w:val="clear" w:color="auto" w:fill="auto"/>
          </w:tcPr>
          <w:p w:rsidR="007A20C0" w:rsidRDefault="00FB5B67" w:rsidP="007A20C0">
            <w:pPr>
              <w:keepNext/>
              <w:keepLines/>
            </w:pPr>
            <w:r>
              <w:t>/s/ Carlotta S. Stauffer</w:t>
            </w:r>
            <w:bookmarkStart w:id="10" w:name="_GoBack"/>
            <w:bookmarkEnd w:id="10"/>
          </w:p>
        </w:tc>
      </w:tr>
      <w:bookmarkEnd w:id="9"/>
      <w:tr w:rsidR="007A20C0" w:rsidTr="007A20C0">
        <w:tc>
          <w:tcPr>
            <w:tcW w:w="720" w:type="dxa"/>
            <w:shd w:val="clear" w:color="auto" w:fill="auto"/>
          </w:tcPr>
          <w:p w:rsidR="007A20C0" w:rsidRDefault="007A20C0" w:rsidP="007A20C0">
            <w:pPr>
              <w:keepNext/>
              <w:keepLines/>
            </w:pPr>
          </w:p>
        </w:tc>
        <w:tc>
          <w:tcPr>
            <w:tcW w:w="4320" w:type="dxa"/>
            <w:tcBorders>
              <w:top w:val="single" w:sz="4" w:space="0" w:color="auto"/>
            </w:tcBorders>
            <w:shd w:val="clear" w:color="auto" w:fill="auto"/>
          </w:tcPr>
          <w:p w:rsidR="007A20C0" w:rsidRDefault="007A20C0" w:rsidP="007A20C0">
            <w:pPr>
              <w:keepNext/>
              <w:keepLines/>
            </w:pPr>
            <w:r>
              <w:t>CARLOTTA S. STAUFFER</w:t>
            </w:r>
          </w:p>
          <w:p w:rsidR="007A20C0" w:rsidRDefault="007A20C0" w:rsidP="007A20C0">
            <w:pPr>
              <w:keepNext/>
              <w:keepLines/>
            </w:pPr>
            <w:r>
              <w:t>Commission Clerk</w:t>
            </w:r>
          </w:p>
        </w:tc>
      </w:tr>
    </w:tbl>
    <w:p w:rsidR="007A20C0" w:rsidRDefault="007A20C0" w:rsidP="007A20C0">
      <w:pPr>
        <w:pStyle w:val="OrderSigInfo"/>
        <w:keepNext/>
        <w:keepLines/>
      </w:pPr>
      <w:r>
        <w:t>Florida Public Service Commission</w:t>
      </w:r>
    </w:p>
    <w:p w:rsidR="007A20C0" w:rsidRDefault="007A20C0" w:rsidP="007A20C0">
      <w:pPr>
        <w:pStyle w:val="OrderSigInfo"/>
        <w:keepNext/>
        <w:keepLines/>
      </w:pPr>
      <w:r>
        <w:t>2540 Shumard Oak Boulevard</w:t>
      </w:r>
    </w:p>
    <w:p w:rsidR="007A20C0" w:rsidRDefault="007A20C0" w:rsidP="007A20C0">
      <w:pPr>
        <w:pStyle w:val="OrderSigInfo"/>
        <w:keepNext/>
        <w:keepLines/>
      </w:pPr>
      <w:r>
        <w:t>Tallahassee, Florida 32399</w:t>
      </w:r>
    </w:p>
    <w:p w:rsidR="007A20C0" w:rsidRDefault="007A20C0" w:rsidP="007A20C0">
      <w:pPr>
        <w:pStyle w:val="OrderSigInfo"/>
        <w:keepNext/>
        <w:keepLines/>
      </w:pPr>
      <w:r>
        <w:t>(850) 413</w:t>
      </w:r>
      <w:r>
        <w:noBreakHyphen/>
        <w:t>6770</w:t>
      </w:r>
    </w:p>
    <w:p w:rsidR="007A20C0" w:rsidRDefault="007A20C0" w:rsidP="007A20C0">
      <w:pPr>
        <w:pStyle w:val="OrderSigInfo"/>
        <w:keepNext/>
        <w:keepLines/>
      </w:pPr>
      <w:r>
        <w:t>www.floridapsc.com</w:t>
      </w:r>
    </w:p>
    <w:p w:rsidR="007A20C0" w:rsidRDefault="007A20C0" w:rsidP="007A20C0">
      <w:pPr>
        <w:pStyle w:val="OrderSigInfo"/>
        <w:keepNext/>
        <w:keepLines/>
      </w:pPr>
    </w:p>
    <w:p w:rsidR="007A20C0" w:rsidRDefault="007A20C0" w:rsidP="007A20C0">
      <w:pPr>
        <w:pStyle w:val="OrderSigInfo"/>
        <w:keepNext/>
        <w:keepLines/>
      </w:pPr>
      <w:r>
        <w:t>Copies furnished:  A copy of this document is provided to the parties of record at the time of issuance and, if applicable, interested persons.</w:t>
      </w:r>
    </w:p>
    <w:p w:rsidR="007A20C0" w:rsidRDefault="007A20C0" w:rsidP="007A20C0">
      <w:pPr>
        <w:keepNext/>
        <w:keepLines/>
      </w:pPr>
    </w:p>
    <w:p w:rsidR="007A20C0" w:rsidRDefault="007A20C0" w:rsidP="0040747B">
      <w:pPr>
        <w:keepNext/>
        <w:keepLines/>
      </w:pPr>
      <w:r>
        <w:t>RD</w:t>
      </w:r>
    </w:p>
    <w:p w:rsidR="007A20C0" w:rsidRDefault="007A20C0" w:rsidP="007A20C0"/>
    <w:p w:rsidR="007A20C0" w:rsidRDefault="007A20C0" w:rsidP="007A20C0">
      <w:pPr>
        <w:pStyle w:val="CenterUnderline"/>
      </w:pPr>
      <w:r>
        <w:t>NOTICE OF FURTHER PROCEEDINGS OR JUDICIAL REVIEW</w:t>
      </w:r>
    </w:p>
    <w:p w:rsidR="007A20C0" w:rsidRDefault="007A20C0" w:rsidP="007A20C0">
      <w:pPr>
        <w:pStyle w:val="CenterUnderline"/>
      </w:pPr>
    </w:p>
    <w:p w:rsidR="007A20C0" w:rsidRDefault="007A20C0" w:rsidP="007A20C0">
      <w:pPr>
        <w:pStyle w:val="OrderBody"/>
      </w:pPr>
      <w:r>
        <w:tab/>
        <w:t>The Florida Public Service Commission is required by Section 120.569(1), Florida Statutes, to notify parties of any administrative hearing that is available under Section 120.57, Florida Statutes, as well as the procedures and time limits that apply.  This notice should not be construed to mean all requests for an administrative hearing will be granted or result in the relief sought.</w:t>
      </w:r>
    </w:p>
    <w:p w:rsidR="007A20C0" w:rsidRDefault="007A20C0" w:rsidP="007A20C0">
      <w:pPr>
        <w:pStyle w:val="OrderBody"/>
      </w:pPr>
    </w:p>
    <w:p w:rsidR="007A20C0" w:rsidRDefault="007A20C0" w:rsidP="007A20C0">
      <w:pPr>
        <w:pStyle w:val="OrderBody"/>
      </w:pPr>
      <w:r>
        <w:tab/>
        <w:t>Mediation may be available on a case-by-case basis.  If mediation is conducted, it does not affect a substantially interested person's right to a hearing.</w:t>
      </w:r>
    </w:p>
    <w:p w:rsidR="007A20C0" w:rsidRDefault="007A20C0" w:rsidP="007A20C0">
      <w:pPr>
        <w:pStyle w:val="OrderBody"/>
      </w:pPr>
    </w:p>
    <w:p w:rsidR="007A20C0" w:rsidRDefault="007A20C0" w:rsidP="007A20C0">
      <w:pPr>
        <w:pStyle w:val="OrderBody"/>
      </w:pPr>
      <w:r>
        <w:tab/>
        <w:t xml:space="preserve">The action proposed herein is preliminary in nature. Any person whose substantial interests are affected by the action proposed by this order may file a petition for a formal proceeding, in the form provided by Rule 28-106.201, Florida Administrative Code.  This petition must be received by the Office of Commission Clerk, 2540 Shumard Oak Boulevard, Tallahassee, Florida 32399-0850, by the close of business on </w:t>
      </w:r>
      <w:r w:rsidR="00FB5B67">
        <w:rPr>
          <w:u w:val="single"/>
        </w:rPr>
        <w:t>July 3, 2018</w:t>
      </w:r>
      <w:r>
        <w:t>.</w:t>
      </w:r>
    </w:p>
    <w:p w:rsidR="007A20C0" w:rsidRDefault="007A20C0" w:rsidP="007A20C0">
      <w:pPr>
        <w:pStyle w:val="OrderBody"/>
      </w:pPr>
    </w:p>
    <w:p w:rsidR="007A20C0" w:rsidRDefault="007A20C0" w:rsidP="007A20C0">
      <w:pPr>
        <w:pStyle w:val="OrderBody"/>
      </w:pPr>
      <w:r>
        <w:tab/>
        <w:t>In the absence of such a petition, this order shall become final and effective upon the issuance of a Consummating Order.</w:t>
      </w:r>
    </w:p>
    <w:p w:rsidR="007A20C0" w:rsidRDefault="007A20C0" w:rsidP="007A20C0">
      <w:pPr>
        <w:pStyle w:val="OrderBody"/>
      </w:pPr>
    </w:p>
    <w:p w:rsidR="00837378" w:rsidRDefault="007A20C0" w:rsidP="007A20C0">
      <w:pPr>
        <w:pStyle w:val="OrderBody"/>
      </w:pPr>
      <w:r>
        <w:tab/>
        <w:t>Any objection or protest filed in this/these docket(s) before the issuance date of this order is considered abandoned unless it satisfies the foregoing conditions and is renewed within the specifie</w:t>
      </w:r>
      <w:r w:rsidR="0040747B">
        <w:t>d protest period.</w:t>
      </w:r>
    </w:p>
    <w:p w:rsidR="0040747B" w:rsidRDefault="0040747B" w:rsidP="007A20C0">
      <w:pPr>
        <w:pStyle w:val="OrderBody"/>
        <w:sectPr w:rsidR="0040747B">
          <w:headerReference w:type="default" r:id="rId8"/>
          <w:footerReference w:type="first" r:id="rId9"/>
          <w:pgSz w:w="12240" w:h="15840" w:code="1"/>
          <w:pgMar w:top="1440" w:right="1440" w:bottom="1440" w:left="1440" w:header="720" w:footer="720" w:gutter="0"/>
          <w:cols w:space="720"/>
          <w:titlePg/>
          <w:docGrid w:linePitch="360"/>
        </w:sectPr>
      </w:pPr>
    </w:p>
    <w:p w:rsidR="007A20C0" w:rsidRDefault="007A20C0" w:rsidP="007A20C0">
      <w:pPr>
        <w:pStyle w:val="OrderBody"/>
      </w:pPr>
    </w:p>
    <w:p w:rsidR="007A20C0" w:rsidRDefault="00BA0E56" w:rsidP="007A20C0">
      <w:pPr>
        <w:pStyle w:val="OrderBody"/>
        <w:rPr>
          <w:noProof/>
        </w:rPr>
      </w:pPr>
      <w:r>
        <w:rPr>
          <w:noProof/>
        </w:rPr>
        <w:drawing>
          <wp:inline distT="0" distB="0" distL="0" distR="0" wp14:anchorId="13F81847" wp14:editId="2FC81198">
            <wp:extent cx="5943600" cy="7688580"/>
            <wp:effectExtent l="0" t="0" r="0" b="7620"/>
            <wp:docPr id="7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943600" cy="7688580"/>
                    </a:xfrm>
                    <a:prstGeom prst="rect">
                      <a:avLst/>
                    </a:prstGeom>
                    <a:noFill/>
                    <a:ln>
                      <a:noFill/>
                    </a:ln>
                  </pic:spPr>
                </pic:pic>
              </a:graphicData>
            </a:graphic>
          </wp:inline>
        </w:drawing>
      </w:r>
    </w:p>
    <w:p w:rsidR="007A20C0" w:rsidRDefault="007A20C0" w:rsidP="007A20C0">
      <w:pPr>
        <w:pStyle w:val="OrderBody"/>
        <w:rPr>
          <w:noProof/>
        </w:rPr>
      </w:pPr>
    </w:p>
    <w:p w:rsidR="007A20C0" w:rsidRDefault="00BA0E56" w:rsidP="007A20C0">
      <w:pPr>
        <w:pStyle w:val="OrderBody"/>
        <w:rPr>
          <w:noProof/>
        </w:rPr>
      </w:pPr>
      <w:r>
        <w:rPr>
          <w:noProof/>
        </w:rPr>
        <w:drawing>
          <wp:inline distT="0" distB="0" distL="0" distR="0" wp14:anchorId="2957B7BB" wp14:editId="25304DAA">
            <wp:extent cx="5943600" cy="7711440"/>
            <wp:effectExtent l="0" t="0" r="0" b="3810"/>
            <wp:docPr id="7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943600" cy="7711440"/>
                    </a:xfrm>
                    <a:prstGeom prst="rect">
                      <a:avLst/>
                    </a:prstGeom>
                    <a:noFill/>
                    <a:ln>
                      <a:noFill/>
                    </a:ln>
                  </pic:spPr>
                </pic:pic>
              </a:graphicData>
            </a:graphic>
          </wp:inline>
        </w:drawing>
      </w:r>
    </w:p>
    <w:p w:rsidR="007A20C0" w:rsidRDefault="007A20C0" w:rsidP="007A20C0">
      <w:pPr>
        <w:pStyle w:val="OrderBody"/>
        <w:rPr>
          <w:noProof/>
        </w:rPr>
      </w:pPr>
    </w:p>
    <w:p w:rsidR="007A20C0" w:rsidRDefault="00BA0E56" w:rsidP="007A20C0">
      <w:pPr>
        <w:pStyle w:val="OrderBody"/>
        <w:rPr>
          <w:noProof/>
        </w:rPr>
      </w:pPr>
      <w:r>
        <w:rPr>
          <w:noProof/>
        </w:rPr>
        <w:drawing>
          <wp:inline distT="0" distB="0" distL="0" distR="0" wp14:anchorId="4920263C" wp14:editId="71679D77">
            <wp:extent cx="5943600" cy="7696200"/>
            <wp:effectExtent l="0" t="0" r="0" b="0"/>
            <wp:docPr id="6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943600" cy="7696200"/>
                    </a:xfrm>
                    <a:prstGeom prst="rect">
                      <a:avLst/>
                    </a:prstGeom>
                    <a:noFill/>
                    <a:ln>
                      <a:noFill/>
                    </a:ln>
                  </pic:spPr>
                </pic:pic>
              </a:graphicData>
            </a:graphic>
          </wp:inline>
        </w:drawing>
      </w:r>
    </w:p>
    <w:p w:rsidR="007A20C0" w:rsidRDefault="007A20C0" w:rsidP="007A20C0">
      <w:pPr>
        <w:pStyle w:val="OrderBody"/>
        <w:rPr>
          <w:noProof/>
        </w:rPr>
      </w:pPr>
    </w:p>
    <w:p w:rsidR="007A20C0" w:rsidRDefault="00BA0E56" w:rsidP="007A20C0">
      <w:pPr>
        <w:pStyle w:val="OrderBody"/>
        <w:rPr>
          <w:noProof/>
        </w:rPr>
      </w:pPr>
      <w:r>
        <w:rPr>
          <w:noProof/>
        </w:rPr>
        <w:drawing>
          <wp:inline distT="0" distB="0" distL="0" distR="0" wp14:anchorId="2F10DDFC" wp14:editId="3520DAD9">
            <wp:extent cx="5943600" cy="7696200"/>
            <wp:effectExtent l="0" t="0" r="0" b="0"/>
            <wp:docPr id="6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943600" cy="7696200"/>
                    </a:xfrm>
                    <a:prstGeom prst="rect">
                      <a:avLst/>
                    </a:prstGeom>
                    <a:noFill/>
                    <a:ln>
                      <a:noFill/>
                    </a:ln>
                  </pic:spPr>
                </pic:pic>
              </a:graphicData>
            </a:graphic>
          </wp:inline>
        </w:drawing>
      </w:r>
    </w:p>
    <w:p w:rsidR="007A20C0" w:rsidRDefault="007A20C0" w:rsidP="007A20C0">
      <w:pPr>
        <w:pStyle w:val="OrderBody"/>
        <w:rPr>
          <w:noProof/>
        </w:rPr>
      </w:pPr>
    </w:p>
    <w:p w:rsidR="007A20C0" w:rsidRDefault="00BA0E56" w:rsidP="007A20C0">
      <w:pPr>
        <w:pStyle w:val="OrderBody"/>
        <w:rPr>
          <w:noProof/>
        </w:rPr>
      </w:pPr>
      <w:r>
        <w:rPr>
          <w:noProof/>
        </w:rPr>
        <w:drawing>
          <wp:inline distT="0" distB="0" distL="0" distR="0" wp14:anchorId="4878898D" wp14:editId="5341D471">
            <wp:extent cx="5943600" cy="7703820"/>
            <wp:effectExtent l="0" t="0" r="0" b="0"/>
            <wp:docPr id="6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943600" cy="7703820"/>
                    </a:xfrm>
                    <a:prstGeom prst="rect">
                      <a:avLst/>
                    </a:prstGeom>
                    <a:noFill/>
                    <a:ln>
                      <a:noFill/>
                    </a:ln>
                  </pic:spPr>
                </pic:pic>
              </a:graphicData>
            </a:graphic>
          </wp:inline>
        </w:drawing>
      </w:r>
    </w:p>
    <w:p w:rsidR="007A20C0" w:rsidRDefault="007A20C0" w:rsidP="007A20C0">
      <w:pPr>
        <w:pStyle w:val="OrderBody"/>
        <w:rPr>
          <w:noProof/>
        </w:rPr>
      </w:pPr>
    </w:p>
    <w:p w:rsidR="007A20C0" w:rsidRDefault="00BA0E56" w:rsidP="007A20C0">
      <w:pPr>
        <w:pStyle w:val="OrderBody"/>
        <w:rPr>
          <w:noProof/>
        </w:rPr>
      </w:pPr>
      <w:r>
        <w:rPr>
          <w:noProof/>
        </w:rPr>
        <w:drawing>
          <wp:inline distT="0" distB="0" distL="0" distR="0" wp14:anchorId="1F7FD44F" wp14:editId="0600ABB3">
            <wp:extent cx="5943600" cy="7680960"/>
            <wp:effectExtent l="0" t="0" r="0" b="0"/>
            <wp:docPr id="62"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943600" cy="7680960"/>
                    </a:xfrm>
                    <a:prstGeom prst="rect">
                      <a:avLst/>
                    </a:prstGeom>
                    <a:noFill/>
                    <a:ln>
                      <a:noFill/>
                    </a:ln>
                  </pic:spPr>
                </pic:pic>
              </a:graphicData>
            </a:graphic>
          </wp:inline>
        </w:drawing>
      </w:r>
    </w:p>
    <w:p w:rsidR="007A20C0" w:rsidRDefault="007A20C0" w:rsidP="007A20C0">
      <w:pPr>
        <w:pStyle w:val="OrderBody"/>
        <w:rPr>
          <w:noProof/>
        </w:rPr>
      </w:pPr>
    </w:p>
    <w:p w:rsidR="007A20C0" w:rsidRDefault="00BA0E56" w:rsidP="007A20C0">
      <w:pPr>
        <w:pStyle w:val="OrderBody"/>
        <w:rPr>
          <w:noProof/>
        </w:rPr>
      </w:pPr>
      <w:r>
        <w:rPr>
          <w:noProof/>
        </w:rPr>
        <w:drawing>
          <wp:inline distT="0" distB="0" distL="0" distR="0" wp14:anchorId="62C7B310" wp14:editId="222D6021">
            <wp:extent cx="5943600" cy="7688580"/>
            <wp:effectExtent l="0" t="0" r="0" b="7620"/>
            <wp:docPr id="60"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943600" cy="7688580"/>
                    </a:xfrm>
                    <a:prstGeom prst="rect">
                      <a:avLst/>
                    </a:prstGeom>
                    <a:noFill/>
                    <a:ln>
                      <a:noFill/>
                    </a:ln>
                  </pic:spPr>
                </pic:pic>
              </a:graphicData>
            </a:graphic>
          </wp:inline>
        </w:drawing>
      </w:r>
    </w:p>
    <w:p w:rsidR="007A20C0" w:rsidRDefault="007A20C0" w:rsidP="007A20C0">
      <w:pPr>
        <w:pStyle w:val="OrderBody"/>
        <w:rPr>
          <w:noProof/>
        </w:rPr>
      </w:pPr>
    </w:p>
    <w:p w:rsidR="007A20C0" w:rsidRDefault="00BA0E56" w:rsidP="007A20C0">
      <w:pPr>
        <w:pStyle w:val="OrderBody"/>
        <w:rPr>
          <w:noProof/>
        </w:rPr>
      </w:pPr>
      <w:r>
        <w:rPr>
          <w:noProof/>
        </w:rPr>
        <w:drawing>
          <wp:inline distT="0" distB="0" distL="0" distR="0" wp14:anchorId="41CD9A5F" wp14:editId="07A7F3D3">
            <wp:extent cx="5943600" cy="7688580"/>
            <wp:effectExtent l="0" t="0" r="0" b="7620"/>
            <wp:docPr id="5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943600" cy="7688580"/>
                    </a:xfrm>
                    <a:prstGeom prst="rect">
                      <a:avLst/>
                    </a:prstGeom>
                    <a:noFill/>
                    <a:ln>
                      <a:noFill/>
                    </a:ln>
                  </pic:spPr>
                </pic:pic>
              </a:graphicData>
            </a:graphic>
          </wp:inline>
        </w:drawing>
      </w:r>
    </w:p>
    <w:p w:rsidR="007A20C0" w:rsidRDefault="007A20C0" w:rsidP="007A20C0">
      <w:pPr>
        <w:pStyle w:val="OrderBody"/>
        <w:rPr>
          <w:noProof/>
        </w:rPr>
      </w:pPr>
    </w:p>
    <w:p w:rsidR="007A20C0" w:rsidRDefault="00BA0E56" w:rsidP="007A20C0">
      <w:pPr>
        <w:pStyle w:val="OrderBody"/>
        <w:rPr>
          <w:noProof/>
        </w:rPr>
      </w:pPr>
      <w:r>
        <w:rPr>
          <w:noProof/>
        </w:rPr>
        <w:drawing>
          <wp:inline distT="0" distB="0" distL="0" distR="0" wp14:anchorId="514199CD" wp14:editId="5CB6377F">
            <wp:extent cx="5943600" cy="7680960"/>
            <wp:effectExtent l="0" t="0" r="0" b="0"/>
            <wp:docPr id="56"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943600" cy="7680960"/>
                    </a:xfrm>
                    <a:prstGeom prst="rect">
                      <a:avLst/>
                    </a:prstGeom>
                    <a:noFill/>
                    <a:ln>
                      <a:noFill/>
                    </a:ln>
                  </pic:spPr>
                </pic:pic>
              </a:graphicData>
            </a:graphic>
          </wp:inline>
        </w:drawing>
      </w:r>
    </w:p>
    <w:p w:rsidR="007A20C0" w:rsidRDefault="007A20C0" w:rsidP="007A20C0">
      <w:pPr>
        <w:pStyle w:val="OrderBody"/>
        <w:rPr>
          <w:noProof/>
        </w:rPr>
      </w:pPr>
    </w:p>
    <w:p w:rsidR="007A20C0" w:rsidRDefault="00BA0E56" w:rsidP="007A20C0">
      <w:pPr>
        <w:pStyle w:val="OrderBody"/>
        <w:rPr>
          <w:noProof/>
        </w:rPr>
      </w:pPr>
      <w:r>
        <w:rPr>
          <w:noProof/>
        </w:rPr>
        <w:drawing>
          <wp:inline distT="0" distB="0" distL="0" distR="0" wp14:anchorId="557BDDCD" wp14:editId="0BF8D313">
            <wp:extent cx="5943600" cy="7673340"/>
            <wp:effectExtent l="0" t="0" r="0" b="3810"/>
            <wp:docPr id="54"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943600" cy="7673340"/>
                    </a:xfrm>
                    <a:prstGeom prst="rect">
                      <a:avLst/>
                    </a:prstGeom>
                    <a:noFill/>
                    <a:ln>
                      <a:noFill/>
                    </a:ln>
                  </pic:spPr>
                </pic:pic>
              </a:graphicData>
            </a:graphic>
          </wp:inline>
        </w:drawing>
      </w:r>
    </w:p>
    <w:p w:rsidR="007A20C0" w:rsidRDefault="007A20C0" w:rsidP="007A20C0">
      <w:pPr>
        <w:pStyle w:val="OrderBody"/>
        <w:rPr>
          <w:noProof/>
        </w:rPr>
      </w:pPr>
    </w:p>
    <w:p w:rsidR="007A20C0" w:rsidRDefault="00BA0E56" w:rsidP="007A20C0">
      <w:pPr>
        <w:pStyle w:val="OrderBody"/>
        <w:rPr>
          <w:noProof/>
        </w:rPr>
      </w:pPr>
      <w:r>
        <w:rPr>
          <w:noProof/>
        </w:rPr>
        <w:drawing>
          <wp:inline distT="0" distB="0" distL="0" distR="0" wp14:anchorId="63C62BF5" wp14:editId="44914EB7">
            <wp:extent cx="5943600" cy="7810500"/>
            <wp:effectExtent l="0" t="0" r="0" b="0"/>
            <wp:docPr id="52"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943600" cy="7810500"/>
                    </a:xfrm>
                    <a:prstGeom prst="rect">
                      <a:avLst/>
                    </a:prstGeom>
                    <a:noFill/>
                    <a:ln>
                      <a:noFill/>
                    </a:ln>
                  </pic:spPr>
                </pic:pic>
              </a:graphicData>
            </a:graphic>
          </wp:inline>
        </w:drawing>
      </w:r>
    </w:p>
    <w:p w:rsidR="007A20C0" w:rsidRDefault="00BA0E56" w:rsidP="007A20C0">
      <w:pPr>
        <w:pStyle w:val="OrderBody"/>
        <w:rPr>
          <w:noProof/>
        </w:rPr>
      </w:pPr>
      <w:r>
        <w:rPr>
          <w:noProof/>
        </w:rPr>
        <w:lastRenderedPageBreak/>
        <w:drawing>
          <wp:inline distT="0" distB="0" distL="0" distR="0" wp14:anchorId="15858DDC" wp14:editId="3FA0006C">
            <wp:extent cx="5943600" cy="7688580"/>
            <wp:effectExtent l="0" t="0" r="0" b="7620"/>
            <wp:docPr id="50"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943600" cy="7688580"/>
                    </a:xfrm>
                    <a:prstGeom prst="rect">
                      <a:avLst/>
                    </a:prstGeom>
                    <a:noFill/>
                    <a:ln>
                      <a:noFill/>
                    </a:ln>
                  </pic:spPr>
                </pic:pic>
              </a:graphicData>
            </a:graphic>
          </wp:inline>
        </w:drawing>
      </w:r>
    </w:p>
    <w:p w:rsidR="007A20C0" w:rsidRDefault="007A20C0" w:rsidP="007A20C0">
      <w:pPr>
        <w:pStyle w:val="OrderBody"/>
        <w:rPr>
          <w:noProof/>
        </w:rPr>
      </w:pPr>
    </w:p>
    <w:p w:rsidR="007A20C0" w:rsidRDefault="00BA0E56" w:rsidP="007A20C0">
      <w:pPr>
        <w:pStyle w:val="OrderBody"/>
        <w:rPr>
          <w:noProof/>
        </w:rPr>
      </w:pPr>
      <w:r>
        <w:rPr>
          <w:noProof/>
        </w:rPr>
        <w:lastRenderedPageBreak/>
        <w:drawing>
          <wp:inline distT="0" distB="0" distL="0" distR="0" wp14:anchorId="783CFE5B" wp14:editId="56F6E211">
            <wp:extent cx="5943600" cy="7719060"/>
            <wp:effectExtent l="0" t="0" r="0" b="0"/>
            <wp:docPr id="48"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943600" cy="7719060"/>
                    </a:xfrm>
                    <a:prstGeom prst="rect">
                      <a:avLst/>
                    </a:prstGeom>
                    <a:noFill/>
                    <a:ln>
                      <a:noFill/>
                    </a:ln>
                  </pic:spPr>
                </pic:pic>
              </a:graphicData>
            </a:graphic>
          </wp:inline>
        </w:drawing>
      </w:r>
    </w:p>
    <w:p w:rsidR="007A20C0" w:rsidRDefault="007A20C0" w:rsidP="007A20C0">
      <w:pPr>
        <w:pStyle w:val="OrderBody"/>
        <w:rPr>
          <w:noProof/>
        </w:rPr>
      </w:pPr>
    </w:p>
    <w:p w:rsidR="007A20C0" w:rsidRDefault="00BA0E56" w:rsidP="007A20C0">
      <w:pPr>
        <w:pStyle w:val="OrderBody"/>
        <w:rPr>
          <w:noProof/>
        </w:rPr>
      </w:pPr>
      <w:r>
        <w:rPr>
          <w:noProof/>
        </w:rPr>
        <w:lastRenderedPageBreak/>
        <w:drawing>
          <wp:inline distT="0" distB="0" distL="0" distR="0" wp14:anchorId="584B8D80" wp14:editId="658053D8">
            <wp:extent cx="5943600" cy="7719060"/>
            <wp:effectExtent l="0" t="0" r="0" b="0"/>
            <wp:docPr id="46"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943600" cy="7719060"/>
                    </a:xfrm>
                    <a:prstGeom prst="rect">
                      <a:avLst/>
                    </a:prstGeom>
                    <a:noFill/>
                    <a:ln>
                      <a:noFill/>
                    </a:ln>
                  </pic:spPr>
                </pic:pic>
              </a:graphicData>
            </a:graphic>
          </wp:inline>
        </w:drawing>
      </w:r>
    </w:p>
    <w:p w:rsidR="007A20C0" w:rsidRDefault="007A20C0" w:rsidP="007A20C0">
      <w:pPr>
        <w:pStyle w:val="OrderBody"/>
        <w:rPr>
          <w:noProof/>
        </w:rPr>
      </w:pPr>
    </w:p>
    <w:p w:rsidR="007A20C0" w:rsidRDefault="00BA0E56" w:rsidP="007A20C0">
      <w:pPr>
        <w:pStyle w:val="OrderBody"/>
        <w:rPr>
          <w:noProof/>
        </w:rPr>
      </w:pPr>
      <w:r>
        <w:rPr>
          <w:noProof/>
        </w:rPr>
        <w:lastRenderedPageBreak/>
        <w:drawing>
          <wp:inline distT="0" distB="0" distL="0" distR="0" wp14:anchorId="071D7856" wp14:editId="109E402E">
            <wp:extent cx="5943600" cy="7696200"/>
            <wp:effectExtent l="0" t="0" r="0" b="0"/>
            <wp:docPr id="44"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943600" cy="7696200"/>
                    </a:xfrm>
                    <a:prstGeom prst="rect">
                      <a:avLst/>
                    </a:prstGeom>
                    <a:noFill/>
                    <a:ln>
                      <a:noFill/>
                    </a:ln>
                  </pic:spPr>
                </pic:pic>
              </a:graphicData>
            </a:graphic>
          </wp:inline>
        </w:drawing>
      </w:r>
    </w:p>
    <w:p w:rsidR="007A20C0" w:rsidRDefault="007A20C0" w:rsidP="007A20C0">
      <w:pPr>
        <w:pStyle w:val="OrderBody"/>
        <w:rPr>
          <w:noProof/>
        </w:rPr>
      </w:pPr>
    </w:p>
    <w:p w:rsidR="007A20C0" w:rsidRDefault="00BA0E56" w:rsidP="007A20C0">
      <w:pPr>
        <w:pStyle w:val="OrderBody"/>
        <w:rPr>
          <w:noProof/>
        </w:rPr>
      </w:pPr>
      <w:r>
        <w:rPr>
          <w:noProof/>
        </w:rPr>
        <w:lastRenderedPageBreak/>
        <w:drawing>
          <wp:inline distT="0" distB="0" distL="0" distR="0" wp14:anchorId="2210DC63" wp14:editId="7BE373DD">
            <wp:extent cx="5943600" cy="7703820"/>
            <wp:effectExtent l="0" t="0" r="0" b="0"/>
            <wp:docPr id="42"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943600" cy="7703820"/>
                    </a:xfrm>
                    <a:prstGeom prst="rect">
                      <a:avLst/>
                    </a:prstGeom>
                    <a:noFill/>
                    <a:ln>
                      <a:noFill/>
                    </a:ln>
                  </pic:spPr>
                </pic:pic>
              </a:graphicData>
            </a:graphic>
          </wp:inline>
        </w:drawing>
      </w:r>
    </w:p>
    <w:p w:rsidR="007A20C0" w:rsidRDefault="007A20C0" w:rsidP="007A20C0">
      <w:pPr>
        <w:pStyle w:val="OrderBody"/>
        <w:rPr>
          <w:noProof/>
        </w:rPr>
      </w:pPr>
    </w:p>
    <w:p w:rsidR="007A20C0" w:rsidRDefault="00BA0E56" w:rsidP="007A20C0">
      <w:pPr>
        <w:pStyle w:val="OrderBody"/>
        <w:rPr>
          <w:noProof/>
        </w:rPr>
      </w:pPr>
      <w:r>
        <w:rPr>
          <w:noProof/>
        </w:rPr>
        <w:lastRenderedPageBreak/>
        <w:drawing>
          <wp:inline distT="0" distB="0" distL="0" distR="0" wp14:anchorId="5FE0E470" wp14:editId="51A87FF7">
            <wp:extent cx="5943600" cy="7696200"/>
            <wp:effectExtent l="0" t="0" r="0" b="0"/>
            <wp:docPr id="40"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943600" cy="7696200"/>
                    </a:xfrm>
                    <a:prstGeom prst="rect">
                      <a:avLst/>
                    </a:prstGeom>
                    <a:noFill/>
                    <a:ln>
                      <a:noFill/>
                    </a:ln>
                  </pic:spPr>
                </pic:pic>
              </a:graphicData>
            </a:graphic>
          </wp:inline>
        </w:drawing>
      </w:r>
    </w:p>
    <w:p w:rsidR="007A20C0" w:rsidRDefault="007A20C0" w:rsidP="007A20C0">
      <w:pPr>
        <w:pStyle w:val="OrderBody"/>
        <w:rPr>
          <w:noProof/>
        </w:rPr>
      </w:pPr>
    </w:p>
    <w:p w:rsidR="007A20C0" w:rsidRDefault="00BA0E56" w:rsidP="007A20C0">
      <w:pPr>
        <w:pStyle w:val="OrderBody"/>
        <w:rPr>
          <w:noProof/>
        </w:rPr>
      </w:pPr>
      <w:r>
        <w:rPr>
          <w:noProof/>
        </w:rPr>
        <w:lastRenderedPageBreak/>
        <w:drawing>
          <wp:inline distT="0" distB="0" distL="0" distR="0" wp14:anchorId="48421A6B" wp14:editId="2AFC6618">
            <wp:extent cx="5943600" cy="7696200"/>
            <wp:effectExtent l="0" t="0" r="0" b="0"/>
            <wp:docPr id="3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943600" cy="7696200"/>
                    </a:xfrm>
                    <a:prstGeom prst="rect">
                      <a:avLst/>
                    </a:prstGeom>
                    <a:noFill/>
                    <a:ln>
                      <a:noFill/>
                    </a:ln>
                  </pic:spPr>
                </pic:pic>
              </a:graphicData>
            </a:graphic>
          </wp:inline>
        </w:drawing>
      </w:r>
    </w:p>
    <w:p w:rsidR="007A20C0" w:rsidRDefault="007A20C0" w:rsidP="007A20C0">
      <w:pPr>
        <w:pStyle w:val="OrderBody"/>
        <w:rPr>
          <w:noProof/>
        </w:rPr>
      </w:pPr>
    </w:p>
    <w:p w:rsidR="007A20C0" w:rsidRDefault="00BA0E56" w:rsidP="007A20C0">
      <w:pPr>
        <w:pStyle w:val="OrderBody"/>
        <w:rPr>
          <w:noProof/>
        </w:rPr>
      </w:pPr>
      <w:r>
        <w:rPr>
          <w:noProof/>
        </w:rPr>
        <w:lastRenderedPageBreak/>
        <w:drawing>
          <wp:inline distT="0" distB="0" distL="0" distR="0" wp14:anchorId="2FE57DC9" wp14:editId="12176469">
            <wp:extent cx="5943600" cy="7696200"/>
            <wp:effectExtent l="0" t="0" r="0" b="0"/>
            <wp:docPr id="37"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943600" cy="7696200"/>
                    </a:xfrm>
                    <a:prstGeom prst="rect">
                      <a:avLst/>
                    </a:prstGeom>
                    <a:noFill/>
                    <a:ln>
                      <a:noFill/>
                    </a:ln>
                  </pic:spPr>
                </pic:pic>
              </a:graphicData>
            </a:graphic>
          </wp:inline>
        </w:drawing>
      </w:r>
    </w:p>
    <w:p w:rsidR="007A20C0" w:rsidRDefault="007A20C0" w:rsidP="007A20C0">
      <w:pPr>
        <w:pStyle w:val="OrderBody"/>
        <w:rPr>
          <w:noProof/>
        </w:rPr>
      </w:pPr>
    </w:p>
    <w:p w:rsidR="007A20C0" w:rsidRDefault="00BA0E56" w:rsidP="007A20C0">
      <w:pPr>
        <w:pStyle w:val="OrderBody"/>
        <w:rPr>
          <w:noProof/>
        </w:rPr>
      </w:pPr>
      <w:r>
        <w:rPr>
          <w:noProof/>
        </w:rPr>
        <w:lastRenderedPageBreak/>
        <w:drawing>
          <wp:inline distT="0" distB="0" distL="0" distR="0" wp14:anchorId="2673C233" wp14:editId="41EDDEE4">
            <wp:extent cx="5943600" cy="7696200"/>
            <wp:effectExtent l="0" t="0" r="0" b="0"/>
            <wp:docPr id="39"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943600" cy="7696200"/>
                    </a:xfrm>
                    <a:prstGeom prst="rect">
                      <a:avLst/>
                    </a:prstGeom>
                    <a:noFill/>
                    <a:ln>
                      <a:noFill/>
                    </a:ln>
                  </pic:spPr>
                </pic:pic>
              </a:graphicData>
            </a:graphic>
          </wp:inline>
        </w:drawing>
      </w:r>
    </w:p>
    <w:p w:rsidR="007A20C0" w:rsidRDefault="007A20C0" w:rsidP="007A20C0">
      <w:pPr>
        <w:pStyle w:val="OrderBody"/>
        <w:rPr>
          <w:noProof/>
        </w:rPr>
      </w:pPr>
    </w:p>
    <w:p w:rsidR="007A20C0" w:rsidRDefault="00BA0E56" w:rsidP="007A20C0">
      <w:pPr>
        <w:pStyle w:val="OrderBody"/>
        <w:rPr>
          <w:noProof/>
        </w:rPr>
      </w:pPr>
      <w:r>
        <w:rPr>
          <w:noProof/>
        </w:rPr>
        <w:lastRenderedPageBreak/>
        <w:drawing>
          <wp:inline distT="0" distB="0" distL="0" distR="0" wp14:anchorId="5D8CABCA" wp14:editId="78A751DA">
            <wp:extent cx="5943600" cy="7703820"/>
            <wp:effectExtent l="0" t="0" r="0" b="0"/>
            <wp:docPr id="4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943600" cy="7703820"/>
                    </a:xfrm>
                    <a:prstGeom prst="rect">
                      <a:avLst/>
                    </a:prstGeom>
                    <a:noFill/>
                    <a:ln>
                      <a:noFill/>
                    </a:ln>
                  </pic:spPr>
                </pic:pic>
              </a:graphicData>
            </a:graphic>
          </wp:inline>
        </w:drawing>
      </w:r>
    </w:p>
    <w:p w:rsidR="007A20C0" w:rsidRDefault="007A20C0" w:rsidP="007A20C0">
      <w:pPr>
        <w:pStyle w:val="OrderBody"/>
        <w:rPr>
          <w:noProof/>
        </w:rPr>
      </w:pPr>
    </w:p>
    <w:p w:rsidR="007A20C0" w:rsidRDefault="00BA0E56" w:rsidP="007A20C0">
      <w:pPr>
        <w:pStyle w:val="OrderBody"/>
        <w:rPr>
          <w:noProof/>
        </w:rPr>
      </w:pPr>
      <w:r>
        <w:rPr>
          <w:noProof/>
        </w:rPr>
        <w:lastRenderedPageBreak/>
        <w:drawing>
          <wp:inline distT="0" distB="0" distL="0" distR="0" wp14:anchorId="45FC007F" wp14:editId="6FABDBFB">
            <wp:extent cx="5943600" cy="7688580"/>
            <wp:effectExtent l="0" t="0" r="0" b="7620"/>
            <wp:docPr id="43"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943600" cy="7688580"/>
                    </a:xfrm>
                    <a:prstGeom prst="rect">
                      <a:avLst/>
                    </a:prstGeom>
                    <a:noFill/>
                    <a:ln>
                      <a:noFill/>
                    </a:ln>
                  </pic:spPr>
                </pic:pic>
              </a:graphicData>
            </a:graphic>
          </wp:inline>
        </w:drawing>
      </w:r>
    </w:p>
    <w:p w:rsidR="007A20C0" w:rsidRDefault="007A20C0" w:rsidP="007A20C0">
      <w:pPr>
        <w:pStyle w:val="OrderBody"/>
        <w:rPr>
          <w:noProof/>
        </w:rPr>
      </w:pPr>
    </w:p>
    <w:p w:rsidR="007A20C0" w:rsidRDefault="00BA0E56" w:rsidP="007A20C0">
      <w:pPr>
        <w:pStyle w:val="OrderBody"/>
        <w:rPr>
          <w:noProof/>
        </w:rPr>
      </w:pPr>
      <w:r>
        <w:rPr>
          <w:noProof/>
        </w:rPr>
        <w:lastRenderedPageBreak/>
        <w:drawing>
          <wp:inline distT="0" distB="0" distL="0" distR="0" wp14:anchorId="2F230FD7" wp14:editId="6F2374E8">
            <wp:extent cx="5943600" cy="7696200"/>
            <wp:effectExtent l="0" t="0" r="0" b="0"/>
            <wp:docPr id="45"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943600" cy="7696200"/>
                    </a:xfrm>
                    <a:prstGeom prst="rect">
                      <a:avLst/>
                    </a:prstGeom>
                    <a:noFill/>
                    <a:ln>
                      <a:noFill/>
                    </a:ln>
                  </pic:spPr>
                </pic:pic>
              </a:graphicData>
            </a:graphic>
          </wp:inline>
        </w:drawing>
      </w:r>
    </w:p>
    <w:p w:rsidR="007A20C0" w:rsidRDefault="007A20C0" w:rsidP="007A20C0">
      <w:pPr>
        <w:pStyle w:val="OrderBody"/>
        <w:rPr>
          <w:noProof/>
        </w:rPr>
      </w:pPr>
    </w:p>
    <w:p w:rsidR="007A20C0" w:rsidRDefault="00BA0E56" w:rsidP="007A20C0">
      <w:pPr>
        <w:pStyle w:val="OrderBody"/>
        <w:rPr>
          <w:noProof/>
        </w:rPr>
      </w:pPr>
      <w:r>
        <w:rPr>
          <w:noProof/>
        </w:rPr>
        <w:lastRenderedPageBreak/>
        <w:drawing>
          <wp:inline distT="0" distB="0" distL="0" distR="0" wp14:anchorId="3E48E543" wp14:editId="0D901448">
            <wp:extent cx="5943600" cy="7680960"/>
            <wp:effectExtent l="0" t="0" r="0" b="0"/>
            <wp:docPr id="47"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943600" cy="7680960"/>
                    </a:xfrm>
                    <a:prstGeom prst="rect">
                      <a:avLst/>
                    </a:prstGeom>
                    <a:noFill/>
                    <a:ln>
                      <a:noFill/>
                    </a:ln>
                  </pic:spPr>
                </pic:pic>
              </a:graphicData>
            </a:graphic>
          </wp:inline>
        </w:drawing>
      </w:r>
    </w:p>
    <w:p w:rsidR="007A20C0" w:rsidRDefault="007A20C0" w:rsidP="007A20C0">
      <w:pPr>
        <w:pStyle w:val="OrderBody"/>
        <w:rPr>
          <w:noProof/>
        </w:rPr>
      </w:pPr>
    </w:p>
    <w:p w:rsidR="007A20C0" w:rsidRDefault="00BA0E56" w:rsidP="007A20C0">
      <w:pPr>
        <w:pStyle w:val="OrderBody"/>
        <w:rPr>
          <w:noProof/>
        </w:rPr>
      </w:pPr>
      <w:r>
        <w:rPr>
          <w:noProof/>
        </w:rPr>
        <w:lastRenderedPageBreak/>
        <w:drawing>
          <wp:inline distT="0" distB="0" distL="0" distR="0" wp14:anchorId="6B66D8EF" wp14:editId="639D2D4D">
            <wp:extent cx="5943600" cy="7749540"/>
            <wp:effectExtent l="0" t="0" r="0" b="3810"/>
            <wp:docPr id="49"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943600" cy="7749540"/>
                    </a:xfrm>
                    <a:prstGeom prst="rect">
                      <a:avLst/>
                    </a:prstGeom>
                    <a:noFill/>
                    <a:ln>
                      <a:noFill/>
                    </a:ln>
                  </pic:spPr>
                </pic:pic>
              </a:graphicData>
            </a:graphic>
          </wp:inline>
        </w:drawing>
      </w:r>
    </w:p>
    <w:p w:rsidR="007A20C0" w:rsidRDefault="007A20C0" w:rsidP="007A20C0">
      <w:pPr>
        <w:pStyle w:val="OrderBody"/>
        <w:rPr>
          <w:noProof/>
        </w:rPr>
      </w:pPr>
    </w:p>
    <w:p w:rsidR="007A20C0" w:rsidRDefault="00BA0E56" w:rsidP="007A20C0">
      <w:pPr>
        <w:pStyle w:val="OrderBody"/>
        <w:rPr>
          <w:noProof/>
        </w:rPr>
      </w:pPr>
      <w:r>
        <w:rPr>
          <w:noProof/>
        </w:rPr>
        <w:lastRenderedPageBreak/>
        <w:drawing>
          <wp:inline distT="0" distB="0" distL="0" distR="0" wp14:anchorId="1FDFD325" wp14:editId="68B3E2B1">
            <wp:extent cx="5943600" cy="7696200"/>
            <wp:effectExtent l="0" t="0" r="0" b="0"/>
            <wp:docPr id="51"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943600" cy="7696200"/>
                    </a:xfrm>
                    <a:prstGeom prst="rect">
                      <a:avLst/>
                    </a:prstGeom>
                    <a:noFill/>
                    <a:ln>
                      <a:noFill/>
                    </a:ln>
                  </pic:spPr>
                </pic:pic>
              </a:graphicData>
            </a:graphic>
          </wp:inline>
        </w:drawing>
      </w:r>
    </w:p>
    <w:p w:rsidR="007A20C0" w:rsidRDefault="007A20C0" w:rsidP="007A20C0">
      <w:pPr>
        <w:pStyle w:val="OrderBody"/>
        <w:rPr>
          <w:noProof/>
        </w:rPr>
      </w:pPr>
    </w:p>
    <w:p w:rsidR="007A20C0" w:rsidRDefault="00BA0E56" w:rsidP="007A20C0">
      <w:pPr>
        <w:pStyle w:val="OrderBody"/>
        <w:rPr>
          <w:noProof/>
        </w:rPr>
      </w:pPr>
      <w:r>
        <w:rPr>
          <w:noProof/>
        </w:rPr>
        <w:lastRenderedPageBreak/>
        <w:drawing>
          <wp:inline distT="0" distB="0" distL="0" distR="0" wp14:anchorId="580C9F9A" wp14:editId="7753C815">
            <wp:extent cx="5943600" cy="7711440"/>
            <wp:effectExtent l="0" t="0" r="0" b="3810"/>
            <wp:docPr id="53"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943600" cy="7711440"/>
                    </a:xfrm>
                    <a:prstGeom prst="rect">
                      <a:avLst/>
                    </a:prstGeom>
                    <a:noFill/>
                    <a:ln>
                      <a:noFill/>
                    </a:ln>
                  </pic:spPr>
                </pic:pic>
              </a:graphicData>
            </a:graphic>
          </wp:inline>
        </w:drawing>
      </w:r>
    </w:p>
    <w:p w:rsidR="007A20C0" w:rsidRDefault="007A20C0" w:rsidP="007A20C0">
      <w:pPr>
        <w:pStyle w:val="OrderBody"/>
        <w:rPr>
          <w:noProof/>
        </w:rPr>
      </w:pPr>
    </w:p>
    <w:p w:rsidR="007A20C0" w:rsidRDefault="00BA0E56" w:rsidP="007A20C0">
      <w:pPr>
        <w:pStyle w:val="OrderBody"/>
        <w:rPr>
          <w:noProof/>
        </w:rPr>
      </w:pPr>
      <w:r>
        <w:rPr>
          <w:noProof/>
        </w:rPr>
        <w:lastRenderedPageBreak/>
        <w:drawing>
          <wp:inline distT="0" distB="0" distL="0" distR="0" wp14:anchorId="642FD878" wp14:editId="1A9063C4">
            <wp:extent cx="5943600" cy="7749540"/>
            <wp:effectExtent l="0" t="0" r="0" b="3810"/>
            <wp:docPr id="55"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943600" cy="7749540"/>
                    </a:xfrm>
                    <a:prstGeom prst="rect">
                      <a:avLst/>
                    </a:prstGeom>
                    <a:noFill/>
                    <a:ln>
                      <a:noFill/>
                    </a:ln>
                  </pic:spPr>
                </pic:pic>
              </a:graphicData>
            </a:graphic>
          </wp:inline>
        </w:drawing>
      </w:r>
    </w:p>
    <w:p w:rsidR="007A20C0" w:rsidRDefault="007A20C0" w:rsidP="007A20C0">
      <w:pPr>
        <w:pStyle w:val="OrderBody"/>
        <w:rPr>
          <w:noProof/>
        </w:rPr>
      </w:pPr>
    </w:p>
    <w:p w:rsidR="007A20C0" w:rsidRDefault="00BA0E56" w:rsidP="007A20C0">
      <w:pPr>
        <w:pStyle w:val="OrderBody"/>
        <w:rPr>
          <w:noProof/>
        </w:rPr>
      </w:pPr>
      <w:r>
        <w:rPr>
          <w:noProof/>
        </w:rPr>
        <w:lastRenderedPageBreak/>
        <w:drawing>
          <wp:inline distT="0" distB="0" distL="0" distR="0" wp14:anchorId="30500675" wp14:editId="09148F73">
            <wp:extent cx="5943600" cy="7696200"/>
            <wp:effectExtent l="0" t="0" r="0" b="0"/>
            <wp:docPr id="57"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943600" cy="7696200"/>
                    </a:xfrm>
                    <a:prstGeom prst="rect">
                      <a:avLst/>
                    </a:prstGeom>
                    <a:noFill/>
                    <a:ln>
                      <a:noFill/>
                    </a:ln>
                  </pic:spPr>
                </pic:pic>
              </a:graphicData>
            </a:graphic>
          </wp:inline>
        </w:drawing>
      </w:r>
    </w:p>
    <w:p w:rsidR="007A20C0" w:rsidRDefault="007A20C0" w:rsidP="007A20C0">
      <w:pPr>
        <w:pStyle w:val="OrderBody"/>
        <w:rPr>
          <w:noProof/>
        </w:rPr>
      </w:pPr>
    </w:p>
    <w:p w:rsidR="007A20C0" w:rsidRDefault="00BA0E56" w:rsidP="007A20C0">
      <w:pPr>
        <w:pStyle w:val="OrderBody"/>
        <w:rPr>
          <w:noProof/>
        </w:rPr>
      </w:pPr>
      <w:r>
        <w:rPr>
          <w:noProof/>
        </w:rPr>
        <w:lastRenderedPageBreak/>
        <w:drawing>
          <wp:inline distT="0" distB="0" distL="0" distR="0" wp14:anchorId="74CFD331" wp14:editId="63E5E347">
            <wp:extent cx="5943600" cy="7696200"/>
            <wp:effectExtent l="0" t="0" r="0" b="0"/>
            <wp:docPr id="59"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943600" cy="7696200"/>
                    </a:xfrm>
                    <a:prstGeom prst="rect">
                      <a:avLst/>
                    </a:prstGeom>
                    <a:noFill/>
                    <a:ln>
                      <a:noFill/>
                    </a:ln>
                  </pic:spPr>
                </pic:pic>
              </a:graphicData>
            </a:graphic>
          </wp:inline>
        </w:drawing>
      </w:r>
    </w:p>
    <w:p w:rsidR="00BA0E56" w:rsidRDefault="00BA0E56" w:rsidP="007A20C0">
      <w:pPr>
        <w:pStyle w:val="OrderBody"/>
        <w:rPr>
          <w:noProof/>
        </w:rPr>
      </w:pPr>
    </w:p>
    <w:p w:rsidR="00BA0E56" w:rsidRDefault="00BA0E56" w:rsidP="007A20C0">
      <w:pPr>
        <w:pStyle w:val="OrderBody"/>
        <w:rPr>
          <w:noProof/>
        </w:rPr>
      </w:pPr>
      <w:r>
        <w:rPr>
          <w:noProof/>
        </w:rPr>
        <w:lastRenderedPageBreak/>
        <w:drawing>
          <wp:inline distT="0" distB="0" distL="0" distR="0" wp14:anchorId="054D0AF7" wp14:editId="77AA55FB">
            <wp:extent cx="5943600" cy="7696200"/>
            <wp:effectExtent l="0" t="0" r="0" b="0"/>
            <wp:docPr id="6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943600" cy="7696200"/>
                    </a:xfrm>
                    <a:prstGeom prst="rect">
                      <a:avLst/>
                    </a:prstGeom>
                    <a:noFill/>
                    <a:ln>
                      <a:noFill/>
                    </a:ln>
                  </pic:spPr>
                </pic:pic>
              </a:graphicData>
            </a:graphic>
          </wp:inline>
        </w:drawing>
      </w:r>
    </w:p>
    <w:p w:rsidR="00BA0E56" w:rsidRDefault="00BA0E56" w:rsidP="007A20C0">
      <w:pPr>
        <w:pStyle w:val="OrderBody"/>
        <w:rPr>
          <w:noProof/>
        </w:rPr>
      </w:pPr>
    </w:p>
    <w:p w:rsidR="00BA0E56" w:rsidRDefault="00BA0E56" w:rsidP="007A20C0">
      <w:pPr>
        <w:pStyle w:val="OrderBody"/>
        <w:rPr>
          <w:noProof/>
        </w:rPr>
      </w:pPr>
      <w:r>
        <w:rPr>
          <w:noProof/>
        </w:rPr>
        <w:lastRenderedPageBreak/>
        <w:drawing>
          <wp:inline distT="0" distB="0" distL="0" distR="0" wp14:anchorId="5CB17D7C" wp14:editId="2027EF44">
            <wp:extent cx="5943600" cy="7726680"/>
            <wp:effectExtent l="0" t="0" r="0" b="7620"/>
            <wp:docPr id="63"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943600" cy="7726680"/>
                    </a:xfrm>
                    <a:prstGeom prst="rect">
                      <a:avLst/>
                    </a:prstGeom>
                    <a:noFill/>
                    <a:ln>
                      <a:noFill/>
                    </a:ln>
                  </pic:spPr>
                </pic:pic>
              </a:graphicData>
            </a:graphic>
          </wp:inline>
        </w:drawing>
      </w:r>
    </w:p>
    <w:p w:rsidR="00BA0E56" w:rsidRDefault="00BA0E56" w:rsidP="007A20C0">
      <w:pPr>
        <w:pStyle w:val="OrderBody"/>
        <w:rPr>
          <w:noProof/>
        </w:rPr>
      </w:pPr>
    </w:p>
    <w:p w:rsidR="00BA0E56" w:rsidRDefault="00BA0E56" w:rsidP="007A20C0">
      <w:pPr>
        <w:pStyle w:val="OrderBody"/>
        <w:rPr>
          <w:noProof/>
        </w:rPr>
      </w:pPr>
      <w:r>
        <w:rPr>
          <w:noProof/>
        </w:rPr>
        <w:lastRenderedPageBreak/>
        <w:drawing>
          <wp:inline distT="0" distB="0" distL="0" distR="0" wp14:anchorId="3712C8CA" wp14:editId="66ADB2FD">
            <wp:extent cx="5943600" cy="7711440"/>
            <wp:effectExtent l="0" t="0" r="0" b="3810"/>
            <wp:docPr id="65"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943600" cy="7711440"/>
                    </a:xfrm>
                    <a:prstGeom prst="rect">
                      <a:avLst/>
                    </a:prstGeom>
                    <a:noFill/>
                    <a:ln>
                      <a:noFill/>
                    </a:ln>
                  </pic:spPr>
                </pic:pic>
              </a:graphicData>
            </a:graphic>
          </wp:inline>
        </w:drawing>
      </w:r>
    </w:p>
    <w:p w:rsidR="00BA0E56" w:rsidRDefault="00BA0E56" w:rsidP="007A20C0">
      <w:pPr>
        <w:pStyle w:val="OrderBody"/>
        <w:rPr>
          <w:noProof/>
        </w:rPr>
      </w:pPr>
    </w:p>
    <w:p w:rsidR="00BA0E56" w:rsidRDefault="00BA0E56" w:rsidP="007A20C0">
      <w:pPr>
        <w:pStyle w:val="OrderBody"/>
        <w:rPr>
          <w:noProof/>
        </w:rPr>
      </w:pPr>
      <w:r>
        <w:rPr>
          <w:noProof/>
        </w:rPr>
        <w:lastRenderedPageBreak/>
        <w:drawing>
          <wp:inline distT="0" distB="0" distL="0" distR="0" wp14:anchorId="30B88A4C" wp14:editId="329E5F26">
            <wp:extent cx="5943600" cy="7703820"/>
            <wp:effectExtent l="0" t="0" r="0" b="0"/>
            <wp:docPr id="67"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943600" cy="7703820"/>
                    </a:xfrm>
                    <a:prstGeom prst="rect">
                      <a:avLst/>
                    </a:prstGeom>
                    <a:noFill/>
                    <a:ln>
                      <a:noFill/>
                    </a:ln>
                  </pic:spPr>
                </pic:pic>
              </a:graphicData>
            </a:graphic>
          </wp:inline>
        </w:drawing>
      </w:r>
    </w:p>
    <w:p w:rsidR="00BA0E56" w:rsidRDefault="00BA0E56" w:rsidP="007A20C0">
      <w:pPr>
        <w:pStyle w:val="OrderBody"/>
        <w:rPr>
          <w:noProof/>
        </w:rPr>
      </w:pPr>
    </w:p>
    <w:p w:rsidR="00BA0E56" w:rsidRDefault="00BA0E56" w:rsidP="007A20C0">
      <w:pPr>
        <w:pStyle w:val="OrderBody"/>
        <w:rPr>
          <w:noProof/>
        </w:rPr>
      </w:pPr>
      <w:r>
        <w:rPr>
          <w:noProof/>
        </w:rPr>
        <w:lastRenderedPageBreak/>
        <w:drawing>
          <wp:inline distT="0" distB="0" distL="0" distR="0" wp14:anchorId="00B510F8" wp14:editId="3D58BD9B">
            <wp:extent cx="5943600" cy="7703820"/>
            <wp:effectExtent l="0" t="0" r="0" b="0"/>
            <wp:docPr id="69"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943600" cy="7703820"/>
                    </a:xfrm>
                    <a:prstGeom prst="rect">
                      <a:avLst/>
                    </a:prstGeom>
                    <a:noFill/>
                    <a:ln>
                      <a:noFill/>
                    </a:ln>
                  </pic:spPr>
                </pic:pic>
              </a:graphicData>
            </a:graphic>
          </wp:inline>
        </w:drawing>
      </w:r>
    </w:p>
    <w:p w:rsidR="00BA0E56" w:rsidRDefault="00BA0E56" w:rsidP="007A20C0">
      <w:pPr>
        <w:pStyle w:val="OrderBody"/>
        <w:rPr>
          <w:noProof/>
        </w:rPr>
      </w:pPr>
    </w:p>
    <w:p w:rsidR="00BA0E56" w:rsidRDefault="00BA0E56" w:rsidP="007A20C0">
      <w:pPr>
        <w:pStyle w:val="OrderBody"/>
      </w:pPr>
      <w:r>
        <w:rPr>
          <w:noProof/>
        </w:rPr>
        <w:lastRenderedPageBreak/>
        <w:drawing>
          <wp:inline distT="0" distB="0" distL="0" distR="0" wp14:anchorId="106EB00A" wp14:editId="01642E94">
            <wp:extent cx="5943600" cy="7696200"/>
            <wp:effectExtent l="0" t="0" r="0" b="0"/>
            <wp:docPr id="71"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943600" cy="7696200"/>
                    </a:xfrm>
                    <a:prstGeom prst="rect">
                      <a:avLst/>
                    </a:prstGeom>
                    <a:noFill/>
                    <a:ln>
                      <a:noFill/>
                    </a:ln>
                  </pic:spPr>
                </pic:pic>
              </a:graphicData>
            </a:graphic>
          </wp:inline>
        </w:drawing>
      </w:r>
    </w:p>
    <w:sectPr w:rsidR="00BA0E56" w:rsidSect="00837378">
      <w:headerReference w:type="default" r:id="rId46"/>
      <w:pgSz w:w="12240" w:h="15840" w:code="1"/>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7A20C0" w:rsidRDefault="007A20C0">
      <w:r>
        <w:separator/>
      </w:r>
    </w:p>
  </w:endnote>
  <w:endnote w:type="continuationSeparator" w:id="0">
    <w:p w:rsidR="007A20C0" w:rsidRDefault="007A20C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02FF" w:usb1="4000ACFF" w:usb2="00000001"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A6EFD" w:rsidRDefault="00FA6EFD">
    <w:pPr>
      <w:pStyle w:val="Footer"/>
    </w:pPr>
  </w:p>
  <w:p w:rsidR="00FA6EFD" w:rsidRDefault="00FA6EFD">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7A20C0" w:rsidRDefault="007A20C0">
      <w:r>
        <w:separator/>
      </w:r>
    </w:p>
  </w:footnote>
  <w:footnote w:type="continuationSeparator" w:id="0">
    <w:p w:rsidR="007A20C0" w:rsidRDefault="007A20C0">
      <w:r>
        <w:continuationSeparator/>
      </w:r>
    </w:p>
  </w:footnote>
  <w:footnote w:id="1">
    <w:p w:rsidR="007A20C0" w:rsidRPr="00865A9A" w:rsidRDefault="007A20C0" w:rsidP="007A20C0">
      <w:pPr>
        <w:pStyle w:val="FootnoteText"/>
      </w:pPr>
      <w:r w:rsidRPr="00865A9A">
        <w:rPr>
          <w:rStyle w:val="FootnoteReference"/>
        </w:rPr>
        <w:footnoteRef/>
      </w:r>
      <w:r w:rsidRPr="00865A9A">
        <w:t xml:space="preserve">Document No. 03336-2018, </w:t>
      </w:r>
      <w:r>
        <w:t>filed</w:t>
      </w:r>
      <w:r w:rsidRPr="00865A9A">
        <w:t xml:space="preserve"> April 30, 2018, in Docket No. 20180091-EQ.</w:t>
      </w:r>
    </w:p>
  </w:footnote>
  <w:footnote w:id="2">
    <w:p w:rsidR="007A20C0" w:rsidRDefault="007A20C0" w:rsidP="007A20C0">
      <w:pPr>
        <w:pStyle w:val="FootnoteText"/>
      </w:pPr>
      <w:r w:rsidRPr="00D23C78">
        <w:rPr>
          <w:rStyle w:val="FootnoteReference"/>
        </w:rPr>
        <w:footnoteRef/>
      </w:r>
      <w:r w:rsidRPr="00D23C78">
        <w:t xml:space="preserve">Document No. 03336-2018, </w:t>
      </w:r>
      <w:r>
        <w:t>filed</w:t>
      </w:r>
      <w:r w:rsidRPr="00D23C78">
        <w:t xml:space="preserve"> April 30, 2018, in Docket No. 20180091-EQ.</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A6EFD" w:rsidRDefault="00FA6EFD">
    <w:pPr>
      <w:pStyle w:val="OrderHeader"/>
    </w:pPr>
    <w:r>
      <w:t xml:space="preserve">ORDER NO. </w:t>
    </w:r>
    <w:fldSimple w:instr=" REF OrderNo0310 ">
      <w:r w:rsidR="00902969">
        <w:t>PSC-2018-0310-PAA-EQ</w:t>
      </w:r>
    </w:fldSimple>
    <w:r w:rsidR="00837378">
      <w:tab/>
    </w:r>
    <w:r w:rsidR="0040747B">
      <w:tab/>
    </w:r>
    <w:r w:rsidR="00837378">
      <w:tab/>
    </w:r>
  </w:p>
  <w:p w:rsidR="00FA6EFD" w:rsidRDefault="007A20C0">
    <w:pPr>
      <w:pStyle w:val="OrderHeader"/>
    </w:pPr>
    <w:bookmarkStart w:id="11" w:name="HeaderDocketNo"/>
    <w:bookmarkEnd w:id="11"/>
    <w:r>
      <w:t>DOCKET NO. 20180091-EQ</w:t>
    </w:r>
  </w:p>
  <w:p w:rsidR="00FA6EFD" w:rsidRDefault="00FA6EFD">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902969">
      <w:rPr>
        <w:rStyle w:val="PageNumber"/>
        <w:noProof/>
      </w:rPr>
      <w:t>4</w:t>
    </w:r>
    <w:r>
      <w:rPr>
        <w:rStyle w:val="PageNumber"/>
      </w:rPr>
      <w:fldChar w:fldCharType="end"/>
    </w:r>
  </w:p>
  <w:p w:rsidR="00FA6EFD" w:rsidRDefault="00FA6EFD">
    <w:pPr>
      <w:pStyle w:val="Order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0747B" w:rsidRDefault="0040747B">
    <w:pPr>
      <w:pStyle w:val="OrderHeader"/>
    </w:pPr>
    <w:r>
      <w:t xml:space="preserve">ORDER NO. </w:t>
    </w:r>
    <w:r w:rsidR="00FB5B67">
      <w:t>PSC-2018-0310-PAA-EQ</w:t>
    </w:r>
    <w:r>
      <w:tab/>
    </w:r>
    <w:r>
      <w:tab/>
      <w:t>Attachment A</w:t>
    </w:r>
    <w:r>
      <w:tab/>
    </w:r>
  </w:p>
  <w:p w:rsidR="0040747B" w:rsidRDefault="0040747B">
    <w:pPr>
      <w:pStyle w:val="OrderHeader"/>
    </w:pPr>
    <w:r>
      <w:t>DOCKET NO. 20180091-EQ</w:t>
    </w:r>
  </w:p>
  <w:p w:rsidR="0040747B" w:rsidRDefault="0040747B">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902969">
      <w:rPr>
        <w:rStyle w:val="PageNumber"/>
        <w:noProof/>
      </w:rPr>
      <w:t>40</w:t>
    </w:r>
    <w:r>
      <w:rPr>
        <w:rStyle w:val="PageNumber"/>
      </w:rPr>
      <w:fldChar w:fldCharType="end"/>
    </w:r>
  </w:p>
  <w:p w:rsidR="0040747B" w:rsidRDefault="0040747B">
    <w:pPr>
      <w:pStyle w:val="OrderHeader"/>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removePersonalInformation/>
  <w:removeDateAndTime/>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rawingGridHorizontalSpacing w:val="120"/>
  <w:displayHorizontalDrawingGridEvery w:val="2"/>
  <w:displayVerticalDrawingGridEvery w:val="2"/>
  <w:characterSpacingControl w:val="doNotCompress"/>
  <w:hdrShapeDefaults>
    <o:shapedefaults v:ext="edit" spidmax="1228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dgnword-docGUID" w:val="{2602033C-50AE-4923-ACD2-6D1619DC4E4C}"/>
    <w:docVar w:name="dgnword-eventsink" w:val="374508672"/>
    <w:docVar w:name="Dockets" w:val="20180091-EQ"/>
  </w:docVars>
  <w:rsids>
    <w:rsidRoot w:val="007A20C0"/>
    <w:rsid w:val="000022B8"/>
    <w:rsid w:val="000115CC"/>
    <w:rsid w:val="00035A8C"/>
    <w:rsid w:val="00053AB9"/>
    <w:rsid w:val="00056229"/>
    <w:rsid w:val="00057AF1"/>
    <w:rsid w:val="00065FC2"/>
    <w:rsid w:val="00067685"/>
    <w:rsid w:val="00074D95"/>
    <w:rsid w:val="00076E6B"/>
    <w:rsid w:val="0008247D"/>
    <w:rsid w:val="00090AFC"/>
    <w:rsid w:val="000B783E"/>
    <w:rsid w:val="000D02B8"/>
    <w:rsid w:val="000D06E8"/>
    <w:rsid w:val="000E050C"/>
    <w:rsid w:val="000E20F0"/>
    <w:rsid w:val="000E344D"/>
    <w:rsid w:val="000E3F6D"/>
    <w:rsid w:val="000F359F"/>
    <w:rsid w:val="000F3B2C"/>
    <w:rsid w:val="000F63EB"/>
    <w:rsid w:val="000F648A"/>
    <w:rsid w:val="000F7BE3"/>
    <w:rsid w:val="001052BA"/>
    <w:rsid w:val="001107B3"/>
    <w:rsid w:val="001114B1"/>
    <w:rsid w:val="001139D8"/>
    <w:rsid w:val="00116AD3"/>
    <w:rsid w:val="00121957"/>
    <w:rsid w:val="0012387E"/>
    <w:rsid w:val="00126593"/>
    <w:rsid w:val="00142A96"/>
    <w:rsid w:val="001513DE"/>
    <w:rsid w:val="00154A71"/>
    <w:rsid w:val="00187E32"/>
    <w:rsid w:val="00194E81"/>
    <w:rsid w:val="001A15E7"/>
    <w:rsid w:val="001A33C9"/>
    <w:rsid w:val="001A58F3"/>
    <w:rsid w:val="001A612B"/>
    <w:rsid w:val="001B61DF"/>
    <w:rsid w:val="001C2847"/>
    <w:rsid w:val="001C3F8C"/>
    <w:rsid w:val="001C6097"/>
    <w:rsid w:val="001D008A"/>
    <w:rsid w:val="001E0152"/>
    <w:rsid w:val="001E0FF5"/>
    <w:rsid w:val="002002ED"/>
    <w:rsid w:val="002170E5"/>
    <w:rsid w:val="00220D57"/>
    <w:rsid w:val="0022721A"/>
    <w:rsid w:val="00230BB9"/>
    <w:rsid w:val="00241CEF"/>
    <w:rsid w:val="0025124E"/>
    <w:rsid w:val="00252B30"/>
    <w:rsid w:val="002613E4"/>
    <w:rsid w:val="0026544B"/>
    <w:rsid w:val="00276CDC"/>
    <w:rsid w:val="00277655"/>
    <w:rsid w:val="002824B7"/>
    <w:rsid w:val="00282AC4"/>
    <w:rsid w:val="002A11AC"/>
    <w:rsid w:val="002A6F30"/>
    <w:rsid w:val="002B3111"/>
    <w:rsid w:val="002C7908"/>
    <w:rsid w:val="002D391B"/>
    <w:rsid w:val="002D4B1F"/>
    <w:rsid w:val="002D7D15"/>
    <w:rsid w:val="002E1B2E"/>
    <w:rsid w:val="002E27EB"/>
    <w:rsid w:val="002F2A9D"/>
    <w:rsid w:val="002F31C2"/>
    <w:rsid w:val="00303FDE"/>
    <w:rsid w:val="003140E8"/>
    <w:rsid w:val="003231C7"/>
    <w:rsid w:val="003270C4"/>
    <w:rsid w:val="00331ED0"/>
    <w:rsid w:val="00332B0A"/>
    <w:rsid w:val="00333A41"/>
    <w:rsid w:val="00345434"/>
    <w:rsid w:val="003475DE"/>
    <w:rsid w:val="0035495B"/>
    <w:rsid w:val="00355A93"/>
    <w:rsid w:val="00361522"/>
    <w:rsid w:val="0037196E"/>
    <w:rsid w:val="003744F5"/>
    <w:rsid w:val="00383DB5"/>
    <w:rsid w:val="00387BDE"/>
    <w:rsid w:val="00390DD8"/>
    <w:rsid w:val="00394DC6"/>
    <w:rsid w:val="00397C3E"/>
    <w:rsid w:val="003B1A09"/>
    <w:rsid w:val="003D4CCA"/>
    <w:rsid w:val="003D52A6"/>
    <w:rsid w:val="003D6416"/>
    <w:rsid w:val="003E1D48"/>
    <w:rsid w:val="003F1D2B"/>
    <w:rsid w:val="0040747B"/>
    <w:rsid w:val="00411DF2"/>
    <w:rsid w:val="00411E8F"/>
    <w:rsid w:val="0042527B"/>
    <w:rsid w:val="0045537F"/>
    <w:rsid w:val="00457DC7"/>
    <w:rsid w:val="00472BCC"/>
    <w:rsid w:val="004A25CD"/>
    <w:rsid w:val="004A26CC"/>
    <w:rsid w:val="004B2108"/>
    <w:rsid w:val="004B3A2B"/>
    <w:rsid w:val="004B70D3"/>
    <w:rsid w:val="004C312D"/>
    <w:rsid w:val="004D2D1B"/>
    <w:rsid w:val="004D5067"/>
    <w:rsid w:val="004D6838"/>
    <w:rsid w:val="004D72BC"/>
    <w:rsid w:val="004E469D"/>
    <w:rsid w:val="004F2DDE"/>
    <w:rsid w:val="004F7826"/>
    <w:rsid w:val="0050097F"/>
    <w:rsid w:val="00514B1F"/>
    <w:rsid w:val="00525E93"/>
    <w:rsid w:val="0052671D"/>
    <w:rsid w:val="0055595D"/>
    <w:rsid w:val="00556A10"/>
    <w:rsid w:val="00557F50"/>
    <w:rsid w:val="00571D3D"/>
    <w:rsid w:val="0058264B"/>
    <w:rsid w:val="005868AA"/>
    <w:rsid w:val="00590845"/>
    <w:rsid w:val="005963C2"/>
    <w:rsid w:val="005A0D69"/>
    <w:rsid w:val="005A31F4"/>
    <w:rsid w:val="005A73EA"/>
    <w:rsid w:val="005B45F7"/>
    <w:rsid w:val="005B63EA"/>
    <w:rsid w:val="005C0492"/>
    <w:rsid w:val="005C1A88"/>
    <w:rsid w:val="005C5033"/>
    <w:rsid w:val="005E751B"/>
    <w:rsid w:val="005F3354"/>
    <w:rsid w:val="0060005E"/>
    <w:rsid w:val="0060095B"/>
    <w:rsid w:val="00601266"/>
    <w:rsid w:val="00610E73"/>
    <w:rsid w:val="00616DF2"/>
    <w:rsid w:val="0063168D"/>
    <w:rsid w:val="006531A4"/>
    <w:rsid w:val="00660774"/>
    <w:rsid w:val="0066389A"/>
    <w:rsid w:val="0066495C"/>
    <w:rsid w:val="00665CC7"/>
    <w:rsid w:val="00672612"/>
    <w:rsid w:val="00677F18"/>
    <w:rsid w:val="00693483"/>
    <w:rsid w:val="006A0BF3"/>
    <w:rsid w:val="006B0DA6"/>
    <w:rsid w:val="006C547E"/>
    <w:rsid w:val="006D2B51"/>
    <w:rsid w:val="006D5575"/>
    <w:rsid w:val="006E42BE"/>
    <w:rsid w:val="00702A78"/>
    <w:rsid w:val="00704C5D"/>
    <w:rsid w:val="007072BC"/>
    <w:rsid w:val="00715275"/>
    <w:rsid w:val="00721B44"/>
    <w:rsid w:val="007232A2"/>
    <w:rsid w:val="00726366"/>
    <w:rsid w:val="00733B6B"/>
    <w:rsid w:val="00740808"/>
    <w:rsid w:val="007467C4"/>
    <w:rsid w:val="0076170F"/>
    <w:rsid w:val="0076669C"/>
    <w:rsid w:val="00766E46"/>
    <w:rsid w:val="0076723F"/>
    <w:rsid w:val="00777727"/>
    <w:rsid w:val="00782B79"/>
    <w:rsid w:val="007865E9"/>
    <w:rsid w:val="00792383"/>
    <w:rsid w:val="00794D5A"/>
    <w:rsid w:val="00794DD9"/>
    <w:rsid w:val="007A060F"/>
    <w:rsid w:val="007A20C0"/>
    <w:rsid w:val="007C0FBC"/>
    <w:rsid w:val="007C36E3"/>
    <w:rsid w:val="007C7134"/>
    <w:rsid w:val="007D3D20"/>
    <w:rsid w:val="007D742E"/>
    <w:rsid w:val="007E3AFD"/>
    <w:rsid w:val="00801DAD"/>
    <w:rsid w:val="00803189"/>
    <w:rsid w:val="00804E7A"/>
    <w:rsid w:val="00805FBB"/>
    <w:rsid w:val="008169A4"/>
    <w:rsid w:val="008278FE"/>
    <w:rsid w:val="00832598"/>
    <w:rsid w:val="0083397E"/>
    <w:rsid w:val="0083534B"/>
    <w:rsid w:val="00837378"/>
    <w:rsid w:val="00842602"/>
    <w:rsid w:val="00847B45"/>
    <w:rsid w:val="00863A66"/>
    <w:rsid w:val="008703D7"/>
    <w:rsid w:val="00874429"/>
    <w:rsid w:val="00883D9A"/>
    <w:rsid w:val="008919EF"/>
    <w:rsid w:val="00892B20"/>
    <w:rsid w:val="008A12EC"/>
    <w:rsid w:val="008C21C8"/>
    <w:rsid w:val="008C6375"/>
    <w:rsid w:val="008C6A5B"/>
    <w:rsid w:val="008E26A5"/>
    <w:rsid w:val="008E42D2"/>
    <w:rsid w:val="008E6328"/>
    <w:rsid w:val="00902969"/>
    <w:rsid w:val="009040EE"/>
    <w:rsid w:val="009057FD"/>
    <w:rsid w:val="00906FBA"/>
    <w:rsid w:val="009163E8"/>
    <w:rsid w:val="009228C7"/>
    <w:rsid w:val="00922A7F"/>
    <w:rsid w:val="00923A5E"/>
    <w:rsid w:val="00924FE7"/>
    <w:rsid w:val="00926E27"/>
    <w:rsid w:val="00931C8C"/>
    <w:rsid w:val="0094504B"/>
    <w:rsid w:val="00964A38"/>
    <w:rsid w:val="00966A9D"/>
    <w:rsid w:val="0096742B"/>
    <w:rsid w:val="009924CF"/>
    <w:rsid w:val="00994100"/>
    <w:rsid w:val="009A6B17"/>
    <w:rsid w:val="009D4C29"/>
    <w:rsid w:val="009F6AD2"/>
    <w:rsid w:val="00A00D8D"/>
    <w:rsid w:val="00A01BB6"/>
    <w:rsid w:val="00A4303C"/>
    <w:rsid w:val="00A470FD"/>
    <w:rsid w:val="00A62DAB"/>
    <w:rsid w:val="00A6757A"/>
    <w:rsid w:val="00A726A6"/>
    <w:rsid w:val="00A74842"/>
    <w:rsid w:val="00A97535"/>
    <w:rsid w:val="00AA2BAA"/>
    <w:rsid w:val="00AA73F1"/>
    <w:rsid w:val="00AB0E1A"/>
    <w:rsid w:val="00AB1A30"/>
    <w:rsid w:val="00AB3C36"/>
    <w:rsid w:val="00AC12F3"/>
    <w:rsid w:val="00AD10EB"/>
    <w:rsid w:val="00AD1ED3"/>
    <w:rsid w:val="00B02001"/>
    <w:rsid w:val="00B03C50"/>
    <w:rsid w:val="00B0777D"/>
    <w:rsid w:val="00B11576"/>
    <w:rsid w:val="00B1195F"/>
    <w:rsid w:val="00B14D10"/>
    <w:rsid w:val="00B209C7"/>
    <w:rsid w:val="00B3644F"/>
    <w:rsid w:val="00B4057A"/>
    <w:rsid w:val="00B40894"/>
    <w:rsid w:val="00B41039"/>
    <w:rsid w:val="00B444AE"/>
    <w:rsid w:val="00B45E75"/>
    <w:rsid w:val="00B50876"/>
    <w:rsid w:val="00B51074"/>
    <w:rsid w:val="00B54DAA"/>
    <w:rsid w:val="00B55AB0"/>
    <w:rsid w:val="00B55EE5"/>
    <w:rsid w:val="00B71D1F"/>
    <w:rsid w:val="00B73DE6"/>
    <w:rsid w:val="00B761CD"/>
    <w:rsid w:val="00B86EF0"/>
    <w:rsid w:val="00B96969"/>
    <w:rsid w:val="00B97900"/>
    <w:rsid w:val="00BA0E56"/>
    <w:rsid w:val="00BA1229"/>
    <w:rsid w:val="00BA44A8"/>
    <w:rsid w:val="00BF6691"/>
    <w:rsid w:val="00C028FC"/>
    <w:rsid w:val="00C037F2"/>
    <w:rsid w:val="00C0386D"/>
    <w:rsid w:val="00C065A1"/>
    <w:rsid w:val="00C10ED5"/>
    <w:rsid w:val="00C151A6"/>
    <w:rsid w:val="00C24098"/>
    <w:rsid w:val="00C30A4E"/>
    <w:rsid w:val="00C411F3"/>
    <w:rsid w:val="00C44105"/>
    <w:rsid w:val="00C55A33"/>
    <w:rsid w:val="00C66692"/>
    <w:rsid w:val="00C673B5"/>
    <w:rsid w:val="00C7063D"/>
    <w:rsid w:val="00C830BC"/>
    <w:rsid w:val="00C8524D"/>
    <w:rsid w:val="00C91123"/>
    <w:rsid w:val="00CA71FF"/>
    <w:rsid w:val="00CB5276"/>
    <w:rsid w:val="00CB5BFC"/>
    <w:rsid w:val="00CB68D7"/>
    <w:rsid w:val="00CC7E68"/>
    <w:rsid w:val="00CD7132"/>
    <w:rsid w:val="00CE0E6F"/>
    <w:rsid w:val="00CE3B21"/>
    <w:rsid w:val="00CE56FC"/>
    <w:rsid w:val="00CF4CFE"/>
    <w:rsid w:val="00D02E0F"/>
    <w:rsid w:val="00D03EE8"/>
    <w:rsid w:val="00D13535"/>
    <w:rsid w:val="00D17B79"/>
    <w:rsid w:val="00D23FEA"/>
    <w:rsid w:val="00D269CA"/>
    <w:rsid w:val="00D30B48"/>
    <w:rsid w:val="00D3168A"/>
    <w:rsid w:val="00D46FAA"/>
    <w:rsid w:val="00D47A40"/>
    <w:rsid w:val="00D51D33"/>
    <w:rsid w:val="00D57BB2"/>
    <w:rsid w:val="00D57E57"/>
    <w:rsid w:val="00D70752"/>
    <w:rsid w:val="00D80E2D"/>
    <w:rsid w:val="00D84D5E"/>
    <w:rsid w:val="00D8560E"/>
    <w:rsid w:val="00D8758F"/>
    <w:rsid w:val="00DA4EDD"/>
    <w:rsid w:val="00DA6B78"/>
    <w:rsid w:val="00DC1D94"/>
    <w:rsid w:val="00DC42CF"/>
    <w:rsid w:val="00DE057F"/>
    <w:rsid w:val="00DE2082"/>
    <w:rsid w:val="00DE2289"/>
    <w:rsid w:val="00DF09A7"/>
    <w:rsid w:val="00E001D6"/>
    <w:rsid w:val="00E03A76"/>
    <w:rsid w:val="00E04410"/>
    <w:rsid w:val="00E07484"/>
    <w:rsid w:val="00E11351"/>
    <w:rsid w:val="00E4225C"/>
    <w:rsid w:val="00E44879"/>
    <w:rsid w:val="00E72914"/>
    <w:rsid w:val="00E75AE0"/>
    <w:rsid w:val="00E83C1F"/>
    <w:rsid w:val="00EA172C"/>
    <w:rsid w:val="00EA259B"/>
    <w:rsid w:val="00EA35A3"/>
    <w:rsid w:val="00EA3E6A"/>
    <w:rsid w:val="00EB18EF"/>
    <w:rsid w:val="00EB7951"/>
    <w:rsid w:val="00EC1C17"/>
    <w:rsid w:val="00ED6A79"/>
    <w:rsid w:val="00EE17DF"/>
    <w:rsid w:val="00EF4621"/>
    <w:rsid w:val="00EF4D52"/>
    <w:rsid w:val="00EF6312"/>
    <w:rsid w:val="00F038B0"/>
    <w:rsid w:val="00F22B27"/>
    <w:rsid w:val="00F234A7"/>
    <w:rsid w:val="00F277B6"/>
    <w:rsid w:val="00F27DA5"/>
    <w:rsid w:val="00F37E07"/>
    <w:rsid w:val="00F4182A"/>
    <w:rsid w:val="00F51E76"/>
    <w:rsid w:val="00F54380"/>
    <w:rsid w:val="00F54B47"/>
    <w:rsid w:val="00F61247"/>
    <w:rsid w:val="00F6702E"/>
    <w:rsid w:val="00F70E84"/>
    <w:rsid w:val="00FA092B"/>
    <w:rsid w:val="00FA4F6C"/>
    <w:rsid w:val="00FA6EFD"/>
    <w:rsid w:val="00FB5B67"/>
    <w:rsid w:val="00FB74EA"/>
    <w:rsid w:val="00FD2C9E"/>
    <w:rsid w:val="00FD4786"/>
    <w:rsid w:val="00FD616C"/>
    <w:rsid w:val="00FE53F2"/>
    <w:rsid w:val="00FF0A00"/>
    <w:rsid w:val="00FF1C57"/>
    <w:rsid w:val="00FF258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State"/>
  <w:smartTagType w:namespaceuri="urn:schemas-microsoft-com:office:smarttags" w:name="place"/>
  <w:shapeDefaults>
    <o:shapedefaults v:ext="edit" spidmax="1228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footnote text" w:uiPriority="99"/>
    <w:lsdException w:name="caption" w:semiHidden="1" w:unhideWhenUsed="1" w:qFormat="1"/>
    <w:lsdException w:name="footnote reference" w:uiPriority="99"/>
    <w:lsdException w:name="Title" w:qFormat="1"/>
    <w:lsdException w:name="Subtitle" w:qFormat="1"/>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CD7132"/>
    <w:rPr>
      <w:sz w:val="24"/>
      <w:szCs w:val="24"/>
    </w:rPr>
  </w:style>
  <w:style w:type="paragraph" w:styleId="Heading1">
    <w:name w:val="heading 1"/>
    <w:basedOn w:val="Normal"/>
    <w:next w:val="BodyText"/>
    <w:link w:val="Heading1Char"/>
    <w:qFormat/>
    <w:rsid w:val="00CD7132"/>
    <w:pPr>
      <w:keepNext/>
      <w:spacing w:after="240"/>
      <w:jc w:val="both"/>
      <w:outlineLvl w:val="0"/>
    </w:pPr>
    <w:rPr>
      <w:rFonts w:cs="Arial"/>
      <w:bCs/>
      <w:kern w:val="32"/>
      <w:szCs w:val="32"/>
    </w:rPr>
  </w:style>
  <w:style w:type="paragraph" w:styleId="Heading2">
    <w:name w:val="heading 2"/>
    <w:basedOn w:val="Normal"/>
    <w:next w:val="BodyText"/>
    <w:link w:val="Heading2Char"/>
    <w:qFormat/>
    <w:rsid w:val="00CD7132"/>
    <w:pPr>
      <w:keepNext/>
      <w:spacing w:after="240"/>
      <w:jc w:val="both"/>
      <w:outlineLvl w:val="1"/>
    </w:pPr>
    <w:rPr>
      <w:rFonts w:cs="Arial"/>
      <w:bCs/>
      <w:iCs/>
      <w:szCs w:val="28"/>
    </w:rPr>
  </w:style>
  <w:style w:type="paragraph" w:styleId="Heading3">
    <w:name w:val="heading 3"/>
    <w:basedOn w:val="BodyText"/>
    <w:next w:val="BodyText"/>
    <w:link w:val="Heading3Char"/>
    <w:qFormat/>
    <w:rsid w:val="00CD7132"/>
    <w:pPr>
      <w:spacing w:after="240"/>
      <w:ind w:firstLine="720"/>
      <w:jc w:val="both"/>
      <w:outlineLvl w:val="2"/>
    </w:pPr>
  </w:style>
  <w:style w:type="paragraph" w:styleId="Heading4">
    <w:name w:val="heading 4"/>
    <w:basedOn w:val="Normal"/>
    <w:next w:val="Normal"/>
    <w:link w:val="Heading4Char"/>
    <w:qFormat/>
    <w:rsid w:val="00CD7132"/>
    <w:pPr>
      <w:keepNext/>
      <w:spacing w:before="240" w:after="60"/>
      <w:outlineLvl w:val="3"/>
    </w:pPr>
    <w:rPr>
      <w:b/>
      <w:bCs/>
      <w:sz w:val="28"/>
      <w:szCs w:val="28"/>
    </w:rPr>
  </w:style>
  <w:style w:type="paragraph" w:styleId="Heading5">
    <w:name w:val="heading 5"/>
    <w:basedOn w:val="Normal"/>
    <w:next w:val="Normal"/>
    <w:link w:val="Heading5Char"/>
    <w:qFormat/>
    <w:rsid w:val="00CD7132"/>
    <w:pPr>
      <w:spacing w:before="240" w:after="60"/>
      <w:outlineLvl w:val="4"/>
    </w:pPr>
    <w:rPr>
      <w:b/>
      <w:bCs/>
      <w:i/>
      <w:iCs/>
      <w:sz w:val="26"/>
      <w:szCs w:val="26"/>
    </w:rPr>
  </w:style>
  <w:style w:type="paragraph" w:styleId="Heading6">
    <w:name w:val="heading 6"/>
    <w:basedOn w:val="Normal"/>
    <w:next w:val="Normal"/>
    <w:link w:val="Heading6Char"/>
    <w:qFormat/>
    <w:rsid w:val="00CD7132"/>
    <w:pPr>
      <w:spacing w:before="240" w:after="60"/>
      <w:outlineLvl w:val="5"/>
    </w:pPr>
    <w:rPr>
      <w:b/>
      <w:bCs/>
      <w:sz w:val="22"/>
      <w:szCs w:val="22"/>
    </w:rPr>
  </w:style>
  <w:style w:type="paragraph" w:styleId="Heading7">
    <w:name w:val="heading 7"/>
    <w:basedOn w:val="Normal"/>
    <w:next w:val="Normal"/>
    <w:link w:val="Heading7Char"/>
    <w:qFormat/>
    <w:rsid w:val="00CD7132"/>
    <w:pPr>
      <w:spacing w:before="240" w:after="60"/>
      <w:outlineLvl w:val="6"/>
    </w:pPr>
  </w:style>
  <w:style w:type="paragraph" w:styleId="Heading8">
    <w:name w:val="heading 8"/>
    <w:basedOn w:val="Normal"/>
    <w:next w:val="Normal"/>
    <w:link w:val="Heading8Char"/>
    <w:qFormat/>
    <w:rsid w:val="00CD7132"/>
    <w:pPr>
      <w:spacing w:before="240" w:after="60"/>
      <w:outlineLvl w:val="7"/>
    </w:pPr>
    <w:rPr>
      <w:i/>
      <w:iCs/>
    </w:rPr>
  </w:style>
  <w:style w:type="paragraph" w:styleId="Heading9">
    <w:name w:val="heading 9"/>
    <w:basedOn w:val="Normal"/>
    <w:next w:val="Normal"/>
    <w:link w:val="Heading9Char"/>
    <w:qFormat/>
    <w:rsid w:val="00CD7132"/>
    <w:pPr>
      <w:spacing w:before="240" w:after="60"/>
      <w:outlineLvl w:val="8"/>
    </w:pPr>
    <w:rPr>
      <w:rFonts w:ascii="Arial" w:hAnsi="Arial" w:cs="Arial"/>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rsid w:val="00CD7132"/>
    <w:pPr>
      <w:tabs>
        <w:tab w:val="center" w:pos="4320"/>
        <w:tab w:val="right" w:pos="8640"/>
      </w:tabs>
    </w:pPr>
  </w:style>
  <w:style w:type="paragraph" w:customStyle="1" w:styleId="OrderBody">
    <w:name w:val="Order Body"/>
    <w:basedOn w:val="Normal"/>
    <w:link w:val="OrderBodyChar"/>
    <w:rsid w:val="00CD7132"/>
    <w:pPr>
      <w:jc w:val="both"/>
    </w:pPr>
  </w:style>
  <w:style w:type="character" w:customStyle="1" w:styleId="OrderBodyChar">
    <w:name w:val="Order Body Char"/>
    <w:link w:val="OrderBody"/>
    <w:rsid w:val="00CD7132"/>
    <w:rPr>
      <w:sz w:val="24"/>
      <w:szCs w:val="24"/>
    </w:rPr>
  </w:style>
  <w:style w:type="paragraph" w:customStyle="1" w:styleId="OrderHeader">
    <w:name w:val="Order Header"/>
    <w:basedOn w:val="Header"/>
    <w:rsid w:val="00CD7132"/>
    <w:pPr>
      <w:jc w:val="both"/>
    </w:pPr>
  </w:style>
  <w:style w:type="character" w:styleId="PageNumber">
    <w:name w:val="page number"/>
    <w:rsid w:val="00CD7132"/>
  </w:style>
  <w:style w:type="paragraph" w:styleId="Header">
    <w:name w:val="header"/>
    <w:basedOn w:val="Normal"/>
    <w:rsid w:val="00CD7132"/>
    <w:pPr>
      <w:tabs>
        <w:tab w:val="center" w:pos="4320"/>
        <w:tab w:val="right" w:pos="8640"/>
      </w:tabs>
    </w:pPr>
  </w:style>
  <w:style w:type="paragraph" w:customStyle="1" w:styleId="CenterUnderline">
    <w:name w:val="CenterUnderline"/>
    <w:basedOn w:val="Normal"/>
    <w:rsid w:val="00CD7132"/>
    <w:pPr>
      <w:jc w:val="center"/>
    </w:pPr>
    <w:rPr>
      <w:u w:val="single"/>
    </w:rPr>
  </w:style>
  <w:style w:type="character" w:styleId="FootnoteReference">
    <w:name w:val="footnote reference"/>
    <w:uiPriority w:val="99"/>
    <w:rsid w:val="00CD7132"/>
    <w:rPr>
      <w:vertAlign w:val="superscript"/>
    </w:rPr>
  </w:style>
  <w:style w:type="paragraph" w:styleId="FootnoteText">
    <w:name w:val="footnote text"/>
    <w:basedOn w:val="Normal"/>
    <w:link w:val="FootnoteTextChar"/>
    <w:uiPriority w:val="99"/>
    <w:rsid w:val="00CD7132"/>
    <w:pPr>
      <w:jc w:val="both"/>
    </w:pPr>
    <w:rPr>
      <w:sz w:val="20"/>
      <w:szCs w:val="20"/>
    </w:rPr>
  </w:style>
  <w:style w:type="paragraph" w:customStyle="1" w:styleId="Level3">
    <w:name w:val="Level 3"/>
    <w:basedOn w:val="Normal"/>
    <w:rsid w:val="00CD7132"/>
    <w:pPr>
      <w:widowControl w:val="0"/>
      <w:autoSpaceDE w:val="0"/>
      <w:autoSpaceDN w:val="0"/>
      <w:adjustRightInd w:val="0"/>
      <w:ind w:left="2160" w:hanging="720"/>
      <w:outlineLvl w:val="2"/>
    </w:pPr>
  </w:style>
  <w:style w:type="paragraph" w:customStyle="1" w:styleId="OrderDouble">
    <w:name w:val="Order Double"/>
    <w:basedOn w:val="OrderBody"/>
    <w:rsid w:val="00CD7132"/>
    <w:pPr>
      <w:spacing w:line="480" w:lineRule="auto"/>
      <w:jc w:val="left"/>
    </w:pPr>
  </w:style>
  <w:style w:type="paragraph" w:customStyle="1" w:styleId="OrderDoubleJustified">
    <w:name w:val="Order Double Justified"/>
    <w:basedOn w:val="OrderDouble"/>
    <w:rsid w:val="00CD7132"/>
    <w:pPr>
      <w:jc w:val="both"/>
    </w:pPr>
  </w:style>
  <w:style w:type="paragraph" w:customStyle="1" w:styleId="OrderHanging">
    <w:name w:val="Order Hanging"/>
    <w:basedOn w:val="Normal"/>
    <w:rsid w:val="00CD7132"/>
    <w:pPr>
      <w:ind w:left="1440" w:hanging="1440"/>
      <w:jc w:val="both"/>
    </w:pPr>
    <w:rPr>
      <w:szCs w:val="20"/>
    </w:rPr>
  </w:style>
  <w:style w:type="paragraph" w:customStyle="1" w:styleId="OrderHanging2">
    <w:name w:val="Order Hanging 2"/>
    <w:basedOn w:val="Normal"/>
    <w:rsid w:val="00CD7132"/>
    <w:pPr>
      <w:ind w:left="2880" w:hanging="2880"/>
      <w:jc w:val="both"/>
    </w:pPr>
  </w:style>
  <w:style w:type="paragraph" w:customStyle="1" w:styleId="OrderHeading">
    <w:name w:val="Order Heading"/>
    <w:basedOn w:val="Normal"/>
    <w:rsid w:val="00CD7132"/>
    <w:pPr>
      <w:jc w:val="center"/>
    </w:pPr>
  </w:style>
  <w:style w:type="paragraph" w:customStyle="1" w:styleId="OrderSigInfo">
    <w:name w:val="Order Sig Info"/>
    <w:basedOn w:val="OrderBody"/>
    <w:next w:val="OrderBody"/>
    <w:rsid w:val="00CD7132"/>
    <w:pPr>
      <w:ind w:left="4464"/>
    </w:pPr>
    <w:rPr>
      <w:szCs w:val="20"/>
    </w:rPr>
  </w:style>
  <w:style w:type="paragraph" w:customStyle="1" w:styleId="OrderFootNote">
    <w:name w:val="OrderFootNote"/>
    <w:basedOn w:val="FootnoteText"/>
    <w:rsid w:val="00CD7132"/>
    <w:pPr>
      <w:spacing w:after="240"/>
      <w:ind w:firstLine="432"/>
    </w:pPr>
  </w:style>
  <w:style w:type="table" w:styleId="TableGrid">
    <w:name w:val="Table Grid"/>
    <w:basedOn w:val="TableNormal"/>
    <w:rsid w:val="00CD713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ertificateofServiceBody">
    <w:name w:val="Certificate of Service Body"/>
    <w:basedOn w:val="Normal"/>
    <w:next w:val="Normal"/>
    <w:rsid w:val="00CD7132"/>
    <w:pPr>
      <w:jc w:val="both"/>
    </w:pPr>
  </w:style>
  <w:style w:type="character" w:customStyle="1" w:styleId="Heading1Char">
    <w:name w:val="Heading 1 Char"/>
    <w:link w:val="Heading1"/>
    <w:rsid w:val="00CD7132"/>
    <w:rPr>
      <w:rFonts w:cs="Arial"/>
      <w:bCs/>
      <w:kern w:val="32"/>
      <w:sz w:val="24"/>
      <w:szCs w:val="32"/>
    </w:rPr>
  </w:style>
  <w:style w:type="character" w:customStyle="1" w:styleId="Heading9Char">
    <w:name w:val="Heading 9 Char"/>
    <w:link w:val="Heading9"/>
    <w:rsid w:val="00CD7132"/>
    <w:rPr>
      <w:rFonts w:ascii="Arial" w:hAnsi="Arial" w:cs="Arial"/>
      <w:sz w:val="22"/>
      <w:szCs w:val="22"/>
    </w:rPr>
  </w:style>
  <w:style w:type="paragraph" w:styleId="BodyText">
    <w:name w:val="Body Text"/>
    <w:basedOn w:val="Normal"/>
    <w:link w:val="BodyTextChar"/>
    <w:rsid w:val="00CD7132"/>
    <w:pPr>
      <w:spacing w:after="120"/>
    </w:pPr>
  </w:style>
  <w:style w:type="character" w:customStyle="1" w:styleId="BodyTextChar">
    <w:name w:val="Body Text Char"/>
    <w:link w:val="BodyText"/>
    <w:rsid w:val="00CD7132"/>
    <w:rPr>
      <w:sz w:val="24"/>
      <w:szCs w:val="24"/>
    </w:rPr>
  </w:style>
  <w:style w:type="character" w:customStyle="1" w:styleId="Heading2Char">
    <w:name w:val="Heading 2 Char"/>
    <w:link w:val="Heading2"/>
    <w:rsid w:val="00CD7132"/>
    <w:rPr>
      <w:rFonts w:cs="Arial"/>
      <w:bCs/>
      <w:iCs/>
      <w:sz w:val="24"/>
      <w:szCs w:val="28"/>
    </w:rPr>
  </w:style>
  <w:style w:type="character" w:customStyle="1" w:styleId="Heading3Char">
    <w:name w:val="Heading 3 Char"/>
    <w:link w:val="Heading3"/>
    <w:rsid w:val="00CD7132"/>
    <w:rPr>
      <w:sz w:val="24"/>
      <w:szCs w:val="24"/>
    </w:rPr>
  </w:style>
  <w:style w:type="character" w:customStyle="1" w:styleId="Heading4Char">
    <w:name w:val="Heading 4 Char"/>
    <w:link w:val="Heading4"/>
    <w:rsid w:val="00CD7132"/>
    <w:rPr>
      <w:b/>
      <w:bCs/>
      <w:sz w:val="28"/>
      <w:szCs w:val="28"/>
    </w:rPr>
  </w:style>
  <w:style w:type="character" w:customStyle="1" w:styleId="Heading5Char">
    <w:name w:val="Heading 5 Char"/>
    <w:link w:val="Heading5"/>
    <w:rsid w:val="00CD7132"/>
    <w:rPr>
      <w:b/>
      <w:bCs/>
      <w:i/>
      <w:iCs/>
      <w:sz w:val="26"/>
      <w:szCs w:val="26"/>
    </w:rPr>
  </w:style>
  <w:style w:type="character" w:customStyle="1" w:styleId="Heading6Char">
    <w:name w:val="Heading 6 Char"/>
    <w:link w:val="Heading6"/>
    <w:rsid w:val="00CD7132"/>
    <w:rPr>
      <w:b/>
      <w:bCs/>
      <w:sz w:val="22"/>
      <w:szCs w:val="22"/>
    </w:rPr>
  </w:style>
  <w:style w:type="character" w:customStyle="1" w:styleId="Heading7Char">
    <w:name w:val="Heading 7 Char"/>
    <w:link w:val="Heading7"/>
    <w:rsid w:val="00CD7132"/>
    <w:rPr>
      <w:sz w:val="24"/>
      <w:szCs w:val="24"/>
    </w:rPr>
  </w:style>
  <w:style w:type="character" w:customStyle="1" w:styleId="Heading8Char">
    <w:name w:val="Heading 8 Char"/>
    <w:link w:val="Heading8"/>
    <w:rsid w:val="00CD7132"/>
    <w:rPr>
      <w:i/>
      <w:iCs/>
      <w:sz w:val="24"/>
      <w:szCs w:val="24"/>
    </w:rPr>
  </w:style>
  <w:style w:type="character" w:customStyle="1" w:styleId="FootnoteTextChar">
    <w:name w:val="Footnote Text Char"/>
    <w:link w:val="FootnoteText"/>
    <w:uiPriority w:val="99"/>
    <w:rsid w:val="007A20C0"/>
  </w:style>
  <w:style w:type="paragraph" w:styleId="BalloonText">
    <w:name w:val="Balloon Text"/>
    <w:basedOn w:val="Normal"/>
    <w:link w:val="BalloonTextChar"/>
    <w:rsid w:val="00F51E76"/>
    <w:rPr>
      <w:rFonts w:ascii="Tahoma" w:hAnsi="Tahoma" w:cs="Tahoma"/>
      <w:sz w:val="16"/>
      <w:szCs w:val="16"/>
    </w:rPr>
  </w:style>
  <w:style w:type="character" w:customStyle="1" w:styleId="BalloonTextChar">
    <w:name w:val="Balloon Text Char"/>
    <w:basedOn w:val="DefaultParagraphFont"/>
    <w:link w:val="BalloonText"/>
    <w:rsid w:val="00F51E76"/>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footnote text" w:uiPriority="99"/>
    <w:lsdException w:name="caption" w:semiHidden="1" w:unhideWhenUsed="1" w:qFormat="1"/>
    <w:lsdException w:name="footnote reference" w:uiPriority="99"/>
    <w:lsdException w:name="Title" w:qFormat="1"/>
    <w:lsdException w:name="Subtitle" w:qFormat="1"/>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CD7132"/>
    <w:rPr>
      <w:sz w:val="24"/>
      <w:szCs w:val="24"/>
    </w:rPr>
  </w:style>
  <w:style w:type="paragraph" w:styleId="Heading1">
    <w:name w:val="heading 1"/>
    <w:basedOn w:val="Normal"/>
    <w:next w:val="BodyText"/>
    <w:link w:val="Heading1Char"/>
    <w:qFormat/>
    <w:rsid w:val="00CD7132"/>
    <w:pPr>
      <w:keepNext/>
      <w:spacing w:after="240"/>
      <w:jc w:val="both"/>
      <w:outlineLvl w:val="0"/>
    </w:pPr>
    <w:rPr>
      <w:rFonts w:cs="Arial"/>
      <w:bCs/>
      <w:kern w:val="32"/>
      <w:szCs w:val="32"/>
    </w:rPr>
  </w:style>
  <w:style w:type="paragraph" w:styleId="Heading2">
    <w:name w:val="heading 2"/>
    <w:basedOn w:val="Normal"/>
    <w:next w:val="BodyText"/>
    <w:link w:val="Heading2Char"/>
    <w:qFormat/>
    <w:rsid w:val="00CD7132"/>
    <w:pPr>
      <w:keepNext/>
      <w:spacing w:after="240"/>
      <w:jc w:val="both"/>
      <w:outlineLvl w:val="1"/>
    </w:pPr>
    <w:rPr>
      <w:rFonts w:cs="Arial"/>
      <w:bCs/>
      <w:iCs/>
      <w:szCs w:val="28"/>
    </w:rPr>
  </w:style>
  <w:style w:type="paragraph" w:styleId="Heading3">
    <w:name w:val="heading 3"/>
    <w:basedOn w:val="BodyText"/>
    <w:next w:val="BodyText"/>
    <w:link w:val="Heading3Char"/>
    <w:qFormat/>
    <w:rsid w:val="00CD7132"/>
    <w:pPr>
      <w:spacing w:after="240"/>
      <w:ind w:firstLine="720"/>
      <w:jc w:val="both"/>
      <w:outlineLvl w:val="2"/>
    </w:pPr>
  </w:style>
  <w:style w:type="paragraph" w:styleId="Heading4">
    <w:name w:val="heading 4"/>
    <w:basedOn w:val="Normal"/>
    <w:next w:val="Normal"/>
    <w:link w:val="Heading4Char"/>
    <w:qFormat/>
    <w:rsid w:val="00CD7132"/>
    <w:pPr>
      <w:keepNext/>
      <w:spacing w:before="240" w:after="60"/>
      <w:outlineLvl w:val="3"/>
    </w:pPr>
    <w:rPr>
      <w:b/>
      <w:bCs/>
      <w:sz w:val="28"/>
      <w:szCs w:val="28"/>
    </w:rPr>
  </w:style>
  <w:style w:type="paragraph" w:styleId="Heading5">
    <w:name w:val="heading 5"/>
    <w:basedOn w:val="Normal"/>
    <w:next w:val="Normal"/>
    <w:link w:val="Heading5Char"/>
    <w:qFormat/>
    <w:rsid w:val="00CD7132"/>
    <w:pPr>
      <w:spacing w:before="240" w:after="60"/>
      <w:outlineLvl w:val="4"/>
    </w:pPr>
    <w:rPr>
      <w:b/>
      <w:bCs/>
      <w:i/>
      <w:iCs/>
      <w:sz w:val="26"/>
      <w:szCs w:val="26"/>
    </w:rPr>
  </w:style>
  <w:style w:type="paragraph" w:styleId="Heading6">
    <w:name w:val="heading 6"/>
    <w:basedOn w:val="Normal"/>
    <w:next w:val="Normal"/>
    <w:link w:val="Heading6Char"/>
    <w:qFormat/>
    <w:rsid w:val="00CD7132"/>
    <w:pPr>
      <w:spacing w:before="240" w:after="60"/>
      <w:outlineLvl w:val="5"/>
    </w:pPr>
    <w:rPr>
      <w:b/>
      <w:bCs/>
      <w:sz w:val="22"/>
      <w:szCs w:val="22"/>
    </w:rPr>
  </w:style>
  <w:style w:type="paragraph" w:styleId="Heading7">
    <w:name w:val="heading 7"/>
    <w:basedOn w:val="Normal"/>
    <w:next w:val="Normal"/>
    <w:link w:val="Heading7Char"/>
    <w:qFormat/>
    <w:rsid w:val="00CD7132"/>
    <w:pPr>
      <w:spacing w:before="240" w:after="60"/>
      <w:outlineLvl w:val="6"/>
    </w:pPr>
  </w:style>
  <w:style w:type="paragraph" w:styleId="Heading8">
    <w:name w:val="heading 8"/>
    <w:basedOn w:val="Normal"/>
    <w:next w:val="Normal"/>
    <w:link w:val="Heading8Char"/>
    <w:qFormat/>
    <w:rsid w:val="00CD7132"/>
    <w:pPr>
      <w:spacing w:before="240" w:after="60"/>
      <w:outlineLvl w:val="7"/>
    </w:pPr>
    <w:rPr>
      <w:i/>
      <w:iCs/>
    </w:rPr>
  </w:style>
  <w:style w:type="paragraph" w:styleId="Heading9">
    <w:name w:val="heading 9"/>
    <w:basedOn w:val="Normal"/>
    <w:next w:val="Normal"/>
    <w:link w:val="Heading9Char"/>
    <w:qFormat/>
    <w:rsid w:val="00CD7132"/>
    <w:pPr>
      <w:spacing w:before="240" w:after="60"/>
      <w:outlineLvl w:val="8"/>
    </w:pPr>
    <w:rPr>
      <w:rFonts w:ascii="Arial" w:hAnsi="Arial" w:cs="Arial"/>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rsid w:val="00CD7132"/>
    <w:pPr>
      <w:tabs>
        <w:tab w:val="center" w:pos="4320"/>
        <w:tab w:val="right" w:pos="8640"/>
      </w:tabs>
    </w:pPr>
  </w:style>
  <w:style w:type="paragraph" w:customStyle="1" w:styleId="OrderBody">
    <w:name w:val="Order Body"/>
    <w:basedOn w:val="Normal"/>
    <w:link w:val="OrderBodyChar"/>
    <w:rsid w:val="00CD7132"/>
    <w:pPr>
      <w:jc w:val="both"/>
    </w:pPr>
  </w:style>
  <w:style w:type="character" w:customStyle="1" w:styleId="OrderBodyChar">
    <w:name w:val="Order Body Char"/>
    <w:link w:val="OrderBody"/>
    <w:rsid w:val="00CD7132"/>
    <w:rPr>
      <w:sz w:val="24"/>
      <w:szCs w:val="24"/>
    </w:rPr>
  </w:style>
  <w:style w:type="paragraph" w:customStyle="1" w:styleId="OrderHeader">
    <w:name w:val="Order Header"/>
    <w:basedOn w:val="Header"/>
    <w:rsid w:val="00CD7132"/>
    <w:pPr>
      <w:jc w:val="both"/>
    </w:pPr>
  </w:style>
  <w:style w:type="character" w:styleId="PageNumber">
    <w:name w:val="page number"/>
    <w:rsid w:val="00CD7132"/>
  </w:style>
  <w:style w:type="paragraph" w:styleId="Header">
    <w:name w:val="header"/>
    <w:basedOn w:val="Normal"/>
    <w:rsid w:val="00CD7132"/>
    <w:pPr>
      <w:tabs>
        <w:tab w:val="center" w:pos="4320"/>
        <w:tab w:val="right" w:pos="8640"/>
      </w:tabs>
    </w:pPr>
  </w:style>
  <w:style w:type="paragraph" w:customStyle="1" w:styleId="CenterUnderline">
    <w:name w:val="CenterUnderline"/>
    <w:basedOn w:val="Normal"/>
    <w:rsid w:val="00CD7132"/>
    <w:pPr>
      <w:jc w:val="center"/>
    </w:pPr>
    <w:rPr>
      <w:u w:val="single"/>
    </w:rPr>
  </w:style>
  <w:style w:type="character" w:styleId="FootnoteReference">
    <w:name w:val="footnote reference"/>
    <w:uiPriority w:val="99"/>
    <w:rsid w:val="00CD7132"/>
    <w:rPr>
      <w:vertAlign w:val="superscript"/>
    </w:rPr>
  </w:style>
  <w:style w:type="paragraph" w:styleId="FootnoteText">
    <w:name w:val="footnote text"/>
    <w:basedOn w:val="Normal"/>
    <w:link w:val="FootnoteTextChar"/>
    <w:uiPriority w:val="99"/>
    <w:rsid w:val="00CD7132"/>
    <w:pPr>
      <w:jc w:val="both"/>
    </w:pPr>
    <w:rPr>
      <w:sz w:val="20"/>
      <w:szCs w:val="20"/>
    </w:rPr>
  </w:style>
  <w:style w:type="paragraph" w:customStyle="1" w:styleId="Level3">
    <w:name w:val="Level 3"/>
    <w:basedOn w:val="Normal"/>
    <w:rsid w:val="00CD7132"/>
    <w:pPr>
      <w:widowControl w:val="0"/>
      <w:autoSpaceDE w:val="0"/>
      <w:autoSpaceDN w:val="0"/>
      <w:adjustRightInd w:val="0"/>
      <w:ind w:left="2160" w:hanging="720"/>
      <w:outlineLvl w:val="2"/>
    </w:pPr>
  </w:style>
  <w:style w:type="paragraph" w:customStyle="1" w:styleId="OrderDouble">
    <w:name w:val="Order Double"/>
    <w:basedOn w:val="OrderBody"/>
    <w:rsid w:val="00CD7132"/>
    <w:pPr>
      <w:spacing w:line="480" w:lineRule="auto"/>
      <w:jc w:val="left"/>
    </w:pPr>
  </w:style>
  <w:style w:type="paragraph" w:customStyle="1" w:styleId="OrderDoubleJustified">
    <w:name w:val="Order Double Justified"/>
    <w:basedOn w:val="OrderDouble"/>
    <w:rsid w:val="00CD7132"/>
    <w:pPr>
      <w:jc w:val="both"/>
    </w:pPr>
  </w:style>
  <w:style w:type="paragraph" w:customStyle="1" w:styleId="OrderHanging">
    <w:name w:val="Order Hanging"/>
    <w:basedOn w:val="Normal"/>
    <w:rsid w:val="00CD7132"/>
    <w:pPr>
      <w:ind w:left="1440" w:hanging="1440"/>
      <w:jc w:val="both"/>
    </w:pPr>
    <w:rPr>
      <w:szCs w:val="20"/>
    </w:rPr>
  </w:style>
  <w:style w:type="paragraph" w:customStyle="1" w:styleId="OrderHanging2">
    <w:name w:val="Order Hanging 2"/>
    <w:basedOn w:val="Normal"/>
    <w:rsid w:val="00CD7132"/>
    <w:pPr>
      <w:ind w:left="2880" w:hanging="2880"/>
      <w:jc w:val="both"/>
    </w:pPr>
  </w:style>
  <w:style w:type="paragraph" w:customStyle="1" w:styleId="OrderHeading">
    <w:name w:val="Order Heading"/>
    <w:basedOn w:val="Normal"/>
    <w:rsid w:val="00CD7132"/>
    <w:pPr>
      <w:jc w:val="center"/>
    </w:pPr>
  </w:style>
  <w:style w:type="paragraph" w:customStyle="1" w:styleId="OrderSigInfo">
    <w:name w:val="Order Sig Info"/>
    <w:basedOn w:val="OrderBody"/>
    <w:next w:val="OrderBody"/>
    <w:rsid w:val="00CD7132"/>
    <w:pPr>
      <w:ind w:left="4464"/>
    </w:pPr>
    <w:rPr>
      <w:szCs w:val="20"/>
    </w:rPr>
  </w:style>
  <w:style w:type="paragraph" w:customStyle="1" w:styleId="OrderFootNote">
    <w:name w:val="OrderFootNote"/>
    <w:basedOn w:val="FootnoteText"/>
    <w:rsid w:val="00CD7132"/>
    <w:pPr>
      <w:spacing w:after="240"/>
      <w:ind w:firstLine="432"/>
    </w:pPr>
  </w:style>
  <w:style w:type="table" w:styleId="TableGrid">
    <w:name w:val="Table Grid"/>
    <w:basedOn w:val="TableNormal"/>
    <w:rsid w:val="00CD713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ertificateofServiceBody">
    <w:name w:val="Certificate of Service Body"/>
    <w:basedOn w:val="Normal"/>
    <w:next w:val="Normal"/>
    <w:rsid w:val="00CD7132"/>
    <w:pPr>
      <w:jc w:val="both"/>
    </w:pPr>
  </w:style>
  <w:style w:type="character" w:customStyle="1" w:styleId="Heading1Char">
    <w:name w:val="Heading 1 Char"/>
    <w:link w:val="Heading1"/>
    <w:rsid w:val="00CD7132"/>
    <w:rPr>
      <w:rFonts w:cs="Arial"/>
      <w:bCs/>
      <w:kern w:val="32"/>
      <w:sz w:val="24"/>
      <w:szCs w:val="32"/>
    </w:rPr>
  </w:style>
  <w:style w:type="character" w:customStyle="1" w:styleId="Heading9Char">
    <w:name w:val="Heading 9 Char"/>
    <w:link w:val="Heading9"/>
    <w:rsid w:val="00CD7132"/>
    <w:rPr>
      <w:rFonts w:ascii="Arial" w:hAnsi="Arial" w:cs="Arial"/>
      <w:sz w:val="22"/>
      <w:szCs w:val="22"/>
    </w:rPr>
  </w:style>
  <w:style w:type="paragraph" w:styleId="BodyText">
    <w:name w:val="Body Text"/>
    <w:basedOn w:val="Normal"/>
    <w:link w:val="BodyTextChar"/>
    <w:rsid w:val="00CD7132"/>
    <w:pPr>
      <w:spacing w:after="120"/>
    </w:pPr>
  </w:style>
  <w:style w:type="character" w:customStyle="1" w:styleId="BodyTextChar">
    <w:name w:val="Body Text Char"/>
    <w:link w:val="BodyText"/>
    <w:rsid w:val="00CD7132"/>
    <w:rPr>
      <w:sz w:val="24"/>
      <w:szCs w:val="24"/>
    </w:rPr>
  </w:style>
  <w:style w:type="character" w:customStyle="1" w:styleId="Heading2Char">
    <w:name w:val="Heading 2 Char"/>
    <w:link w:val="Heading2"/>
    <w:rsid w:val="00CD7132"/>
    <w:rPr>
      <w:rFonts w:cs="Arial"/>
      <w:bCs/>
      <w:iCs/>
      <w:sz w:val="24"/>
      <w:szCs w:val="28"/>
    </w:rPr>
  </w:style>
  <w:style w:type="character" w:customStyle="1" w:styleId="Heading3Char">
    <w:name w:val="Heading 3 Char"/>
    <w:link w:val="Heading3"/>
    <w:rsid w:val="00CD7132"/>
    <w:rPr>
      <w:sz w:val="24"/>
      <w:szCs w:val="24"/>
    </w:rPr>
  </w:style>
  <w:style w:type="character" w:customStyle="1" w:styleId="Heading4Char">
    <w:name w:val="Heading 4 Char"/>
    <w:link w:val="Heading4"/>
    <w:rsid w:val="00CD7132"/>
    <w:rPr>
      <w:b/>
      <w:bCs/>
      <w:sz w:val="28"/>
      <w:szCs w:val="28"/>
    </w:rPr>
  </w:style>
  <w:style w:type="character" w:customStyle="1" w:styleId="Heading5Char">
    <w:name w:val="Heading 5 Char"/>
    <w:link w:val="Heading5"/>
    <w:rsid w:val="00CD7132"/>
    <w:rPr>
      <w:b/>
      <w:bCs/>
      <w:i/>
      <w:iCs/>
      <w:sz w:val="26"/>
      <w:szCs w:val="26"/>
    </w:rPr>
  </w:style>
  <w:style w:type="character" w:customStyle="1" w:styleId="Heading6Char">
    <w:name w:val="Heading 6 Char"/>
    <w:link w:val="Heading6"/>
    <w:rsid w:val="00CD7132"/>
    <w:rPr>
      <w:b/>
      <w:bCs/>
      <w:sz w:val="22"/>
      <w:szCs w:val="22"/>
    </w:rPr>
  </w:style>
  <w:style w:type="character" w:customStyle="1" w:styleId="Heading7Char">
    <w:name w:val="Heading 7 Char"/>
    <w:link w:val="Heading7"/>
    <w:rsid w:val="00CD7132"/>
    <w:rPr>
      <w:sz w:val="24"/>
      <w:szCs w:val="24"/>
    </w:rPr>
  </w:style>
  <w:style w:type="character" w:customStyle="1" w:styleId="Heading8Char">
    <w:name w:val="Heading 8 Char"/>
    <w:link w:val="Heading8"/>
    <w:rsid w:val="00CD7132"/>
    <w:rPr>
      <w:i/>
      <w:iCs/>
      <w:sz w:val="24"/>
      <w:szCs w:val="24"/>
    </w:rPr>
  </w:style>
  <w:style w:type="character" w:customStyle="1" w:styleId="FootnoteTextChar">
    <w:name w:val="Footnote Text Char"/>
    <w:link w:val="FootnoteText"/>
    <w:uiPriority w:val="99"/>
    <w:rsid w:val="007A20C0"/>
  </w:style>
  <w:style w:type="paragraph" w:styleId="BalloonText">
    <w:name w:val="Balloon Text"/>
    <w:basedOn w:val="Normal"/>
    <w:link w:val="BalloonTextChar"/>
    <w:rsid w:val="00F51E76"/>
    <w:rPr>
      <w:rFonts w:ascii="Tahoma" w:hAnsi="Tahoma" w:cs="Tahoma"/>
      <w:sz w:val="16"/>
      <w:szCs w:val="16"/>
    </w:rPr>
  </w:style>
  <w:style w:type="character" w:customStyle="1" w:styleId="BalloonTextChar">
    <w:name w:val="Balloon Text Char"/>
    <w:basedOn w:val="DefaultParagraphFont"/>
    <w:link w:val="BalloonText"/>
    <w:rsid w:val="00F51E76"/>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442503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image" Target="media/image4.jpeg"/><Relationship Id="rId18" Type="http://schemas.openxmlformats.org/officeDocument/2006/relationships/image" Target="media/image9.jpeg"/><Relationship Id="rId26" Type="http://schemas.openxmlformats.org/officeDocument/2006/relationships/image" Target="media/image17.jpeg"/><Relationship Id="rId39" Type="http://schemas.openxmlformats.org/officeDocument/2006/relationships/image" Target="media/image30.jpeg"/><Relationship Id="rId3" Type="http://schemas.microsoft.com/office/2007/relationships/stylesWithEffects" Target="stylesWithEffects.xml"/><Relationship Id="rId21" Type="http://schemas.openxmlformats.org/officeDocument/2006/relationships/image" Target="media/image12.jpeg"/><Relationship Id="rId34" Type="http://schemas.openxmlformats.org/officeDocument/2006/relationships/image" Target="media/image25.jpeg"/><Relationship Id="rId42" Type="http://schemas.openxmlformats.org/officeDocument/2006/relationships/image" Target="media/image33.jpeg"/><Relationship Id="rId47"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3.jpeg"/><Relationship Id="rId17" Type="http://schemas.openxmlformats.org/officeDocument/2006/relationships/image" Target="media/image8.jpeg"/><Relationship Id="rId25" Type="http://schemas.openxmlformats.org/officeDocument/2006/relationships/image" Target="media/image16.jpeg"/><Relationship Id="rId33" Type="http://schemas.openxmlformats.org/officeDocument/2006/relationships/image" Target="media/image24.jpeg"/><Relationship Id="rId38" Type="http://schemas.openxmlformats.org/officeDocument/2006/relationships/image" Target="media/image29.jpeg"/><Relationship Id="rId46" Type="http://schemas.openxmlformats.org/officeDocument/2006/relationships/header" Target="header2.xml"/><Relationship Id="rId2" Type="http://schemas.openxmlformats.org/officeDocument/2006/relationships/styles" Target="styles.xml"/><Relationship Id="rId16" Type="http://schemas.openxmlformats.org/officeDocument/2006/relationships/image" Target="media/image7.jpeg"/><Relationship Id="rId20" Type="http://schemas.openxmlformats.org/officeDocument/2006/relationships/image" Target="media/image11.jpeg"/><Relationship Id="rId29" Type="http://schemas.openxmlformats.org/officeDocument/2006/relationships/image" Target="media/image20.jpeg"/><Relationship Id="rId41" Type="http://schemas.openxmlformats.org/officeDocument/2006/relationships/image" Target="media/image32.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jpeg"/><Relationship Id="rId24" Type="http://schemas.openxmlformats.org/officeDocument/2006/relationships/image" Target="media/image15.jpeg"/><Relationship Id="rId32" Type="http://schemas.openxmlformats.org/officeDocument/2006/relationships/image" Target="media/image23.jpeg"/><Relationship Id="rId37" Type="http://schemas.openxmlformats.org/officeDocument/2006/relationships/image" Target="media/image28.jpeg"/><Relationship Id="rId40" Type="http://schemas.openxmlformats.org/officeDocument/2006/relationships/image" Target="media/image31.jpeg"/><Relationship Id="rId45" Type="http://schemas.openxmlformats.org/officeDocument/2006/relationships/image" Target="media/image36.jpeg"/><Relationship Id="rId5" Type="http://schemas.openxmlformats.org/officeDocument/2006/relationships/webSettings" Target="webSettings.xml"/><Relationship Id="rId15" Type="http://schemas.openxmlformats.org/officeDocument/2006/relationships/image" Target="media/image6.jpeg"/><Relationship Id="rId23" Type="http://schemas.openxmlformats.org/officeDocument/2006/relationships/image" Target="media/image14.jpeg"/><Relationship Id="rId28" Type="http://schemas.openxmlformats.org/officeDocument/2006/relationships/image" Target="media/image19.jpeg"/><Relationship Id="rId36" Type="http://schemas.openxmlformats.org/officeDocument/2006/relationships/image" Target="media/image27.jpeg"/><Relationship Id="rId10" Type="http://schemas.openxmlformats.org/officeDocument/2006/relationships/image" Target="media/image1.jpeg"/><Relationship Id="rId19" Type="http://schemas.openxmlformats.org/officeDocument/2006/relationships/image" Target="media/image10.jpeg"/><Relationship Id="rId31" Type="http://schemas.openxmlformats.org/officeDocument/2006/relationships/image" Target="media/image22.jpeg"/><Relationship Id="rId44" Type="http://schemas.openxmlformats.org/officeDocument/2006/relationships/image" Target="media/image35.jpeg"/><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image" Target="media/image5.jpeg"/><Relationship Id="rId22" Type="http://schemas.openxmlformats.org/officeDocument/2006/relationships/image" Target="media/image13.jpeg"/><Relationship Id="rId27" Type="http://schemas.openxmlformats.org/officeDocument/2006/relationships/image" Target="media/image18.jpeg"/><Relationship Id="rId30" Type="http://schemas.openxmlformats.org/officeDocument/2006/relationships/image" Target="media/image21.jpeg"/><Relationship Id="rId35" Type="http://schemas.openxmlformats.org/officeDocument/2006/relationships/image" Target="media/image26.jpeg"/><Relationship Id="rId43" Type="http://schemas.openxmlformats.org/officeDocument/2006/relationships/image" Target="media/image34.jpeg"/><Relationship Id="rId48" Type="http://schemas.openxmlformats.org/officeDocument/2006/relationships/theme" Target="theme/theme1.xml"/></Relationships>
</file>

<file path=word/_rels/settings.xml.rels><?xml version="1.0" encoding="UTF-8" standalone="yes"?>
<Relationships xmlns="http://schemas.openxmlformats.org/package/2006/relationships"><Relationship Id="rId1" Type="http://schemas.openxmlformats.org/officeDocument/2006/relationships/attachedTemplate" Target="file:///S:\APPS\MSWord2002\Templates\PSC-GCL\Orders%20with%20Chairman%20Graham,%20Brown,%20Polmann,%20Clark,%20and%20Fay.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00426EC-B4FA-4ED5-9F96-C4D79F4882C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Orders with Chairman Graham, Brown, Polmann, Clark, and Fay.dot</Template>
  <TotalTime>0</TotalTime>
  <Pages>40</Pages>
  <Words>1311</Words>
  <Characters>7604</Characters>
  <Application>Microsoft Office Word</Application>
  <DocSecurity>0</DocSecurity>
  <Lines>63</Lines>
  <Paragraphs>17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8898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cp:lastModifiedBy/>
  <cp:revision>1</cp:revision>
  <dcterms:created xsi:type="dcterms:W3CDTF">2018-06-12T17:42:00Z</dcterms:created>
  <dcterms:modified xsi:type="dcterms:W3CDTF">2018-06-12T17:59:00Z</dcterms:modified>
</cp:coreProperties>
</file>