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4B36" w:rsidP="00E04B36">
      <w:pPr>
        <w:pStyle w:val="OrderHeading"/>
      </w:pPr>
      <w:r>
        <w:t>BEFORE THE FLORIDA PUBLIC SERVICE COMMISSION</w:t>
      </w:r>
    </w:p>
    <w:p w:rsidR="00E04B36" w:rsidRDefault="00E04B36" w:rsidP="00E04B36">
      <w:pPr>
        <w:pStyle w:val="OrderBody"/>
      </w:pPr>
    </w:p>
    <w:p w:rsidR="00E04B36" w:rsidRDefault="00E04B36" w:rsidP="00E04B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4B36" w:rsidRPr="00C63FCF" w:rsidTr="00C63FCF">
        <w:trPr>
          <w:trHeight w:val="828"/>
        </w:trPr>
        <w:tc>
          <w:tcPr>
            <w:tcW w:w="4788" w:type="dxa"/>
            <w:tcBorders>
              <w:bottom w:val="single" w:sz="8" w:space="0" w:color="auto"/>
              <w:right w:val="double" w:sz="6" w:space="0" w:color="auto"/>
            </w:tcBorders>
            <w:shd w:val="clear" w:color="auto" w:fill="auto"/>
          </w:tcPr>
          <w:p w:rsidR="00E04B36" w:rsidRDefault="00E04B36" w:rsidP="00C63FCF">
            <w:pPr>
              <w:pStyle w:val="OrderBody"/>
              <w:tabs>
                <w:tab w:val="center" w:pos="4320"/>
                <w:tab w:val="right" w:pos="8640"/>
              </w:tabs>
              <w:jc w:val="left"/>
            </w:pPr>
            <w:r>
              <w:t xml:space="preserve">In re: </w:t>
            </w:r>
            <w:bookmarkStart w:id="0" w:name="SSInRe"/>
            <w:bookmarkEnd w:id="0"/>
            <w:r>
              <w:t>Petition to resolve territorial dispute in Sumter County and/or Lake County with City of Leesburg and/or South Sumter Gas Company, LLC, by Peoples Gas System.</w:t>
            </w:r>
          </w:p>
        </w:tc>
        <w:tc>
          <w:tcPr>
            <w:tcW w:w="4788" w:type="dxa"/>
            <w:tcBorders>
              <w:left w:val="double" w:sz="6" w:space="0" w:color="auto"/>
            </w:tcBorders>
            <w:shd w:val="clear" w:color="auto" w:fill="auto"/>
          </w:tcPr>
          <w:p w:rsidR="00E04B36" w:rsidRDefault="00E04B36" w:rsidP="00E04B36">
            <w:pPr>
              <w:pStyle w:val="OrderBody"/>
            </w:pPr>
            <w:r>
              <w:t xml:space="preserve">DOCKET NO. </w:t>
            </w:r>
            <w:bookmarkStart w:id="1" w:name="SSDocketNo"/>
            <w:bookmarkEnd w:id="1"/>
            <w:r>
              <w:t>20180055-GU</w:t>
            </w:r>
          </w:p>
          <w:p w:rsidR="00E04B36" w:rsidRDefault="00E04B36" w:rsidP="00C63FCF">
            <w:pPr>
              <w:pStyle w:val="OrderBody"/>
              <w:tabs>
                <w:tab w:val="center" w:pos="4320"/>
                <w:tab w:val="right" w:pos="8640"/>
              </w:tabs>
              <w:jc w:val="left"/>
            </w:pPr>
            <w:r>
              <w:t xml:space="preserve">ORDER NO. </w:t>
            </w:r>
            <w:bookmarkStart w:id="2" w:name="OrderNo0335"/>
            <w:r w:rsidR="007774CC">
              <w:t>PSC-2018-0335-PCO-GU</w:t>
            </w:r>
            <w:bookmarkEnd w:id="2"/>
          </w:p>
          <w:p w:rsidR="00E04B36" w:rsidRDefault="00E04B36" w:rsidP="00C63FCF">
            <w:pPr>
              <w:pStyle w:val="OrderBody"/>
              <w:tabs>
                <w:tab w:val="center" w:pos="4320"/>
                <w:tab w:val="right" w:pos="8640"/>
              </w:tabs>
              <w:jc w:val="left"/>
            </w:pPr>
            <w:r>
              <w:t xml:space="preserve">ISSUED: </w:t>
            </w:r>
            <w:r w:rsidR="007774CC">
              <w:t>June 28, 2018</w:t>
            </w:r>
          </w:p>
        </w:tc>
      </w:tr>
    </w:tbl>
    <w:p w:rsidR="00E04B36" w:rsidRDefault="00E04B36" w:rsidP="00E04B36"/>
    <w:p w:rsidR="00E04B36" w:rsidRDefault="00E04B36" w:rsidP="00E04B36"/>
    <w:p w:rsidR="00E04B36" w:rsidRDefault="00E04B36">
      <w:pPr>
        <w:ind w:firstLine="720"/>
        <w:jc w:val="both"/>
      </w:pPr>
      <w:bookmarkStart w:id="3" w:name="Commissioners"/>
      <w:bookmarkEnd w:id="3"/>
      <w:r>
        <w:t>The following Commissioners participated in the disposition of this matter:</w:t>
      </w:r>
    </w:p>
    <w:p w:rsidR="00E04B36" w:rsidRDefault="00E04B36"/>
    <w:p w:rsidR="00E04B36" w:rsidRDefault="00E04B36">
      <w:pPr>
        <w:jc w:val="center"/>
      </w:pPr>
      <w:r>
        <w:t>ART GRAHAM, Chairman</w:t>
      </w:r>
    </w:p>
    <w:p w:rsidR="00E04B36" w:rsidRDefault="00E04B36">
      <w:pPr>
        <w:jc w:val="center"/>
      </w:pPr>
      <w:r>
        <w:t xml:space="preserve">JULIE I. BROWN </w:t>
      </w:r>
    </w:p>
    <w:p w:rsidR="00E04B36" w:rsidRDefault="00E04B36">
      <w:pPr>
        <w:jc w:val="center"/>
      </w:pPr>
      <w:r>
        <w:t>DONALD J. POLMANN</w:t>
      </w:r>
    </w:p>
    <w:p w:rsidR="00E04B36" w:rsidRDefault="00E04B36">
      <w:pPr>
        <w:jc w:val="center"/>
      </w:pPr>
      <w:r>
        <w:t>GARY F. CLARK</w:t>
      </w:r>
    </w:p>
    <w:p w:rsidR="00E04B36" w:rsidRDefault="00E04B36">
      <w:pPr>
        <w:jc w:val="center"/>
      </w:pPr>
      <w:r>
        <w:t>ANDREW GILES FAY</w:t>
      </w:r>
    </w:p>
    <w:p w:rsidR="00E04B36" w:rsidRDefault="00E04B36"/>
    <w:p w:rsidR="00E04B36" w:rsidRDefault="00E04B36"/>
    <w:p w:rsidR="00CB5276" w:rsidRDefault="00CB5276">
      <w:pPr>
        <w:pStyle w:val="OrderBody"/>
      </w:pPr>
    </w:p>
    <w:p w:rsidR="00E04B36" w:rsidRDefault="00E04B36" w:rsidP="00E04B36">
      <w:pPr>
        <w:pStyle w:val="CenterUnderline"/>
      </w:pPr>
      <w:r>
        <w:t>ORDER</w:t>
      </w:r>
      <w:bookmarkStart w:id="4" w:name="OrderTitle"/>
      <w:r>
        <w:t xml:space="preserve"> DENYING</w:t>
      </w:r>
      <w:r w:rsidRPr="00E76F5C">
        <w:t xml:space="preserve"> </w:t>
      </w:r>
      <w:r>
        <w:t>THE CITY OF LEESBURG’S AND SOUTH SUMTER</w:t>
      </w:r>
    </w:p>
    <w:p w:rsidR="00E04B36" w:rsidRDefault="00E04B36" w:rsidP="00E04B36">
      <w:pPr>
        <w:pStyle w:val="CenterUnderline"/>
      </w:pPr>
      <w:r>
        <w:t xml:space="preserve">GAS COMPANY LLC’S MOTIONS TO DISMISS PEOPLES GAS </w:t>
      </w:r>
    </w:p>
    <w:p w:rsidR="00E04B36" w:rsidRDefault="00E04B36" w:rsidP="00E04B36">
      <w:pPr>
        <w:pStyle w:val="CenterUnderline"/>
      </w:pPr>
      <w:r>
        <w:t xml:space="preserve">SYSTEM’S PETITION TO RESOLVE TERRITORIAL DISPUTE </w:t>
      </w:r>
    </w:p>
    <w:p w:rsidR="00E04B36" w:rsidRDefault="00E04B36">
      <w:pPr>
        <w:pStyle w:val="CenterUnderline"/>
      </w:pPr>
    </w:p>
    <w:bookmarkEnd w:id="4"/>
    <w:p w:rsidR="00E04B36" w:rsidRDefault="00E04B36" w:rsidP="00E04B36">
      <w:pPr>
        <w:pStyle w:val="CenterUnderline"/>
      </w:pPr>
    </w:p>
    <w:p w:rsidR="00E04B36" w:rsidRDefault="00E04B36" w:rsidP="00F41A71">
      <w:pPr>
        <w:pStyle w:val="OrderBody"/>
        <w:spacing w:before="240" w:after="240"/>
      </w:pPr>
      <w:r>
        <w:t>BY THE COMMISSION:</w:t>
      </w:r>
    </w:p>
    <w:p w:rsidR="00E04B36" w:rsidRPr="00F659E5" w:rsidRDefault="00E04B36" w:rsidP="00F41A71">
      <w:pPr>
        <w:pStyle w:val="RecommendationMajorSectionHeading"/>
        <w:spacing w:before="240"/>
        <w:rPr>
          <w:rFonts w:ascii="Times New Roman" w:hAnsi="Times New Roman" w:cs="Times New Roman"/>
          <w:b w:val="0"/>
          <w:u w:val="single"/>
        </w:rPr>
      </w:pPr>
      <w:bookmarkStart w:id="5" w:name="OrderText"/>
      <w:bookmarkEnd w:id="5"/>
      <w:r w:rsidRPr="00F659E5">
        <w:rPr>
          <w:rFonts w:ascii="Times New Roman" w:hAnsi="Times New Roman" w:cs="Times New Roman"/>
          <w:b w:val="0"/>
          <w:u w:val="single"/>
        </w:rPr>
        <w:t>Background</w:t>
      </w:r>
    </w:p>
    <w:p w:rsidR="00E04B36" w:rsidRDefault="00E04B36" w:rsidP="00F41A71">
      <w:pPr>
        <w:spacing w:before="240" w:after="240"/>
        <w:ind w:firstLine="720"/>
        <w:jc w:val="both"/>
      </w:pPr>
      <w:r>
        <w:t>On February 23, 2018, Peoples Gas System (Peoples) filed a petition (Petition) pursuant to Section 366.04(3)(b), Florida Statutes (F.S.), and Rule 27-7.0472, Florida Administrative Code (F.A.C.), requesting that we resolve a territorial dispute between Peoples and City of Leesburg (Leesburg) and South Sumter Gas Company, LLC (SSGC). On April 2, 2018, SSGC and Leesburg filed separate motions to dismiss the Petition and requests for oral argument. On April 9, 2018, Peoples filed separate responses to SSGC and Leesburg’s motions to dismiss and requests for oral argument. We heard oral argument on SSGC’s and Leesburg’s Motions to Dismiss at the June 5, 2018, Agenda Conference. We have jurisdiction pursuant to Chapter 366.04, F.S.</w:t>
      </w:r>
    </w:p>
    <w:p w:rsidR="00E04B36" w:rsidRDefault="00E04B36" w:rsidP="00F41A71">
      <w:pPr>
        <w:pStyle w:val="NoSpacing"/>
        <w:spacing w:before="240" w:after="240"/>
        <w:jc w:val="center"/>
        <w:rPr>
          <w:rStyle w:val="Strong"/>
          <w:b w:val="0"/>
          <w:u w:val="single"/>
        </w:rPr>
      </w:pPr>
      <w:r>
        <w:rPr>
          <w:rStyle w:val="Strong"/>
          <w:b w:val="0"/>
          <w:u w:val="single"/>
        </w:rPr>
        <w:t>Decision</w:t>
      </w:r>
    </w:p>
    <w:p w:rsidR="00E04B36" w:rsidRDefault="00E04B36" w:rsidP="00F41A71">
      <w:pPr>
        <w:pStyle w:val="NoSpacing"/>
        <w:spacing w:before="240" w:after="240"/>
        <w:jc w:val="both"/>
        <w:rPr>
          <w:rStyle w:val="Strong"/>
          <w:b w:val="0"/>
          <w:u w:val="single"/>
        </w:rPr>
      </w:pPr>
      <w:r>
        <w:rPr>
          <w:rStyle w:val="Strong"/>
          <w:b w:val="0"/>
          <w:u w:val="single"/>
        </w:rPr>
        <w:t>Peoples Petition</w:t>
      </w:r>
    </w:p>
    <w:p w:rsidR="00E04B36" w:rsidRDefault="00E04B36" w:rsidP="000E33C1">
      <w:pPr>
        <w:pStyle w:val="NoSpacing"/>
        <w:spacing w:before="240" w:after="240"/>
        <w:ind w:firstLine="720"/>
        <w:jc w:val="both"/>
        <w:rPr>
          <w:rStyle w:val="Strong"/>
          <w:b w:val="0"/>
        </w:rPr>
      </w:pPr>
      <w:r w:rsidRPr="00E85A27">
        <w:rPr>
          <w:rStyle w:val="Strong"/>
          <w:b w:val="0"/>
        </w:rPr>
        <w:t xml:space="preserve">The Petition states that Peoples is a natural gas local distribution company providing sales and transportation delivery of natural gas throughout most of Florida to a total of approximately 380,000 customers, and is a “natural gas utility” as defined by Section 366.04(3)(c), F.S., subject to </w:t>
      </w:r>
      <w:r>
        <w:rPr>
          <w:rStyle w:val="Strong"/>
          <w:b w:val="0"/>
        </w:rPr>
        <w:t xml:space="preserve">our </w:t>
      </w:r>
      <w:r w:rsidRPr="00E85A27">
        <w:rPr>
          <w:rStyle w:val="Strong"/>
          <w:b w:val="0"/>
        </w:rPr>
        <w:t xml:space="preserve">statutory jurisdiction to resolve territorial disputes. The Petition </w:t>
      </w:r>
      <w:r>
        <w:rPr>
          <w:rStyle w:val="Strong"/>
          <w:b w:val="0"/>
        </w:rPr>
        <w:lastRenderedPageBreak/>
        <w:t>describes</w:t>
      </w:r>
      <w:r w:rsidRPr="00E85A27">
        <w:rPr>
          <w:rStyle w:val="Strong"/>
          <w:b w:val="0"/>
        </w:rPr>
        <w:t xml:space="preserve"> Leesburg </w:t>
      </w:r>
      <w:r>
        <w:rPr>
          <w:rStyle w:val="Strong"/>
          <w:b w:val="0"/>
        </w:rPr>
        <w:t>a</w:t>
      </w:r>
      <w:r w:rsidRPr="00E85A27">
        <w:rPr>
          <w:rStyle w:val="Strong"/>
          <w:b w:val="0"/>
        </w:rPr>
        <w:t xml:space="preserve">s a Florida municipality </w:t>
      </w:r>
      <w:r>
        <w:rPr>
          <w:rStyle w:val="Strong"/>
          <w:b w:val="0"/>
        </w:rPr>
        <w:t>which</w:t>
      </w:r>
      <w:r w:rsidRPr="00E85A27">
        <w:rPr>
          <w:rStyle w:val="Strong"/>
          <w:b w:val="0"/>
        </w:rPr>
        <w:t xml:space="preserve"> operates a natural gas distribution system in portions of Lake and Sumter Counties as a “natural gas utility” as defined by Section 366.04(3)(c), F.S. </w:t>
      </w:r>
    </w:p>
    <w:p w:rsidR="00E04B36" w:rsidRPr="000403EA" w:rsidRDefault="00E04B36" w:rsidP="000E33C1">
      <w:pPr>
        <w:pStyle w:val="NoSpacing"/>
        <w:spacing w:before="240" w:after="240"/>
        <w:ind w:firstLine="720"/>
        <w:jc w:val="both"/>
      </w:pPr>
      <w:r>
        <w:rPr>
          <w:rStyle w:val="Strong"/>
          <w:b w:val="0"/>
        </w:rPr>
        <w:t xml:space="preserve">Peoples asserts that </w:t>
      </w:r>
      <w:r w:rsidRPr="00E85A27">
        <w:rPr>
          <w:rStyle w:val="Strong"/>
          <w:b w:val="0"/>
        </w:rPr>
        <w:t xml:space="preserve">Leesburg is subject to </w:t>
      </w:r>
      <w:r>
        <w:rPr>
          <w:rStyle w:val="Strong"/>
          <w:b w:val="0"/>
        </w:rPr>
        <w:t>our</w:t>
      </w:r>
      <w:r w:rsidRPr="00E85A27">
        <w:rPr>
          <w:rStyle w:val="Strong"/>
          <w:b w:val="0"/>
        </w:rPr>
        <w:t xml:space="preserve"> statutory jurisdiction to resolve territorial </w:t>
      </w:r>
      <w:r>
        <w:rPr>
          <w:rStyle w:val="Strong"/>
          <w:b w:val="0"/>
        </w:rPr>
        <w:t xml:space="preserve">disputes. </w:t>
      </w:r>
      <w:r w:rsidRPr="000403EA">
        <w:t xml:space="preserve">The Petition states that SSGC is a Florida limited liability company formed on or about March 22, 2017. </w:t>
      </w:r>
      <w:r>
        <w:t xml:space="preserve">The Petition also states that </w:t>
      </w:r>
      <w:r w:rsidRPr="000403EA">
        <w:t>SSGC does not currently provide natural gas service</w:t>
      </w:r>
      <w:r>
        <w:t xml:space="preserve">, </w:t>
      </w:r>
      <w:r w:rsidRPr="000403EA">
        <w:t>does not</w:t>
      </w:r>
      <w:r>
        <w:t xml:space="preserve"> </w:t>
      </w:r>
      <w:r w:rsidRPr="000403EA">
        <w:t>have customers</w:t>
      </w:r>
      <w:r w:rsidR="005D3F9B">
        <w:t>,</w:t>
      </w:r>
      <w:r>
        <w:t xml:space="preserve"> and</w:t>
      </w:r>
      <w:r w:rsidRPr="000403EA">
        <w:t xml:space="preserve"> is constructing natural gas infrastructure in the service area at issue</w:t>
      </w:r>
      <w:r w:rsidRPr="00F659E5">
        <w:t xml:space="preserve"> </w:t>
      </w:r>
      <w:r w:rsidRPr="000403EA">
        <w:t>on behalf of the Villages (a large Central Florida Community that spans 3 counties)</w:t>
      </w:r>
      <w:r>
        <w:t>.</w:t>
      </w:r>
    </w:p>
    <w:p w:rsidR="00E04B36" w:rsidRPr="000403EA" w:rsidRDefault="00E04B36" w:rsidP="000E33C1">
      <w:pPr>
        <w:spacing w:before="240" w:after="240"/>
        <w:ind w:firstLine="720"/>
        <w:jc w:val="both"/>
      </w:pPr>
      <w:r w:rsidRPr="000403EA">
        <w:t xml:space="preserve">The Petition describes Peoples’ natural gas distribution facilities in Sumter County </w:t>
      </w:r>
      <w:r>
        <w:t>as</w:t>
      </w:r>
      <w:r w:rsidRPr="000403EA">
        <w:t xml:space="preserve"> “extensive” while Leesburg’s are “limited.” Peoples contends that virtually all of Leesburg’s facilities and customers are in Lake County and Leesburg. Virtually all of Peoples’ customers in Sumter County are located within </w:t>
      </w:r>
      <w:r w:rsidR="00F90068">
        <w:t>t</w:t>
      </w:r>
      <w:r w:rsidRPr="000403EA">
        <w:t>he Villages. Peoples states that its employees observed natural gas construction materials at the intersection of County Roads 468 and 501 in Sumter County, in late December 2017. Peoples states that it met with the Director of the Leesburg Gas Department</w:t>
      </w:r>
      <w:r>
        <w:t>,</w:t>
      </w:r>
      <w:r w:rsidRPr="000403EA">
        <w:t xml:space="preserve"> </w:t>
      </w:r>
      <w:r>
        <w:t>i</w:t>
      </w:r>
      <w:r w:rsidRPr="000403EA">
        <w:t xml:space="preserve">n January 2018, to determine what was being constructed and to avoid a territorial dispute. Peoples was directed by Leesburg to contact </w:t>
      </w:r>
      <w:r w:rsidR="00F90068">
        <w:t>t</w:t>
      </w:r>
      <w:r w:rsidRPr="000403EA">
        <w:t>he Villages for details.</w:t>
      </w:r>
    </w:p>
    <w:p w:rsidR="00E04B36" w:rsidRDefault="00E04B36" w:rsidP="000E33C1">
      <w:pPr>
        <w:spacing w:before="240" w:after="240"/>
        <w:ind w:firstLine="720"/>
        <w:jc w:val="both"/>
      </w:pPr>
      <w:r w:rsidRPr="000403EA">
        <w:t xml:space="preserve">According to the Petition, in August 2009, Peoples was granted by the City of Wildwood, a non-exclusive franchise to provide natural gas service (the service areas in question all appear to fall within the Wildwood City limits). Peoples alleges that the City of Wildwood is in the process of establishing a non-exclusive franchise agreement with SSGC to provide natural gas to the same service area. </w:t>
      </w:r>
    </w:p>
    <w:p w:rsidR="00E04B36" w:rsidRPr="000403EA" w:rsidRDefault="00E04B36" w:rsidP="000E33C1">
      <w:pPr>
        <w:spacing w:before="240" w:after="240"/>
        <w:ind w:firstLine="720"/>
        <w:jc w:val="both"/>
      </w:pPr>
      <w:r w:rsidRPr="000403EA">
        <w:t xml:space="preserve">The Petition also contains a copy of an Agenda Memorandum recommending approval of </w:t>
      </w:r>
      <w:r>
        <w:t>an</w:t>
      </w:r>
      <w:r w:rsidRPr="000403EA">
        <w:t xml:space="preserve"> Ordinance by Leesburg that would ratify a franchise agreement between Leesburg and SSGC. The Leesburg and SSGC Agreement concerns the construction, purchase, and sale of certain natural gas distribution facilities, for the purpose of providing natural gas service to customers located within the service area in question. The Agreement states that upon completion of each section in the development, SSGC has agreed to convey ownership of the system to Leesburg in exchange for receiving a portion of the gas revenues charged to natural gas customers within the service area. Peoples’ Petition contains a map where SSGC has depicted its proposed natural gas infrastructure within the service area in question. </w:t>
      </w:r>
    </w:p>
    <w:p w:rsidR="00E04B36" w:rsidRPr="000403EA" w:rsidRDefault="00E04B36" w:rsidP="000E33C1">
      <w:pPr>
        <w:spacing w:before="240" w:after="240"/>
        <w:ind w:firstLine="720"/>
        <w:jc w:val="both"/>
      </w:pPr>
      <w:r w:rsidRPr="000403EA">
        <w:t xml:space="preserve">According to Peoples’ Petition, Leesburg submitted construction notices to the Commission as required by Rule 25-12.082, F.A.C. Peoples argues </w:t>
      </w:r>
      <w:r>
        <w:t xml:space="preserve">that </w:t>
      </w:r>
      <w:r w:rsidRPr="000403EA">
        <w:t>the notices reflect planned construction of natural gas facilities in Sumter County which is taking place immediately adjacent to Peoples’ existing natural gas facilities. Peoples alleges that some of the</w:t>
      </w:r>
      <w:r>
        <w:t>se</w:t>
      </w:r>
      <w:r w:rsidRPr="000403EA">
        <w:t xml:space="preserve"> facilities would cross an existing Peoples’ distribution main. </w:t>
      </w:r>
    </w:p>
    <w:p w:rsidR="00E04B36" w:rsidRPr="000403EA" w:rsidRDefault="00E04B36" w:rsidP="000E33C1">
      <w:pPr>
        <w:spacing w:before="240" w:after="240"/>
        <w:ind w:firstLine="720"/>
        <w:jc w:val="both"/>
      </w:pPr>
      <w:r w:rsidRPr="000403EA">
        <w:t xml:space="preserve">Peoples wants to provide natural gas services to the customers in the service area in question. Peoples depicts the disputed area in two color coded maps attached to its Petition. The first map contains Peoples’ rendition of the SSGC’s proposed natural gas construction projects in reference to the City of Wildwood’s municipal boundaries. </w:t>
      </w:r>
      <w:r>
        <w:t xml:space="preserve">The second </w:t>
      </w:r>
      <w:r w:rsidRPr="000403EA">
        <w:t xml:space="preserve">map depicts SSGC’s and </w:t>
      </w:r>
      <w:r w:rsidRPr="000403EA">
        <w:lastRenderedPageBreak/>
        <w:t xml:space="preserve">Leesburg’s proposed natural gas infrastructure to be constructed in the service area, against a backdrop of the existing Peoples’ natural gas distribution system and its claimed service area. </w:t>
      </w:r>
    </w:p>
    <w:p w:rsidR="000E33C1" w:rsidRDefault="00E04B36" w:rsidP="000E33C1">
      <w:pPr>
        <w:shd w:val="clear" w:color="auto" w:fill="FFFFFF"/>
        <w:spacing w:before="240" w:after="240"/>
        <w:jc w:val="both"/>
        <w:rPr>
          <w:color w:val="000000"/>
          <w:u w:val="single"/>
        </w:rPr>
      </w:pPr>
      <w:r w:rsidRPr="00F659E5">
        <w:rPr>
          <w:color w:val="000000"/>
          <w:u w:val="single"/>
        </w:rPr>
        <w:t>South Sumter Gas Company’s and the City of Leesburg’s Motions to Dismiss</w:t>
      </w:r>
    </w:p>
    <w:p w:rsidR="00E04B36" w:rsidRPr="000E33C1" w:rsidRDefault="00E04B36" w:rsidP="000E33C1">
      <w:pPr>
        <w:shd w:val="clear" w:color="auto" w:fill="FFFFFF"/>
        <w:spacing w:before="240" w:after="240"/>
        <w:ind w:firstLine="720"/>
        <w:jc w:val="both"/>
        <w:rPr>
          <w:color w:val="000000"/>
          <w:u w:val="single"/>
        </w:rPr>
      </w:pPr>
      <w:r w:rsidRPr="000403EA">
        <w:rPr>
          <w:color w:val="000000"/>
          <w:u w:val="single"/>
        </w:rPr>
        <w:t>South Sumter Gas Company, LLC</w:t>
      </w:r>
      <w:r w:rsidRPr="000403EA">
        <w:rPr>
          <w:color w:val="000000"/>
        </w:rPr>
        <w:t>:</w:t>
      </w:r>
      <w:r w:rsidRPr="000403EA">
        <w:rPr>
          <w:rFonts w:ascii="Arial" w:hAnsi="Arial" w:cs="Arial"/>
          <w:b/>
          <w:i/>
          <w:color w:val="000000"/>
        </w:rPr>
        <w:t xml:space="preserve"> </w:t>
      </w:r>
      <w:r w:rsidRPr="000403EA">
        <w:rPr>
          <w:color w:val="000000"/>
        </w:rPr>
        <w:t xml:space="preserve">SSGC asserts that </w:t>
      </w:r>
      <w:r>
        <w:rPr>
          <w:color w:val="000000"/>
        </w:rPr>
        <w:t xml:space="preserve">the </w:t>
      </w:r>
      <w:r w:rsidRPr="000403EA">
        <w:rPr>
          <w:color w:val="000000"/>
        </w:rPr>
        <w:t xml:space="preserve">Petition does not properly state a cause of action </w:t>
      </w:r>
      <w:r>
        <w:rPr>
          <w:color w:val="000000"/>
        </w:rPr>
        <w:t>in that the Petition does not comply</w:t>
      </w:r>
      <w:r w:rsidRPr="000403EA">
        <w:rPr>
          <w:color w:val="000000"/>
        </w:rPr>
        <w:t xml:space="preserve"> with an essential pleading requirement. Specifically, SSGC asserts that the Petition </w:t>
      </w:r>
      <w:r>
        <w:rPr>
          <w:color w:val="000000"/>
        </w:rPr>
        <w:t xml:space="preserve">does not </w:t>
      </w:r>
      <w:r w:rsidRPr="000403EA">
        <w:rPr>
          <w:color w:val="000000"/>
        </w:rPr>
        <w:t>plead a statement of all disputed issues of material fact</w:t>
      </w:r>
      <w:r>
        <w:rPr>
          <w:color w:val="000000"/>
        </w:rPr>
        <w:t>. SSGC also</w:t>
      </w:r>
      <w:r w:rsidRPr="000403EA">
        <w:rPr>
          <w:color w:val="000000"/>
        </w:rPr>
        <w:t xml:space="preserve"> characterizes the Petition as a collection of insufficient conclusory allegations.</w:t>
      </w:r>
    </w:p>
    <w:p w:rsidR="00E04B36" w:rsidRPr="000403EA" w:rsidRDefault="00E04B36" w:rsidP="000E33C1">
      <w:pPr>
        <w:shd w:val="clear" w:color="auto" w:fill="FFFFFF"/>
        <w:spacing w:before="240" w:after="240"/>
        <w:ind w:firstLine="720"/>
        <w:jc w:val="both"/>
        <w:rPr>
          <w:color w:val="000000"/>
        </w:rPr>
      </w:pPr>
      <w:r w:rsidRPr="000403EA">
        <w:rPr>
          <w:color w:val="000000"/>
        </w:rPr>
        <w:t xml:space="preserve">SSGC </w:t>
      </w:r>
      <w:r>
        <w:rPr>
          <w:color w:val="000000"/>
        </w:rPr>
        <w:t xml:space="preserve">also </w:t>
      </w:r>
      <w:r w:rsidRPr="000403EA">
        <w:rPr>
          <w:color w:val="000000"/>
        </w:rPr>
        <w:t xml:space="preserve">states that the Petition </w:t>
      </w:r>
      <w:r>
        <w:rPr>
          <w:color w:val="000000"/>
        </w:rPr>
        <w:t xml:space="preserve">does not </w:t>
      </w:r>
      <w:r w:rsidRPr="000403EA">
        <w:rPr>
          <w:color w:val="000000"/>
        </w:rPr>
        <w:t xml:space="preserve">sufficiently allege minimum pleading requirements necessary to sustain a territorial dispute. SSGC asserts that the proximity of the new and planned Leesburg natural gas facilities to those operated by Peoples does not create a dispute; that Peoples did not allege that it has construction notices that conflict with those of Leesburg; that Peoples failed to allege </w:t>
      </w:r>
      <w:r>
        <w:rPr>
          <w:color w:val="000000"/>
        </w:rPr>
        <w:t xml:space="preserve">facts to support a finding </w:t>
      </w:r>
      <w:r w:rsidRPr="000403EA">
        <w:rPr>
          <w:color w:val="000000"/>
        </w:rPr>
        <w:t xml:space="preserve">that there is a race of competing facilities; and that Peoples did not allege that it has facilities within the locations identified by the construction notices. </w:t>
      </w:r>
    </w:p>
    <w:p w:rsidR="00E04B36" w:rsidRPr="000403EA" w:rsidRDefault="00E04B36" w:rsidP="000E33C1">
      <w:pPr>
        <w:shd w:val="clear" w:color="auto" w:fill="FFFFFF"/>
        <w:spacing w:before="240" w:after="240"/>
        <w:ind w:firstLine="720"/>
        <w:jc w:val="both"/>
        <w:rPr>
          <w:color w:val="000000"/>
        </w:rPr>
      </w:pPr>
      <w:r w:rsidRPr="000403EA">
        <w:rPr>
          <w:color w:val="000000"/>
        </w:rPr>
        <w:t xml:space="preserve">SSGC suggests that the mere fact that the new Peoples’ natural gas distribution facilities within the Village of Fenney are located near the separately noticed Leesburg facilities within Southern Oaks is not evidence that a dispute exists. SSGC seeks to rely upon </w:t>
      </w:r>
      <w:r w:rsidR="005D3F9B">
        <w:rPr>
          <w:color w:val="000000"/>
        </w:rPr>
        <w:t>our</w:t>
      </w:r>
      <w:r w:rsidRPr="000403EA">
        <w:rPr>
          <w:color w:val="000000"/>
        </w:rPr>
        <w:t xml:space="preserve"> Order </w:t>
      </w:r>
      <w:r w:rsidRPr="000403EA">
        <w:t>No.</w:t>
      </w:r>
      <w:r w:rsidRPr="000403EA">
        <w:rPr>
          <w:spacing w:val="6"/>
        </w:rPr>
        <w:t xml:space="preserve"> </w:t>
      </w:r>
      <w:r w:rsidRPr="000403EA">
        <w:t>PSC-98-0174-</w:t>
      </w:r>
      <w:r w:rsidRPr="000403EA">
        <w:rPr>
          <w:spacing w:val="-1"/>
        </w:rPr>
        <w:t>F</w:t>
      </w:r>
      <w:r w:rsidRPr="000403EA">
        <w:t>OF</w:t>
      </w:r>
      <w:r w:rsidRPr="000403EA">
        <w:rPr>
          <w:spacing w:val="2"/>
        </w:rPr>
        <w:t>-</w:t>
      </w:r>
      <w:r w:rsidRPr="000403EA">
        <w:t xml:space="preserve">EU, issued January 28, 1998, in Docket No 930885-EU, </w:t>
      </w:r>
      <w:r w:rsidRPr="000403EA">
        <w:rPr>
          <w:i/>
          <w:iCs/>
        </w:rPr>
        <w:t>In</w:t>
      </w:r>
      <w:r w:rsidRPr="000403EA">
        <w:rPr>
          <w:i/>
          <w:iCs/>
          <w:spacing w:val="32"/>
        </w:rPr>
        <w:t xml:space="preserve"> </w:t>
      </w:r>
      <w:r w:rsidRPr="000403EA">
        <w:rPr>
          <w:i/>
          <w:iCs/>
        </w:rPr>
        <w:t>re: P</w:t>
      </w:r>
      <w:r w:rsidRPr="000403EA">
        <w:rPr>
          <w:i/>
          <w:iCs/>
          <w:spacing w:val="-1"/>
        </w:rPr>
        <w:t>e</w:t>
      </w:r>
      <w:r w:rsidRPr="000403EA">
        <w:rPr>
          <w:i/>
          <w:iCs/>
        </w:rPr>
        <w:t>tition</w:t>
      </w:r>
      <w:r w:rsidRPr="000403EA">
        <w:rPr>
          <w:i/>
          <w:iCs/>
          <w:spacing w:val="26"/>
        </w:rPr>
        <w:t xml:space="preserve"> </w:t>
      </w:r>
      <w:r w:rsidRPr="000403EA">
        <w:rPr>
          <w:i/>
          <w:iCs/>
        </w:rPr>
        <w:t>to</w:t>
      </w:r>
      <w:r w:rsidRPr="000403EA">
        <w:rPr>
          <w:i/>
          <w:iCs/>
          <w:spacing w:val="32"/>
        </w:rPr>
        <w:t xml:space="preserve"> </w:t>
      </w:r>
      <w:r w:rsidRPr="000403EA">
        <w:rPr>
          <w:i/>
          <w:iCs/>
        </w:rPr>
        <w:t>r</w:t>
      </w:r>
      <w:r w:rsidRPr="000403EA">
        <w:rPr>
          <w:i/>
          <w:iCs/>
          <w:spacing w:val="-1"/>
        </w:rPr>
        <w:t>e</w:t>
      </w:r>
      <w:r w:rsidRPr="000403EA">
        <w:rPr>
          <w:i/>
          <w:iCs/>
        </w:rPr>
        <w:t>sol</w:t>
      </w:r>
      <w:r w:rsidRPr="000403EA">
        <w:rPr>
          <w:i/>
          <w:iCs/>
          <w:spacing w:val="-1"/>
        </w:rPr>
        <w:t>v</w:t>
      </w:r>
      <w:r w:rsidRPr="000403EA">
        <w:rPr>
          <w:i/>
          <w:iCs/>
        </w:rPr>
        <w:t>e</w:t>
      </w:r>
      <w:r w:rsidRPr="000403EA">
        <w:rPr>
          <w:i/>
          <w:iCs/>
          <w:spacing w:val="26"/>
        </w:rPr>
        <w:t xml:space="preserve"> </w:t>
      </w:r>
      <w:r w:rsidRPr="000403EA">
        <w:rPr>
          <w:i/>
          <w:iCs/>
        </w:rPr>
        <w:t>t</w:t>
      </w:r>
      <w:r w:rsidRPr="000403EA">
        <w:rPr>
          <w:i/>
          <w:iCs/>
          <w:spacing w:val="-1"/>
        </w:rPr>
        <w:t>e</w:t>
      </w:r>
      <w:r w:rsidRPr="000403EA">
        <w:rPr>
          <w:i/>
          <w:iCs/>
        </w:rPr>
        <w:t>rritorial</w:t>
      </w:r>
      <w:r w:rsidRPr="000403EA">
        <w:rPr>
          <w:i/>
          <w:iCs/>
          <w:spacing w:val="24"/>
        </w:rPr>
        <w:t xml:space="preserve"> </w:t>
      </w:r>
      <w:r w:rsidRPr="000403EA">
        <w:rPr>
          <w:i/>
          <w:iCs/>
        </w:rPr>
        <w:t>dispute</w:t>
      </w:r>
      <w:r w:rsidRPr="000403EA">
        <w:rPr>
          <w:i/>
          <w:iCs/>
          <w:spacing w:val="26"/>
        </w:rPr>
        <w:t xml:space="preserve"> </w:t>
      </w:r>
      <w:r w:rsidRPr="000403EA">
        <w:rPr>
          <w:i/>
          <w:iCs/>
        </w:rPr>
        <w:t>with</w:t>
      </w:r>
      <w:r w:rsidRPr="000403EA">
        <w:rPr>
          <w:i/>
          <w:iCs/>
          <w:spacing w:val="30"/>
        </w:rPr>
        <w:t xml:space="preserve"> </w:t>
      </w:r>
      <w:r w:rsidRPr="000403EA">
        <w:rPr>
          <w:i/>
          <w:iCs/>
        </w:rPr>
        <w:t>Gulf</w:t>
      </w:r>
      <w:r w:rsidRPr="000403EA">
        <w:rPr>
          <w:i/>
          <w:iCs/>
          <w:spacing w:val="30"/>
        </w:rPr>
        <w:t xml:space="preserve"> </w:t>
      </w:r>
      <w:r w:rsidRPr="000403EA">
        <w:rPr>
          <w:i/>
          <w:iCs/>
        </w:rPr>
        <w:t>Coa</w:t>
      </w:r>
      <w:r w:rsidRPr="000403EA">
        <w:rPr>
          <w:i/>
          <w:iCs/>
          <w:spacing w:val="-2"/>
        </w:rPr>
        <w:t>s</w:t>
      </w:r>
      <w:r w:rsidRPr="000403EA">
        <w:rPr>
          <w:i/>
          <w:iCs/>
        </w:rPr>
        <w:t>t Electric</w:t>
      </w:r>
      <w:r w:rsidRPr="000403EA">
        <w:rPr>
          <w:i/>
          <w:iCs/>
          <w:spacing w:val="2"/>
        </w:rPr>
        <w:t xml:space="preserve"> </w:t>
      </w:r>
      <w:r w:rsidRPr="000403EA">
        <w:rPr>
          <w:i/>
          <w:iCs/>
        </w:rPr>
        <w:t>Cooperative,</w:t>
      </w:r>
      <w:r w:rsidRPr="000403EA">
        <w:rPr>
          <w:i/>
          <w:iCs/>
          <w:spacing w:val="-2"/>
        </w:rPr>
        <w:t xml:space="preserve"> </w:t>
      </w:r>
      <w:r w:rsidRPr="000403EA">
        <w:rPr>
          <w:i/>
          <w:iCs/>
        </w:rPr>
        <w:t>In</w:t>
      </w:r>
      <w:r w:rsidRPr="000403EA">
        <w:rPr>
          <w:i/>
          <w:iCs/>
          <w:spacing w:val="2"/>
        </w:rPr>
        <w:t>c</w:t>
      </w:r>
      <w:r w:rsidRPr="000403EA">
        <w:rPr>
          <w:i/>
          <w:iCs/>
        </w:rPr>
        <w:t>.</w:t>
      </w:r>
      <w:r w:rsidRPr="000403EA">
        <w:rPr>
          <w:i/>
          <w:iCs/>
          <w:spacing w:val="6"/>
        </w:rPr>
        <w:t xml:space="preserve"> </w:t>
      </w:r>
      <w:r w:rsidRPr="000403EA">
        <w:rPr>
          <w:i/>
          <w:iCs/>
        </w:rPr>
        <w:t>by</w:t>
      </w:r>
      <w:r w:rsidRPr="000403EA">
        <w:rPr>
          <w:i/>
          <w:iCs/>
          <w:spacing w:val="8"/>
        </w:rPr>
        <w:t xml:space="preserve"> </w:t>
      </w:r>
      <w:r w:rsidRPr="000403EA">
        <w:rPr>
          <w:i/>
          <w:iCs/>
        </w:rPr>
        <w:t>Gulf</w:t>
      </w:r>
      <w:r w:rsidRPr="000403EA">
        <w:rPr>
          <w:i/>
          <w:iCs/>
          <w:spacing w:val="6"/>
        </w:rPr>
        <w:t xml:space="preserve"> </w:t>
      </w:r>
      <w:r w:rsidRPr="000403EA">
        <w:rPr>
          <w:i/>
          <w:iCs/>
        </w:rPr>
        <w:t>Power</w:t>
      </w:r>
      <w:r w:rsidRPr="000403EA">
        <w:t>,</w:t>
      </w:r>
      <w:r w:rsidRPr="000403EA">
        <w:rPr>
          <w:spacing w:val="3"/>
        </w:rPr>
        <w:t xml:space="preserve"> </w:t>
      </w:r>
      <w:r w:rsidRPr="000403EA">
        <w:t xml:space="preserve"> </w:t>
      </w:r>
      <w:r w:rsidRPr="000403EA">
        <w:rPr>
          <w:i/>
          <w:iCs/>
        </w:rPr>
        <w:t>affirmed on appeal</w:t>
      </w:r>
      <w:r w:rsidRPr="000403EA">
        <w:t xml:space="preserve">, </w:t>
      </w:r>
      <w:r w:rsidRPr="000403EA">
        <w:rPr>
          <w:i/>
          <w:spacing w:val="-3"/>
        </w:rPr>
        <w:t>G</w:t>
      </w:r>
      <w:r w:rsidRPr="000403EA">
        <w:rPr>
          <w:i/>
        </w:rPr>
        <w:t xml:space="preserve">ulf Coast Electric Cooperative v. </w:t>
      </w:r>
      <w:r w:rsidRPr="000403EA">
        <w:rPr>
          <w:i/>
          <w:spacing w:val="3"/>
        </w:rPr>
        <w:t>J</w:t>
      </w:r>
      <w:r w:rsidRPr="000403EA">
        <w:rPr>
          <w:i/>
        </w:rPr>
        <w:t>ohnson</w:t>
      </w:r>
      <w:r w:rsidRPr="000403EA">
        <w:t xml:space="preserve">, </w:t>
      </w:r>
      <w:r w:rsidRPr="000403EA">
        <w:rPr>
          <w:spacing w:val="-2"/>
        </w:rPr>
        <w:t>7</w:t>
      </w:r>
      <w:r w:rsidRPr="000403EA">
        <w:t>27 So. 2d 259 (1999)</w:t>
      </w:r>
      <w:r w:rsidRPr="000403EA">
        <w:rPr>
          <w:spacing w:val="-1"/>
        </w:rPr>
        <w:t xml:space="preserve">, where </w:t>
      </w:r>
      <w:r w:rsidR="005D3F9B">
        <w:rPr>
          <w:spacing w:val="-1"/>
        </w:rPr>
        <w:t>we</w:t>
      </w:r>
      <w:r w:rsidRPr="000403EA">
        <w:rPr>
          <w:spacing w:val="-1"/>
        </w:rPr>
        <w:t xml:space="preserve"> held that</w:t>
      </w:r>
      <w:r w:rsidRPr="000403EA">
        <w:rPr>
          <w:spacing w:val="3"/>
        </w:rPr>
        <w:t xml:space="preserve"> </w:t>
      </w:r>
      <w:r w:rsidRPr="000403EA">
        <w:t>te</w:t>
      </w:r>
      <w:r w:rsidRPr="000403EA">
        <w:rPr>
          <w:spacing w:val="2"/>
        </w:rPr>
        <w:t>r</w:t>
      </w:r>
      <w:r w:rsidRPr="000403EA">
        <w:rPr>
          <w:spacing w:val="-1"/>
        </w:rPr>
        <w:t>r</w:t>
      </w:r>
      <w:r w:rsidRPr="000403EA">
        <w:t>itorial</w:t>
      </w:r>
      <w:r w:rsidRPr="000403EA">
        <w:rPr>
          <w:spacing w:val="-1"/>
        </w:rPr>
        <w:t xml:space="preserve"> </w:t>
      </w:r>
      <w:r w:rsidRPr="000403EA">
        <w:t>disputes</w:t>
      </w:r>
      <w:r w:rsidRPr="000403EA">
        <w:rPr>
          <w:spacing w:val="-1"/>
        </w:rPr>
        <w:t xml:space="preserve"> </w:t>
      </w:r>
      <w:r>
        <w:rPr>
          <w:spacing w:val="-1"/>
        </w:rPr>
        <w:t>must</w:t>
      </w:r>
      <w:r w:rsidRPr="000403EA">
        <w:rPr>
          <w:spacing w:val="3"/>
        </w:rPr>
        <w:t xml:space="preserve"> </w:t>
      </w:r>
      <w:r w:rsidRPr="000403EA">
        <w:t>be</w:t>
      </w:r>
      <w:r w:rsidRPr="000403EA">
        <w:rPr>
          <w:spacing w:val="5"/>
        </w:rPr>
        <w:t xml:space="preserve"> </w:t>
      </w:r>
      <w:r w:rsidRPr="000403EA">
        <w:t>resolved on</w:t>
      </w:r>
      <w:r w:rsidRPr="000403EA">
        <w:rPr>
          <w:spacing w:val="-2"/>
        </w:rPr>
        <w:t xml:space="preserve"> </w:t>
      </w:r>
      <w:r w:rsidRPr="000403EA">
        <w:t>a</w:t>
      </w:r>
      <w:r w:rsidRPr="000403EA">
        <w:rPr>
          <w:spacing w:val="-1"/>
        </w:rPr>
        <w:t xml:space="preserve"> </w:t>
      </w:r>
      <w:r w:rsidRPr="000403EA">
        <w:t>cas</w:t>
      </w:r>
      <w:r w:rsidRPr="000403EA">
        <w:rPr>
          <w:spacing w:val="2"/>
        </w:rPr>
        <w:t>e</w:t>
      </w:r>
      <w:r w:rsidRPr="000403EA">
        <w:rPr>
          <w:spacing w:val="-1"/>
        </w:rPr>
        <w:t>-</w:t>
      </w:r>
      <w:r w:rsidRPr="000403EA">
        <w:rPr>
          <w:spacing w:val="5"/>
        </w:rPr>
        <w:t>b</w:t>
      </w:r>
      <w:r w:rsidRPr="000403EA">
        <w:rPr>
          <w:spacing w:val="-4"/>
        </w:rPr>
        <w:t>y</w:t>
      </w:r>
      <w:r w:rsidRPr="000403EA">
        <w:t>-</w:t>
      </w:r>
      <w:r w:rsidRPr="000403EA">
        <w:rPr>
          <w:spacing w:val="2"/>
        </w:rPr>
        <w:t>c</w:t>
      </w:r>
      <w:r w:rsidRPr="000403EA">
        <w:t>ase</w:t>
      </w:r>
      <w:r w:rsidRPr="000403EA">
        <w:rPr>
          <w:spacing w:val="-12"/>
        </w:rPr>
        <w:t xml:space="preserve"> </w:t>
      </w:r>
      <w:r w:rsidRPr="000403EA">
        <w:rPr>
          <w:spacing w:val="3"/>
        </w:rPr>
        <w:t>b</w:t>
      </w:r>
      <w:r w:rsidRPr="000403EA">
        <w:rPr>
          <w:spacing w:val="-1"/>
        </w:rPr>
        <w:t>a</w:t>
      </w:r>
      <w:r w:rsidRPr="000403EA">
        <w:t>s</w:t>
      </w:r>
      <w:r w:rsidRPr="000403EA">
        <w:rPr>
          <w:spacing w:val="1"/>
        </w:rPr>
        <w:t>i</w:t>
      </w:r>
      <w:r w:rsidRPr="000403EA">
        <w:t>s</w:t>
      </w:r>
      <w:r w:rsidRPr="000403EA">
        <w:rPr>
          <w:spacing w:val="-1"/>
        </w:rPr>
        <w:t>.</w:t>
      </w:r>
      <w:r w:rsidRPr="000403EA">
        <w:rPr>
          <w:sz w:val="20"/>
          <w:szCs w:val="20"/>
        </w:rPr>
        <w:t xml:space="preserve"> </w:t>
      </w:r>
      <w:r w:rsidRPr="000403EA">
        <w:rPr>
          <w:color w:val="000000"/>
        </w:rPr>
        <w:t xml:space="preserve">SSGC argues that unlike the situation in </w:t>
      </w:r>
      <w:r w:rsidRPr="000403EA">
        <w:rPr>
          <w:i/>
          <w:iCs/>
        </w:rPr>
        <w:t>Gulf</w:t>
      </w:r>
      <w:r w:rsidRPr="000403EA">
        <w:rPr>
          <w:i/>
          <w:iCs/>
          <w:spacing w:val="9"/>
        </w:rPr>
        <w:t xml:space="preserve"> </w:t>
      </w:r>
      <w:r w:rsidRPr="000403EA">
        <w:rPr>
          <w:i/>
          <w:iCs/>
        </w:rPr>
        <w:t>Coast</w:t>
      </w:r>
      <w:r w:rsidRPr="000403EA">
        <w:rPr>
          <w:i/>
          <w:iCs/>
          <w:spacing w:val="-1"/>
        </w:rPr>
        <w:t>-</w:t>
      </w:r>
      <w:r w:rsidRPr="000403EA">
        <w:rPr>
          <w:i/>
          <w:iCs/>
        </w:rPr>
        <w:t>Gulf</w:t>
      </w:r>
      <w:r w:rsidRPr="000403EA">
        <w:rPr>
          <w:i/>
          <w:iCs/>
          <w:spacing w:val="2"/>
        </w:rPr>
        <w:t xml:space="preserve"> </w:t>
      </w:r>
      <w:r w:rsidRPr="000403EA">
        <w:rPr>
          <w:i/>
          <w:iCs/>
        </w:rPr>
        <w:t>Pow</w:t>
      </w:r>
      <w:r w:rsidRPr="000403EA">
        <w:rPr>
          <w:i/>
          <w:iCs/>
          <w:spacing w:val="-1"/>
        </w:rPr>
        <w:t>e</w:t>
      </w:r>
      <w:r w:rsidRPr="000403EA">
        <w:rPr>
          <w:i/>
          <w:iCs/>
        </w:rPr>
        <w:t>r</w:t>
      </w:r>
      <w:r w:rsidRPr="000403EA">
        <w:rPr>
          <w:iCs/>
        </w:rPr>
        <w:t xml:space="preserve">, Peoples has not provided evidence or allegations of its legal right to serve the area, that </w:t>
      </w:r>
      <w:r w:rsidRPr="000403EA">
        <w:t>the m</w:t>
      </w:r>
      <w:r w:rsidRPr="000403EA">
        <w:rPr>
          <w:spacing w:val="-1"/>
        </w:rPr>
        <w:t>e</w:t>
      </w:r>
      <w:r w:rsidRPr="000403EA">
        <w:t>re</w:t>
      </w:r>
      <w:r w:rsidRPr="000403EA">
        <w:rPr>
          <w:spacing w:val="-6"/>
        </w:rPr>
        <w:t xml:space="preserve"> </w:t>
      </w:r>
      <w:r w:rsidRPr="000403EA">
        <w:t>p</w:t>
      </w:r>
      <w:r w:rsidRPr="000403EA">
        <w:rPr>
          <w:spacing w:val="5"/>
        </w:rPr>
        <w:t>h</w:t>
      </w:r>
      <w:r w:rsidRPr="000403EA">
        <w:rPr>
          <w:spacing w:val="-5"/>
        </w:rPr>
        <w:t>y</w:t>
      </w:r>
      <w:r w:rsidRPr="000403EA">
        <w:t>sic</w:t>
      </w:r>
      <w:r w:rsidRPr="000403EA">
        <w:rPr>
          <w:spacing w:val="-1"/>
        </w:rPr>
        <w:t>a</w:t>
      </w:r>
      <w:r w:rsidRPr="000403EA">
        <w:t>l</w:t>
      </w:r>
      <w:r w:rsidRPr="000403EA">
        <w:rPr>
          <w:spacing w:val="-7"/>
        </w:rPr>
        <w:t xml:space="preserve"> </w:t>
      </w:r>
      <w:r w:rsidRPr="000403EA">
        <w:t>pro</w:t>
      </w:r>
      <w:r w:rsidRPr="000403EA">
        <w:rPr>
          <w:spacing w:val="3"/>
        </w:rPr>
        <w:t>x</w:t>
      </w:r>
      <w:r w:rsidRPr="000403EA">
        <w:t>imi</w:t>
      </w:r>
      <w:r w:rsidRPr="000403EA">
        <w:rPr>
          <w:spacing w:val="3"/>
        </w:rPr>
        <w:t>t</w:t>
      </w:r>
      <w:r w:rsidRPr="000403EA">
        <w:t>y</w:t>
      </w:r>
      <w:r w:rsidRPr="000403EA">
        <w:rPr>
          <w:spacing w:val="-14"/>
        </w:rPr>
        <w:t xml:space="preserve"> </w:t>
      </w:r>
      <w:r w:rsidRPr="000403EA">
        <w:t>of</w:t>
      </w:r>
      <w:r w:rsidRPr="000403EA">
        <w:rPr>
          <w:spacing w:val="-2"/>
        </w:rPr>
        <w:t xml:space="preserve"> </w:t>
      </w:r>
      <w:r w:rsidRPr="000403EA">
        <w:t>one</w:t>
      </w:r>
      <w:r w:rsidRPr="000403EA">
        <w:rPr>
          <w:spacing w:val="-4"/>
        </w:rPr>
        <w:t xml:space="preserve"> </w:t>
      </w:r>
      <w:r w:rsidRPr="000403EA">
        <w:t>utili</w:t>
      </w:r>
      <w:r w:rsidRPr="000403EA">
        <w:rPr>
          <w:spacing w:val="3"/>
        </w:rPr>
        <w:t>t</w:t>
      </w:r>
      <w:r w:rsidRPr="000403EA">
        <w:rPr>
          <w:spacing w:val="-5"/>
        </w:rPr>
        <w:t>y</w:t>
      </w:r>
      <w:r w:rsidRPr="000403EA">
        <w:t>’s</w:t>
      </w:r>
      <w:r w:rsidRPr="000403EA">
        <w:rPr>
          <w:spacing w:val="-4"/>
        </w:rPr>
        <w:t xml:space="preserve"> </w:t>
      </w:r>
      <w:r w:rsidRPr="000403EA">
        <w:t>infr</w:t>
      </w:r>
      <w:r w:rsidRPr="000403EA">
        <w:rPr>
          <w:spacing w:val="-1"/>
        </w:rPr>
        <w:t>a</w:t>
      </w:r>
      <w:r w:rsidRPr="000403EA">
        <w:t>str</w:t>
      </w:r>
      <w:r w:rsidRPr="000403EA">
        <w:rPr>
          <w:spacing w:val="3"/>
        </w:rPr>
        <w:t>u</w:t>
      </w:r>
      <w:r w:rsidRPr="000403EA">
        <w:t>cture</w:t>
      </w:r>
      <w:r w:rsidRPr="000403EA">
        <w:rPr>
          <w:spacing w:val="-14"/>
        </w:rPr>
        <w:t xml:space="preserve"> </w:t>
      </w:r>
      <w:r w:rsidRPr="000403EA">
        <w:t>to</w:t>
      </w:r>
      <w:r w:rsidRPr="000403EA">
        <w:rPr>
          <w:spacing w:val="-2"/>
        </w:rPr>
        <w:t xml:space="preserve"> </w:t>
      </w:r>
      <w:r w:rsidRPr="000403EA">
        <w:rPr>
          <w:spacing w:val="-1"/>
        </w:rPr>
        <w:t>a</w:t>
      </w:r>
      <w:r w:rsidRPr="000403EA">
        <w:t>nother</w:t>
      </w:r>
      <w:r w:rsidRPr="000403EA">
        <w:rPr>
          <w:spacing w:val="-7"/>
        </w:rPr>
        <w:t xml:space="preserve"> </w:t>
      </w:r>
      <w:r w:rsidRPr="000403EA">
        <w:t>do</w:t>
      </w:r>
      <w:r w:rsidRPr="000403EA">
        <w:rPr>
          <w:spacing w:val="-1"/>
        </w:rPr>
        <w:t>e</w:t>
      </w:r>
      <w:r w:rsidRPr="000403EA">
        <w:t>s</w:t>
      </w:r>
      <w:r w:rsidRPr="000403EA">
        <w:rPr>
          <w:spacing w:val="-1"/>
        </w:rPr>
        <w:t xml:space="preserve"> </w:t>
      </w:r>
      <w:r w:rsidRPr="000403EA">
        <w:t>not make</w:t>
      </w:r>
      <w:r w:rsidRPr="000403EA">
        <w:rPr>
          <w:spacing w:val="53"/>
        </w:rPr>
        <w:t xml:space="preserve"> </w:t>
      </w:r>
      <w:r w:rsidRPr="000403EA">
        <w:t>for</w:t>
      </w:r>
      <w:r w:rsidRPr="000403EA">
        <w:rPr>
          <w:spacing w:val="55"/>
        </w:rPr>
        <w:t xml:space="preserve"> </w:t>
      </w:r>
      <w:r w:rsidRPr="000403EA">
        <w:t>duplicative</w:t>
      </w:r>
      <w:r w:rsidRPr="000403EA">
        <w:rPr>
          <w:spacing w:val="47"/>
        </w:rPr>
        <w:t xml:space="preserve"> </w:t>
      </w:r>
      <w:r w:rsidRPr="000403EA">
        <w:t>f</w:t>
      </w:r>
      <w:r w:rsidRPr="000403EA">
        <w:rPr>
          <w:spacing w:val="2"/>
        </w:rPr>
        <w:t>a</w:t>
      </w:r>
      <w:r w:rsidRPr="000403EA">
        <w:t>cilities, and that Peoples failed to allege uneconomic</w:t>
      </w:r>
      <w:r w:rsidRPr="000403EA">
        <w:rPr>
          <w:spacing w:val="46"/>
        </w:rPr>
        <w:t xml:space="preserve"> </w:t>
      </w:r>
      <w:r w:rsidRPr="000403EA">
        <w:t>duplication</w:t>
      </w:r>
      <w:r w:rsidRPr="000403EA">
        <w:rPr>
          <w:spacing w:val="47"/>
        </w:rPr>
        <w:t xml:space="preserve"> </w:t>
      </w:r>
      <w:r w:rsidRPr="000403EA">
        <w:t>of</w:t>
      </w:r>
      <w:r w:rsidRPr="000403EA">
        <w:rPr>
          <w:spacing w:val="56"/>
        </w:rPr>
        <w:t xml:space="preserve"> </w:t>
      </w:r>
      <w:r w:rsidRPr="000403EA">
        <w:t>facilities.</w:t>
      </w:r>
    </w:p>
    <w:p w:rsidR="00E04B36" w:rsidRPr="000403EA" w:rsidRDefault="00E04B36" w:rsidP="000E33C1">
      <w:pPr>
        <w:autoSpaceDE w:val="0"/>
        <w:autoSpaceDN w:val="0"/>
        <w:adjustRightInd w:val="0"/>
        <w:spacing w:before="240" w:after="240"/>
        <w:ind w:firstLine="720"/>
        <w:jc w:val="both"/>
        <w:rPr>
          <w:color w:val="000000"/>
        </w:rPr>
      </w:pPr>
      <w:r w:rsidRPr="000403EA">
        <w:t xml:space="preserve">SSGC also relies upon </w:t>
      </w:r>
      <w:r w:rsidRPr="000403EA">
        <w:rPr>
          <w:i/>
          <w:iCs/>
        </w:rPr>
        <w:t>Gulf</w:t>
      </w:r>
      <w:r w:rsidRPr="000403EA">
        <w:rPr>
          <w:i/>
          <w:iCs/>
          <w:spacing w:val="9"/>
        </w:rPr>
        <w:t xml:space="preserve"> </w:t>
      </w:r>
      <w:r w:rsidRPr="000403EA">
        <w:rPr>
          <w:i/>
          <w:iCs/>
        </w:rPr>
        <w:t>Coast</w:t>
      </w:r>
      <w:r w:rsidRPr="000403EA">
        <w:rPr>
          <w:i/>
          <w:iCs/>
          <w:spacing w:val="-1"/>
        </w:rPr>
        <w:t>-</w:t>
      </w:r>
      <w:r w:rsidRPr="000403EA">
        <w:rPr>
          <w:i/>
          <w:iCs/>
        </w:rPr>
        <w:t>Gulf</w:t>
      </w:r>
      <w:r w:rsidRPr="000403EA">
        <w:rPr>
          <w:i/>
          <w:iCs/>
          <w:spacing w:val="2"/>
        </w:rPr>
        <w:t xml:space="preserve"> </w:t>
      </w:r>
      <w:r w:rsidRPr="000403EA">
        <w:rPr>
          <w:i/>
          <w:iCs/>
        </w:rPr>
        <w:t>Pow</w:t>
      </w:r>
      <w:r w:rsidRPr="000403EA">
        <w:rPr>
          <w:i/>
          <w:iCs/>
          <w:spacing w:val="-1"/>
        </w:rPr>
        <w:t>e</w:t>
      </w:r>
      <w:r w:rsidRPr="000403EA">
        <w:rPr>
          <w:i/>
          <w:iCs/>
        </w:rPr>
        <w:t>r</w:t>
      </w:r>
      <w:r w:rsidRPr="000403EA">
        <w:t xml:space="preserve"> to support its assertion that the Petition should be dismissed for ripeness citing the </w:t>
      </w:r>
      <w:r w:rsidRPr="000403EA">
        <w:rPr>
          <w:position w:val="-1"/>
        </w:rPr>
        <w:t>t</w:t>
      </w:r>
      <w:r w:rsidRPr="000403EA">
        <w:rPr>
          <w:spacing w:val="2"/>
          <w:position w:val="-1"/>
        </w:rPr>
        <w:t>w</w:t>
      </w:r>
      <w:r w:rsidRPr="000403EA">
        <w:rPr>
          <w:position w:val="-1"/>
        </w:rPr>
        <w:t>o-pro</w:t>
      </w:r>
      <w:r w:rsidRPr="000403EA">
        <w:rPr>
          <w:spacing w:val="3"/>
          <w:position w:val="-1"/>
        </w:rPr>
        <w:t>n</w:t>
      </w:r>
      <w:r w:rsidRPr="000403EA">
        <w:rPr>
          <w:position w:val="-1"/>
        </w:rPr>
        <w:t>g</w:t>
      </w:r>
      <w:r w:rsidRPr="000403EA">
        <w:rPr>
          <w:spacing w:val="2"/>
          <w:position w:val="-1"/>
        </w:rPr>
        <w:t xml:space="preserve"> </w:t>
      </w:r>
      <w:r w:rsidRPr="000403EA">
        <w:rPr>
          <w:position w:val="-1"/>
        </w:rPr>
        <w:t>test</w:t>
      </w:r>
      <w:r w:rsidRPr="000403EA">
        <w:rPr>
          <w:spacing w:val="11"/>
          <w:position w:val="-1"/>
        </w:rPr>
        <w:t xml:space="preserve"> </w:t>
      </w:r>
      <w:r w:rsidRPr="000403EA">
        <w:rPr>
          <w:position w:val="-1"/>
        </w:rPr>
        <w:t>f</w:t>
      </w:r>
      <w:r w:rsidRPr="000403EA">
        <w:rPr>
          <w:spacing w:val="3"/>
          <w:position w:val="-1"/>
        </w:rPr>
        <w:t>o</w:t>
      </w:r>
      <w:r w:rsidRPr="000403EA">
        <w:rPr>
          <w:position w:val="-1"/>
        </w:rPr>
        <w:t>r</w:t>
      </w:r>
      <w:r w:rsidRPr="000403EA">
        <w:rPr>
          <w:spacing w:val="11"/>
          <w:position w:val="-1"/>
        </w:rPr>
        <w:t xml:space="preserve"> </w:t>
      </w:r>
      <w:r w:rsidRPr="000403EA">
        <w:rPr>
          <w:position w:val="-1"/>
        </w:rPr>
        <w:t>ri</w:t>
      </w:r>
      <w:r w:rsidRPr="000403EA">
        <w:rPr>
          <w:spacing w:val="3"/>
          <w:position w:val="-1"/>
        </w:rPr>
        <w:t>p</w:t>
      </w:r>
      <w:r w:rsidRPr="000403EA">
        <w:rPr>
          <w:spacing w:val="-1"/>
          <w:position w:val="-1"/>
        </w:rPr>
        <w:t>e</w:t>
      </w:r>
      <w:r w:rsidRPr="000403EA">
        <w:rPr>
          <w:position w:val="-1"/>
        </w:rPr>
        <w:t xml:space="preserve">ness in </w:t>
      </w:r>
      <w:r w:rsidRPr="000403EA">
        <w:rPr>
          <w:rFonts w:ascii="TimesNewRoman,Italic" w:hAnsi="TimesNewRoman,Italic" w:cs="TimesNewRoman,Italic"/>
          <w:i/>
          <w:iCs/>
        </w:rPr>
        <w:t xml:space="preserve">Nat'l Park Hospitality Ass'n v. DOI, </w:t>
      </w:r>
      <w:r w:rsidRPr="000403EA">
        <w:rPr>
          <w:rFonts w:ascii="TimesNewRoman" w:hAnsi="TimesNewRoman" w:cs="TimesNewRoman"/>
        </w:rPr>
        <w:t xml:space="preserve">538 U.S. 803, 807, 123 S. Ct. 2026, 155 L.Ed.2d 1017 (2003). </w:t>
      </w:r>
      <w:r w:rsidRPr="00A606A9">
        <w:rPr>
          <w:rFonts w:ascii="TimesNewRoman" w:hAnsi="TimesNewRoman" w:cs="TimesNewRoman"/>
        </w:rPr>
        <w:t>The</w:t>
      </w:r>
      <w:r>
        <w:rPr>
          <w:rFonts w:ascii="TimesNewRoman" w:hAnsi="TimesNewRoman" w:cs="TimesNewRoman"/>
        </w:rPr>
        <w:t xml:space="preserve"> </w:t>
      </w:r>
      <w:r w:rsidRPr="00A606A9">
        <w:rPr>
          <w:rFonts w:ascii="TimesNewRoman" w:hAnsi="TimesNewRoman" w:cs="TimesNewRoman"/>
        </w:rPr>
        <w:t xml:space="preserve">first prong in determining whether administrative action is ripe for action involves an evaluation of  the issue’s fitness for judicial decision. </w:t>
      </w:r>
      <w:r>
        <w:rPr>
          <w:rFonts w:ascii="TimesNewRoman" w:hAnsi="TimesNewRoman" w:cs="TimesNewRoman"/>
        </w:rPr>
        <w:t>B</w:t>
      </w:r>
      <w:r w:rsidRPr="000403EA">
        <w:rPr>
          <w:color w:val="000000"/>
        </w:rPr>
        <w:t>y declaring that there is no dispute and that therefore the matter is not ripe for adjudication</w:t>
      </w:r>
      <w:r>
        <w:rPr>
          <w:color w:val="000000"/>
        </w:rPr>
        <w:t xml:space="preserve">, </w:t>
      </w:r>
      <w:r w:rsidRPr="000403EA">
        <w:rPr>
          <w:color w:val="000000"/>
        </w:rPr>
        <w:t>SSGC challenges the premise that the Petition is based upon a prima facie dispute</w:t>
      </w:r>
      <w:r>
        <w:rPr>
          <w:color w:val="000000"/>
        </w:rPr>
        <w:t>.</w:t>
      </w:r>
      <w:r w:rsidRPr="000403EA">
        <w:rPr>
          <w:color w:val="000000"/>
        </w:rPr>
        <w:t xml:space="preserve"> SSGC asserts that the facts </w:t>
      </w:r>
      <w:r>
        <w:rPr>
          <w:color w:val="000000"/>
        </w:rPr>
        <w:t xml:space="preserve">alleged within the Petition </w:t>
      </w:r>
      <w:r w:rsidRPr="000403EA">
        <w:rPr>
          <w:color w:val="000000"/>
        </w:rPr>
        <w:t xml:space="preserve">do not support a request for a sweeping determination for a service provider to serve all future portions of the Villages Community over many years. SSGC argues that this issue is not yet fit for </w:t>
      </w:r>
      <w:r>
        <w:rPr>
          <w:color w:val="000000"/>
        </w:rPr>
        <w:t>a judicial decision and that this</w:t>
      </w:r>
      <w:r w:rsidRPr="000403EA">
        <w:rPr>
          <w:color w:val="000000"/>
        </w:rPr>
        <w:t xml:space="preserve"> Commission’s ability to adjudicate this matter would be enhanced by allowing more time for these events to unfold. SSGC states that the second part of the ripeness test would be the hardship that Peoples would suffer if th</w:t>
      </w:r>
      <w:r>
        <w:rPr>
          <w:color w:val="000000"/>
        </w:rPr>
        <w:t>is</w:t>
      </w:r>
      <w:r w:rsidRPr="000403EA">
        <w:rPr>
          <w:color w:val="000000"/>
        </w:rPr>
        <w:t xml:space="preserve"> Commission “withholds a decision” (fails to act). SSGC asserts that Peoples will not suffer a hardship and that Peoples has not alleged any direct harm.  </w:t>
      </w:r>
    </w:p>
    <w:p w:rsidR="00E04B36" w:rsidRPr="000403EA" w:rsidRDefault="00E04B36" w:rsidP="000E33C1">
      <w:pPr>
        <w:shd w:val="clear" w:color="auto" w:fill="FFFFFF"/>
        <w:spacing w:before="240" w:after="240"/>
        <w:ind w:firstLine="720"/>
        <w:jc w:val="both"/>
        <w:rPr>
          <w:color w:val="000000"/>
        </w:rPr>
      </w:pPr>
      <w:r w:rsidRPr="000403EA">
        <w:rPr>
          <w:color w:val="000000"/>
        </w:rPr>
        <w:lastRenderedPageBreak/>
        <w:t>SSGC’s final argument is that Peoples has not alleged that its service to the customers in the disputed area would be in the public interest. SSGC also suggests that the developer, with decades of experience, is in the best position to determine who the best service provider would be for the community within this service area.</w:t>
      </w:r>
    </w:p>
    <w:p w:rsidR="00E04B36" w:rsidRPr="000E33C1" w:rsidRDefault="00E04B36" w:rsidP="000E33C1">
      <w:pPr>
        <w:shd w:val="clear" w:color="auto" w:fill="FFFFFF"/>
        <w:spacing w:before="240" w:after="240"/>
        <w:ind w:firstLine="720"/>
        <w:jc w:val="both"/>
        <w:rPr>
          <w:color w:val="000000"/>
        </w:rPr>
      </w:pPr>
      <w:r w:rsidRPr="000403EA">
        <w:rPr>
          <w:color w:val="000000"/>
          <w:u w:val="single"/>
        </w:rPr>
        <w:t>The City of Leesburg</w:t>
      </w:r>
      <w:r w:rsidRPr="000403EA">
        <w:rPr>
          <w:color w:val="000000"/>
        </w:rPr>
        <w:t>: Leesburg claims that Peoples failed to plead sufficient facts for the matter to move forward. Leesburg summarizes its argument by stating that Peoples merely assert</w:t>
      </w:r>
      <w:r>
        <w:rPr>
          <w:color w:val="000000"/>
        </w:rPr>
        <w:t>s the existence of</w:t>
      </w:r>
      <w:r w:rsidRPr="000403EA">
        <w:rPr>
          <w:color w:val="000000"/>
        </w:rPr>
        <w:t xml:space="preserve"> a territorial dispute without pleading all disputed facts as required. Leesburg asserts that Peoples has not made sufficient factual allegations t</w:t>
      </w:r>
      <w:r>
        <w:rPr>
          <w:color w:val="000000"/>
        </w:rPr>
        <w:t>o</w:t>
      </w:r>
      <w:r w:rsidRPr="000403EA">
        <w:rPr>
          <w:color w:val="000000"/>
        </w:rPr>
        <w:t xml:space="preserve"> warrant </w:t>
      </w:r>
      <w:r>
        <w:rPr>
          <w:color w:val="000000"/>
        </w:rPr>
        <w:t>our</w:t>
      </w:r>
      <w:r w:rsidRPr="000403EA">
        <w:rPr>
          <w:color w:val="000000"/>
        </w:rPr>
        <w:t xml:space="preserve"> involvement in determining which utility should serve the disputed area. Leesburg alleges that the facts supporting the alleged dispute are missing from the pleadings because they do not exist. </w:t>
      </w:r>
    </w:p>
    <w:p w:rsidR="00E04B36" w:rsidRDefault="00E04B36" w:rsidP="000E33C1">
      <w:pPr>
        <w:shd w:val="clear" w:color="auto" w:fill="FFFFFF"/>
        <w:spacing w:before="240" w:after="240"/>
        <w:ind w:firstLine="720"/>
        <w:jc w:val="both"/>
        <w:rPr>
          <w:color w:val="000000"/>
        </w:rPr>
      </w:pPr>
      <w:r w:rsidRPr="000403EA">
        <w:rPr>
          <w:color w:val="000000"/>
        </w:rPr>
        <w:t xml:space="preserve">Leesburg also states that </w:t>
      </w:r>
      <w:r>
        <w:rPr>
          <w:color w:val="000000"/>
        </w:rPr>
        <w:t>this Commission s</w:t>
      </w:r>
      <w:r w:rsidRPr="000403EA">
        <w:rPr>
          <w:color w:val="000000"/>
        </w:rPr>
        <w:t xml:space="preserve">hould be hesitant to inject itself into a business dispute. Leesburg suggests that where market forces are at work to determine the manner in which the expansion of facilities is going to take place, </w:t>
      </w:r>
      <w:r w:rsidR="005D3F9B">
        <w:rPr>
          <w:color w:val="000000"/>
        </w:rPr>
        <w:t>we are</w:t>
      </w:r>
      <w:r w:rsidRPr="000403EA">
        <w:rPr>
          <w:color w:val="000000"/>
        </w:rPr>
        <w:t xml:space="preserve"> not required to step in and conduct centralized planning. Leesburg states that there is no need </w:t>
      </w:r>
      <w:r>
        <w:rPr>
          <w:color w:val="000000"/>
        </w:rPr>
        <w:t>given</w:t>
      </w:r>
      <w:r w:rsidRPr="000403EA">
        <w:rPr>
          <w:color w:val="000000"/>
        </w:rPr>
        <w:t xml:space="preserve"> the present situation for </w:t>
      </w:r>
      <w:r w:rsidR="005D3F9B">
        <w:rPr>
          <w:color w:val="000000"/>
        </w:rPr>
        <w:t>us</w:t>
      </w:r>
      <w:r w:rsidRPr="000403EA">
        <w:rPr>
          <w:color w:val="000000"/>
        </w:rPr>
        <w:t xml:space="preserve"> to respond to the request to resolve the territorial dispute</w:t>
      </w:r>
      <w:r>
        <w:rPr>
          <w:color w:val="000000"/>
        </w:rPr>
        <w:t xml:space="preserve"> due to the fact that</w:t>
      </w:r>
      <w:r w:rsidRPr="000403EA">
        <w:rPr>
          <w:color w:val="000000"/>
        </w:rPr>
        <w:t xml:space="preserve"> customer choice and market forces are already at work to select the utility to serve this area. </w:t>
      </w:r>
    </w:p>
    <w:p w:rsidR="00E04B36" w:rsidRDefault="00E04B36" w:rsidP="000E33C1">
      <w:pPr>
        <w:shd w:val="clear" w:color="auto" w:fill="FFFFFF"/>
        <w:spacing w:before="240" w:after="240"/>
        <w:jc w:val="both"/>
        <w:rPr>
          <w:color w:val="000000"/>
          <w:u w:val="single"/>
        </w:rPr>
      </w:pPr>
      <w:r w:rsidRPr="002620F5">
        <w:rPr>
          <w:color w:val="000000"/>
          <w:u w:val="single"/>
        </w:rPr>
        <w:t xml:space="preserve">Peoples’ Response to the Motions to Dismiss </w:t>
      </w:r>
    </w:p>
    <w:p w:rsidR="00E04B36" w:rsidRPr="000403EA" w:rsidRDefault="00E04B36" w:rsidP="000E33C1">
      <w:pPr>
        <w:shd w:val="clear" w:color="auto" w:fill="FFFFFF"/>
        <w:spacing w:before="240" w:after="240"/>
        <w:ind w:firstLine="720"/>
        <w:jc w:val="both"/>
      </w:pPr>
      <w:r w:rsidRPr="000403EA">
        <w:t xml:space="preserve">Peoples disagrees with SSGC’s assertion the Petition must comply with the general pleading requirements in </w:t>
      </w:r>
      <w:r w:rsidRPr="000403EA">
        <w:rPr>
          <w:iCs/>
        </w:rPr>
        <w:t>Rule</w:t>
      </w:r>
      <w:r w:rsidRPr="000403EA">
        <w:rPr>
          <w:i/>
          <w:iCs/>
        </w:rPr>
        <w:t xml:space="preserve"> </w:t>
      </w:r>
      <w:r w:rsidRPr="000403EA">
        <w:t>28-106.201, F.A.C, which applies primarily to petitions requesting a hearing on a proposed agency action (PAA). However, Peoples does state that if this case were decided under Rule 28-106.201, F.A.C., then its petition meets the pleading requirements in accordance with Order</w:t>
      </w:r>
      <w:r w:rsidRPr="000403EA">
        <w:rPr>
          <w:spacing w:val="16"/>
        </w:rPr>
        <w:t xml:space="preserve"> </w:t>
      </w:r>
      <w:r w:rsidRPr="000403EA">
        <w:t>No.</w:t>
      </w:r>
      <w:r w:rsidRPr="000403EA">
        <w:rPr>
          <w:spacing w:val="-2"/>
        </w:rPr>
        <w:t xml:space="preserve"> </w:t>
      </w:r>
      <w:r w:rsidRPr="000403EA">
        <w:rPr>
          <w:w w:val="103"/>
        </w:rPr>
        <w:t>PSC-06-0260-</w:t>
      </w:r>
      <w:r w:rsidRPr="000403EA">
        <w:t xml:space="preserve">PCO-EI, issued March 28, 2006, in Docket No. 060038-EI, </w:t>
      </w:r>
      <w:r w:rsidRPr="000403EA">
        <w:rPr>
          <w:i/>
        </w:rPr>
        <w:t>I</w:t>
      </w:r>
      <w:r w:rsidRPr="000403EA">
        <w:rPr>
          <w:i/>
          <w:iCs/>
        </w:rPr>
        <w:t>n</w:t>
      </w:r>
      <w:r w:rsidRPr="000403EA">
        <w:rPr>
          <w:i/>
          <w:iCs/>
          <w:spacing w:val="21"/>
        </w:rPr>
        <w:t xml:space="preserve"> </w:t>
      </w:r>
      <w:r w:rsidRPr="000403EA">
        <w:rPr>
          <w:i/>
        </w:rPr>
        <w:t>re</w:t>
      </w:r>
      <w:r w:rsidRPr="000403EA">
        <w:rPr>
          <w:i/>
          <w:spacing w:val="34"/>
        </w:rPr>
        <w:t xml:space="preserve"> </w:t>
      </w:r>
      <w:r w:rsidRPr="000403EA">
        <w:rPr>
          <w:i/>
          <w:iCs/>
        </w:rPr>
        <w:t>Petition</w:t>
      </w:r>
      <w:r w:rsidRPr="000403EA">
        <w:rPr>
          <w:i/>
          <w:iCs/>
          <w:spacing w:val="33"/>
        </w:rPr>
        <w:t xml:space="preserve"> </w:t>
      </w:r>
      <w:r w:rsidRPr="000403EA">
        <w:rPr>
          <w:i/>
          <w:iCs/>
        </w:rPr>
        <w:t>for</w:t>
      </w:r>
      <w:r w:rsidRPr="000403EA">
        <w:rPr>
          <w:i/>
          <w:iCs/>
          <w:spacing w:val="23"/>
        </w:rPr>
        <w:t xml:space="preserve"> </w:t>
      </w:r>
      <w:r w:rsidRPr="000403EA">
        <w:rPr>
          <w:i/>
          <w:iCs/>
        </w:rPr>
        <w:t>Issuance</w:t>
      </w:r>
      <w:r w:rsidRPr="000403EA">
        <w:rPr>
          <w:i/>
          <w:iCs/>
          <w:spacing w:val="31"/>
        </w:rPr>
        <w:t xml:space="preserve"> </w:t>
      </w:r>
      <w:r w:rsidRPr="000403EA">
        <w:rPr>
          <w:i/>
          <w:iCs/>
        </w:rPr>
        <w:t>of</w:t>
      </w:r>
      <w:r w:rsidRPr="000403EA">
        <w:rPr>
          <w:i/>
          <w:iCs/>
          <w:spacing w:val="24"/>
        </w:rPr>
        <w:t xml:space="preserve"> </w:t>
      </w:r>
      <w:r w:rsidRPr="000403EA">
        <w:rPr>
          <w:i/>
        </w:rPr>
        <w:t>a</w:t>
      </w:r>
      <w:r w:rsidRPr="000403EA">
        <w:rPr>
          <w:i/>
          <w:spacing w:val="26"/>
        </w:rPr>
        <w:t xml:space="preserve"> </w:t>
      </w:r>
      <w:r w:rsidRPr="000403EA">
        <w:rPr>
          <w:i/>
          <w:iCs/>
        </w:rPr>
        <w:t>Storm</w:t>
      </w:r>
      <w:r w:rsidRPr="000403EA">
        <w:rPr>
          <w:i/>
          <w:iCs/>
          <w:spacing w:val="39"/>
        </w:rPr>
        <w:t xml:space="preserve"> </w:t>
      </w:r>
      <w:r w:rsidRPr="000403EA">
        <w:rPr>
          <w:i/>
          <w:iCs/>
        </w:rPr>
        <w:t>Recovery</w:t>
      </w:r>
      <w:r w:rsidRPr="000403EA">
        <w:rPr>
          <w:i/>
          <w:iCs/>
          <w:spacing w:val="49"/>
        </w:rPr>
        <w:t xml:space="preserve"> </w:t>
      </w:r>
      <w:r w:rsidRPr="000403EA">
        <w:rPr>
          <w:i/>
          <w:iCs/>
          <w:w w:val="102"/>
        </w:rPr>
        <w:t xml:space="preserve">Financing </w:t>
      </w:r>
      <w:r w:rsidRPr="000403EA">
        <w:rPr>
          <w:i/>
          <w:iCs/>
        </w:rPr>
        <w:t>Order,</w:t>
      </w:r>
      <w:r w:rsidRPr="000403EA">
        <w:rPr>
          <w:i/>
          <w:iCs/>
          <w:spacing w:val="18"/>
        </w:rPr>
        <w:t xml:space="preserve"> </w:t>
      </w:r>
      <w:r w:rsidRPr="000403EA">
        <w:t>where th</w:t>
      </w:r>
      <w:r>
        <w:t>is</w:t>
      </w:r>
      <w:r w:rsidRPr="000403EA">
        <w:t xml:space="preserve"> Commission held</w:t>
      </w:r>
      <w:r w:rsidRPr="000403EA">
        <w:rPr>
          <w:spacing w:val="19"/>
        </w:rPr>
        <w:t xml:space="preserve"> </w:t>
      </w:r>
      <w:r w:rsidRPr="000403EA">
        <w:rPr>
          <w:w w:val="104"/>
        </w:rPr>
        <w:t>that “A</w:t>
      </w:r>
      <w:r w:rsidRPr="000403EA">
        <w:rPr>
          <w:spacing w:val="1"/>
        </w:rPr>
        <w:t xml:space="preserve"> </w:t>
      </w:r>
      <w:r w:rsidRPr="000403EA">
        <w:t>petitioner</w:t>
      </w:r>
      <w:r w:rsidRPr="000403EA">
        <w:rPr>
          <w:spacing w:val="26"/>
        </w:rPr>
        <w:t xml:space="preserve"> </w:t>
      </w:r>
      <w:r w:rsidRPr="000403EA">
        <w:t>filing</w:t>
      </w:r>
      <w:r w:rsidRPr="000403EA">
        <w:rPr>
          <w:spacing w:val="11"/>
        </w:rPr>
        <w:t xml:space="preserve"> </w:t>
      </w:r>
      <w:r w:rsidRPr="000403EA">
        <w:t>an</w:t>
      </w:r>
      <w:r w:rsidRPr="000403EA">
        <w:rPr>
          <w:spacing w:val="7"/>
        </w:rPr>
        <w:t xml:space="preserve"> </w:t>
      </w:r>
      <w:r w:rsidRPr="000403EA">
        <w:t>original</w:t>
      </w:r>
      <w:r w:rsidRPr="000403EA">
        <w:rPr>
          <w:spacing w:val="-4"/>
        </w:rPr>
        <w:t xml:space="preserve"> </w:t>
      </w:r>
      <w:r w:rsidRPr="000403EA">
        <w:t>request</w:t>
      </w:r>
      <w:r w:rsidRPr="000403EA">
        <w:rPr>
          <w:spacing w:val="23"/>
        </w:rPr>
        <w:t xml:space="preserve"> </w:t>
      </w:r>
      <w:r w:rsidRPr="000403EA">
        <w:t>for</w:t>
      </w:r>
      <w:r w:rsidRPr="000403EA">
        <w:rPr>
          <w:spacing w:val="12"/>
        </w:rPr>
        <w:t xml:space="preserve"> </w:t>
      </w:r>
      <w:r w:rsidRPr="000403EA">
        <w:t>relief</w:t>
      </w:r>
      <w:r w:rsidRPr="000403EA">
        <w:rPr>
          <w:spacing w:val="17"/>
        </w:rPr>
        <w:t xml:space="preserve"> </w:t>
      </w:r>
      <w:r w:rsidRPr="000403EA">
        <w:t>cannot</w:t>
      </w:r>
      <w:r w:rsidRPr="000403EA">
        <w:rPr>
          <w:spacing w:val="22"/>
        </w:rPr>
        <w:t xml:space="preserve"> </w:t>
      </w:r>
      <w:r w:rsidRPr="000403EA">
        <w:t>reasonably</w:t>
      </w:r>
      <w:r w:rsidRPr="000403EA">
        <w:rPr>
          <w:spacing w:val="24"/>
        </w:rPr>
        <w:t xml:space="preserve"> </w:t>
      </w:r>
      <w:r w:rsidRPr="000403EA">
        <w:rPr>
          <w:w w:val="111"/>
        </w:rPr>
        <w:t>be expected to</w:t>
      </w:r>
      <w:r w:rsidRPr="000403EA">
        <w:t xml:space="preserve"> identify</w:t>
      </w:r>
      <w:r w:rsidRPr="000403EA">
        <w:rPr>
          <w:spacing w:val="29"/>
        </w:rPr>
        <w:t xml:space="preserve"> </w:t>
      </w:r>
      <w:r w:rsidRPr="000403EA">
        <w:t>all</w:t>
      </w:r>
      <w:r w:rsidRPr="000403EA">
        <w:rPr>
          <w:spacing w:val="3"/>
        </w:rPr>
        <w:t xml:space="preserve"> </w:t>
      </w:r>
      <w:r w:rsidRPr="000403EA">
        <w:t>disputed</w:t>
      </w:r>
      <w:r w:rsidRPr="000403EA">
        <w:rPr>
          <w:spacing w:val="29"/>
        </w:rPr>
        <w:t xml:space="preserve"> </w:t>
      </w:r>
      <w:r w:rsidRPr="000403EA">
        <w:t>issues</w:t>
      </w:r>
      <w:r w:rsidRPr="000403EA">
        <w:rPr>
          <w:spacing w:val="37"/>
        </w:rPr>
        <w:t xml:space="preserve"> </w:t>
      </w:r>
      <w:r w:rsidRPr="000403EA">
        <w:t>of</w:t>
      </w:r>
      <w:r w:rsidRPr="000403EA">
        <w:rPr>
          <w:spacing w:val="13"/>
        </w:rPr>
        <w:t xml:space="preserve"> </w:t>
      </w:r>
      <w:r w:rsidRPr="000403EA">
        <w:t>material</w:t>
      </w:r>
      <w:r w:rsidRPr="000403EA">
        <w:rPr>
          <w:spacing w:val="16"/>
        </w:rPr>
        <w:t xml:space="preserve"> </w:t>
      </w:r>
      <w:r w:rsidRPr="000403EA">
        <w:t>fact</w:t>
      </w:r>
      <w:r w:rsidRPr="000403EA">
        <w:rPr>
          <w:spacing w:val="5"/>
        </w:rPr>
        <w:t xml:space="preserve"> </w:t>
      </w:r>
      <w:r w:rsidRPr="000403EA">
        <w:t>that</w:t>
      </w:r>
      <w:r w:rsidRPr="000403EA">
        <w:rPr>
          <w:spacing w:val="14"/>
        </w:rPr>
        <w:t xml:space="preserve"> </w:t>
      </w:r>
      <w:r w:rsidRPr="000403EA">
        <w:rPr>
          <w:w w:val="103"/>
        </w:rPr>
        <w:t xml:space="preserve">might </w:t>
      </w:r>
      <w:r w:rsidRPr="000403EA">
        <w:t>arise.”</w:t>
      </w:r>
      <w:r w:rsidRPr="000403EA">
        <w:rPr>
          <w:spacing w:val="5"/>
        </w:rPr>
        <w:t xml:space="preserve"> </w:t>
      </w:r>
    </w:p>
    <w:p w:rsidR="00E04B36" w:rsidRPr="000403EA" w:rsidRDefault="00E04B36" w:rsidP="000E33C1">
      <w:pPr>
        <w:autoSpaceDE w:val="0"/>
        <w:autoSpaceDN w:val="0"/>
        <w:adjustRightInd w:val="0"/>
        <w:spacing w:before="240" w:after="240"/>
        <w:ind w:right="-20" w:firstLine="720"/>
        <w:jc w:val="both"/>
      </w:pPr>
      <w:r w:rsidRPr="000403EA">
        <w:t>According to Peoples, its Petition contains a statement of the ultimate facts that satisfy the specific pleading requirements within Rule 25-7.0472, F.A.C. (Territorial Disputes for Natural Gas Utilities)</w:t>
      </w:r>
      <w:r>
        <w:t>;</w:t>
      </w:r>
      <w:r w:rsidRPr="000403EA">
        <w:t xml:space="preserve"> </w:t>
      </w:r>
      <w:r>
        <w:t>this rule</w:t>
      </w:r>
      <w:r w:rsidRPr="000403EA">
        <w:t xml:space="preserve"> provides that a territorial dispute may be initiated by a petition and that each utility that is a party to a territorial dispute shall provide a map and written description of the disputed area along with the conditions that caused the dispute. Peoples argues that SSGC’s natural gas infrastructure is being installed immediately adjacent to infrastructure belonging to</w:t>
      </w:r>
      <w:r>
        <w:t xml:space="preserve"> </w:t>
      </w:r>
      <w:r w:rsidRPr="000403EA">
        <w:t xml:space="preserve">Peoples and that Leesburg is building a 6-inch main line to serve the area in question. The Petition also contains a written agreement between SSGC and Leesburg for natural gas service in the area adjacent to the community where Peoples already provides service. Peoples asserts that a common sense reading of its Petition, the attached agreements, building permits, and maps establish that Peoples is the utility who can best serve the adjacent community. Peoples asserts that it has met the burden of providing a sufficient statement of facts upon which </w:t>
      </w:r>
      <w:r w:rsidR="00EA3B60">
        <w:t xml:space="preserve">we </w:t>
      </w:r>
      <w:r w:rsidRPr="000403EA">
        <w:t>can evaluate the territorial dispute.</w:t>
      </w:r>
    </w:p>
    <w:p w:rsidR="00E04B36" w:rsidRPr="000403EA" w:rsidRDefault="00E04B36" w:rsidP="000E33C1">
      <w:pPr>
        <w:autoSpaceDE w:val="0"/>
        <w:autoSpaceDN w:val="0"/>
        <w:adjustRightInd w:val="0"/>
        <w:spacing w:before="240" w:after="240"/>
        <w:ind w:right="-20"/>
        <w:jc w:val="both"/>
      </w:pPr>
    </w:p>
    <w:p w:rsidR="00E04B36" w:rsidRPr="000403EA" w:rsidRDefault="00E04B36" w:rsidP="000E33C1">
      <w:pPr>
        <w:autoSpaceDE w:val="0"/>
        <w:autoSpaceDN w:val="0"/>
        <w:adjustRightInd w:val="0"/>
        <w:spacing w:before="240" w:after="240"/>
        <w:ind w:firstLine="720"/>
        <w:jc w:val="both"/>
      </w:pPr>
      <w:r w:rsidRPr="000403EA">
        <w:lastRenderedPageBreak/>
        <w:t xml:space="preserve">Peoples also takes exception to SSGC’s and Leesburg’s interpretation of </w:t>
      </w:r>
      <w:r w:rsidR="00EA3B60">
        <w:t>our</w:t>
      </w:r>
      <w:r w:rsidRPr="000403EA">
        <w:t xml:space="preserve"> ruling in </w:t>
      </w:r>
      <w:r w:rsidRPr="000403EA">
        <w:rPr>
          <w:i/>
          <w:iCs/>
        </w:rPr>
        <w:t>Gulf Coast-Gulf</w:t>
      </w:r>
      <w:r w:rsidRPr="000403EA">
        <w:rPr>
          <w:iCs/>
        </w:rPr>
        <w:t xml:space="preserve"> </w:t>
      </w:r>
      <w:r w:rsidRPr="000403EA">
        <w:rPr>
          <w:i/>
          <w:iCs/>
        </w:rPr>
        <w:t>Power</w:t>
      </w:r>
      <w:r w:rsidRPr="000403EA">
        <w:rPr>
          <w:iCs/>
        </w:rPr>
        <w:t xml:space="preserve"> and points out that on appeal</w:t>
      </w:r>
      <w:r w:rsidRPr="000403EA">
        <w:t xml:space="preserve">, the court held that </w:t>
      </w:r>
      <w:r w:rsidR="00EA3B60">
        <w:t>we were</w:t>
      </w:r>
      <w:r w:rsidRPr="000403EA">
        <w:t xml:space="preserve"> not required as a matter of law to "establish territorial boundaries in order to resolve a territorial dispute that does not involve service to current or future identifiable customers." </w:t>
      </w:r>
      <w:r w:rsidRPr="000403EA">
        <w:rPr>
          <w:i/>
          <w:iCs/>
        </w:rPr>
        <w:t xml:space="preserve">Gulf Coast-Gulf Power, </w:t>
      </w:r>
      <w:r w:rsidRPr="000403EA">
        <w:rPr>
          <w:iCs/>
        </w:rPr>
        <w:t xml:space="preserve">727 So. 2d </w:t>
      </w:r>
      <w:r w:rsidRPr="000403EA">
        <w:t xml:space="preserve">at 264. Peoples distinguishes the scenario in </w:t>
      </w:r>
      <w:r w:rsidRPr="000403EA">
        <w:rPr>
          <w:i/>
        </w:rPr>
        <w:t>Gulf Coast-Gulf Power</w:t>
      </w:r>
      <w:r w:rsidRPr="000403EA">
        <w:t xml:space="preserve">, which involved disparate locations that had no customers, by pointing out that customers within the disputed service area were easily identifiable as the homeowners within those specific developments that the Villages is constructing immediately adjacent to its prior developments being served by Peoples. </w:t>
      </w:r>
    </w:p>
    <w:p w:rsidR="00E04B36" w:rsidRDefault="00E04B36" w:rsidP="000E33C1">
      <w:pPr>
        <w:autoSpaceDE w:val="0"/>
        <w:autoSpaceDN w:val="0"/>
        <w:adjustRightInd w:val="0"/>
        <w:spacing w:before="240" w:after="240"/>
        <w:ind w:firstLine="720"/>
        <w:jc w:val="both"/>
      </w:pPr>
      <w:r w:rsidRPr="000403EA">
        <w:t xml:space="preserve">Peoples argues that SSGC’s and Leesburg’s positions that the Villages has found a better financial arrangement with another gas company indicates that there is a bona fide territorial dispute. Peoples states that it is the conduct of SSGC and Leesburg that has created a territorial dispute and that </w:t>
      </w:r>
      <w:r w:rsidR="00EA3B60">
        <w:t>we</w:t>
      </w:r>
      <w:r w:rsidRPr="000403EA">
        <w:t xml:space="preserve"> should allow Peoples’ Petition to move forward. </w:t>
      </w:r>
    </w:p>
    <w:p w:rsidR="00E04B36" w:rsidRPr="00AF7458" w:rsidRDefault="00E04B36" w:rsidP="000E33C1">
      <w:pPr>
        <w:spacing w:before="240" w:after="240"/>
        <w:ind w:left="432" w:hanging="432"/>
        <w:jc w:val="both"/>
        <w:outlineLvl w:val="1"/>
        <w:rPr>
          <w:bCs/>
          <w:iCs/>
          <w:u w:val="single"/>
        </w:rPr>
      </w:pPr>
      <w:r w:rsidRPr="00AF7458">
        <w:rPr>
          <w:bCs/>
          <w:iCs/>
          <w:u w:val="single"/>
        </w:rPr>
        <w:t xml:space="preserve">Standard of Review for Motion to Dismiss </w:t>
      </w:r>
    </w:p>
    <w:p w:rsidR="00E04B36" w:rsidRDefault="00E04B36" w:rsidP="000E33C1">
      <w:pPr>
        <w:shd w:val="clear" w:color="auto" w:fill="FFFFFF"/>
        <w:spacing w:before="240" w:after="240"/>
        <w:ind w:firstLine="720"/>
        <w:jc w:val="both"/>
      </w:pPr>
      <w:r w:rsidRPr="000403EA">
        <w:t xml:space="preserve">Unless otherwise provided by law, a </w:t>
      </w:r>
      <w:r>
        <w:t>P</w:t>
      </w:r>
      <w:r w:rsidRPr="000403EA">
        <w:t xml:space="preserve">etition or request for hearing must include all items required by Rule 28-106.201, F.A.C., if the hearing involves disputed issues of material fact. A petition filed under Chapter 120, F.S., </w:t>
      </w:r>
      <w:r>
        <w:t>which</w:t>
      </w:r>
      <w:r w:rsidRPr="000403EA">
        <w:t xml:space="preserve"> is in substantial compliance with the applicable uniform rule requirements need not be dismissed.</w:t>
      </w:r>
      <w:r w:rsidR="005B5C4A">
        <w:t xml:space="preserve"> </w:t>
      </w:r>
      <w:r w:rsidR="00452B2B" w:rsidRPr="00452B2B">
        <w:rPr>
          <w:i/>
        </w:rPr>
        <w:t>See</w:t>
      </w:r>
      <w:r w:rsidR="00452B2B">
        <w:t xml:space="preserve"> </w:t>
      </w:r>
      <w:r w:rsidR="00452B2B" w:rsidRPr="00452B2B">
        <w:t>120.569(2)(</w:t>
      </w:r>
      <w:r w:rsidR="00452B2B">
        <w:t>c</w:t>
      </w:r>
      <w:r w:rsidR="00452B2B" w:rsidRPr="00452B2B">
        <w:t>)</w:t>
      </w:r>
      <w:r w:rsidR="00452B2B">
        <w:t>-(d)</w:t>
      </w:r>
      <w:r w:rsidR="00452B2B" w:rsidRPr="00452B2B">
        <w:t xml:space="preserve"> F.S.</w:t>
      </w:r>
      <w:r w:rsidR="00452B2B">
        <w:rPr>
          <w:color w:val="1F497D"/>
        </w:rPr>
        <w:t xml:space="preserve"> </w:t>
      </w:r>
      <w:r w:rsidRPr="000403EA">
        <w:t xml:space="preserve">Rule 25-7.0472, F.A.C., lists the considerations that </w:t>
      </w:r>
      <w:r>
        <w:t>we are</w:t>
      </w:r>
      <w:r w:rsidRPr="000403EA">
        <w:t xml:space="preserve"> required to evaluate when resolving territorial disputes for natural gas utilities.</w:t>
      </w:r>
    </w:p>
    <w:p w:rsidR="00E04B36" w:rsidRPr="000403EA" w:rsidRDefault="00E04B36" w:rsidP="000E33C1">
      <w:pPr>
        <w:shd w:val="clear" w:color="auto" w:fill="FFFFFF"/>
        <w:spacing w:before="240" w:after="240"/>
        <w:ind w:firstLine="720"/>
        <w:jc w:val="both"/>
        <w:rPr>
          <w:color w:val="000000"/>
        </w:rPr>
      </w:pPr>
      <w:r w:rsidRPr="000403EA">
        <w:rPr>
          <w:color w:val="000000"/>
        </w:rPr>
        <w:t xml:space="preserve">The function of a </w:t>
      </w:r>
      <w:r w:rsidRPr="000403EA">
        <w:rPr>
          <w:color w:val="000000"/>
          <w:shd w:val="clear" w:color="auto" w:fill="FFFFFF"/>
        </w:rPr>
        <w:t>motion</w:t>
      </w:r>
      <w:r w:rsidRPr="000403EA">
        <w:rPr>
          <w:color w:val="000000"/>
        </w:rPr>
        <w:t xml:space="preserve"> to </w:t>
      </w:r>
      <w:r w:rsidRPr="000403EA">
        <w:rPr>
          <w:color w:val="000000"/>
          <w:shd w:val="clear" w:color="auto" w:fill="FFFFFF"/>
        </w:rPr>
        <w:t>dismiss</w:t>
      </w:r>
      <w:r w:rsidRPr="000403EA">
        <w:rPr>
          <w:color w:val="000000"/>
        </w:rPr>
        <w:t xml:space="preserve"> is to raise as a question of law the sufficiency of the facts alleged to state a cause of action. </w:t>
      </w:r>
      <w:r w:rsidRPr="000403EA">
        <w:rPr>
          <w:i/>
          <w:iCs/>
          <w:color w:val="000000"/>
        </w:rPr>
        <w:t>Varnes v. Dawkins</w:t>
      </w:r>
      <w:r w:rsidRPr="000403EA">
        <w:rPr>
          <w:color w:val="000000"/>
        </w:rPr>
        <w:t xml:space="preserve">, 624 So. 2d 349, 350 (Fla. 1st DCA 1993). The applicable standard for disposing of a </w:t>
      </w:r>
      <w:r w:rsidRPr="000403EA">
        <w:rPr>
          <w:color w:val="000000"/>
          <w:shd w:val="clear" w:color="auto" w:fill="FFFFFF"/>
        </w:rPr>
        <w:t>motion</w:t>
      </w:r>
      <w:r w:rsidRPr="000403EA">
        <w:rPr>
          <w:color w:val="000000"/>
        </w:rPr>
        <w:t xml:space="preserve"> to </w:t>
      </w:r>
      <w:r w:rsidRPr="000403EA">
        <w:rPr>
          <w:color w:val="000000"/>
          <w:shd w:val="clear" w:color="auto" w:fill="FFFFFF"/>
        </w:rPr>
        <w:t>dismiss</w:t>
      </w:r>
      <w:r w:rsidRPr="000403EA">
        <w:rPr>
          <w:color w:val="000000"/>
        </w:rPr>
        <w:t xml:space="preserve"> is whether, with all factual allegations in the petition taken to be true, the petition states a cause of action upon which relief may be </w:t>
      </w:r>
      <w:r w:rsidRPr="000403EA">
        <w:rPr>
          <w:color w:val="000000"/>
          <w:shd w:val="clear" w:color="auto" w:fill="FFFFFF"/>
        </w:rPr>
        <w:t>granted</w:t>
      </w:r>
      <w:r w:rsidRPr="000403EA">
        <w:rPr>
          <w:color w:val="000000"/>
        </w:rPr>
        <w:t xml:space="preserve">. </w:t>
      </w:r>
      <w:r w:rsidRPr="000403EA">
        <w:rPr>
          <w:i/>
          <w:iCs/>
          <w:color w:val="000000"/>
        </w:rPr>
        <w:t>Id.</w:t>
      </w:r>
      <w:r w:rsidRPr="000403EA">
        <w:rPr>
          <w:color w:val="000000"/>
        </w:rPr>
        <w:t xml:space="preserve"> </w:t>
      </w:r>
    </w:p>
    <w:p w:rsidR="00E04B36" w:rsidRPr="000403EA" w:rsidRDefault="00E04B36" w:rsidP="000E33C1">
      <w:pPr>
        <w:shd w:val="clear" w:color="auto" w:fill="FFFFFF"/>
        <w:spacing w:before="240" w:after="240"/>
        <w:ind w:firstLine="720"/>
        <w:jc w:val="both"/>
        <w:rPr>
          <w:color w:val="000000"/>
        </w:rPr>
      </w:pPr>
      <w:r w:rsidRPr="000403EA">
        <w:rPr>
          <w:color w:val="000000"/>
        </w:rPr>
        <w:t xml:space="preserve">In making this determination, all reasonable inferences drawn from the petition must be made in favor of the petitioner. </w:t>
      </w:r>
      <w:r w:rsidRPr="000403EA">
        <w:rPr>
          <w:i/>
          <w:iCs/>
          <w:color w:val="000000"/>
        </w:rPr>
        <w:t xml:space="preserve">Id. </w:t>
      </w:r>
      <w:r w:rsidRPr="000403EA">
        <w:rPr>
          <w:iCs/>
          <w:color w:val="000000"/>
        </w:rPr>
        <w:t>C</w:t>
      </w:r>
      <w:r w:rsidRPr="000403EA">
        <w:rPr>
          <w:sz w:val="23"/>
          <w:szCs w:val="23"/>
        </w:rPr>
        <w:t xml:space="preserve">onsideration of a motion to dismiss “may not properly go beyond the four corners of the complaint in testing the legal sufficiency of the allegations set forth therein.” </w:t>
      </w:r>
      <w:r w:rsidRPr="000403EA">
        <w:rPr>
          <w:i/>
          <w:iCs/>
          <w:sz w:val="23"/>
          <w:szCs w:val="23"/>
        </w:rPr>
        <w:t>Stubbs v. Plantation Gen. Hosp. Ltd. P’ship</w:t>
      </w:r>
      <w:r w:rsidRPr="000403EA">
        <w:rPr>
          <w:sz w:val="23"/>
          <w:szCs w:val="23"/>
        </w:rPr>
        <w:t xml:space="preserve">, 988 So. 2d 683, 684 (Fla. 4th DCA 2008) (internal quotation omitted). </w:t>
      </w:r>
      <w:r w:rsidRPr="000403EA">
        <w:rPr>
          <w:color w:val="000000"/>
        </w:rPr>
        <w:t xml:space="preserve">All of the elements of a cause of action must be properly alleged in a </w:t>
      </w:r>
      <w:r w:rsidRPr="000403EA">
        <w:rPr>
          <w:color w:val="000000"/>
          <w:shd w:val="clear" w:color="auto" w:fill="FFFFFF"/>
        </w:rPr>
        <w:t>pleading</w:t>
      </w:r>
      <w:r w:rsidRPr="000403EA">
        <w:rPr>
          <w:color w:val="000000"/>
        </w:rPr>
        <w:t xml:space="preserve"> </w:t>
      </w:r>
      <w:r>
        <w:rPr>
          <w:color w:val="000000"/>
        </w:rPr>
        <w:t xml:space="preserve">to </w:t>
      </w:r>
      <w:r w:rsidRPr="000403EA">
        <w:rPr>
          <w:color w:val="000000"/>
        </w:rPr>
        <w:t xml:space="preserve">seek affirmative relief. If the elements are not properly alleged, the </w:t>
      </w:r>
      <w:r w:rsidRPr="000403EA">
        <w:rPr>
          <w:color w:val="000000"/>
          <w:shd w:val="clear" w:color="auto" w:fill="FFFFFF"/>
        </w:rPr>
        <w:t>pleading</w:t>
      </w:r>
      <w:r w:rsidRPr="000403EA">
        <w:rPr>
          <w:color w:val="000000"/>
        </w:rPr>
        <w:t xml:space="preserve"> should be dismissed. </w:t>
      </w:r>
      <w:r w:rsidRPr="000403EA">
        <w:rPr>
          <w:i/>
          <w:iCs/>
          <w:color w:val="000000"/>
        </w:rPr>
        <w:t>Kislak v. Kreedian</w:t>
      </w:r>
      <w:r w:rsidRPr="000403EA">
        <w:rPr>
          <w:color w:val="000000"/>
        </w:rPr>
        <w:t>, 95 So. 2d 510 (Fla. 1957).</w:t>
      </w:r>
    </w:p>
    <w:p w:rsidR="00E04B36" w:rsidRPr="000870E3" w:rsidRDefault="00E04B36" w:rsidP="000E33C1">
      <w:pPr>
        <w:autoSpaceDE w:val="0"/>
        <w:autoSpaceDN w:val="0"/>
        <w:adjustRightInd w:val="0"/>
        <w:spacing w:before="240" w:after="240"/>
        <w:ind w:right="-20"/>
        <w:jc w:val="both"/>
        <w:rPr>
          <w:u w:val="single"/>
        </w:rPr>
      </w:pPr>
      <w:r w:rsidRPr="000870E3">
        <w:rPr>
          <w:u w:val="single"/>
        </w:rPr>
        <w:t>Analysis and Recommendation</w:t>
      </w:r>
    </w:p>
    <w:p w:rsidR="00E04B36" w:rsidRPr="000403EA" w:rsidRDefault="00E04B36" w:rsidP="000E33C1">
      <w:pPr>
        <w:autoSpaceDE w:val="0"/>
        <w:autoSpaceDN w:val="0"/>
        <w:adjustRightInd w:val="0"/>
        <w:spacing w:before="240" w:after="240"/>
        <w:ind w:right="-20" w:firstLine="720"/>
        <w:jc w:val="both"/>
      </w:pPr>
      <w:r w:rsidRPr="000403EA">
        <w:t xml:space="preserve">Peoples’ </w:t>
      </w:r>
      <w:r>
        <w:t>P</w:t>
      </w:r>
      <w:r w:rsidRPr="000403EA">
        <w:t>etition states a cause of action upon which relief can be granted</w:t>
      </w:r>
      <w:r w:rsidR="00452B2B">
        <w:t>,</w:t>
      </w:r>
      <w:r w:rsidRPr="000403EA">
        <w:t xml:space="preserve"> and it meets the requirements of Rules 28-106.201 and 25-7.0472, F.A.C. The Petition sets forth that </w:t>
      </w:r>
      <w:r>
        <w:t>SSGC and Leesburg are installing</w:t>
      </w:r>
      <w:r w:rsidRPr="000403EA">
        <w:t xml:space="preserve"> gas infrastructure in a People’s natural gas service area, the area in question is adjacent to Peoples' natural gas infrastructure, Peoples already has a non-exclusive franchise with the City of Wildwood to provide natural gas service to the area, and there is an agreement between Leesburg and SSGC </w:t>
      </w:r>
      <w:r>
        <w:t xml:space="preserve">for </w:t>
      </w:r>
      <w:r w:rsidRPr="000403EA">
        <w:t xml:space="preserve">Leesburg to supply gas to the area. </w:t>
      </w:r>
    </w:p>
    <w:p w:rsidR="00E04B36" w:rsidRDefault="00E04B36" w:rsidP="000E33C1">
      <w:pPr>
        <w:autoSpaceDE w:val="0"/>
        <w:autoSpaceDN w:val="0"/>
        <w:adjustRightInd w:val="0"/>
        <w:spacing w:before="240" w:after="240"/>
        <w:ind w:right="-20" w:firstLine="720"/>
        <w:jc w:val="both"/>
      </w:pPr>
      <w:r w:rsidRPr="000403EA">
        <w:lastRenderedPageBreak/>
        <w:t xml:space="preserve">The Petition and its attachments indicate that Leesburg is in the process of building a 6-inch main line </w:t>
      </w:r>
      <w:r>
        <w:t>which</w:t>
      </w:r>
      <w:r w:rsidRPr="000403EA">
        <w:t xml:space="preserve"> is 6.25 miles in length to the service area from its distribution line serving Coleman Prison, and that together with SSGC, the overall length of all proposed natural gas piping being constructed in the service area is approximately 29 miles.  </w:t>
      </w:r>
    </w:p>
    <w:p w:rsidR="000E33C1" w:rsidRDefault="00E04B36" w:rsidP="000E33C1">
      <w:pPr>
        <w:spacing w:before="240" w:after="240"/>
        <w:ind w:firstLine="720"/>
        <w:jc w:val="both"/>
        <w:outlineLvl w:val="2"/>
        <w:rPr>
          <w:bCs/>
          <w:iCs/>
          <w:szCs w:val="28"/>
        </w:rPr>
      </w:pPr>
      <w:r w:rsidRPr="000403EA">
        <w:rPr>
          <w:bCs/>
          <w:iCs/>
          <w:szCs w:val="28"/>
        </w:rPr>
        <w:t xml:space="preserve">When viewed within the “four corners of the complaint” exclusive of all affirmative defenses/responses, assuming all alleged facts are true, and in the light most favorable to Peoples, </w:t>
      </w:r>
      <w:r>
        <w:rPr>
          <w:bCs/>
          <w:iCs/>
          <w:szCs w:val="28"/>
        </w:rPr>
        <w:t xml:space="preserve">we find </w:t>
      </w:r>
      <w:r w:rsidRPr="000403EA">
        <w:rPr>
          <w:bCs/>
          <w:iCs/>
          <w:szCs w:val="28"/>
        </w:rPr>
        <w:t xml:space="preserve">that the Petition states a cause of action </w:t>
      </w:r>
      <w:r>
        <w:rPr>
          <w:bCs/>
          <w:iCs/>
          <w:szCs w:val="28"/>
        </w:rPr>
        <w:t>which</w:t>
      </w:r>
      <w:r w:rsidRPr="000403EA">
        <w:rPr>
          <w:bCs/>
          <w:iCs/>
          <w:szCs w:val="28"/>
        </w:rPr>
        <w:t xml:space="preserve"> would invoke </w:t>
      </w:r>
      <w:r>
        <w:rPr>
          <w:bCs/>
          <w:iCs/>
          <w:szCs w:val="28"/>
        </w:rPr>
        <w:t>our j</w:t>
      </w:r>
      <w:r w:rsidRPr="000403EA">
        <w:rPr>
          <w:bCs/>
          <w:iCs/>
          <w:szCs w:val="28"/>
        </w:rPr>
        <w:t xml:space="preserve">urisdiction and permit </w:t>
      </w:r>
      <w:r>
        <w:rPr>
          <w:bCs/>
          <w:iCs/>
          <w:szCs w:val="28"/>
        </w:rPr>
        <w:t>us</w:t>
      </w:r>
      <w:r w:rsidRPr="000403EA">
        <w:rPr>
          <w:bCs/>
          <w:iCs/>
          <w:szCs w:val="28"/>
        </w:rPr>
        <w:t xml:space="preserve"> to grant the relief requested. </w:t>
      </w:r>
      <w:r w:rsidR="004704D0">
        <w:rPr>
          <w:bCs/>
          <w:iCs/>
          <w:szCs w:val="28"/>
        </w:rPr>
        <w:t>S</w:t>
      </w:r>
      <w:r w:rsidRPr="000403EA">
        <w:rPr>
          <w:bCs/>
          <w:iCs/>
          <w:szCs w:val="28"/>
        </w:rPr>
        <w:t xml:space="preserve">pecifically, </w:t>
      </w:r>
      <w:r w:rsidR="004704D0" w:rsidRPr="000403EA">
        <w:rPr>
          <w:bCs/>
          <w:iCs/>
          <w:szCs w:val="28"/>
        </w:rPr>
        <w:t>in accordance with Rule 25-7.0472, F.A.C</w:t>
      </w:r>
      <w:r w:rsidR="004704D0">
        <w:rPr>
          <w:bCs/>
          <w:iCs/>
          <w:szCs w:val="28"/>
        </w:rPr>
        <w:t>,</w:t>
      </w:r>
      <w:r w:rsidR="004704D0" w:rsidRPr="000403EA">
        <w:rPr>
          <w:bCs/>
          <w:iCs/>
          <w:szCs w:val="28"/>
        </w:rPr>
        <w:t xml:space="preserve"> </w:t>
      </w:r>
      <w:r w:rsidRPr="000403EA">
        <w:rPr>
          <w:bCs/>
          <w:iCs/>
          <w:szCs w:val="28"/>
        </w:rPr>
        <w:t xml:space="preserve">the Petition contains </w:t>
      </w:r>
      <w:r w:rsidR="006E69FF">
        <w:rPr>
          <w:bCs/>
          <w:iCs/>
          <w:szCs w:val="28"/>
        </w:rPr>
        <w:t xml:space="preserve">sufficient </w:t>
      </w:r>
      <w:r w:rsidR="004704D0">
        <w:rPr>
          <w:bCs/>
          <w:iCs/>
          <w:szCs w:val="28"/>
        </w:rPr>
        <w:t>allegations,</w:t>
      </w:r>
      <w:r w:rsidRPr="000403EA">
        <w:rPr>
          <w:bCs/>
          <w:iCs/>
          <w:szCs w:val="28"/>
        </w:rPr>
        <w:t xml:space="preserve"> such as customer preference and cost to serve, </w:t>
      </w:r>
      <w:r w:rsidR="006E69FF">
        <w:rPr>
          <w:bCs/>
          <w:iCs/>
          <w:szCs w:val="28"/>
        </w:rPr>
        <w:t xml:space="preserve">for us </w:t>
      </w:r>
      <w:r w:rsidR="004704D0">
        <w:rPr>
          <w:bCs/>
          <w:iCs/>
          <w:szCs w:val="28"/>
        </w:rPr>
        <w:t xml:space="preserve">to </w:t>
      </w:r>
      <w:r w:rsidR="006E69FF">
        <w:rPr>
          <w:bCs/>
          <w:iCs/>
          <w:szCs w:val="28"/>
        </w:rPr>
        <w:t xml:space="preserve">consider </w:t>
      </w:r>
      <w:r w:rsidRPr="000403EA">
        <w:rPr>
          <w:bCs/>
          <w:iCs/>
          <w:szCs w:val="28"/>
        </w:rPr>
        <w:t>the Petition to Resolve the Territorial Dispute.</w:t>
      </w:r>
    </w:p>
    <w:p w:rsidR="00E04B36" w:rsidRPr="000E33C1" w:rsidRDefault="00E04B36" w:rsidP="000E33C1">
      <w:pPr>
        <w:spacing w:before="240" w:after="240"/>
        <w:ind w:firstLine="720"/>
        <w:jc w:val="both"/>
        <w:outlineLvl w:val="2"/>
        <w:rPr>
          <w:bCs/>
          <w:iCs/>
          <w:szCs w:val="28"/>
        </w:rPr>
      </w:pPr>
      <w:r w:rsidRPr="000403EA">
        <w:t xml:space="preserve">Section 366.04(3)(b), F.S., grants jurisdiction to </w:t>
      </w:r>
      <w:r>
        <w:t>us</w:t>
      </w:r>
      <w:r w:rsidRPr="000403EA">
        <w:t xml:space="preserve"> to </w:t>
      </w:r>
      <w:r w:rsidRPr="000403EA">
        <w:rPr>
          <w:shd w:val="clear" w:color="auto" w:fill="FFFFFF"/>
        </w:rPr>
        <w:t xml:space="preserve">resolve, upon petition </w:t>
      </w:r>
      <w:r>
        <w:rPr>
          <w:shd w:val="clear" w:color="auto" w:fill="FFFFFF"/>
        </w:rPr>
        <w:t>by</w:t>
      </w:r>
      <w:r w:rsidRPr="000403EA">
        <w:rPr>
          <w:shd w:val="clear" w:color="auto" w:fill="FFFFFF"/>
        </w:rPr>
        <w:t xml:space="preserve"> a utility or </w:t>
      </w:r>
      <w:r>
        <w:rPr>
          <w:shd w:val="clear" w:color="auto" w:fill="FFFFFF"/>
        </w:rPr>
        <w:t>by</w:t>
      </w:r>
      <w:r w:rsidRPr="000403EA">
        <w:rPr>
          <w:shd w:val="clear" w:color="auto" w:fill="FFFFFF"/>
        </w:rPr>
        <w:t xml:space="preserve"> its own motion, any territorial dispute involving service areas between and among natural gas utilities.</w:t>
      </w:r>
      <w:r w:rsidRPr="000403EA">
        <w:t xml:space="preserve"> In the instant case, Peoples’ Petition establishes that a territorial dispute exists pursuant to Section 366.04(3)(b), F.S. The Petition contains adequate information in the form of an agreement, construction notices, ordinance, permits, and maps to indicate that an active dispute exists as to who will provide natural gas to the disputed service area. </w:t>
      </w:r>
      <w:r>
        <w:t>Our</w:t>
      </w:r>
      <w:r w:rsidRPr="000403EA">
        <w:t xml:space="preserve"> review of the maps attached to the Petition further illustrates that this is a fully formed territorial dispute over the contested service area. </w:t>
      </w:r>
    </w:p>
    <w:p w:rsidR="00E04B36" w:rsidRPr="000403EA" w:rsidRDefault="00E04B36" w:rsidP="000E33C1">
      <w:pPr>
        <w:shd w:val="clear" w:color="auto" w:fill="FFFFFF"/>
        <w:spacing w:before="240" w:after="240"/>
        <w:ind w:firstLine="720"/>
        <w:jc w:val="both"/>
      </w:pPr>
      <w:r>
        <w:t xml:space="preserve">During the oral argument, SSGC and Leesburg encouraged us to allow market forces to settle this matter and to allow the customers to select their own utility to serve this area. These arguments run counter to our statutory responsibility to resolve any territorial dispute upon petition and ignores </w:t>
      </w:r>
      <w:r w:rsidRPr="000403EA">
        <w:t xml:space="preserve">Rule 25-7.0472(2)(c-e), F.A.C., </w:t>
      </w:r>
      <w:r>
        <w:t>which requires us</w:t>
      </w:r>
      <w:r w:rsidRPr="000403EA">
        <w:t xml:space="preserve">, when resolving territorial disputes, to consider the cost of each utility to provide natural gas service to the disputed area presently and in the future. Among the many factors that </w:t>
      </w:r>
      <w:r>
        <w:t>we</w:t>
      </w:r>
      <w:r w:rsidRPr="000403EA">
        <w:t xml:space="preserve"> consider in a territorial dispute, customer preference is considered </w:t>
      </w:r>
      <w:r>
        <w:t xml:space="preserve">only </w:t>
      </w:r>
      <w:r w:rsidRPr="000403EA">
        <w:t>if all other factors related to the costs are substantially equal.</w:t>
      </w:r>
      <w:r>
        <w:t xml:space="preserve"> </w:t>
      </w:r>
    </w:p>
    <w:p w:rsidR="00E04B36" w:rsidRDefault="00E04B36" w:rsidP="002D5E9E">
      <w:pPr>
        <w:jc w:val="center"/>
        <w:rPr>
          <w:b/>
          <w:u w:val="single"/>
        </w:rPr>
      </w:pPr>
      <w:r w:rsidRPr="000A1F99">
        <w:rPr>
          <w:u w:val="single"/>
        </w:rPr>
        <w:t>Conclusion</w:t>
      </w:r>
    </w:p>
    <w:p w:rsidR="00E04B36" w:rsidRPr="00E04B36" w:rsidRDefault="00E04B36" w:rsidP="002D5E9E">
      <w:pPr>
        <w:jc w:val="center"/>
        <w:rPr>
          <w:b/>
          <w:u w:val="single"/>
        </w:rPr>
      </w:pPr>
    </w:p>
    <w:p w:rsidR="00E04B36" w:rsidRPr="000403EA" w:rsidRDefault="00E04B36" w:rsidP="00E04B36">
      <w:pPr>
        <w:ind w:firstLine="720"/>
        <w:jc w:val="both"/>
      </w:pPr>
      <w:r w:rsidRPr="000403EA">
        <w:t xml:space="preserve">For the reasons set forth above, </w:t>
      </w:r>
      <w:r>
        <w:t>we</w:t>
      </w:r>
      <w:r w:rsidRPr="000403EA">
        <w:t xml:space="preserve"> deny SSGC and Leesburg’s motions to dismiss Peoples’ Petition.</w:t>
      </w:r>
    </w:p>
    <w:p w:rsidR="00E04B36" w:rsidRDefault="00E04B36" w:rsidP="00E04B36"/>
    <w:p w:rsidR="00E04B36" w:rsidRDefault="00E04B36" w:rsidP="00E04B36">
      <w:pPr>
        <w:pStyle w:val="OrderBody"/>
      </w:pPr>
      <w:r>
        <w:tab/>
        <w:t>Based on the foregoing, it is</w:t>
      </w:r>
    </w:p>
    <w:p w:rsidR="00452B2B" w:rsidRDefault="00452B2B" w:rsidP="00E04B36">
      <w:pPr>
        <w:pStyle w:val="OrderBody"/>
      </w:pPr>
    </w:p>
    <w:p w:rsidR="00E04B36" w:rsidRPr="000403EA" w:rsidRDefault="00E04B36" w:rsidP="00452B2B">
      <w:pPr>
        <w:spacing w:after="240"/>
        <w:jc w:val="both"/>
        <w:outlineLvl w:val="1"/>
      </w:pPr>
      <w:r>
        <w:tab/>
        <w:t xml:space="preserve">ORDERED by the Florida Public Service Commission that </w:t>
      </w:r>
      <w:r w:rsidRPr="000403EA">
        <w:t xml:space="preserve">the Motions to Dismiss Peoples </w:t>
      </w:r>
      <w:r>
        <w:t xml:space="preserve">Gas Company’s </w:t>
      </w:r>
      <w:r w:rsidRPr="000403EA">
        <w:t xml:space="preserve">Petition </w:t>
      </w:r>
      <w:r>
        <w:t>filed by the City of Leesburg and South Sumter Gas Company are denied</w:t>
      </w:r>
      <w:r w:rsidRPr="000403EA">
        <w:t xml:space="preserve">. </w:t>
      </w:r>
      <w:r>
        <w:t xml:space="preserve">It is further </w:t>
      </w:r>
    </w:p>
    <w:p w:rsidR="00E04B36" w:rsidRDefault="00E04B36" w:rsidP="002D5E9E">
      <w:pPr>
        <w:pStyle w:val="OrderBody"/>
        <w:ind w:firstLine="720"/>
      </w:pPr>
      <w:r w:rsidRPr="000A1F99">
        <w:t xml:space="preserve">ORDERED </w:t>
      </w:r>
      <w:r>
        <w:t xml:space="preserve">that </w:t>
      </w:r>
      <w:r w:rsidRPr="000403EA">
        <w:t>the docket sh</w:t>
      </w:r>
      <w:r>
        <w:t>all</w:t>
      </w:r>
      <w:r w:rsidRPr="000403EA">
        <w:t xml:space="preserve"> r</w:t>
      </w:r>
      <w:r>
        <w:t>emain open to address Peoples’ P</w:t>
      </w:r>
      <w:r w:rsidRPr="000403EA">
        <w:t>etition to resolve the territorial dispute.</w:t>
      </w:r>
    </w:p>
    <w:p w:rsidR="00E04B36" w:rsidRDefault="00E04B36" w:rsidP="00E04B36">
      <w:pPr>
        <w:pStyle w:val="OrderBody"/>
      </w:pPr>
    </w:p>
    <w:p w:rsidR="00E04B36" w:rsidRDefault="00E04B36" w:rsidP="00E04B36">
      <w:pPr>
        <w:pStyle w:val="OrderBody"/>
        <w:keepNext/>
        <w:keepLines/>
      </w:pPr>
      <w:r>
        <w:lastRenderedPageBreak/>
        <w:tab/>
        <w:t xml:space="preserve">By ORDER of the Florida Public Service Commission this </w:t>
      </w:r>
      <w:bookmarkStart w:id="6" w:name="replaceDate"/>
      <w:bookmarkEnd w:id="6"/>
      <w:r w:rsidR="007774CC">
        <w:rPr>
          <w:u w:val="single"/>
        </w:rPr>
        <w:t>28th</w:t>
      </w:r>
      <w:r w:rsidR="007774CC">
        <w:t xml:space="preserve"> day of </w:t>
      </w:r>
      <w:r w:rsidR="007774CC">
        <w:rPr>
          <w:u w:val="single"/>
        </w:rPr>
        <w:t>June</w:t>
      </w:r>
      <w:r w:rsidR="007774CC">
        <w:t xml:space="preserve">, </w:t>
      </w:r>
      <w:r w:rsidR="007774CC">
        <w:rPr>
          <w:u w:val="single"/>
        </w:rPr>
        <w:t>2018</w:t>
      </w:r>
      <w:r w:rsidR="007774CC">
        <w:t>.</w:t>
      </w:r>
    </w:p>
    <w:p w:rsidR="007774CC" w:rsidRPr="007774CC" w:rsidRDefault="007774CC" w:rsidP="00E04B36">
      <w:pPr>
        <w:pStyle w:val="OrderBody"/>
        <w:keepNext/>
        <w:keepLines/>
      </w:pPr>
    </w:p>
    <w:p w:rsidR="00E04B36" w:rsidRDefault="00E04B36" w:rsidP="00E04B36">
      <w:pPr>
        <w:pStyle w:val="OrderBody"/>
        <w:keepNext/>
        <w:keepLines/>
      </w:pPr>
    </w:p>
    <w:p w:rsidR="002D5E9E" w:rsidRDefault="002D5E9E" w:rsidP="00E04B36">
      <w:pPr>
        <w:pStyle w:val="OrderBody"/>
        <w:keepNext/>
        <w:keepLines/>
      </w:pPr>
    </w:p>
    <w:p w:rsidR="002D5E9E" w:rsidRDefault="002D5E9E" w:rsidP="00E04B3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04B36" w:rsidTr="009C1C70">
        <w:tc>
          <w:tcPr>
            <w:tcW w:w="720" w:type="dxa"/>
            <w:shd w:val="clear" w:color="auto" w:fill="auto"/>
          </w:tcPr>
          <w:p w:rsidR="00E04B36" w:rsidRDefault="00E04B36" w:rsidP="009C1C70">
            <w:pPr>
              <w:pStyle w:val="OrderBody"/>
              <w:keepNext/>
              <w:keepLines/>
            </w:pPr>
            <w:bookmarkStart w:id="7" w:name="bkmrkSignature" w:colFirst="0" w:colLast="0"/>
          </w:p>
        </w:tc>
        <w:tc>
          <w:tcPr>
            <w:tcW w:w="4320" w:type="dxa"/>
            <w:tcBorders>
              <w:bottom w:val="single" w:sz="4" w:space="0" w:color="auto"/>
            </w:tcBorders>
            <w:shd w:val="clear" w:color="auto" w:fill="auto"/>
          </w:tcPr>
          <w:p w:rsidR="00E04B36" w:rsidRDefault="007774CC" w:rsidP="009C1C70">
            <w:pPr>
              <w:pStyle w:val="OrderBody"/>
              <w:keepNext/>
              <w:keepLines/>
            </w:pPr>
            <w:r>
              <w:t>/s/ Carlotta S. Stauffer</w:t>
            </w:r>
            <w:bookmarkStart w:id="8" w:name="_GoBack"/>
            <w:bookmarkEnd w:id="8"/>
          </w:p>
        </w:tc>
      </w:tr>
      <w:bookmarkEnd w:id="7"/>
      <w:tr w:rsidR="00E04B36" w:rsidTr="009C1C70">
        <w:tc>
          <w:tcPr>
            <w:tcW w:w="720" w:type="dxa"/>
            <w:shd w:val="clear" w:color="auto" w:fill="auto"/>
          </w:tcPr>
          <w:p w:rsidR="00E04B36" w:rsidRDefault="00E04B36" w:rsidP="009C1C70">
            <w:pPr>
              <w:pStyle w:val="OrderBody"/>
              <w:keepNext/>
              <w:keepLines/>
            </w:pPr>
          </w:p>
        </w:tc>
        <w:tc>
          <w:tcPr>
            <w:tcW w:w="4320" w:type="dxa"/>
            <w:tcBorders>
              <w:top w:val="single" w:sz="4" w:space="0" w:color="auto"/>
            </w:tcBorders>
            <w:shd w:val="clear" w:color="auto" w:fill="auto"/>
          </w:tcPr>
          <w:p w:rsidR="00E04B36" w:rsidRDefault="00E04B36" w:rsidP="009C1C70">
            <w:pPr>
              <w:pStyle w:val="OrderBody"/>
              <w:keepNext/>
              <w:keepLines/>
            </w:pPr>
            <w:r>
              <w:t>CARLOTTA S. STAUFFER</w:t>
            </w:r>
          </w:p>
          <w:p w:rsidR="00E04B36" w:rsidRDefault="00E04B36" w:rsidP="009C1C70">
            <w:pPr>
              <w:pStyle w:val="OrderBody"/>
              <w:keepNext/>
              <w:keepLines/>
            </w:pPr>
            <w:r>
              <w:t>Commission Clerk</w:t>
            </w:r>
          </w:p>
        </w:tc>
      </w:tr>
    </w:tbl>
    <w:p w:rsidR="00E04B36" w:rsidRDefault="00E04B36" w:rsidP="00E04B36">
      <w:pPr>
        <w:pStyle w:val="OrderSigInfo"/>
        <w:keepNext/>
        <w:keepLines/>
      </w:pPr>
      <w:r>
        <w:t>Florida Public Service Commission</w:t>
      </w:r>
    </w:p>
    <w:p w:rsidR="00E04B36" w:rsidRDefault="00E04B36" w:rsidP="00E04B36">
      <w:pPr>
        <w:pStyle w:val="OrderSigInfo"/>
        <w:keepNext/>
        <w:keepLines/>
      </w:pPr>
      <w:r>
        <w:t>2540 Shumard Oak Boulevard</w:t>
      </w:r>
    </w:p>
    <w:p w:rsidR="00E04B36" w:rsidRDefault="00E04B36" w:rsidP="00E04B36">
      <w:pPr>
        <w:pStyle w:val="OrderSigInfo"/>
        <w:keepNext/>
        <w:keepLines/>
      </w:pPr>
      <w:r>
        <w:t>Tallahassee, Florida 32399</w:t>
      </w:r>
    </w:p>
    <w:p w:rsidR="00E04B36" w:rsidRDefault="00E04B36" w:rsidP="00E04B36">
      <w:pPr>
        <w:pStyle w:val="OrderSigInfo"/>
        <w:keepNext/>
        <w:keepLines/>
      </w:pPr>
      <w:r>
        <w:t>(850) 413</w:t>
      </w:r>
      <w:r>
        <w:noBreakHyphen/>
        <w:t>6770</w:t>
      </w:r>
    </w:p>
    <w:p w:rsidR="00E04B36" w:rsidRDefault="00E04B36" w:rsidP="00E04B36">
      <w:pPr>
        <w:pStyle w:val="OrderSigInfo"/>
        <w:keepNext/>
        <w:keepLines/>
      </w:pPr>
      <w:r>
        <w:t>www.floridapsc.com</w:t>
      </w:r>
    </w:p>
    <w:p w:rsidR="00E04B36" w:rsidRDefault="00E04B36" w:rsidP="00E04B36">
      <w:pPr>
        <w:pStyle w:val="OrderSigInfo"/>
        <w:keepNext/>
        <w:keepLines/>
      </w:pPr>
    </w:p>
    <w:p w:rsidR="00E04B36" w:rsidRDefault="00E04B36" w:rsidP="00E04B36">
      <w:pPr>
        <w:pStyle w:val="OrderSigInfo"/>
        <w:keepNext/>
        <w:keepLines/>
      </w:pPr>
      <w:r>
        <w:t>Copies furnished:  A copy of this document is provided to the parties of record at the time of issuance and, if applicable, interested persons.</w:t>
      </w:r>
    </w:p>
    <w:p w:rsidR="00E04B36" w:rsidRDefault="00E04B36" w:rsidP="00E04B36">
      <w:pPr>
        <w:pStyle w:val="OrderBody"/>
        <w:keepNext/>
        <w:keepLines/>
      </w:pPr>
    </w:p>
    <w:p w:rsidR="00E04B36" w:rsidRDefault="00E04B36" w:rsidP="00E04B36">
      <w:pPr>
        <w:pStyle w:val="OrderBody"/>
        <w:keepNext/>
        <w:keepLines/>
      </w:pPr>
    </w:p>
    <w:p w:rsidR="00E04B36" w:rsidRDefault="00E04B36" w:rsidP="00E04B36">
      <w:pPr>
        <w:pStyle w:val="OrderBody"/>
        <w:keepNext/>
        <w:keepLines/>
      </w:pPr>
      <w:r>
        <w:t>WLT</w:t>
      </w:r>
    </w:p>
    <w:p w:rsidR="00E04B36" w:rsidRDefault="00E04B36" w:rsidP="00E04B36">
      <w:pPr>
        <w:pStyle w:val="CenterUnderline"/>
      </w:pPr>
    </w:p>
    <w:p w:rsidR="00E04B36" w:rsidRDefault="00E04B36" w:rsidP="002D5E9E">
      <w:pPr>
        <w:pStyle w:val="CenterUnderline"/>
        <w:tabs>
          <w:tab w:val="left" w:pos="8235"/>
        </w:tabs>
        <w:spacing w:before="240" w:after="240"/>
      </w:pPr>
      <w:r>
        <w:t>NOTICE OF FURTHER PROCEEDINGS OR JUDICIAL REVIEW</w:t>
      </w:r>
    </w:p>
    <w:p w:rsidR="00E04B36" w:rsidRDefault="00E04B36" w:rsidP="002D5E9E">
      <w:pPr>
        <w:pStyle w:val="OrderBody"/>
        <w:spacing w:before="240" w:after="240"/>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04B36" w:rsidRDefault="00E04B36" w:rsidP="002D5E9E">
      <w:pPr>
        <w:pStyle w:val="OrderBody"/>
        <w:spacing w:before="240" w:after="240"/>
      </w:pPr>
      <w:r>
        <w:tab/>
        <w:t>Mediation may be available on a case-by-case basis. If mediation is conducted, it does not affect a substantially interested person's right to a hearing.</w:t>
      </w:r>
    </w:p>
    <w:p w:rsidR="00B41039" w:rsidRDefault="00E04B36" w:rsidP="002D5E9E">
      <w:pPr>
        <w:pStyle w:val="OrderBody"/>
        <w:spacing w:before="240" w:after="240"/>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36" w:rsidRDefault="00E04B36">
      <w:r>
        <w:separator/>
      </w:r>
    </w:p>
  </w:endnote>
  <w:endnote w:type="continuationSeparator" w:id="0">
    <w:p w:rsidR="00E04B36" w:rsidRDefault="00E0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36" w:rsidRDefault="00E04B36">
      <w:r>
        <w:separator/>
      </w:r>
    </w:p>
  </w:footnote>
  <w:footnote w:type="continuationSeparator" w:id="0">
    <w:p w:rsidR="00E04B36" w:rsidRDefault="00E0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5 ">
      <w:r w:rsidR="007774CC">
        <w:t>PSC-2018-0335-PCO-GU</w:t>
      </w:r>
    </w:fldSimple>
  </w:p>
  <w:p w:rsidR="00FA6EFD" w:rsidRDefault="00E04B36">
    <w:pPr>
      <w:pStyle w:val="OrderHeader"/>
    </w:pPr>
    <w:bookmarkStart w:id="9" w:name="HeaderDocketNo"/>
    <w:bookmarkEnd w:id="9"/>
    <w:r>
      <w:t>DOCKET NO. 20180055-GU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74CC">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5-GU"/>
  </w:docVars>
  <w:rsids>
    <w:rsidRoot w:val="00E04B3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3C1"/>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7DDF"/>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5E9E"/>
    <w:rsid w:val="002D7D15"/>
    <w:rsid w:val="002E1B2E"/>
    <w:rsid w:val="002E27EB"/>
    <w:rsid w:val="002F2A9D"/>
    <w:rsid w:val="002F2C15"/>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547F"/>
    <w:rsid w:val="003D4CCA"/>
    <w:rsid w:val="003D52A6"/>
    <w:rsid w:val="003D6416"/>
    <w:rsid w:val="003E1D48"/>
    <w:rsid w:val="003F1D2B"/>
    <w:rsid w:val="00411DF2"/>
    <w:rsid w:val="00411E8F"/>
    <w:rsid w:val="0042527B"/>
    <w:rsid w:val="00452B2B"/>
    <w:rsid w:val="0045537F"/>
    <w:rsid w:val="00457DC7"/>
    <w:rsid w:val="004704D0"/>
    <w:rsid w:val="00472BCC"/>
    <w:rsid w:val="004A25CD"/>
    <w:rsid w:val="004A26CC"/>
    <w:rsid w:val="004B2108"/>
    <w:rsid w:val="004B3A2B"/>
    <w:rsid w:val="004B70D3"/>
    <w:rsid w:val="004C312D"/>
    <w:rsid w:val="004D2D1B"/>
    <w:rsid w:val="004D5067"/>
    <w:rsid w:val="004D6838"/>
    <w:rsid w:val="004D72BC"/>
    <w:rsid w:val="004E469D"/>
    <w:rsid w:val="004F2DDE"/>
    <w:rsid w:val="004F5CDD"/>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5C4A"/>
    <w:rsid w:val="005B63EA"/>
    <w:rsid w:val="005C1A88"/>
    <w:rsid w:val="005C5033"/>
    <w:rsid w:val="005D3F9B"/>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6568"/>
    <w:rsid w:val="006B0DA6"/>
    <w:rsid w:val="006C547E"/>
    <w:rsid w:val="006D2B51"/>
    <w:rsid w:val="006D5575"/>
    <w:rsid w:val="006E42BE"/>
    <w:rsid w:val="006E69FF"/>
    <w:rsid w:val="00704C5D"/>
    <w:rsid w:val="007072BC"/>
    <w:rsid w:val="00715275"/>
    <w:rsid w:val="00721B44"/>
    <w:rsid w:val="007232A2"/>
    <w:rsid w:val="00726366"/>
    <w:rsid w:val="00733B6B"/>
    <w:rsid w:val="00740808"/>
    <w:rsid w:val="00745DCE"/>
    <w:rsid w:val="007467C4"/>
    <w:rsid w:val="0076170F"/>
    <w:rsid w:val="0076669C"/>
    <w:rsid w:val="00766E46"/>
    <w:rsid w:val="007774CC"/>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1CB1"/>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46B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27A0"/>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731B"/>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4B36"/>
    <w:rsid w:val="00E07484"/>
    <w:rsid w:val="00E11351"/>
    <w:rsid w:val="00E4225C"/>
    <w:rsid w:val="00E44879"/>
    <w:rsid w:val="00E72914"/>
    <w:rsid w:val="00E75AE0"/>
    <w:rsid w:val="00E83C1F"/>
    <w:rsid w:val="00EA172C"/>
    <w:rsid w:val="00EA259B"/>
    <w:rsid w:val="00EA35A3"/>
    <w:rsid w:val="00EA3B60"/>
    <w:rsid w:val="00EA3E6A"/>
    <w:rsid w:val="00EB18EF"/>
    <w:rsid w:val="00EB7951"/>
    <w:rsid w:val="00EC0D08"/>
    <w:rsid w:val="00ED6A79"/>
    <w:rsid w:val="00EE17DF"/>
    <w:rsid w:val="00EF4621"/>
    <w:rsid w:val="00EF4D52"/>
    <w:rsid w:val="00EF6312"/>
    <w:rsid w:val="00F038B0"/>
    <w:rsid w:val="00F22B27"/>
    <w:rsid w:val="00F234A7"/>
    <w:rsid w:val="00F277B6"/>
    <w:rsid w:val="00F27DA5"/>
    <w:rsid w:val="00F37E07"/>
    <w:rsid w:val="00F4182A"/>
    <w:rsid w:val="00F41A71"/>
    <w:rsid w:val="00F54380"/>
    <w:rsid w:val="00F54B47"/>
    <w:rsid w:val="00F61247"/>
    <w:rsid w:val="00F6702E"/>
    <w:rsid w:val="00F70E84"/>
    <w:rsid w:val="00F90068"/>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04B36"/>
    <w:pPr>
      <w:jc w:val="center"/>
    </w:pPr>
    <w:rPr>
      <w:rFonts w:ascii="Arial" w:hAnsi="Arial"/>
      <w:b/>
    </w:rPr>
  </w:style>
  <w:style w:type="paragraph" w:styleId="NoSpacing">
    <w:name w:val="No Spacing"/>
    <w:uiPriority w:val="1"/>
    <w:qFormat/>
    <w:rsid w:val="00E04B36"/>
    <w:rPr>
      <w:sz w:val="24"/>
      <w:szCs w:val="24"/>
    </w:rPr>
  </w:style>
  <w:style w:type="character" w:styleId="Strong">
    <w:name w:val="Strong"/>
    <w:qFormat/>
    <w:rsid w:val="00E04B36"/>
    <w:rPr>
      <w:b/>
      <w:bCs/>
    </w:rPr>
  </w:style>
  <w:style w:type="paragraph" w:styleId="BalloonText">
    <w:name w:val="Balloon Text"/>
    <w:basedOn w:val="Normal"/>
    <w:link w:val="BalloonTextChar"/>
    <w:rsid w:val="00745DCE"/>
    <w:rPr>
      <w:rFonts w:ascii="Tahoma" w:hAnsi="Tahoma" w:cs="Tahoma"/>
      <w:sz w:val="16"/>
      <w:szCs w:val="16"/>
    </w:rPr>
  </w:style>
  <w:style w:type="character" w:customStyle="1" w:styleId="BalloonTextChar">
    <w:name w:val="Balloon Text Char"/>
    <w:basedOn w:val="DefaultParagraphFont"/>
    <w:link w:val="BalloonText"/>
    <w:rsid w:val="0074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04B36"/>
    <w:pPr>
      <w:jc w:val="center"/>
    </w:pPr>
    <w:rPr>
      <w:rFonts w:ascii="Arial" w:hAnsi="Arial"/>
      <w:b/>
    </w:rPr>
  </w:style>
  <w:style w:type="paragraph" w:styleId="NoSpacing">
    <w:name w:val="No Spacing"/>
    <w:uiPriority w:val="1"/>
    <w:qFormat/>
    <w:rsid w:val="00E04B36"/>
    <w:rPr>
      <w:sz w:val="24"/>
      <w:szCs w:val="24"/>
    </w:rPr>
  </w:style>
  <w:style w:type="character" w:styleId="Strong">
    <w:name w:val="Strong"/>
    <w:qFormat/>
    <w:rsid w:val="00E04B36"/>
    <w:rPr>
      <w:b/>
      <w:bCs/>
    </w:rPr>
  </w:style>
  <w:style w:type="paragraph" w:styleId="BalloonText">
    <w:name w:val="Balloon Text"/>
    <w:basedOn w:val="Normal"/>
    <w:link w:val="BalloonTextChar"/>
    <w:rsid w:val="00745DCE"/>
    <w:rPr>
      <w:rFonts w:ascii="Tahoma" w:hAnsi="Tahoma" w:cs="Tahoma"/>
      <w:sz w:val="16"/>
      <w:szCs w:val="16"/>
    </w:rPr>
  </w:style>
  <w:style w:type="character" w:customStyle="1" w:styleId="BalloonTextChar">
    <w:name w:val="Balloon Text Char"/>
    <w:basedOn w:val="DefaultParagraphFont"/>
    <w:link w:val="BalloonText"/>
    <w:rsid w:val="0074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3126</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2018-06-28T14:42:00Z</dcterms:created>
  <dcterms:modified xsi:type="dcterms:W3CDTF">2018-06-28T14:55:00Z</dcterms:modified>
</cp:coreProperties>
</file>