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8572A">
            <w:pPr>
              <w:jc w:val="center"/>
            </w:pPr>
            <w:r>
              <w:rPr>
                <w:noProof/>
              </w:rPr>
              <w:drawing>
                <wp:inline distT="0" distB="0" distL="0" distR="0">
                  <wp:extent cx="92075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40505">
            <w:pPr>
              <w:pStyle w:val="MemoHeading"/>
            </w:pPr>
            <w:r>
              <w:t>September 28, 2018</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259AF" w:rsidRDefault="001259AF">
            <w:pPr>
              <w:pStyle w:val="MemoHeading"/>
            </w:pPr>
            <w:bookmarkStart w:id="1" w:name="From"/>
            <w:r>
              <w:t>Division of Engineering (M. Watts, O. Wooten)</w:t>
            </w:r>
          </w:p>
          <w:p w:rsidR="0093108A" w:rsidRPr="0093108A" w:rsidRDefault="0093108A" w:rsidP="0093108A">
            <w:r>
              <w:t>Division of Accounting and Finance (Sewards)</w:t>
            </w:r>
          </w:p>
          <w:p w:rsidR="001259AF" w:rsidRDefault="001259AF">
            <w:pPr>
              <w:pStyle w:val="MemoHeading"/>
            </w:pPr>
            <w:r>
              <w:t>Division of Economics (Sibley)</w:t>
            </w:r>
          </w:p>
          <w:p w:rsidR="007C0528" w:rsidRDefault="001259AF">
            <w:pPr>
              <w:pStyle w:val="MemoHeading"/>
            </w:pPr>
            <w:r>
              <w:t>Office of the General Counsel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259AF">
            <w:pPr>
              <w:pStyle w:val="MemoHeadingRe"/>
            </w:pPr>
            <w:bookmarkStart w:id="2" w:name="Re"/>
            <w:r>
              <w:t>Docket No. 20170151-WS – Application for authority to transfer water and wastewater Certificate Nos. 577-W and 498-S in Manatee County, from Heather Hills Estates Utilities, LLC to Heather Hills Utilities, LLC.</w:t>
            </w:r>
            <w:bookmarkEnd w:id="2"/>
          </w:p>
        </w:tc>
      </w:tr>
      <w:tr w:rsidR="007C0528" w:rsidTr="00B40505">
        <w:trPr>
          <w:trHeight w:val="64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40505" w:rsidP="001259AF">
            <w:pPr>
              <w:pStyle w:val="MemoHeading"/>
            </w:pPr>
            <w:bookmarkStart w:id="3" w:name="AgendaDate"/>
            <w:r>
              <w:t>10/11</w:t>
            </w:r>
            <w:r w:rsidR="001259AF">
              <w:t>/18</w:t>
            </w:r>
            <w:bookmarkEnd w:id="3"/>
            <w:r w:rsidR="007C0528">
              <w:t xml:space="preserve"> – </w:t>
            </w:r>
            <w:bookmarkStart w:id="4" w:name="PermittedStatus"/>
            <w:r w:rsidR="001259AF">
              <w:t>Regular Agenda – Proposed Agency Action</w:t>
            </w:r>
            <w:r w:rsidR="004D13F1" w:rsidRPr="004D13F1">
              <w:t xml:space="preserve"> for Issues 2 and 3</w:t>
            </w:r>
            <w:r w:rsidR="001259AF">
              <w:t xml:space="preserve">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259A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259AF">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259AF">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259A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511F3" w:rsidRPr="00DF0320" w:rsidRDefault="007511F3" w:rsidP="007511F3">
      <w:pPr>
        <w:pStyle w:val="BodyText"/>
      </w:pPr>
      <w:r w:rsidRPr="007511F3">
        <w:t xml:space="preserve">On </w:t>
      </w:r>
      <w:r w:rsidR="00B71096">
        <w:t>July</w:t>
      </w:r>
      <w:r w:rsidRPr="007511F3">
        <w:t xml:space="preserve"> </w:t>
      </w:r>
      <w:r w:rsidR="00B71096">
        <w:t>5</w:t>
      </w:r>
      <w:r w:rsidRPr="007511F3">
        <w:t>, 2017, an application was filed on behalf of Heather Hills Estates Utilities, LLC (HHEU or Seller) for the transfer of Certificate Nos. 577-W and 498-S to Heather Hills Utilities, LLC (Heather Hills, Utility, or Buyer). Heather Hills is a Class C utility which purchases water and wastewater treatment services from Manatee County</w:t>
      </w:r>
      <w:r w:rsidR="00DF0320">
        <w:t>.</w:t>
      </w:r>
      <w:r w:rsidRPr="007511F3">
        <w:t xml:space="preserve"> It is located in an area of Manatee County which is considered by the Southwest Florida Water Management District to be in one of the Southern Water Use Caution Area’s most impacted areas</w:t>
      </w:r>
      <w:r w:rsidR="00DF0320">
        <w:t>.</w:t>
      </w:r>
      <w:r w:rsidRPr="00DF0320">
        <w:t xml:space="preserve"> In its 20</w:t>
      </w:r>
      <w:r w:rsidR="00B3602F" w:rsidRPr="00DF0320">
        <w:t>17</w:t>
      </w:r>
      <w:r w:rsidRPr="00DF0320">
        <w:t xml:space="preserve"> Annual Report on file with the Commission, the Utility reported annual gross revenues of $1</w:t>
      </w:r>
      <w:r w:rsidR="00DF0320" w:rsidRPr="00DF0320">
        <w:t>57</w:t>
      </w:r>
      <w:r w:rsidRPr="00DF0320">
        <w:t>,</w:t>
      </w:r>
      <w:r w:rsidR="00DF0320" w:rsidRPr="00DF0320">
        <w:t>765</w:t>
      </w:r>
      <w:r w:rsidRPr="00DF0320">
        <w:t xml:space="preserve"> </w:t>
      </w:r>
      <w:r w:rsidR="00344788">
        <w:t>and</w:t>
      </w:r>
      <w:r w:rsidRPr="00DF0320">
        <w:t xml:space="preserve"> a net operating loss of ($</w:t>
      </w:r>
      <w:r w:rsidR="00DF0320" w:rsidRPr="00DF0320">
        <w:t>8</w:t>
      </w:r>
      <w:r w:rsidRPr="00DF0320">
        <w:t>,</w:t>
      </w:r>
      <w:r w:rsidR="00DF0320" w:rsidRPr="00DF0320">
        <w:t>391</w:t>
      </w:r>
      <w:r w:rsidRPr="00DF0320">
        <w:t>).</w:t>
      </w:r>
    </w:p>
    <w:p w:rsidR="007511F3" w:rsidRPr="00DF0320" w:rsidRDefault="007511F3" w:rsidP="007511F3">
      <w:pPr>
        <w:pStyle w:val="BodyText"/>
      </w:pPr>
    </w:p>
    <w:p w:rsidR="007511F3" w:rsidRPr="00DF0320" w:rsidRDefault="00DF0320" w:rsidP="007511F3">
      <w:pPr>
        <w:pStyle w:val="BodyText"/>
      </w:pPr>
      <w:r>
        <w:t xml:space="preserve">Prior to the Commission’s jurisdiction over privately-owned water and wastewater utilities in Manatee County, Florida, </w:t>
      </w:r>
      <w:r w:rsidR="008C24C7">
        <w:t>the</w:t>
      </w:r>
      <w:r w:rsidR="00E374AA">
        <w:t xml:space="preserve"> U</w:t>
      </w:r>
      <w:r>
        <w:t>tility</w:t>
      </w:r>
      <w:r w:rsidR="007511F3" w:rsidRPr="00DF0320">
        <w:t xml:space="preserve"> was established in 1967 to serve water and wastewater customers within the Heather Hills Estates </w:t>
      </w:r>
      <w:r w:rsidR="000A2113">
        <w:t xml:space="preserve">(HHE) </w:t>
      </w:r>
      <w:r w:rsidR="007511F3" w:rsidRPr="00DF0320">
        <w:t xml:space="preserve">community in </w:t>
      </w:r>
      <w:r>
        <w:t>Bradenton</w:t>
      </w:r>
      <w:r w:rsidR="007511F3" w:rsidRPr="00DF0320">
        <w:t>, Florida</w:t>
      </w:r>
      <w:r w:rsidR="009F543B">
        <w:t xml:space="preserve">. </w:t>
      </w:r>
      <w:r>
        <w:t>It</w:t>
      </w:r>
      <w:r w:rsidR="007511F3" w:rsidRPr="00DF0320">
        <w:t xml:space="preserve"> serve</w:t>
      </w:r>
      <w:r>
        <w:t>d</w:t>
      </w:r>
      <w:r w:rsidR="007511F3" w:rsidRPr="00DF0320">
        <w:t xml:space="preserve"> 353 single family residential customers, as well as a park clubhouse</w:t>
      </w:r>
      <w:r w:rsidR="009C620E">
        <w:t xml:space="preserve"> and a golf course clubhouse/restaurant</w:t>
      </w:r>
      <w:r>
        <w:t>.</w:t>
      </w:r>
    </w:p>
    <w:p w:rsidR="007511F3" w:rsidRPr="00DF0320" w:rsidRDefault="00DF0320" w:rsidP="007511F3">
      <w:pPr>
        <w:pStyle w:val="BodyText"/>
      </w:pPr>
      <w:r>
        <w:t>I</w:t>
      </w:r>
      <w:r w:rsidRPr="00DF0320">
        <w:t xml:space="preserve">n 1995, </w:t>
      </w:r>
      <w:r w:rsidR="007511F3" w:rsidRPr="00DF0320">
        <w:t>Manatee County declar</w:t>
      </w:r>
      <w:r>
        <w:t>ed</w:t>
      </w:r>
      <w:r w:rsidR="007511F3" w:rsidRPr="00DF0320">
        <w:t xml:space="preserve"> the privately</w:t>
      </w:r>
      <w:r w:rsidR="008C24C7">
        <w:t>-</w:t>
      </w:r>
      <w:r w:rsidR="007511F3" w:rsidRPr="00DF0320">
        <w:t>owned water and wastewater utilities in Manatee County subject to the provisions of Chapter 367, Florida Statutes (F.S.)</w:t>
      </w:r>
      <w:r>
        <w:t>.</w:t>
      </w:r>
      <w:r w:rsidR="008C24C7" w:rsidRPr="00DF0320">
        <w:rPr>
          <w:vertAlign w:val="superscript"/>
        </w:rPr>
        <w:footnoteReference w:id="1"/>
      </w:r>
      <w:r w:rsidR="007511F3" w:rsidRPr="00DF0320">
        <w:t xml:space="preserve"> Certificate Nos. 577-W and 498-S were granted to </w:t>
      </w:r>
      <w:r w:rsidR="004B6C4D" w:rsidRPr="004B6C4D">
        <w:t>Keith &amp; Clara Starkey d/b/a Heather Hills Estates</w:t>
      </w:r>
      <w:r w:rsidR="007511F3" w:rsidRPr="00DF0320">
        <w:t xml:space="preserve"> in 1996 by Commission order.</w:t>
      </w:r>
      <w:r w:rsidR="007511F3" w:rsidRPr="00DF0320">
        <w:rPr>
          <w:vertAlign w:val="superscript"/>
        </w:rPr>
        <w:footnoteReference w:id="2"/>
      </w:r>
      <w:r w:rsidR="007511F3" w:rsidRPr="00DF0320">
        <w:t xml:space="preserve"> </w:t>
      </w:r>
      <w:r>
        <w:t xml:space="preserve">In 2008, </w:t>
      </w:r>
      <w:r w:rsidRPr="00DF0320">
        <w:t xml:space="preserve">Docket No. 080428-WS, </w:t>
      </w:r>
      <w:r w:rsidR="00732B85">
        <w:rPr>
          <w:i/>
        </w:rPr>
        <w:t>In re:</w:t>
      </w:r>
      <w:r w:rsidRPr="00DF0320">
        <w:rPr>
          <w:i/>
        </w:rPr>
        <w:t xml:space="preserve"> Joint application for transfer of water and wastewater systems from Keith &amp; Clara Starkey d/b/a Heather Hills Estates to Ni Florida, Inc., in Manatee County</w:t>
      </w:r>
      <w:r w:rsidRPr="00DF0320">
        <w:t>, was withdrawn by request of the joint applicants on October 13, 2008, and the Docket</w:t>
      </w:r>
      <w:r w:rsidR="004B6C4D">
        <w:t xml:space="preserve"> was</w:t>
      </w:r>
      <w:r w:rsidRPr="00DF0320">
        <w:t xml:space="preserve"> voluntarily dismissed by the Commission on October 14, 2008.</w:t>
      </w:r>
      <w:r>
        <w:t xml:space="preserve"> </w:t>
      </w:r>
      <w:r w:rsidR="009C620E">
        <w:t xml:space="preserve">In 2009, </w:t>
      </w:r>
      <w:r w:rsidR="009C620E" w:rsidRPr="00DF0320">
        <w:t>Certificate Nos. 577-W and 498-S were</w:t>
      </w:r>
      <w:r w:rsidR="009C620E">
        <w:t xml:space="preserve"> transferred to HHEU</w:t>
      </w:r>
      <w:r w:rsidR="007511F3" w:rsidRPr="00DF0320">
        <w:t>.</w:t>
      </w:r>
      <w:r w:rsidR="007511F3" w:rsidRPr="00DF0320">
        <w:rPr>
          <w:vertAlign w:val="superscript"/>
        </w:rPr>
        <w:footnoteReference w:id="3"/>
      </w:r>
      <w:r w:rsidR="007511F3" w:rsidRPr="00DF0320">
        <w:t xml:space="preserve"> </w:t>
      </w:r>
    </w:p>
    <w:p w:rsidR="00F93FEF" w:rsidRPr="0076007C" w:rsidRDefault="00344788" w:rsidP="004C1B66">
      <w:pPr>
        <w:autoSpaceDE w:val="0"/>
        <w:autoSpaceDN w:val="0"/>
        <w:adjustRightInd w:val="0"/>
        <w:jc w:val="both"/>
      </w:pPr>
      <w:r>
        <w:t xml:space="preserve">As part of this transfer case, a concern was raised regarding the territory description. </w:t>
      </w:r>
      <w:r w:rsidR="007F2D28">
        <w:t>In a</w:t>
      </w:r>
      <w:r w:rsidR="005C4A4A">
        <w:t xml:space="preserve"> November 18, 2017</w:t>
      </w:r>
      <w:r w:rsidR="007F2D28">
        <w:t xml:space="preserve"> </w:t>
      </w:r>
      <w:r w:rsidR="005C4A4A">
        <w:t>email</w:t>
      </w:r>
      <w:r w:rsidR="009149E8">
        <w:rPr>
          <w:rStyle w:val="FootnoteReference"/>
        </w:rPr>
        <w:footnoteReference w:id="4"/>
      </w:r>
      <w:r w:rsidR="005C4A4A">
        <w:t xml:space="preserve"> addressed to the Commission’s consumer contact address and to the Office of Public Counsel (OPC), a</w:t>
      </w:r>
      <w:r w:rsidR="004B6C4D">
        <w:t>n</w:t>
      </w:r>
      <w:r w:rsidR="005C4A4A">
        <w:t xml:space="preserve"> </w:t>
      </w:r>
      <w:r w:rsidR="004B6C4D">
        <w:t>HHE</w:t>
      </w:r>
      <w:r w:rsidR="005C4A4A">
        <w:t xml:space="preserve"> homeowners association (HOA) representative</w:t>
      </w:r>
      <w:r w:rsidR="007F2D28">
        <w:t xml:space="preserve"> </w:t>
      </w:r>
      <w:r w:rsidR="005C4A4A">
        <w:t xml:space="preserve">stated that </w:t>
      </w:r>
      <w:r w:rsidR="007F2D28">
        <w:t>the territory description</w:t>
      </w:r>
      <w:r w:rsidR="005C4A4A">
        <w:t xml:space="preserve"> provided in the notice included</w:t>
      </w:r>
      <w:r w:rsidR="007F2D28">
        <w:t xml:space="preserve"> </w:t>
      </w:r>
      <w:r w:rsidR="005C4A4A">
        <w:t>a</w:t>
      </w:r>
      <w:r w:rsidR="007F2D28">
        <w:t xml:space="preserve"> golf course clubhouse/restaurant, which is located in Section 12, Township 35 South, </w:t>
      </w:r>
      <w:proofErr w:type="gramStart"/>
      <w:r w:rsidR="007F2D28">
        <w:t>Range</w:t>
      </w:r>
      <w:proofErr w:type="gramEnd"/>
      <w:r w:rsidR="007F2D28">
        <w:t xml:space="preserve"> 17 East in Manatee County, Florida</w:t>
      </w:r>
      <w:r w:rsidR="005C4A4A">
        <w:t>.</w:t>
      </w:r>
      <w:r w:rsidR="007F2D28">
        <w:t xml:space="preserve"> </w:t>
      </w:r>
      <w:r w:rsidR="005C4A4A">
        <w:t xml:space="preserve">The HOA representative stated this establishment </w:t>
      </w:r>
      <w:r w:rsidR="007F2D28">
        <w:t xml:space="preserve">is not </w:t>
      </w:r>
      <w:r w:rsidR="00330F48">
        <w:t xml:space="preserve">currently </w:t>
      </w:r>
      <w:r w:rsidR="007F2D28">
        <w:t xml:space="preserve">served by the Utility. </w:t>
      </w:r>
      <w:r w:rsidR="004B6C4D">
        <w:t>HHE</w:t>
      </w:r>
      <w:r w:rsidR="007F2D28">
        <w:t xml:space="preserve">, which is served by the Utility, is located entirely within </w:t>
      </w:r>
      <w:r w:rsidR="004B6C4D">
        <w:t xml:space="preserve">the adjacent section, </w:t>
      </w:r>
      <w:r w:rsidR="007F2D28">
        <w:t xml:space="preserve">Section 11. Staff investigated the matter, and </w:t>
      </w:r>
      <w:r w:rsidR="001165B3">
        <w:t>addresses it</w:t>
      </w:r>
      <w:r w:rsidR="007F2D28">
        <w:t xml:space="preserve"> in Issue 4.</w:t>
      </w:r>
    </w:p>
    <w:p w:rsidR="0076007C" w:rsidRPr="0076007C" w:rsidRDefault="0076007C" w:rsidP="004C1B66">
      <w:pPr>
        <w:autoSpaceDE w:val="0"/>
        <w:autoSpaceDN w:val="0"/>
        <w:adjustRightInd w:val="0"/>
        <w:jc w:val="both"/>
      </w:pPr>
    </w:p>
    <w:p w:rsidR="0068481F" w:rsidRPr="002B5ECA" w:rsidRDefault="007511F3" w:rsidP="007511F3">
      <w:pPr>
        <w:pStyle w:val="BodyText"/>
      </w:pPr>
      <w:r w:rsidRPr="002B5ECA">
        <w:t>This recommendation concerns the application to transfer filed pursuant to Section 367.071,</w:t>
      </w:r>
      <w:r w:rsidR="000D1D6F">
        <w:t xml:space="preserve"> </w:t>
      </w:r>
      <w:r w:rsidRPr="002B5ECA">
        <w:t xml:space="preserve">F.S., and Rule 25-30.037, </w:t>
      </w:r>
      <w:r w:rsidR="000D1D6F">
        <w:t>Florida Administrative Code (</w:t>
      </w:r>
      <w:r w:rsidR="007F2D28" w:rsidRPr="002B5ECA">
        <w:t>F.A.C.</w:t>
      </w:r>
      <w:r w:rsidR="000D1D6F">
        <w:t>)</w:t>
      </w:r>
      <w:r w:rsidR="002B5ECA" w:rsidRPr="002B5ECA">
        <w:t>, and correction of the Utility’s service territory.</w:t>
      </w:r>
      <w:r w:rsidRPr="002B5ECA">
        <w:t xml:space="preserve"> The Commission has jurisdiction to consider this matter pursuant to Section</w:t>
      </w:r>
      <w:r w:rsidR="001165B3">
        <w:t>s</w:t>
      </w:r>
      <w:r w:rsidRPr="002B5ECA">
        <w:t xml:space="preserve"> 367.071</w:t>
      </w:r>
      <w:r w:rsidR="001165B3">
        <w:t xml:space="preserve"> and 367.045</w:t>
      </w:r>
      <w:r w:rsidRPr="002B5ECA">
        <w:t>, F.S</w:t>
      </w:r>
      <w:r w:rsidR="004D13F1" w:rsidRPr="002B5ECA">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259AF" w:rsidRDefault="001259AF">
      <w:pPr>
        <w:pStyle w:val="IssueHeading"/>
        <w:rPr>
          <w:vanish/>
          <w:specVanish/>
        </w:rPr>
      </w:pPr>
      <w:r w:rsidRPr="004C3641">
        <w:t xml:space="preserve">Issue </w:t>
      </w:r>
      <w:r w:rsidR="004441A9">
        <w:fldChar w:fldCharType="begin"/>
      </w:r>
      <w:r w:rsidR="004441A9">
        <w:instrText xml:space="preserve"> SEQ Issue \* MERGEFORMAT </w:instrText>
      </w:r>
      <w:r w:rsidR="004441A9">
        <w:fldChar w:fldCharType="separate"/>
      </w:r>
      <w:r w:rsidR="00E40A76">
        <w:rPr>
          <w:noProof/>
        </w:rPr>
        <w:t>1</w:t>
      </w:r>
      <w:r w:rsidR="004441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A76">
        <w:rPr>
          <w:noProof/>
        </w:rPr>
        <w:instrText>1</w:instrText>
      </w:r>
      <w:r>
        <w:fldChar w:fldCharType="end"/>
      </w:r>
      <w:r>
        <w:tab/>
        <w:instrText xml:space="preserve">" \l 1 </w:instrText>
      </w:r>
      <w:r>
        <w:fldChar w:fldCharType="end"/>
      </w:r>
      <w:r>
        <w:t> </w:t>
      </w:r>
    </w:p>
    <w:p w:rsidR="001259AF" w:rsidRDefault="001259AF">
      <w:pPr>
        <w:pStyle w:val="BodyText"/>
      </w:pPr>
      <w:r>
        <w:t> Should the application for transfer of Certificate Nos. 577-W and 498-S in Manatee County, from Heather Hills Estate Utilities, LLC to Heather Hills Utilities, LLC be approved?</w:t>
      </w:r>
    </w:p>
    <w:p w:rsidR="001259AF" w:rsidRPr="004C3641" w:rsidRDefault="001259AF">
      <w:pPr>
        <w:pStyle w:val="IssueSubsectionHeading"/>
        <w:rPr>
          <w:vanish/>
          <w:specVanish/>
        </w:rPr>
      </w:pPr>
      <w:r w:rsidRPr="004C3641">
        <w:t>Recommendation: </w:t>
      </w:r>
    </w:p>
    <w:p w:rsidR="001259AF" w:rsidRDefault="001259AF">
      <w:pPr>
        <w:pStyle w:val="BodyText"/>
      </w:pPr>
      <w:r>
        <w:t> </w:t>
      </w:r>
      <w:r w:rsidR="004D13F1" w:rsidRPr="004D13F1">
        <w:t xml:space="preserve">Yes. The transfer of the </w:t>
      </w:r>
      <w:r w:rsidR="00D22F13">
        <w:t xml:space="preserve">water and </w:t>
      </w:r>
      <w:r w:rsidR="004D13F1" w:rsidRPr="00D22F13">
        <w:t>wastewater system</w:t>
      </w:r>
      <w:r w:rsidR="00D22F13" w:rsidRPr="00D22F13">
        <w:t>s</w:t>
      </w:r>
      <w:r w:rsidR="004D13F1" w:rsidRPr="00D22F13">
        <w:t xml:space="preserve"> and Certificate No</w:t>
      </w:r>
      <w:r w:rsidR="00D22F13" w:rsidRPr="00D22F13">
        <w:t>s</w:t>
      </w:r>
      <w:r w:rsidR="004D13F1" w:rsidRPr="00D22F13">
        <w:t xml:space="preserve">. </w:t>
      </w:r>
      <w:r w:rsidR="00D22F13" w:rsidRPr="00D22F13">
        <w:t>577-W and 498-S</w:t>
      </w:r>
      <w:r w:rsidR="004D13F1" w:rsidRPr="00D22F13">
        <w:t xml:space="preserve"> is in the public interest and should be approved effective the date of the Commission</w:t>
      </w:r>
      <w:r w:rsidR="008C24C7">
        <w:t>’s</w:t>
      </w:r>
      <w:r w:rsidR="004D13F1" w:rsidRPr="00D22F13">
        <w:t xml:space="preserve"> vote. The resultant order should serve as the Buyer’s certificate and should be retained by the Buyer. The existing rates and charge</w:t>
      </w:r>
      <w:r w:rsidR="004D13F1" w:rsidRPr="004D13F1">
        <w:t>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00D22F13" w:rsidRPr="00D22F13">
        <w:t xml:space="preserve">. The </w:t>
      </w:r>
      <w:r w:rsidR="00643062">
        <w:t>Seller</w:t>
      </w:r>
      <w:r w:rsidR="00D22F13">
        <w:t xml:space="preserve"> paid </w:t>
      </w:r>
      <w:r w:rsidR="004D13F1" w:rsidRPr="00D22F13">
        <w:t>all Regulatory Assessment Fees (RAFs) through December 31, 201</w:t>
      </w:r>
      <w:r w:rsidR="00D22F13" w:rsidRPr="00D22F13">
        <w:t>7</w:t>
      </w:r>
      <w:r w:rsidR="004D13F1" w:rsidRPr="00D22F13">
        <w:t>. The Buyer should be responsible for paying RAFs after December 31, 201</w:t>
      </w:r>
      <w:r w:rsidR="00D22F13" w:rsidRPr="00D22F13">
        <w:t>7</w:t>
      </w:r>
      <w:r w:rsidR="004D13F1" w:rsidRPr="00D22F13">
        <w:t>, and all future years. The Buyer has filed the 201</w:t>
      </w:r>
      <w:r w:rsidR="00D22F13" w:rsidRPr="00D22F13">
        <w:t>7</w:t>
      </w:r>
      <w:r w:rsidR="004D13F1" w:rsidRPr="00D22F13">
        <w:t xml:space="preserve"> Annual Report, and should be responsible for filing all future annual reports.</w:t>
      </w:r>
      <w:r w:rsidR="004D13F1" w:rsidRPr="004D13F1">
        <w:rPr>
          <w:color w:val="FF0000"/>
        </w:rPr>
        <w:t xml:space="preserve"> </w:t>
      </w:r>
      <w:r w:rsidR="004D13F1" w:rsidRPr="002B6306">
        <w:t>(</w:t>
      </w:r>
      <w:r w:rsidR="004B6C4D" w:rsidRPr="004D13F1">
        <w:t>M. Watts</w:t>
      </w:r>
      <w:r w:rsidR="004D13F1" w:rsidRPr="004D13F1">
        <w:t xml:space="preserve">, </w:t>
      </w:r>
      <w:r w:rsidR="004B6C4D" w:rsidRPr="004B6C4D">
        <w:t>Sibley</w:t>
      </w:r>
      <w:r w:rsidR="004D13F1" w:rsidRPr="004D13F1">
        <w:t>,</w:t>
      </w:r>
      <w:r w:rsidR="004D13F1" w:rsidRPr="004D13F1">
        <w:rPr>
          <w:color w:val="FF0000"/>
        </w:rPr>
        <w:t xml:space="preserve"> </w:t>
      </w:r>
      <w:r w:rsidR="002B6306" w:rsidRPr="002B6306">
        <w:t>Sewards</w:t>
      </w:r>
      <w:r w:rsidR="004D13F1" w:rsidRPr="002B6306">
        <w:t>)</w:t>
      </w:r>
      <w:r>
        <w:t xml:space="preserve"> </w:t>
      </w:r>
    </w:p>
    <w:p w:rsidR="001259AF" w:rsidRPr="004C3641" w:rsidRDefault="001259AF">
      <w:pPr>
        <w:pStyle w:val="IssueSubsectionHeading"/>
        <w:rPr>
          <w:vanish/>
          <w:specVanish/>
        </w:rPr>
      </w:pPr>
      <w:r w:rsidRPr="004C3641">
        <w:t>Staff Analysis: </w:t>
      </w:r>
    </w:p>
    <w:p w:rsidR="004D13F1" w:rsidRPr="00FB5575" w:rsidRDefault="001259AF" w:rsidP="004D13F1">
      <w:pPr>
        <w:jc w:val="both"/>
      </w:pPr>
      <w:r>
        <w:t> </w:t>
      </w:r>
      <w:r w:rsidR="004D13F1" w:rsidRPr="002B5ECA">
        <w:t xml:space="preserve">On </w:t>
      </w:r>
      <w:r w:rsidR="00EA3723">
        <w:t>July</w:t>
      </w:r>
      <w:r w:rsidR="004D13F1" w:rsidRPr="002B5ECA">
        <w:t xml:space="preserve"> </w:t>
      </w:r>
      <w:r w:rsidR="00EA3723">
        <w:t>5</w:t>
      </w:r>
      <w:r w:rsidR="004D13F1" w:rsidRPr="002B5ECA">
        <w:t xml:space="preserve">, 2017, </w:t>
      </w:r>
      <w:r w:rsidR="002B5ECA" w:rsidRPr="002B5ECA">
        <w:t>Heather Hills</w:t>
      </w:r>
      <w:r w:rsidR="004D13F1" w:rsidRPr="002B5ECA">
        <w:t xml:space="preserve"> filed an application for the transfer of Certificate No</w:t>
      </w:r>
      <w:r w:rsidR="002B5ECA" w:rsidRPr="002B5ECA">
        <w:t>s</w:t>
      </w:r>
      <w:r w:rsidR="004D13F1" w:rsidRPr="002B5ECA">
        <w:t xml:space="preserve">. </w:t>
      </w:r>
      <w:r w:rsidR="002B5ECA" w:rsidRPr="002B5ECA">
        <w:t>577-W and 498-S</w:t>
      </w:r>
      <w:r w:rsidR="004D13F1" w:rsidRPr="002B5ECA">
        <w:t xml:space="preserve"> from </w:t>
      </w:r>
      <w:r w:rsidR="002B5ECA" w:rsidRPr="002B5ECA">
        <w:t>HHEU</w:t>
      </w:r>
      <w:r w:rsidR="004D13F1" w:rsidRPr="002B5ECA">
        <w:t xml:space="preserve"> to </w:t>
      </w:r>
      <w:r w:rsidR="002B5ECA" w:rsidRPr="002B5ECA">
        <w:t xml:space="preserve">Heather Hills </w:t>
      </w:r>
      <w:r w:rsidR="004D13F1" w:rsidRPr="002B5ECA">
        <w:t xml:space="preserve">in </w:t>
      </w:r>
      <w:r w:rsidR="002B5ECA" w:rsidRPr="002B5ECA">
        <w:t>Manatee</w:t>
      </w:r>
      <w:r w:rsidR="004D13F1" w:rsidRPr="002B5ECA">
        <w:t xml:space="preserve"> County. The application is in compliance with Section 367.071, F.S., and Commission rules concerning applications for transfer of certificates. The sale to </w:t>
      </w:r>
      <w:r w:rsidR="002B5ECA" w:rsidRPr="002B5ECA">
        <w:t>Heather Hills</w:t>
      </w:r>
      <w:r w:rsidR="004D13F1" w:rsidRPr="002B5ECA">
        <w:t xml:space="preserve"> occurred on</w:t>
      </w:r>
      <w:r w:rsidR="004D13F1" w:rsidRPr="004D13F1">
        <w:rPr>
          <w:color w:val="FF0000"/>
        </w:rPr>
        <w:t xml:space="preserve"> </w:t>
      </w:r>
      <w:r w:rsidR="004B6C4D">
        <w:t>April 7</w:t>
      </w:r>
      <w:r w:rsidR="004D13F1" w:rsidRPr="00FB5575">
        <w:t>, 201</w:t>
      </w:r>
      <w:r w:rsidR="004B6C4D">
        <w:t>7</w:t>
      </w:r>
      <w:r w:rsidR="004D13F1" w:rsidRPr="00FB5575">
        <w:t>, contingent upon Commission approval, pursuant to Section 367.071(1), F.S.</w:t>
      </w:r>
    </w:p>
    <w:p w:rsidR="004D13F1" w:rsidRDefault="004D13F1" w:rsidP="004D13F1">
      <w:pPr>
        <w:spacing w:before="240"/>
        <w:jc w:val="both"/>
        <w:rPr>
          <w:rFonts w:ascii="Arial" w:hAnsi="Arial" w:cs="Arial"/>
          <w:b/>
          <w:bCs/>
        </w:rPr>
      </w:pPr>
      <w:r>
        <w:rPr>
          <w:rFonts w:ascii="Arial" w:hAnsi="Arial" w:cs="Arial"/>
          <w:b/>
          <w:bCs/>
        </w:rPr>
        <w:t>Noticing, Territory, and Land Ownership</w:t>
      </w:r>
    </w:p>
    <w:p w:rsidR="00A1648E" w:rsidRPr="00536E8C" w:rsidRDefault="00A1648E" w:rsidP="00A1648E">
      <w:pPr>
        <w:jc w:val="both"/>
      </w:pPr>
      <w:r w:rsidRPr="002B5ECA">
        <w:t xml:space="preserve">The application contains </w:t>
      </w:r>
      <w:r>
        <w:t>the</w:t>
      </w:r>
      <w:r w:rsidRPr="002B5ECA">
        <w:t xml:space="preserve"> description of the water and wastewater service territory which </w:t>
      </w:r>
      <w:r>
        <w:t xml:space="preserve">was approved when the Commission originally granted Certificate Nos. 577-W and 498-S to </w:t>
      </w:r>
      <w:r w:rsidRPr="00330F48">
        <w:t>Keith &amp; Clara Starkey d/b/a Heather Hills Estates</w:t>
      </w:r>
      <w:r>
        <w:t xml:space="preserve"> in 1996. As discussed in Issue 4, the territory description originally approved </w:t>
      </w:r>
      <w:r w:rsidR="00344788">
        <w:t xml:space="preserve">inadvertently </w:t>
      </w:r>
      <w:r>
        <w:t>included water service territory served by Manatee County, and the corrected service territory description</w:t>
      </w:r>
      <w:r w:rsidRPr="00330F48">
        <w:t xml:space="preserve"> </w:t>
      </w:r>
      <w:r w:rsidRPr="002B5ECA">
        <w:t xml:space="preserve">is appended to this recommendation as Attachment A. </w:t>
      </w:r>
      <w:r w:rsidRPr="00536E8C">
        <w:t xml:space="preserve">The systems are </w:t>
      </w:r>
      <w:r w:rsidR="00344788">
        <w:t>consecutive</w:t>
      </w:r>
      <w:r w:rsidRPr="00536E8C">
        <w:t xml:space="preserve">, </w:t>
      </w:r>
      <w:r w:rsidR="00344788">
        <w:t>meaning</w:t>
      </w:r>
      <w:r w:rsidRPr="00536E8C">
        <w:t xml:space="preserve"> bulk water service and bulk wastewater treatment </w:t>
      </w:r>
      <w:r w:rsidR="00344788">
        <w:t xml:space="preserve">is </w:t>
      </w:r>
      <w:r w:rsidRPr="00536E8C">
        <w:t>purchased</w:t>
      </w:r>
      <w:r w:rsidR="00344788">
        <w:t>, in this instance,</w:t>
      </w:r>
      <w:r w:rsidRPr="00536E8C">
        <w:t xml:space="preserve"> from Manatee County. Thus, no proof </w:t>
      </w:r>
      <w:r w:rsidR="00E374AA">
        <w:t>that the U</w:t>
      </w:r>
      <w:r w:rsidR="00643062">
        <w:t xml:space="preserve">tility owns or has access to the land on which the treatment facilities </w:t>
      </w:r>
      <w:r w:rsidRPr="00536E8C">
        <w:t>are located is required.</w:t>
      </w:r>
    </w:p>
    <w:p w:rsidR="00A1648E" w:rsidRDefault="00A1648E" w:rsidP="00330F48">
      <w:pPr>
        <w:jc w:val="both"/>
      </w:pPr>
    </w:p>
    <w:p w:rsidR="00D2020A" w:rsidRDefault="002B5ECA" w:rsidP="00330F48">
      <w:pPr>
        <w:jc w:val="both"/>
      </w:pPr>
      <w:r w:rsidRPr="002B5ECA">
        <w:t>Heather Hills</w:t>
      </w:r>
      <w:r w:rsidR="004D13F1" w:rsidRPr="002B5ECA">
        <w:t xml:space="preserve"> provided notice of the application pursuant to Section 367.071, F.S., and Rule 25-30.030, F.A.C. </w:t>
      </w:r>
      <w:r w:rsidR="00D2020A">
        <w:t xml:space="preserve">In </w:t>
      </w:r>
      <w:r w:rsidR="004B6C4D">
        <w:t>its</w:t>
      </w:r>
      <w:r w:rsidR="00D2020A">
        <w:t xml:space="preserve"> notice published on November 19, 2017, and </w:t>
      </w:r>
      <w:r w:rsidR="004B6C4D">
        <w:t xml:space="preserve">in its notice </w:t>
      </w:r>
      <w:r w:rsidR="00D2020A">
        <w:t xml:space="preserve">mailed to customers and other </w:t>
      </w:r>
      <w:r w:rsidR="004B6C4D">
        <w:t xml:space="preserve">required </w:t>
      </w:r>
      <w:r w:rsidR="00D2020A">
        <w:t xml:space="preserve">entities, on November 21, 2017, the </w:t>
      </w:r>
      <w:r w:rsidR="004B6C4D">
        <w:t>Utility</w:t>
      </w:r>
      <w:r w:rsidR="00D2020A">
        <w:t xml:space="preserve"> incorrectly stated </w:t>
      </w:r>
      <w:r w:rsidR="004B6C4D">
        <w:t>the issuance date</w:t>
      </w:r>
      <w:r w:rsidR="00D2020A">
        <w:t xml:space="preserve">. Therefore, the Utility was required to reissue the notices with the issuance date corrected. The second notice was issued on December 5, 2017, and published in a local newspaper on December 6, 2017. Thus, the protest period expired January 5, 2018. </w:t>
      </w:r>
      <w:r w:rsidR="008C24C7">
        <w:t>No requests for an administrative hearing were made; however, several objections were filed, as discussed below.</w:t>
      </w:r>
    </w:p>
    <w:p w:rsidR="00D2020A" w:rsidRDefault="00D2020A" w:rsidP="00330F48">
      <w:pPr>
        <w:jc w:val="both"/>
      </w:pPr>
    </w:p>
    <w:p w:rsidR="00D2020A" w:rsidRDefault="00D2020A" w:rsidP="00330F48">
      <w:pPr>
        <w:jc w:val="both"/>
      </w:pPr>
      <w:r>
        <w:t>One customer, having read the draft notice filed with the application</w:t>
      </w:r>
      <w:r w:rsidR="002B2EE1">
        <w:t>, contacted OPC via email with objections to the transfer on October 24, 2017. OPC forwarded the email to staff on October 25, 2017. Subsequently, two additional</w:t>
      </w:r>
      <w:r w:rsidR="00330F48" w:rsidRPr="00330F48">
        <w:t xml:space="preserve"> customers filed objections to the transfer </w:t>
      </w:r>
      <w:r>
        <w:t>in October, 2017, prior to the issuance of the first notice.</w:t>
      </w:r>
      <w:r w:rsidR="00330F48" w:rsidRPr="00330F48">
        <w:t xml:space="preserve"> </w:t>
      </w:r>
      <w:r w:rsidR="002B2EE1">
        <w:t xml:space="preserve">Between the issuance of the first notice and the expiration date of the protest period of the second notice, three more customers filed objections. </w:t>
      </w:r>
    </w:p>
    <w:p w:rsidR="00D2020A" w:rsidRDefault="00D2020A" w:rsidP="00330F48">
      <w:pPr>
        <w:jc w:val="both"/>
      </w:pPr>
    </w:p>
    <w:p w:rsidR="00330F48" w:rsidRPr="0076007C" w:rsidRDefault="00330F48" w:rsidP="00330F48">
      <w:pPr>
        <w:autoSpaceDE w:val="0"/>
        <w:autoSpaceDN w:val="0"/>
        <w:adjustRightInd w:val="0"/>
        <w:jc w:val="both"/>
      </w:pPr>
      <w:r w:rsidRPr="009C620E">
        <w:t>T</w:t>
      </w:r>
      <w:r w:rsidR="00ED2CAD">
        <w:t>he first t</w:t>
      </w:r>
      <w:r w:rsidRPr="009C620E">
        <w:t>h</w:t>
      </w:r>
      <w:r w:rsidR="00536E8C">
        <w:t>re</w:t>
      </w:r>
      <w:r w:rsidRPr="009C620E">
        <w:t xml:space="preserve">e </w:t>
      </w:r>
      <w:r w:rsidR="00536E8C">
        <w:t>customers</w:t>
      </w:r>
      <w:r w:rsidRPr="009C620E">
        <w:t xml:space="preserve"> </w:t>
      </w:r>
      <w:r w:rsidR="00536E8C">
        <w:t xml:space="preserve">objected </w:t>
      </w:r>
      <w:r w:rsidR="00ED2CAD">
        <w:t xml:space="preserve">primarily </w:t>
      </w:r>
      <w:r w:rsidR="00536E8C">
        <w:t>on the basis of</w:t>
      </w:r>
      <w:r w:rsidRPr="004C1B66">
        <w:t xml:space="preserve"> the inclusion of a copy of a 1967 document entitled, “Heather Hills Rules &amp; Regulations</w:t>
      </w:r>
      <w:r>
        <w:t>, R</w:t>
      </w:r>
      <w:r w:rsidRPr="004C1B66">
        <w:t>estrictio</w:t>
      </w:r>
      <w:r>
        <w:t>ns</w:t>
      </w:r>
      <w:r w:rsidRPr="004C1B66">
        <w:t xml:space="preserve">, Reservations, Easements, Rules </w:t>
      </w:r>
      <w:proofErr w:type="gramStart"/>
      <w:r w:rsidRPr="004C1B66">
        <w:t>And Regulations Of</w:t>
      </w:r>
      <w:proofErr w:type="gramEnd"/>
      <w:r w:rsidRPr="004C1B66">
        <w:t xml:space="preserve"> Heather </w:t>
      </w:r>
      <w:r>
        <w:t>H</w:t>
      </w:r>
      <w:r w:rsidRPr="004C1B66">
        <w:t xml:space="preserve">ills Estates, As Per Plat Thereof, Recorded Among The Public Records Of Manatee County, Florida,” </w:t>
      </w:r>
      <w:r w:rsidR="00EC03FB">
        <w:t xml:space="preserve">(the 1967 </w:t>
      </w:r>
      <w:r w:rsidR="00A5196B">
        <w:t>Restrictions</w:t>
      </w:r>
      <w:r w:rsidR="00EC03FB">
        <w:t xml:space="preserve">) </w:t>
      </w:r>
      <w:r w:rsidRPr="004C1B66">
        <w:t>in the application</w:t>
      </w:r>
      <w:r w:rsidR="00536E8C">
        <w:t>. The other three objected based on</w:t>
      </w:r>
      <w:r w:rsidRPr="00375EF3">
        <w:t xml:space="preserve"> </w:t>
      </w:r>
      <w:r w:rsidR="00536E8C">
        <w:t>“</w:t>
      </w:r>
      <w:r w:rsidRPr="00375EF3">
        <w:t xml:space="preserve">new customer </w:t>
      </w:r>
      <w:r w:rsidR="00643062">
        <w:t xml:space="preserve">deposit” </w:t>
      </w:r>
      <w:r w:rsidRPr="00375EF3">
        <w:t>charges</w:t>
      </w:r>
      <w:r w:rsidR="00536E8C">
        <w:t xml:space="preserve"> that were included in the notice. S</w:t>
      </w:r>
      <w:r w:rsidRPr="0076007C">
        <w:t xml:space="preserve">taff explained that the requested </w:t>
      </w:r>
      <w:r w:rsidR="005D3BEA">
        <w:t xml:space="preserve">administrative charges, which were actually initial customer deposits, </w:t>
      </w:r>
      <w:r w:rsidRPr="0076007C">
        <w:t>would only apply to customers who applied for new service, not for existing customers</w:t>
      </w:r>
      <w:r w:rsidR="000D1D6F">
        <w:t>, thus addressing their concerns</w:t>
      </w:r>
      <w:r w:rsidRPr="0076007C">
        <w:t>.</w:t>
      </w:r>
    </w:p>
    <w:p w:rsidR="00330F48" w:rsidRDefault="00330F48" w:rsidP="00330F48">
      <w:pPr>
        <w:autoSpaceDE w:val="0"/>
        <w:autoSpaceDN w:val="0"/>
        <w:adjustRightInd w:val="0"/>
        <w:jc w:val="both"/>
      </w:pPr>
    </w:p>
    <w:p w:rsidR="00A5196B" w:rsidRDefault="00330F48" w:rsidP="00330F48">
      <w:pPr>
        <w:autoSpaceDE w:val="0"/>
        <w:autoSpaceDN w:val="0"/>
        <w:adjustRightInd w:val="0"/>
        <w:jc w:val="both"/>
      </w:pPr>
      <w:r>
        <w:t>The primary basis for objection was the a</w:t>
      </w:r>
      <w:r w:rsidR="00541BB4">
        <w:t>fore</w:t>
      </w:r>
      <w:r>
        <w:t xml:space="preserve">mentioned 1967 </w:t>
      </w:r>
      <w:r w:rsidR="00A5196B">
        <w:t>Restrictions</w:t>
      </w:r>
      <w:r>
        <w:t xml:space="preserve">. </w:t>
      </w:r>
      <w:r w:rsidR="00ED2CAD">
        <w:t>According to information provided by two of the customers,</w:t>
      </w:r>
      <w:r w:rsidR="005C4A4A">
        <w:t xml:space="preserve"> </w:t>
      </w:r>
      <w:r w:rsidR="00ED2CAD">
        <w:t>t</w:t>
      </w:r>
      <w:r>
        <w:t xml:space="preserve">he HHE residents had long had issues with the deed restrictions and other aspects of the </w:t>
      </w:r>
      <w:r w:rsidR="00A5196B">
        <w:t>1967 Restrictions</w:t>
      </w:r>
      <w:r>
        <w:t xml:space="preserve"> in disputes with the previous utility owners, </w:t>
      </w:r>
      <w:r w:rsidR="000D1D6F">
        <w:t xml:space="preserve">each of </w:t>
      </w:r>
      <w:r>
        <w:t>who</w:t>
      </w:r>
      <w:r w:rsidR="000D1D6F">
        <w:t>m</w:t>
      </w:r>
      <w:r>
        <w:t xml:space="preserve"> also had an interest in the property. The customers stated that, although the terms of the 1967 </w:t>
      </w:r>
      <w:r w:rsidR="00A5196B">
        <w:t>Restrictions</w:t>
      </w:r>
      <w:r>
        <w:t xml:space="preserve"> expired in 2000, the previous owners still tried to assess charges and file liens against properties. The customers also stated that they pursued litigation that resulted in </w:t>
      </w:r>
      <w:r w:rsidR="00A5196B">
        <w:t>the</w:t>
      </w:r>
      <w:r>
        <w:t xml:space="preserve"> judge </w:t>
      </w:r>
      <w:r w:rsidR="00A5196B">
        <w:t xml:space="preserve">in the case </w:t>
      </w:r>
      <w:r>
        <w:t>finding in their favor in 201</w:t>
      </w:r>
      <w:r w:rsidR="00A5196B">
        <w:t>4</w:t>
      </w:r>
      <w:r w:rsidR="00EC03FB">
        <w:t>, declaring the document null and void</w:t>
      </w:r>
      <w:r>
        <w:t xml:space="preserve">. </w:t>
      </w:r>
    </w:p>
    <w:p w:rsidR="00C621E9" w:rsidRDefault="00C621E9" w:rsidP="00330F48">
      <w:pPr>
        <w:autoSpaceDE w:val="0"/>
        <w:autoSpaceDN w:val="0"/>
        <w:adjustRightInd w:val="0"/>
        <w:jc w:val="both"/>
      </w:pPr>
    </w:p>
    <w:p w:rsidR="00A5196B" w:rsidRDefault="00C621E9" w:rsidP="00330F48">
      <w:pPr>
        <w:autoSpaceDE w:val="0"/>
        <w:autoSpaceDN w:val="0"/>
        <w:adjustRightInd w:val="0"/>
        <w:jc w:val="both"/>
      </w:pPr>
      <w:r>
        <w:t>The Buyer included the 1967 Restrictions in its application for transfer in an effort to comply with Rule 25-30.</w:t>
      </w:r>
      <w:r w:rsidRPr="00F93FEF">
        <w:t>037(2</w:t>
      </w:r>
      <w:proofErr w:type="gramStart"/>
      <w:r w:rsidRPr="00F93FEF">
        <w:t>)(</w:t>
      </w:r>
      <w:proofErr w:type="gramEnd"/>
      <w:r w:rsidRPr="00F93FEF">
        <w:t>s)</w:t>
      </w:r>
      <w:r>
        <w:t xml:space="preserve">, F.A.C., which requires the utility to provide proof of access to the land under which the treatment facilities are located. The language in the 1967 Restrictions regarding utility easements was highlighted in the application. </w:t>
      </w:r>
      <w:r w:rsidR="00344788">
        <w:t>Because</w:t>
      </w:r>
      <w:r>
        <w:t xml:space="preserve"> the system</w:t>
      </w:r>
      <w:r w:rsidR="00344788">
        <w:t>s</w:t>
      </w:r>
      <w:r>
        <w:t xml:space="preserve"> </w:t>
      </w:r>
      <w:r w:rsidR="00344788">
        <w:t>are</w:t>
      </w:r>
      <w:r>
        <w:t xml:space="preserve"> </w:t>
      </w:r>
      <w:r w:rsidR="00344788">
        <w:t>consecutive</w:t>
      </w:r>
      <w:r>
        <w:t>, with no treatment facilities involved in the transaction, this was unnecessary. The Buyer, unlike the previous owners, does not have an interest in the HHE property itself, and is not attempting to resurrect the terms of the 1967 Restrictions.</w:t>
      </w:r>
    </w:p>
    <w:p w:rsidR="00C621E9" w:rsidRDefault="00C621E9" w:rsidP="00330F48">
      <w:pPr>
        <w:autoSpaceDE w:val="0"/>
        <w:autoSpaceDN w:val="0"/>
        <w:adjustRightInd w:val="0"/>
        <w:jc w:val="both"/>
      </w:pPr>
    </w:p>
    <w:p w:rsidR="00A5196B" w:rsidRDefault="00A5196B" w:rsidP="00330F48">
      <w:pPr>
        <w:autoSpaceDE w:val="0"/>
        <w:autoSpaceDN w:val="0"/>
        <w:adjustRightInd w:val="0"/>
        <w:jc w:val="both"/>
      </w:pPr>
      <w:r>
        <w:t>On December 4, 2017, OPC filed a letter in the instant docket file outlining its concerns arising from its communications with the customers.</w:t>
      </w:r>
      <w:r w:rsidR="00D9688C">
        <w:rPr>
          <w:rStyle w:val="FootnoteReference"/>
        </w:rPr>
        <w:footnoteReference w:id="5"/>
      </w:r>
      <w:r w:rsidR="00426F80">
        <w:t xml:space="preserve"> OPC’s concerns were:</w:t>
      </w:r>
    </w:p>
    <w:p w:rsidR="00426F80" w:rsidRDefault="00426F80" w:rsidP="00330F48">
      <w:pPr>
        <w:autoSpaceDE w:val="0"/>
        <w:autoSpaceDN w:val="0"/>
        <w:adjustRightInd w:val="0"/>
        <w:jc w:val="both"/>
      </w:pPr>
    </w:p>
    <w:p w:rsidR="00426F80" w:rsidRDefault="00426F80" w:rsidP="002B320A">
      <w:pPr>
        <w:pStyle w:val="ListParagraph"/>
        <w:numPr>
          <w:ilvl w:val="0"/>
          <w:numId w:val="12"/>
        </w:numPr>
        <w:autoSpaceDE w:val="0"/>
        <w:autoSpaceDN w:val="0"/>
        <w:adjustRightInd w:val="0"/>
        <w:jc w:val="both"/>
      </w:pPr>
      <w:r>
        <w:t>failure to include a copy of an “Exhibit A” referenced in the “Contract for Sale” in the application for transfer;</w:t>
      </w:r>
    </w:p>
    <w:p w:rsidR="00426F80" w:rsidRDefault="00426F80" w:rsidP="002B320A">
      <w:pPr>
        <w:pStyle w:val="ListParagraph"/>
        <w:numPr>
          <w:ilvl w:val="0"/>
          <w:numId w:val="12"/>
        </w:numPr>
        <w:autoSpaceDE w:val="0"/>
        <w:autoSpaceDN w:val="0"/>
        <w:adjustRightInd w:val="0"/>
        <w:jc w:val="both"/>
      </w:pPr>
      <w:r>
        <w:t xml:space="preserve">the </w:t>
      </w:r>
      <w:r w:rsidR="001D0FF1">
        <w:t>impact of the litigation regarding</w:t>
      </w:r>
      <w:r>
        <w:t xml:space="preserve"> the 1967 Restrictions</w:t>
      </w:r>
      <w:r w:rsidR="001D0FF1">
        <w:t xml:space="preserve"> and the Utility’s right to access the land where its facilities are located</w:t>
      </w:r>
      <w:r>
        <w:t>; and</w:t>
      </w:r>
    </w:p>
    <w:p w:rsidR="00426F80" w:rsidRDefault="00426F80" w:rsidP="002B320A">
      <w:pPr>
        <w:pStyle w:val="ListParagraph"/>
        <w:numPr>
          <w:ilvl w:val="0"/>
          <w:numId w:val="12"/>
        </w:numPr>
        <w:autoSpaceDE w:val="0"/>
        <w:autoSpaceDN w:val="0"/>
        <w:adjustRightInd w:val="0"/>
        <w:jc w:val="both"/>
      </w:pPr>
      <w:proofErr w:type="gramStart"/>
      <w:r>
        <w:t>the</w:t>
      </w:r>
      <w:proofErr w:type="gramEnd"/>
      <w:r>
        <w:t xml:space="preserve"> possibility that customers may be made responsible for fees and/or assessments relating to the Utility’s right to access and continued use of the land that may be the subject of any future proceeding.</w:t>
      </w:r>
    </w:p>
    <w:p w:rsidR="00426F80" w:rsidRDefault="00426F80" w:rsidP="00330F48">
      <w:pPr>
        <w:autoSpaceDE w:val="0"/>
        <w:autoSpaceDN w:val="0"/>
        <w:adjustRightInd w:val="0"/>
        <w:jc w:val="both"/>
      </w:pPr>
    </w:p>
    <w:p w:rsidR="00330F48" w:rsidRDefault="00426F80" w:rsidP="00330F48">
      <w:pPr>
        <w:autoSpaceDE w:val="0"/>
        <w:autoSpaceDN w:val="0"/>
        <w:adjustRightInd w:val="0"/>
        <w:jc w:val="both"/>
      </w:pPr>
      <w:r>
        <w:t>The Utility</w:t>
      </w:r>
      <w:r w:rsidR="001D0FF1">
        <w:t xml:space="preserve"> engaged in discussions with OPC, and</w:t>
      </w:r>
      <w:r>
        <w:t xml:space="preserve"> filed a response on February 9, 2018, that </w:t>
      </w:r>
      <w:r w:rsidR="001D0FF1">
        <w:t>explained the matter of the “missing” Exhibit A to its Contract for Sale</w:t>
      </w:r>
      <w:r w:rsidR="00C621E9">
        <w:t xml:space="preserve"> (it was unnecessary because it referred to real property, of which there was none because there are no water or wastewater treatment facilities)</w:t>
      </w:r>
      <w:r w:rsidR="001D0FF1">
        <w:t xml:space="preserve">, and provided a copy of the deed </w:t>
      </w:r>
      <w:r w:rsidR="00C621E9">
        <w:t>restrictions</w:t>
      </w:r>
      <w:r w:rsidR="001D0FF1">
        <w:t xml:space="preserve"> and recorded plat </w:t>
      </w:r>
      <w:r w:rsidR="001D0FF1">
        <w:lastRenderedPageBreak/>
        <w:t>maps for Heather Hills Estates.</w:t>
      </w:r>
      <w:r w:rsidR="00C621E9">
        <w:t xml:space="preserve"> On February 14, 2018, OPC filed a letter</w:t>
      </w:r>
      <w:r w:rsidR="00D9688C">
        <w:rPr>
          <w:rStyle w:val="FootnoteReference"/>
        </w:rPr>
        <w:footnoteReference w:id="6"/>
      </w:r>
      <w:r w:rsidR="00C621E9">
        <w:t xml:space="preserve"> with the Commission stating that the Utility’s February 9, 2018 filing</w:t>
      </w:r>
      <w:r w:rsidR="00D9688C">
        <w:rPr>
          <w:rStyle w:val="FootnoteReference"/>
        </w:rPr>
        <w:footnoteReference w:id="7"/>
      </w:r>
      <w:r w:rsidR="00C621E9">
        <w:t xml:space="preserve"> alleviated its primary concerns regarding the Utility’s “Right to Access.” However, it also stated that because this issue is one of continued dispute and the subject of litigation, it maintains its objection to any attempt to make the customers responsible for costs, legal fees, and/or assessments that relate to the Utility’s right to access in future proceedings before the Commission.</w:t>
      </w:r>
      <w:r w:rsidR="00541BB4">
        <w:t xml:space="preserve"> </w:t>
      </w:r>
      <w:r w:rsidR="00330F48">
        <w:t xml:space="preserve">It appears that the </w:t>
      </w:r>
      <w:r w:rsidR="00C621E9">
        <w:t>disputes and litigation regarding the 1967 Restrictions</w:t>
      </w:r>
      <w:r w:rsidR="00330F48">
        <w:t xml:space="preserve"> are governed by </w:t>
      </w:r>
      <w:r w:rsidR="00124C3C">
        <w:t>Chapter</w:t>
      </w:r>
      <w:r w:rsidR="00330F48">
        <w:t xml:space="preserve"> 712, F.S.</w:t>
      </w:r>
      <w:r w:rsidR="00531953">
        <w:t>,</w:t>
      </w:r>
      <w:r w:rsidR="00531953" w:rsidRPr="00531953">
        <w:rPr>
          <w:rFonts w:ascii="Verdana" w:hAnsi="Verdana"/>
          <w:color w:val="000080"/>
          <w:sz w:val="20"/>
          <w:szCs w:val="20"/>
        </w:rPr>
        <w:t xml:space="preserve"> </w:t>
      </w:r>
      <w:r w:rsidR="00531953" w:rsidRPr="00531953">
        <w:t xml:space="preserve">Marketable Record Titles </w:t>
      </w:r>
      <w:proofErr w:type="gramStart"/>
      <w:r w:rsidR="00531953" w:rsidRPr="00531953">
        <w:t>To</w:t>
      </w:r>
      <w:proofErr w:type="gramEnd"/>
      <w:r w:rsidR="00531953" w:rsidRPr="00531953">
        <w:t xml:space="preserve"> Real Property</w:t>
      </w:r>
      <w:r w:rsidR="000D1D6F">
        <w:t>,</w:t>
      </w:r>
      <w:r w:rsidR="00330F48">
        <w:t xml:space="preserve"> over which the Commission does not have jurisdiction and can provide no relief.</w:t>
      </w:r>
      <w:r w:rsidR="0073421D">
        <w:t xml:space="preserve"> Thus, approval of the transfer of Certificate Nos. 577-W and 498-S has no </w:t>
      </w:r>
      <w:r w:rsidR="000F4232">
        <w:t>effect</w:t>
      </w:r>
      <w:r w:rsidR="0073421D">
        <w:t xml:space="preserve"> on the status of the 1967 Restrictions.</w:t>
      </w:r>
    </w:p>
    <w:p w:rsidR="00330F48" w:rsidRDefault="00330F48" w:rsidP="00330F48">
      <w:pPr>
        <w:jc w:val="both"/>
        <w:rPr>
          <w:color w:val="000000" w:themeColor="text1"/>
        </w:rPr>
      </w:pPr>
    </w:p>
    <w:p w:rsidR="004D13F1" w:rsidRDefault="004D13F1" w:rsidP="00330F48">
      <w:pPr>
        <w:jc w:val="both"/>
        <w:rPr>
          <w:rFonts w:ascii="Arial" w:hAnsi="Arial" w:cs="Arial"/>
          <w:b/>
          <w:bCs/>
        </w:rPr>
      </w:pPr>
      <w:r>
        <w:rPr>
          <w:rFonts w:ascii="Arial" w:hAnsi="Arial" w:cs="Arial"/>
          <w:b/>
          <w:bCs/>
        </w:rPr>
        <w:t>Purchase Agreement and Financing</w:t>
      </w:r>
    </w:p>
    <w:p w:rsidR="004D13F1" w:rsidRDefault="002B6306" w:rsidP="004D13F1">
      <w:pPr>
        <w:pStyle w:val="BodyText"/>
      </w:pPr>
      <w:r w:rsidRPr="002773DD">
        <w:t>Pursuant to Rule 25-30.037(2)(</w:t>
      </w:r>
      <w:proofErr w:type="spellStart"/>
      <w:r w:rsidRPr="002773DD">
        <w:t>i</w:t>
      </w:r>
      <w:proofErr w:type="spellEnd"/>
      <w:r w:rsidRPr="002773DD">
        <w:t xml:space="preserve">), and (j), F.A.C., the application contains a statement regarding financing and a copy of the Purchase Agreement, which includes the purchase price, terms of payment, and a list of the assets purchased. </w:t>
      </w:r>
      <w:r>
        <w:t xml:space="preserve">Customer advances were credited to the customers’ accounts. </w:t>
      </w:r>
      <w:r w:rsidRPr="002773DD">
        <w:t>There are no customer deposits, guaranteed revenue contracts, developer</w:t>
      </w:r>
      <w:r>
        <w:t xml:space="preserve"> agreements, </w:t>
      </w:r>
      <w:r w:rsidRPr="002773DD">
        <w:t xml:space="preserve">leases, or debt of </w:t>
      </w:r>
      <w:r>
        <w:t>Heather Hills</w:t>
      </w:r>
      <w:r w:rsidRPr="002773DD">
        <w:t xml:space="preserve"> that must be disposed of with regard to </w:t>
      </w:r>
      <w:r>
        <w:t>the transfer. According to the Purchase A</w:t>
      </w:r>
      <w:r w:rsidRPr="002773DD">
        <w:t>greement, the total purchas</w:t>
      </w:r>
      <w:r>
        <w:t>e price for the assets is $141,900</w:t>
      </w:r>
      <w:r w:rsidRPr="002773DD">
        <w:t xml:space="preserve">. According to the Buyer, the sale took place on </w:t>
      </w:r>
      <w:r>
        <w:t>April 7, 2017</w:t>
      </w:r>
      <w:r w:rsidRPr="002773DD">
        <w:t>, subject to Commission approval, pursuant to Section 367.071(1), F.S</w:t>
      </w:r>
      <w:r>
        <w:t>.</w:t>
      </w:r>
    </w:p>
    <w:p w:rsidR="004D13F1" w:rsidRDefault="004D13F1" w:rsidP="004D13F1">
      <w:pPr>
        <w:jc w:val="both"/>
        <w:rPr>
          <w:b/>
          <w:bCs/>
        </w:rPr>
      </w:pPr>
      <w:r>
        <w:rPr>
          <w:rFonts w:ascii="Arial" w:hAnsi="Arial" w:cs="Arial"/>
          <w:b/>
          <w:bCs/>
        </w:rPr>
        <w:t>Facility Description and Compliance</w:t>
      </w:r>
    </w:p>
    <w:p w:rsidR="004D13F1" w:rsidRPr="00D918C7" w:rsidRDefault="00151438" w:rsidP="004D13F1">
      <w:pPr>
        <w:pStyle w:val="BodyText"/>
      </w:pPr>
      <w:r w:rsidRPr="00D918C7">
        <w:t>Heather Hills is a consecutive system that purchases bulk water and wastewater service from Manatee County Utilitie</w:t>
      </w:r>
      <w:r w:rsidR="009F543B">
        <w:t xml:space="preserve">s for resale to its customers. </w:t>
      </w:r>
      <w:r w:rsidRPr="00D918C7">
        <w:t>The Utility does not own or ope</w:t>
      </w:r>
      <w:r w:rsidR="009F543B">
        <w:t xml:space="preserve">rate any treatment facilities. </w:t>
      </w:r>
      <w:r w:rsidRPr="00D918C7">
        <w:t xml:space="preserve">Heather Hills maintains and operates the water distribution and wastewater collection systems and files monthly operating reports with the </w:t>
      </w:r>
      <w:r w:rsidR="00E91D77" w:rsidRPr="00D918C7">
        <w:t>Florida Department of Environmental Protection (DEP)</w:t>
      </w:r>
      <w:r w:rsidR="009F543B">
        <w:t xml:space="preserve">. </w:t>
      </w:r>
      <w:r w:rsidR="00E91D77" w:rsidRPr="00D918C7">
        <w:t>DEP</w:t>
      </w:r>
      <w:r w:rsidRPr="00D918C7">
        <w:t xml:space="preserve"> conducts periodic inspections of </w:t>
      </w:r>
      <w:r w:rsidR="002C20D6" w:rsidRPr="00D918C7">
        <w:t xml:space="preserve">the water distribution system. </w:t>
      </w:r>
      <w:r w:rsidRPr="00D918C7">
        <w:t xml:space="preserve">The most recent inspection report from </w:t>
      </w:r>
      <w:r w:rsidR="00E91D77" w:rsidRPr="00D918C7">
        <w:t>DEP</w:t>
      </w:r>
      <w:r w:rsidRPr="00D918C7">
        <w:t xml:space="preserve">, dated </w:t>
      </w:r>
      <w:r w:rsidR="00E91D77" w:rsidRPr="00D918C7">
        <w:t>July</w:t>
      </w:r>
      <w:r w:rsidRPr="00D918C7">
        <w:t xml:space="preserve"> </w:t>
      </w:r>
      <w:r w:rsidR="00E91D77" w:rsidRPr="00D918C7">
        <w:t>24</w:t>
      </w:r>
      <w:r w:rsidRPr="00D918C7">
        <w:t>, 201</w:t>
      </w:r>
      <w:r w:rsidR="00E91D77" w:rsidRPr="00D918C7">
        <w:t>8</w:t>
      </w:r>
      <w:r w:rsidRPr="00D918C7">
        <w:t>,</w:t>
      </w:r>
      <w:r w:rsidRPr="00D918C7">
        <w:rPr>
          <w:b/>
        </w:rPr>
        <w:t xml:space="preserve"> </w:t>
      </w:r>
      <w:r w:rsidRPr="00D918C7">
        <w:t xml:space="preserve">indicated that the Utility was substantially compliant with </w:t>
      </w:r>
      <w:r w:rsidR="00E91D77" w:rsidRPr="00D918C7">
        <w:t>its</w:t>
      </w:r>
      <w:r w:rsidRPr="00D918C7">
        <w:t xml:space="preserve"> regulations and requirements</w:t>
      </w:r>
      <w:r w:rsidR="00E91D77" w:rsidRPr="00D918C7">
        <w:t xml:space="preserve"> with the exception of on-site operation and maintenance procedures, manuals</w:t>
      </w:r>
      <w:r w:rsidR="00124C3C">
        <w:t>,</w:t>
      </w:r>
      <w:r w:rsidR="00E91D77" w:rsidRPr="00D918C7">
        <w:t xml:space="preserve"> and logs</w:t>
      </w:r>
      <w:r w:rsidR="004D13F1" w:rsidRPr="00D918C7">
        <w:t>.</w:t>
      </w:r>
      <w:r w:rsidR="00D918C7" w:rsidRPr="00D918C7">
        <w:t xml:space="preserve"> The Utility provided a response to DEP</w:t>
      </w:r>
      <w:r w:rsidR="00531953">
        <w:t>’</w:t>
      </w:r>
      <w:r w:rsidR="00D918C7" w:rsidRPr="00D918C7">
        <w:t xml:space="preserve">s inspection report on September 17, 2018, and is working with DEP on </w:t>
      </w:r>
      <w:r w:rsidR="00541BB4">
        <w:t xml:space="preserve">a </w:t>
      </w:r>
      <w:r w:rsidR="00D918C7" w:rsidRPr="00D918C7">
        <w:t>resolution.</w:t>
      </w:r>
    </w:p>
    <w:p w:rsidR="004D13F1" w:rsidRDefault="004D13F1" w:rsidP="004D13F1">
      <w:pPr>
        <w:jc w:val="both"/>
        <w:rPr>
          <w:rFonts w:ascii="Arial" w:hAnsi="Arial" w:cs="Arial"/>
          <w:b/>
          <w:bCs/>
        </w:rPr>
      </w:pPr>
      <w:r>
        <w:rPr>
          <w:rFonts w:ascii="Arial" w:hAnsi="Arial" w:cs="Arial"/>
          <w:b/>
          <w:bCs/>
        </w:rPr>
        <w:t>Technical and Financial Ability</w:t>
      </w:r>
    </w:p>
    <w:p w:rsidR="002B6306" w:rsidRPr="002773DD" w:rsidRDefault="002B6306" w:rsidP="002B6306">
      <w:pPr>
        <w:pStyle w:val="BodyText"/>
        <w:rPr>
          <w:b/>
          <w:i/>
        </w:rPr>
      </w:pPr>
      <w:r w:rsidRPr="002773DD">
        <w:t>Pursuant to Rule 25-30.037(2</w:t>
      </w:r>
      <w:proofErr w:type="gramStart"/>
      <w:r w:rsidRPr="002773DD">
        <w:t>)(</w:t>
      </w:r>
      <w:proofErr w:type="gramEnd"/>
      <w:r w:rsidRPr="002773DD">
        <w:t xml:space="preserve">l), F.A.C., the application contains statements describing the technical and financial ability of the </w:t>
      </w:r>
      <w:r>
        <w:t>Buyer</w:t>
      </w:r>
      <w:r w:rsidRPr="002773DD">
        <w:t xml:space="preserve"> to provide service to the proposed service area. As referenced in the transfer application, the Buyer was appointed to the Citrus County Water and Wastewater Authority, the local regulatory body for Citrus County, where he served for seven years. The Buyer also served as the "Class C" representative for the </w:t>
      </w:r>
      <w:r>
        <w:t>Legislative Study Committee for Investor-</w:t>
      </w:r>
      <w:r w:rsidRPr="002773DD">
        <w:t xml:space="preserve">Owned Water and Wastewater Utility Systems in 2013. He attends </w:t>
      </w:r>
      <w:r w:rsidRPr="002773DD">
        <w:lastRenderedPageBreak/>
        <w:t xml:space="preserve">yearly training classes through the Florida Rural Water Association and completed the NARUC Utility Rate School in 2001. The Buyer </w:t>
      </w:r>
      <w:r>
        <w:t xml:space="preserve">is the </w:t>
      </w:r>
      <w:r w:rsidRPr="002773DD">
        <w:t>ow</w:t>
      </w:r>
      <w:r>
        <w:t>ner and manager of</w:t>
      </w:r>
      <w:r w:rsidRPr="002773DD">
        <w:t xml:space="preserve"> a total of </w:t>
      </w:r>
      <w:r>
        <w:t>10</w:t>
      </w:r>
      <w:r w:rsidRPr="002805F3">
        <w:t xml:space="preserve"> C</w:t>
      </w:r>
      <w:r w:rsidRPr="002773DD">
        <w:t>lass C water and wastewater facilities that are regulated by the Commission.</w:t>
      </w:r>
    </w:p>
    <w:p w:rsidR="002B6306" w:rsidRPr="00D22F13" w:rsidRDefault="002B6306" w:rsidP="002B6306">
      <w:pPr>
        <w:jc w:val="both"/>
      </w:pPr>
      <w:r w:rsidRPr="002773DD">
        <w:t>Staff reviewed the personal financial statements of the Buyer, as well as the financial statements of Florida Utility Services 1, LLC.</w:t>
      </w:r>
      <w:r>
        <w:rPr>
          <w:rStyle w:val="FootnoteReference"/>
        </w:rPr>
        <w:footnoteReference w:id="8"/>
      </w:r>
      <w:r w:rsidRPr="002773DD">
        <w:t xml:space="preserve"> Based on the above, the Buyer has demonstrated the technical and financial ability to provide service to the existing service territory</w:t>
      </w:r>
      <w:r>
        <w:t>.</w:t>
      </w:r>
    </w:p>
    <w:p w:rsidR="005E62F9" w:rsidRDefault="005E62F9" w:rsidP="004D13F1">
      <w:pPr>
        <w:jc w:val="both"/>
        <w:rPr>
          <w:bCs/>
        </w:rPr>
      </w:pPr>
    </w:p>
    <w:p w:rsidR="004D13F1" w:rsidRDefault="004D13F1" w:rsidP="0073421D">
      <w:pPr>
        <w:rPr>
          <w:rFonts w:ascii="Arial" w:hAnsi="Arial" w:cs="Arial"/>
          <w:b/>
          <w:bCs/>
        </w:rPr>
      </w:pPr>
      <w:r>
        <w:rPr>
          <w:rFonts w:ascii="Arial" w:hAnsi="Arial" w:cs="Arial"/>
          <w:b/>
          <w:bCs/>
        </w:rPr>
        <w:t>Rates and Charges</w:t>
      </w:r>
    </w:p>
    <w:p w:rsidR="004D13F1" w:rsidRPr="00C16572" w:rsidRDefault="004D13F1" w:rsidP="004D13F1">
      <w:pPr>
        <w:pStyle w:val="IssueHeading"/>
        <w:spacing w:after="0"/>
        <w:rPr>
          <w:rFonts w:ascii="Times New Roman" w:hAnsi="Times New Roman" w:cs="Times New Roman"/>
          <w:b w:val="0"/>
          <w:bCs w:val="0"/>
          <w:i w:val="0"/>
          <w:color w:val="000000" w:themeColor="text1"/>
          <w:kern w:val="0"/>
          <w:szCs w:val="24"/>
        </w:rPr>
      </w:pPr>
      <w:r w:rsidRPr="004D13F1">
        <w:rPr>
          <w:rFonts w:ascii="Times New Roman" w:hAnsi="Times New Roman" w:cs="Times New Roman"/>
          <w:b w:val="0"/>
          <w:i w:val="0"/>
        </w:rPr>
        <w:t>The Utility’s rates and charges were approved in a staff assisted rate case in 2011</w:t>
      </w:r>
      <w:r w:rsidR="004C4E6F">
        <w:rPr>
          <w:rFonts w:ascii="Times New Roman" w:hAnsi="Times New Roman" w:cs="Times New Roman"/>
          <w:b w:val="0"/>
          <w:i w:val="0"/>
        </w:rPr>
        <w:t>.</w:t>
      </w:r>
      <w:r w:rsidRPr="004D13F1">
        <w:rPr>
          <w:rFonts w:ascii="Times New Roman" w:hAnsi="Times New Roman" w:cs="Times New Roman"/>
          <w:b w:val="0"/>
          <w:i w:val="0"/>
          <w:vertAlign w:val="superscript"/>
        </w:rPr>
        <w:footnoteReference w:id="9"/>
      </w:r>
      <w:r w:rsidRPr="004D13F1">
        <w:rPr>
          <w:rFonts w:ascii="Times New Roman" w:hAnsi="Times New Roman" w:cs="Times New Roman"/>
          <w:b w:val="0"/>
          <w:i w:val="0"/>
        </w:rPr>
        <w:t xml:space="preserve"> The rates were subsequently amended through six price index and pass through rate adjustments. The Utility’s late payment charge was approved in 2009</w:t>
      </w:r>
      <w:r w:rsidRPr="004D13F1">
        <w:rPr>
          <w:rFonts w:ascii="Times New Roman" w:hAnsi="Times New Roman" w:cs="Times New Roman"/>
          <w:b w:val="0"/>
          <w:i w:val="0"/>
          <w:vertAlign w:val="superscript"/>
        </w:rPr>
        <w:footnoteReference w:id="10"/>
      </w:r>
      <w:r w:rsidRPr="004D13F1">
        <w:rPr>
          <w:rFonts w:ascii="Times New Roman" w:hAnsi="Times New Roman" w:cs="Times New Roman"/>
          <w:b w:val="0"/>
          <w:i w:val="0"/>
        </w:rPr>
        <w:t xml:space="preserve"> and miscellaneous servic</w:t>
      </w:r>
      <w:r w:rsidR="00D05385">
        <w:rPr>
          <w:rFonts w:ascii="Times New Roman" w:hAnsi="Times New Roman" w:cs="Times New Roman"/>
          <w:b w:val="0"/>
          <w:i w:val="0"/>
        </w:rPr>
        <w:t>e charges were approved in 2010</w:t>
      </w:r>
      <w:r w:rsidR="004C4E6F">
        <w:rPr>
          <w:rFonts w:ascii="Times New Roman" w:hAnsi="Times New Roman" w:cs="Times New Roman"/>
          <w:b w:val="0"/>
          <w:i w:val="0"/>
        </w:rPr>
        <w:t>.</w:t>
      </w:r>
      <w:r w:rsidRPr="004D13F1">
        <w:rPr>
          <w:rFonts w:ascii="Times New Roman" w:hAnsi="Times New Roman" w:cs="Times New Roman"/>
          <w:b w:val="0"/>
          <w:i w:val="0"/>
          <w:vertAlign w:val="superscript"/>
        </w:rPr>
        <w:footnoteReference w:id="11"/>
      </w:r>
      <w:r w:rsidRPr="004D13F1">
        <w:rPr>
          <w:rFonts w:ascii="Times New Roman" w:hAnsi="Times New Roman" w:cs="Times New Roman"/>
          <w:b w:val="0"/>
          <w:i w:val="0"/>
        </w:rPr>
        <w:t xml:space="preserve"> The Utility is built out and has no approved service availability charges. The Utility’s existing rates and charges are shown on Schedule No. 3. Rule 25-9.044(1), F.A.C., provides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authorized by this Commission in a subsequent proceeding</w:t>
      </w:r>
      <w:r w:rsidRPr="00C16572">
        <w:rPr>
          <w:rFonts w:ascii="Times New Roman" w:hAnsi="Times New Roman" w:cs="Times New Roman"/>
          <w:b w:val="0"/>
          <w:i w:val="0"/>
          <w:color w:val="000000" w:themeColor="text1"/>
        </w:rPr>
        <w:t>.</w:t>
      </w:r>
    </w:p>
    <w:p w:rsidR="004D13F1" w:rsidRDefault="004D13F1" w:rsidP="004D13F1">
      <w:pPr>
        <w:jc w:val="both"/>
        <w:rPr>
          <w:rFonts w:ascii="Arial" w:hAnsi="Arial" w:cs="Arial"/>
          <w:b/>
          <w:bCs/>
        </w:rPr>
      </w:pPr>
    </w:p>
    <w:p w:rsidR="004D13F1" w:rsidRDefault="004D13F1" w:rsidP="004D13F1">
      <w:pPr>
        <w:jc w:val="both"/>
        <w:rPr>
          <w:rFonts w:ascii="Arial" w:hAnsi="Arial" w:cs="Arial"/>
          <w:b/>
          <w:bCs/>
        </w:rPr>
      </w:pPr>
      <w:r>
        <w:rPr>
          <w:rFonts w:ascii="Arial" w:hAnsi="Arial" w:cs="Arial"/>
          <w:b/>
          <w:bCs/>
        </w:rPr>
        <w:t>Regulatory Assessment Fees and Annual Reports</w:t>
      </w:r>
    </w:p>
    <w:p w:rsidR="004D13F1" w:rsidRPr="002B6306" w:rsidRDefault="002B6306" w:rsidP="004D13F1">
      <w:pPr>
        <w:pStyle w:val="IssueHeading"/>
        <w:spacing w:after="0"/>
        <w:rPr>
          <w:rFonts w:ascii="Times New Roman" w:hAnsi="Times New Roman" w:cs="Times New Roman"/>
          <w:b w:val="0"/>
          <w:bCs w:val="0"/>
          <w:i w:val="0"/>
          <w:kern w:val="0"/>
          <w:szCs w:val="24"/>
        </w:rPr>
      </w:pPr>
      <w:r w:rsidRPr="002B6306">
        <w:rPr>
          <w:rFonts w:ascii="Times New Roman" w:hAnsi="Times New Roman" w:cs="Times New Roman"/>
          <w:b w:val="0"/>
          <w:bCs w:val="0"/>
          <w:i w:val="0"/>
          <w:kern w:val="0"/>
          <w:szCs w:val="24"/>
        </w:rPr>
        <w:t xml:space="preserve">Staff has verified that the </w:t>
      </w:r>
      <w:r w:rsidR="00531953">
        <w:rPr>
          <w:rFonts w:ascii="Times New Roman" w:hAnsi="Times New Roman" w:cs="Times New Roman"/>
          <w:b w:val="0"/>
          <w:bCs w:val="0"/>
          <w:i w:val="0"/>
          <w:kern w:val="0"/>
          <w:szCs w:val="24"/>
        </w:rPr>
        <w:t>Utility</w:t>
      </w:r>
      <w:r w:rsidRPr="002B6306">
        <w:rPr>
          <w:rFonts w:ascii="Times New Roman" w:hAnsi="Times New Roman" w:cs="Times New Roman"/>
          <w:b w:val="0"/>
          <w:bCs w:val="0"/>
          <w:i w:val="0"/>
          <w:kern w:val="0"/>
          <w:szCs w:val="24"/>
        </w:rPr>
        <w:t xml:space="preserve"> is current with respect to annual reports and RAFs through December 31, 2017. The Buyer will be responsible for filing annual reports and paying RAFs for 2018 and all future years.</w:t>
      </w:r>
    </w:p>
    <w:p w:rsidR="004D13F1" w:rsidRDefault="004D13F1" w:rsidP="004D13F1">
      <w:pPr>
        <w:spacing w:before="240"/>
        <w:jc w:val="both"/>
        <w:rPr>
          <w:rFonts w:ascii="Arial" w:hAnsi="Arial" w:cs="Arial"/>
          <w:b/>
          <w:bCs/>
        </w:rPr>
      </w:pPr>
      <w:r>
        <w:rPr>
          <w:rFonts w:ascii="Arial" w:hAnsi="Arial" w:cs="Arial"/>
          <w:b/>
          <w:bCs/>
        </w:rPr>
        <w:t>Conclusion</w:t>
      </w:r>
    </w:p>
    <w:p w:rsidR="001259AF" w:rsidRPr="00D22F13" w:rsidRDefault="004D13F1" w:rsidP="004D13F1">
      <w:pPr>
        <w:pStyle w:val="BodyText"/>
      </w:pPr>
      <w:r w:rsidRPr="00D22F13">
        <w:t xml:space="preserve">Based on the foregoing, staff recommends that the </w:t>
      </w:r>
      <w:r w:rsidR="00D22F13" w:rsidRPr="00D22F13">
        <w:t>transfer of t</w:t>
      </w:r>
      <w:r w:rsidR="00D22F13" w:rsidRPr="004D13F1">
        <w:t xml:space="preserve">he </w:t>
      </w:r>
      <w:r w:rsidR="00D22F13">
        <w:t xml:space="preserve">water and </w:t>
      </w:r>
      <w:r w:rsidR="00D22F13" w:rsidRPr="00D22F13">
        <w:t>wastewater systems and Certificate Nos. 577-W and 498-S is in the public interest and should be approved effective the date of the Commission vote. The resultant order should serve as the Buyer’s certificate and should be retained by the Buyer.</w:t>
      </w:r>
      <w:r w:rsidR="00D22F13">
        <w:t xml:space="preserve"> </w:t>
      </w:r>
      <w:r>
        <w:t>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Pr="004D13F1">
        <w:rPr>
          <w:color w:val="FF0000"/>
        </w:rPr>
        <w:t xml:space="preserve"> </w:t>
      </w:r>
      <w:r w:rsidRPr="00D22F13">
        <w:t>The Buyer should be responsible for paying RAFs after December 31, 201</w:t>
      </w:r>
      <w:r w:rsidR="00D22F13" w:rsidRPr="00D22F13">
        <w:t>7</w:t>
      </w:r>
      <w:r w:rsidRPr="00D22F13">
        <w:t xml:space="preserve">, and all future years. The Buyer should </w:t>
      </w:r>
      <w:r w:rsidR="00541BB4">
        <w:t xml:space="preserve">also </w:t>
      </w:r>
      <w:r w:rsidRPr="00D22F13">
        <w:t>be responsible for filing all future annual reports.</w:t>
      </w:r>
    </w:p>
    <w:p w:rsidR="001259AF" w:rsidRDefault="001259AF">
      <w:pPr>
        <w:pStyle w:val="IssueHeading"/>
        <w:rPr>
          <w:vanish/>
          <w:specVanish/>
        </w:rPr>
      </w:pPr>
      <w:r w:rsidRPr="004C3641">
        <w:rPr>
          <w:b w:val="0"/>
          <w:i w:val="0"/>
        </w:rPr>
        <w:br w:type="page"/>
      </w:r>
      <w:r w:rsidRPr="004C3641">
        <w:lastRenderedPageBreak/>
        <w:t xml:space="preserve">Issue </w:t>
      </w:r>
      <w:r w:rsidR="004441A9">
        <w:fldChar w:fldCharType="begin"/>
      </w:r>
      <w:r w:rsidR="004441A9">
        <w:instrText xml:space="preserve"> SEQ Issue \* </w:instrText>
      </w:r>
      <w:r w:rsidR="004441A9">
        <w:instrText xml:space="preserve">MERGEFORMAT </w:instrText>
      </w:r>
      <w:r w:rsidR="004441A9">
        <w:fldChar w:fldCharType="separate"/>
      </w:r>
      <w:r w:rsidR="00E40A76">
        <w:rPr>
          <w:noProof/>
        </w:rPr>
        <w:t>2</w:t>
      </w:r>
      <w:r w:rsidR="004441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A76">
        <w:rPr>
          <w:noProof/>
        </w:rPr>
        <w:instrText>2</w:instrText>
      </w:r>
      <w:r>
        <w:fldChar w:fldCharType="end"/>
      </w:r>
      <w:r>
        <w:tab/>
        <w:instrText xml:space="preserve">" \l 1 </w:instrText>
      </w:r>
      <w:r>
        <w:fldChar w:fldCharType="end"/>
      </w:r>
      <w:r>
        <w:t> </w:t>
      </w:r>
    </w:p>
    <w:p w:rsidR="001259AF" w:rsidRDefault="001259AF">
      <w:pPr>
        <w:pStyle w:val="BodyText"/>
      </w:pPr>
      <w:r>
        <w:t> </w:t>
      </w:r>
      <w:r w:rsidR="00A8572A">
        <w:t xml:space="preserve">What is the appropriate net book value for the </w:t>
      </w:r>
      <w:r w:rsidR="00EA3723">
        <w:t xml:space="preserve">Heather Hills Utilities, LLC </w:t>
      </w:r>
      <w:r w:rsidR="00A8572A">
        <w:t>water and wastewater systems for transfer purposes and should an acquisition adjustment be approved?</w:t>
      </w:r>
    </w:p>
    <w:p w:rsidR="001259AF" w:rsidRPr="004C3641" w:rsidRDefault="001259AF">
      <w:pPr>
        <w:pStyle w:val="IssueSubsectionHeading"/>
        <w:rPr>
          <w:vanish/>
          <w:specVanish/>
        </w:rPr>
      </w:pPr>
      <w:r w:rsidRPr="004C3641">
        <w:t>Recommendation: </w:t>
      </w:r>
    </w:p>
    <w:p w:rsidR="001259AF" w:rsidRDefault="001259AF">
      <w:pPr>
        <w:pStyle w:val="BodyText"/>
      </w:pPr>
      <w:r>
        <w:t> </w:t>
      </w:r>
      <w:r w:rsidR="00531953">
        <w:t>For transfer purposes, t</w:t>
      </w:r>
      <w:r w:rsidR="002B6306" w:rsidRPr="001E6F59">
        <w:t>he net book value (NBV) of the water system for i</w:t>
      </w:r>
      <w:r w:rsidR="002B6306" w:rsidRPr="002805F3">
        <w:t>s $40</w:t>
      </w:r>
      <w:r w:rsidR="002B6306">
        <w:t>,553</w:t>
      </w:r>
      <w:r w:rsidR="00531953">
        <w:t>,</w:t>
      </w:r>
      <w:r w:rsidR="002B6306" w:rsidRPr="00584591">
        <w:t xml:space="preserve"> and </w:t>
      </w:r>
      <w:r w:rsidR="00531953">
        <w:t xml:space="preserve">for the wastewater system is </w:t>
      </w:r>
      <w:r w:rsidR="002B6306" w:rsidRPr="00584591">
        <w:t>$</w:t>
      </w:r>
      <w:r w:rsidR="002B6306">
        <w:t>389</w:t>
      </w:r>
      <w:r w:rsidR="00531953">
        <w:t>,</w:t>
      </w:r>
      <w:r w:rsidR="002B6306">
        <w:t xml:space="preserve"> </w:t>
      </w:r>
      <w:r w:rsidR="002B6306" w:rsidRPr="001E6F59">
        <w:t xml:space="preserve">as of </w:t>
      </w:r>
      <w:r w:rsidR="002B6306">
        <w:t>April 7, 2017</w:t>
      </w:r>
      <w:r w:rsidR="002B6306" w:rsidRPr="001E6F59">
        <w:t xml:space="preserve">. An acquisition adjustment should not be included in rate base. Within 90 days of the date of the final order, </w:t>
      </w:r>
      <w:r w:rsidR="002B6306">
        <w:t>Heather Hills</w:t>
      </w:r>
      <w:r w:rsidR="002B6306" w:rsidRPr="001E6F59">
        <w:t xml:space="preserve"> should be required to notify the Commission in writing, that it has adjusted its books in accordance with the Commission’s decision. The adjustments</w:t>
      </w:r>
      <w:r w:rsidR="002B6306">
        <w:t xml:space="preserve"> should be reflected in the 2018</w:t>
      </w:r>
      <w:r w:rsidR="002B6306" w:rsidRPr="001E6F59">
        <w:t xml:space="preserve"> Annual Report when filed</w:t>
      </w:r>
      <w:r w:rsidR="002B6306">
        <w:t>. (Sewards)</w:t>
      </w:r>
      <w:r>
        <w:t xml:space="preserve"> </w:t>
      </w:r>
    </w:p>
    <w:p w:rsidR="001259AF" w:rsidRPr="004C3641" w:rsidRDefault="001259AF">
      <w:pPr>
        <w:pStyle w:val="IssueSubsectionHeading"/>
        <w:rPr>
          <w:vanish/>
          <w:specVanish/>
        </w:rPr>
      </w:pPr>
      <w:r w:rsidRPr="004C3641">
        <w:t>Staff Analysis: </w:t>
      </w:r>
    </w:p>
    <w:p w:rsidR="002B6306" w:rsidRDefault="001259AF" w:rsidP="002B6306">
      <w:pPr>
        <w:pStyle w:val="BodyText"/>
      </w:pPr>
      <w:r>
        <w:t> </w:t>
      </w:r>
      <w:r w:rsidR="002B6306">
        <w:t>Rate base was last established as of September 29, 2011.</w:t>
      </w:r>
      <w:r w:rsidR="002B6306">
        <w:rPr>
          <w:rStyle w:val="FootnoteReference"/>
        </w:rPr>
        <w:footnoteReference w:id="12"/>
      </w:r>
      <w:r w:rsidR="009F543B">
        <w:t xml:space="preserve"> </w:t>
      </w:r>
      <w:r w:rsidR="002B6306">
        <w:t>The purpose of establishing net book value for both the water and wastewater systems for transfers is to determine whether an acquisition adjustment should be approved. The NBV does not include normal ratemaking adjustments for non-used and useful plant and working capital. The NBV has been updated to reflect balances as of April 7, 2017. Staff’s recommended NBV, as described below, is shown on Schedule No. 1.</w:t>
      </w:r>
    </w:p>
    <w:p w:rsidR="002B6306" w:rsidRDefault="002B6306" w:rsidP="002B6306">
      <w:pPr>
        <w:pStyle w:val="First-LevelSubheading"/>
      </w:pPr>
      <w:r>
        <w:t>Utility Plant in Service (UPIS)</w:t>
      </w:r>
    </w:p>
    <w:p w:rsidR="002B6306" w:rsidRDefault="002B6306" w:rsidP="002B6306">
      <w:pPr>
        <w:pStyle w:val="BodyText"/>
      </w:pPr>
      <w:r>
        <w:t>The U</w:t>
      </w:r>
      <w:r w:rsidRPr="007A052E">
        <w:t>tility’s general ledger reflected water and wastewater UPIS balances of $</w:t>
      </w:r>
      <w:r>
        <w:t>94,196</w:t>
      </w:r>
      <w:r w:rsidRPr="007A052E">
        <w:t xml:space="preserve"> and $</w:t>
      </w:r>
      <w:r>
        <w:t>72,152</w:t>
      </w:r>
      <w:r w:rsidRPr="007A052E">
        <w:t xml:space="preserve">, respectively, as of </w:t>
      </w:r>
      <w:r>
        <w:t xml:space="preserve">April 7, 2017. </w:t>
      </w:r>
      <w:r w:rsidRPr="007A052E">
        <w:t>Staff reviewed UPIS additions since the last rate case proceeding and as a result</w:t>
      </w:r>
      <w:r>
        <w:t>,</w:t>
      </w:r>
      <w:r w:rsidRPr="007A052E">
        <w:t xml:space="preserve"> has </w:t>
      </w:r>
      <w:r>
        <w:t>decreased</w:t>
      </w:r>
      <w:r w:rsidRPr="007A052E">
        <w:t xml:space="preserve"> UPIS for water by </w:t>
      </w:r>
      <w:r w:rsidRPr="00A86CB4">
        <w:t>$4,332.</w:t>
      </w:r>
      <w:r w:rsidRPr="007A052E">
        <w:t xml:space="preserve"> </w:t>
      </w:r>
      <w:r>
        <w:t xml:space="preserve">Staff notes, in response to the staff audit report, Heather Hills stated that $1,106 was recorded incorrectly in Account 331 – Hydrants, and should be reclassified to Account 335 – Transmission and Distribution Mains. Staff agrees with this reclassification. There were no adjustments to wastewater UPIS. </w:t>
      </w:r>
      <w:r w:rsidRPr="007A052E">
        <w:t>Theref</w:t>
      </w:r>
      <w:r>
        <w:t>ore, staff recommends that the U</w:t>
      </w:r>
      <w:r w:rsidRPr="007A052E">
        <w:t xml:space="preserve">tility’s water and wastewater UPIS balances as of </w:t>
      </w:r>
      <w:r>
        <w:t>April 7, 2017</w:t>
      </w:r>
      <w:r w:rsidRPr="007A052E">
        <w:t>, should be $</w:t>
      </w:r>
      <w:r>
        <w:t>89,864</w:t>
      </w:r>
      <w:r w:rsidRPr="007A052E">
        <w:t xml:space="preserve"> and $</w:t>
      </w:r>
      <w:r>
        <w:t>72,512</w:t>
      </w:r>
      <w:r w:rsidRPr="007A052E">
        <w:t>, respectively.</w:t>
      </w:r>
    </w:p>
    <w:p w:rsidR="002B6306" w:rsidRDefault="002B6306" w:rsidP="002B6306">
      <w:pPr>
        <w:pStyle w:val="First-LevelSubheading"/>
      </w:pPr>
      <w:r>
        <w:t>Land</w:t>
      </w:r>
    </w:p>
    <w:p w:rsidR="002B6306" w:rsidRDefault="002B6306" w:rsidP="002B6306">
      <w:pPr>
        <w:pStyle w:val="BodyText"/>
      </w:pPr>
      <w:proofErr w:type="gramStart"/>
      <w:r w:rsidRPr="007A052E">
        <w:t>In Order No.</w:t>
      </w:r>
      <w:proofErr w:type="gramEnd"/>
      <w:r w:rsidRPr="007A052E">
        <w:t xml:space="preserve"> PSC-</w:t>
      </w:r>
      <w:r>
        <w:t>11-0436-PAA-WS</w:t>
      </w:r>
      <w:r w:rsidRPr="007A052E">
        <w:t>, the Commission established the value of the land to be $</w:t>
      </w:r>
      <w:r>
        <w:t>389 for water and $389 for wastewater</w:t>
      </w:r>
      <w:r w:rsidRPr="007A052E">
        <w:t xml:space="preserve">. </w:t>
      </w:r>
      <w:r>
        <w:t xml:space="preserve">The Utility’s general ledger reflected a land balance of $389 for water and $389 for wastewater. </w:t>
      </w:r>
      <w:r w:rsidRPr="007A052E">
        <w:t>There have been no additions to land purchased since that order was issued. Therefore, staff recommends a land balance of</w:t>
      </w:r>
      <w:r>
        <w:t xml:space="preserve"> </w:t>
      </w:r>
      <w:r w:rsidRPr="007A052E">
        <w:t>$</w:t>
      </w:r>
      <w:r>
        <w:t>389 for water and $389 for wastewater</w:t>
      </w:r>
      <w:r w:rsidRPr="007A052E">
        <w:t xml:space="preserve">, as of </w:t>
      </w:r>
      <w:r>
        <w:t>April 7, 2017.</w:t>
      </w:r>
    </w:p>
    <w:p w:rsidR="002B6306" w:rsidRDefault="002B6306" w:rsidP="002B6306">
      <w:pPr>
        <w:pStyle w:val="First-LevelSubheading"/>
      </w:pPr>
      <w:r>
        <w:t>Accumulated Depreciation</w:t>
      </w:r>
    </w:p>
    <w:p w:rsidR="002B6306" w:rsidRDefault="002B6306" w:rsidP="002B6306">
      <w:pPr>
        <w:pStyle w:val="BodyText"/>
      </w:pPr>
      <w:r>
        <w:t>The U</w:t>
      </w:r>
      <w:r w:rsidRPr="007A052E">
        <w:t xml:space="preserve">tility’s general ledger reflected water and wastewater </w:t>
      </w:r>
      <w:r>
        <w:t>accumulated depreciation</w:t>
      </w:r>
      <w:r w:rsidRPr="007A052E">
        <w:t xml:space="preserve"> balances of $</w:t>
      </w:r>
      <w:r>
        <w:t>48,443</w:t>
      </w:r>
      <w:r w:rsidRPr="007A052E">
        <w:t xml:space="preserve"> and $</w:t>
      </w:r>
      <w:r>
        <w:t>72,262</w:t>
      </w:r>
      <w:r w:rsidRPr="007A052E">
        <w:t xml:space="preserve">, respectively, as of </w:t>
      </w:r>
      <w:r>
        <w:t xml:space="preserve">April 7, 2017. Staff auditors reviewed UPIS additions since the last rate case proceeding and calculated an accumulated depreciation balance of $51,895 for water and $72,512 for wastewater. In response to the staff audit report, Heather Hills stated that accumulated depreciation incorrectly reflected a full year of depreciation expense for 2017. After recalculating accumulated depreciation for 2017, staff agrees with the Utility. However, staff believes Heather Hills did not correctly calculate accumulated depreciation for 2017. As such, accumulated depreciation should be adjusted based on the reclassification in UPIS discussed earlier, as well as to reflect the correct accumulated </w:t>
      </w:r>
      <w:r>
        <w:lastRenderedPageBreak/>
        <w:t xml:space="preserve">depreciation for 2017. The Utility agreed with </w:t>
      </w:r>
      <w:r w:rsidR="00FB5575">
        <w:t xml:space="preserve">the </w:t>
      </w:r>
      <w:r>
        <w:t>staff auditor’s adjustment to increase wastewater accumulated depreciation by $250.</w:t>
      </w:r>
      <w:r w:rsidRPr="00446D80">
        <w:t xml:space="preserve"> Staff calculated the appropriate accumulated depreciation balance to be </w:t>
      </w:r>
      <w:r w:rsidRPr="002805F3">
        <w:t>$49,700 for water and $72,512 for wastewater. As a result, accumulated depreciation should be increased by $1,257 for water and $250 for wastewater to reflect accumulated depreciation balance</w:t>
      </w:r>
      <w:r>
        <w:t>s</w:t>
      </w:r>
      <w:r w:rsidRPr="002805F3">
        <w:t xml:space="preserve"> of $49,700 f</w:t>
      </w:r>
      <w:r>
        <w:t>or water and $72,512 for wastewater</w:t>
      </w:r>
      <w:r w:rsidRPr="00446D80">
        <w:t xml:space="preserve">, as of </w:t>
      </w:r>
      <w:r>
        <w:t xml:space="preserve">April 7, 2017. </w:t>
      </w:r>
    </w:p>
    <w:p w:rsidR="002B6306" w:rsidRDefault="002B6306" w:rsidP="002B6306">
      <w:pPr>
        <w:pStyle w:val="First-LevelSubheading"/>
      </w:pPr>
      <w:r>
        <w:t>Contributions-in-Aid-of-Construction (CIAC) and Accumulated Amortization of CIAC</w:t>
      </w:r>
    </w:p>
    <w:p w:rsidR="002B6306" w:rsidRDefault="002B6306" w:rsidP="002B6306">
      <w:pPr>
        <w:pStyle w:val="BodyText"/>
      </w:pPr>
      <w:r w:rsidRPr="00C77BF3">
        <w:t xml:space="preserve">As of </w:t>
      </w:r>
      <w:r>
        <w:t>April 7, 2017</w:t>
      </w:r>
      <w:r w:rsidRPr="00C77BF3">
        <w:t xml:space="preserve">, the Utility’s general ledger reflected a </w:t>
      </w:r>
      <w:r>
        <w:t xml:space="preserve">fully amortized </w:t>
      </w:r>
      <w:r w:rsidRPr="00C77BF3">
        <w:t>CIAC balance of $</w:t>
      </w:r>
      <w:r>
        <w:t xml:space="preserve">26,625 for the water plant. No CIAC was recorded for the wastewater plant. Staff reviewed the CIAC balances and has no adjustments. </w:t>
      </w:r>
      <w:r w:rsidRPr="00C77BF3">
        <w:t>Therefore, staff recommends a CIAC balance of $</w:t>
      </w:r>
      <w:r>
        <w:t>26,625</w:t>
      </w:r>
      <w:r w:rsidRPr="00C77BF3">
        <w:t xml:space="preserve"> </w:t>
      </w:r>
      <w:r>
        <w:t xml:space="preserve">for water and $0 for wastewater </w:t>
      </w:r>
      <w:r w:rsidRPr="00C77BF3">
        <w:t>and accumulated amortization of CIAC balance of $</w:t>
      </w:r>
      <w:r>
        <w:t>26,625 for water and $0 for wastewater</w:t>
      </w:r>
      <w:r w:rsidRPr="00C77BF3">
        <w:t xml:space="preserve">, as of </w:t>
      </w:r>
      <w:r>
        <w:t>April 7, 2017</w:t>
      </w:r>
      <w:r w:rsidRPr="00C77BF3">
        <w:t>.</w:t>
      </w:r>
    </w:p>
    <w:p w:rsidR="002B6306" w:rsidRPr="002805F3" w:rsidRDefault="002B6306" w:rsidP="002B6306">
      <w:pPr>
        <w:pStyle w:val="First-LevelSubheading"/>
      </w:pPr>
      <w:r w:rsidRPr="002805F3">
        <w:t>Net Book Value</w:t>
      </w:r>
    </w:p>
    <w:p w:rsidR="002B6306" w:rsidRPr="002805F3" w:rsidRDefault="002B6306" w:rsidP="002B6306">
      <w:pPr>
        <w:pStyle w:val="BodyText"/>
      </w:pPr>
      <w:r w:rsidRPr="002805F3">
        <w:t>The Utility’s general ledger reflected NBV of $46,142 for water and $639 for wastewater. Based on the adjustments described above, staff recommends that the NBV</w:t>
      </w:r>
      <w:r w:rsidR="00F31FB1">
        <w:t xml:space="preserve"> as of April 7, 2017,</w:t>
      </w:r>
      <w:r w:rsidRPr="002805F3">
        <w:t xml:space="preserve"> for the Utility’s water system </w:t>
      </w:r>
      <w:r>
        <w:t>is</w:t>
      </w:r>
      <w:r w:rsidRPr="002805F3">
        <w:t xml:space="preserve"> $40,553</w:t>
      </w:r>
      <w:r w:rsidR="00F31FB1">
        <w:t>,</w:t>
      </w:r>
      <w:r w:rsidRPr="002805F3">
        <w:t xml:space="preserve"> and</w:t>
      </w:r>
      <w:r w:rsidR="00F31FB1">
        <w:t xml:space="preserve"> for the wastewater system is</w:t>
      </w:r>
      <w:r w:rsidRPr="002805F3">
        <w:t xml:space="preserve"> $389, for a total NBV of $40,942. Staff’s recommended NBV and the National Association of Regulatory Utility Commissioners, Uniform System of Accounts (NARUC USOA) balances for UPIS and accumulated depreciation are shown on Schedule Nos.</w:t>
      </w:r>
      <w:r>
        <w:t xml:space="preserve"> </w:t>
      </w:r>
      <w:r w:rsidRPr="002805F3">
        <w:t>1 and 2, as of April 7, 2017.</w:t>
      </w:r>
    </w:p>
    <w:p w:rsidR="002B6306" w:rsidRPr="002805F3" w:rsidRDefault="002B6306" w:rsidP="002B6306">
      <w:pPr>
        <w:pStyle w:val="First-LevelSubheading"/>
      </w:pPr>
      <w:r w:rsidRPr="002805F3">
        <w:t>Acquisition Adjustment</w:t>
      </w:r>
    </w:p>
    <w:p w:rsidR="002B6306" w:rsidRDefault="002B6306" w:rsidP="002B6306">
      <w:pPr>
        <w:pStyle w:val="BodyText"/>
      </w:pPr>
      <w:r w:rsidRPr="002805F3">
        <w:t>An acquisition adjustment results when the purchase price differs from the NBV of the assets at the time of the acquisition. The Utility and its asset</w:t>
      </w:r>
      <w:r w:rsidR="009F543B">
        <w:t xml:space="preserve">s were purchased for $141,900. </w:t>
      </w:r>
      <w:r w:rsidRPr="002805F3">
        <w:t>As stated above, staff has determined the appropriate NBV total to be $40,942. Pursuant to Rule 25-30.0371, F.A.C., a positive acquisition adjustment may be appropriate wh</w:t>
      </w:r>
      <w:r w:rsidRPr="00584591">
        <w:t>en the purchase price is greater than the NBV, and a negative acquisition adjustment may be appropriate when the purchase price is less than NBV. However, pursuant to Rule 25-30.0371(2), F.A.C., a positive acquisition adjustment shall not be included in rate base unless there is proof of ex</w:t>
      </w:r>
      <w:r>
        <w:t>traordinary circumstances. The B</w:t>
      </w:r>
      <w:r w:rsidRPr="00584591">
        <w:t>uyer did not request a positive acquisition adjustment. As such, staff recommends that no positive acquisition adjustment be approved</w:t>
      </w:r>
      <w:r>
        <w:t>.</w:t>
      </w:r>
    </w:p>
    <w:p w:rsidR="002B6306" w:rsidRDefault="002B6306" w:rsidP="002B6306">
      <w:pPr>
        <w:pStyle w:val="First-LevelSubheading"/>
      </w:pPr>
      <w:r>
        <w:t>Conclusion</w:t>
      </w:r>
    </w:p>
    <w:p w:rsidR="001259AF" w:rsidRDefault="002B6306" w:rsidP="002B6306">
      <w:pPr>
        <w:pStyle w:val="BodyText"/>
      </w:pPr>
      <w:r w:rsidRPr="00584591">
        <w:t>Based on the above, staff reco</w:t>
      </w:r>
      <w:r w:rsidRPr="002805F3">
        <w:t xml:space="preserve">mmends that the NBV </w:t>
      </w:r>
      <w:r>
        <w:t xml:space="preserve">for transfer purposes is </w:t>
      </w:r>
      <w:r w:rsidRPr="002805F3">
        <w:t>$40,</w:t>
      </w:r>
      <w:r>
        <w:t>553</w:t>
      </w:r>
      <w:r w:rsidRPr="00584591">
        <w:t xml:space="preserve"> </w:t>
      </w:r>
      <w:r w:rsidR="00F31FB1">
        <w:t xml:space="preserve">for the water system </w:t>
      </w:r>
      <w:r w:rsidRPr="00584591">
        <w:t xml:space="preserve">and </w:t>
      </w:r>
      <w:r w:rsidR="00F31FB1">
        <w:t xml:space="preserve">for the wastewater system is </w:t>
      </w:r>
      <w:r w:rsidRPr="00584591">
        <w:t>$</w:t>
      </w:r>
      <w:r>
        <w:t>389</w:t>
      </w:r>
      <w:r w:rsidR="00F31FB1">
        <w:t xml:space="preserve">, </w:t>
      </w:r>
      <w:r w:rsidRPr="00584591">
        <w:t xml:space="preserve">as of </w:t>
      </w:r>
      <w:r>
        <w:t>April 7, 2017</w:t>
      </w:r>
      <w:r w:rsidRPr="00584591">
        <w:t>. No acquisition adjustment should be included in rate base. Within 90 days of the date of the final order, the Buyer should be required to notify the Commission in writing, that it has adjusted its books in accordance with the Commission’s decision. The adjustments should be</w:t>
      </w:r>
      <w:r w:rsidR="00541BB4">
        <w:t xml:space="preserve"> reflected in the Utility’s 201</w:t>
      </w:r>
      <w:r>
        <w:t>8</w:t>
      </w:r>
      <w:r w:rsidRPr="00584591">
        <w:t xml:space="preserve"> Annual Report when filed</w:t>
      </w:r>
      <w:r>
        <w:t>.</w:t>
      </w:r>
    </w:p>
    <w:p w:rsidR="00A8572A" w:rsidRDefault="00A8572A">
      <w:pPr>
        <w:pStyle w:val="IssueHeading"/>
        <w:rPr>
          <w:vanish/>
          <w:specVanish/>
        </w:rPr>
      </w:pPr>
      <w:r w:rsidRPr="004C3641">
        <w:rPr>
          <w:b w:val="0"/>
          <w:i w:val="0"/>
        </w:rPr>
        <w:br w:type="page"/>
      </w:r>
      <w:r w:rsidRPr="004C3641">
        <w:lastRenderedPageBreak/>
        <w:t xml:space="preserve">Issue </w:t>
      </w:r>
      <w:r w:rsidR="004441A9">
        <w:fldChar w:fldCharType="begin"/>
      </w:r>
      <w:r w:rsidR="004441A9">
        <w:instrText xml:space="preserve"> SEQ Issue \* MERGEFORMAT </w:instrText>
      </w:r>
      <w:r w:rsidR="004441A9">
        <w:fldChar w:fldCharType="separate"/>
      </w:r>
      <w:r w:rsidR="00E40A76">
        <w:rPr>
          <w:noProof/>
        </w:rPr>
        <w:t>3</w:t>
      </w:r>
      <w:r w:rsidR="004441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A76">
        <w:rPr>
          <w:noProof/>
        </w:rPr>
        <w:instrText>3</w:instrText>
      </w:r>
      <w:r>
        <w:fldChar w:fldCharType="end"/>
      </w:r>
      <w:r>
        <w:tab/>
        <w:instrText xml:space="preserve">" \l 1 </w:instrText>
      </w:r>
      <w:r>
        <w:fldChar w:fldCharType="end"/>
      </w:r>
      <w:r>
        <w:t> </w:t>
      </w:r>
    </w:p>
    <w:p w:rsidR="00A8572A" w:rsidRDefault="00A8572A">
      <w:pPr>
        <w:pStyle w:val="BodyText"/>
      </w:pPr>
      <w:r>
        <w:t> </w:t>
      </w:r>
      <w:r w:rsidR="004D13F1" w:rsidRPr="004D13F1">
        <w:t>Should the requested initial customer deposits for Heath</w:t>
      </w:r>
      <w:r w:rsidR="009F543B">
        <w:t>er Hills Utilities, LLC</w:t>
      </w:r>
      <w:r w:rsidR="004D13F1" w:rsidRPr="004D13F1">
        <w:t xml:space="preserve"> be approved</w:t>
      </w:r>
      <w:r>
        <w:t>?</w:t>
      </w:r>
    </w:p>
    <w:p w:rsidR="00A8572A" w:rsidRPr="004C3641" w:rsidRDefault="00A8572A">
      <w:pPr>
        <w:pStyle w:val="IssueSubsectionHeading"/>
        <w:rPr>
          <w:vanish/>
          <w:specVanish/>
        </w:rPr>
      </w:pPr>
      <w:r w:rsidRPr="004C3641">
        <w:t>Recommendation: </w:t>
      </w:r>
    </w:p>
    <w:p w:rsidR="00A8572A" w:rsidRDefault="00A8572A">
      <w:pPr>
        <w:pStyle w:val="BodyText"/>
      </w:pPr>
      <w:r>
        <w:t> </w:t>
      </w:r>
      <w:r w:rsidR="004D13F1" w:rsidRPr="004D13F1">
        <w:t xml:space="preserve">Yes. The appropriate initial customer deposits for the residential 5/8 inch x 3/4 inch meter size meter size are </w:t>
      </w:r>
      <w:r w:rsidR="005D3BEA">
        <w:t xml:space="preserve">approximately </w:t>
      </w:r>
      <w:r w:rsidR="004D13F1" w:rsidRPr="004D13F1">
        <w:t>$</w:t>
      </w:r>
      <w:r w:rsidR="00783295">
        <w:t>78</w:t>
      </w:r>
      <w:r w:rsidR="004D13F1" w:rsidRPr="004D13F1">
        <w:t xml:space="preserve"> for water and $</w:t>
      </w:r>
      <w:r w:rsidR="00783295">
        <w:t>124</w:t>
      </w:r>
      <w:r w:rsidR="004D13F1" w:rsidRPr="004D13F1">
        <w:t xml:space="preserve"> for wastewater. The initial customer deposit for all other residential meter sizes and all</w:t>
      </w:r>
      <w:r w:rsidR="004D13F1" w:rsidRPr="004D13F1">
        <w:rPr>
          <w:bCs/>
        </w:rPr>
        <w:t xml:space="preserve"> general service meter sizes should be two times the average estimated quarterly bill for water and wastewater.</w:t>
      </w:r>
      <w:r w:rsidR="004D13F1" w:rsidRPr="004D13F1">
        <w:t xml:space="preserve"> The approved initial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 (Sibley</w:t>
      </w:r>
      <w:r w:rsidR="004D13F1">
        <w:t>)</w:t>
      </w:r>
      <w:r>
        <w:t xml:space="preserve"> </w:t>
      </w:r>
    </w:p>
    <w:p w:rsidR="00A8572A" w:rsidRPr="004C3641" w:rsidRDefault="00A8572A">
      <w:pPr>
        <w:pStyle w:val="IssueSubsectionHeading"/>
        <w:rPr>
          <w:vanish/>
          <w:specVanish/>
        </w:rPr>
      </w:pPr>
      <w:r w:rsidRPr="004C3641">
        <w:t>Staff Analysis: </w:t>
      </w:r>
    </w:p>
    <w:p w:rsidR="004D13F1" w:rsidRDefault="00A8572A" w:rsidP="004D13F1">
      <w:pPr>
        <w:jc w:val="both"/>
      </w:pPr>
      <w:r>
        <w:t> </w:t>
      </w:r>
      <w:r w:rsidR="004D13F1">
        <w:t>Rule 25-30.311, F.A.C., contains criteria for collecting, administering, and refunding customer deposits. Rule 25-30.311(1), F.A.C., requires that each company’s tariff shall contain its specific criteria for determining the amount of initial deposits. Currently, Heather Hills is not authorized to collect initial customer deposits.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4D13F1" w:rsidRDefault="004D13F1" w:rsidP="004D13F1">
      <w:pPr>
        <w:jc w:val="both"/>
      </w:pPr>
    </w:p>
    <w:p w:rsidR="004D13F1" w:rsidRDefault="004D13F1" w:rsidP="004D13F1">
      <w:pPr>
        <w:jc w:val="both"/>
      </w:pPr>
      <w:r>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billing periods based on the average consumption for a 12-month perio</w:t>
      </w:r>
      <w:r w:rsidR="00560719">
        <w:t>d for each class of customers.</w:t>
      </w:r>
      <w:r w:rsidR="009D143C">
        <w:rPr>
          <w:rStyle w:val="FootnoteReference"/>
        </w:rPr>
        <w:footnoteReference w:id="13"/>
      </w:r>
      <w:r w:rsidR="00560719">
        <w:t xml:space="preserve"> </w:t>
      </w:r>
      <w:r>
        <w:t>The Utility’s average monthly residential usage is 1,166 gallons per customer. Heather Hills bills on a quarterly basis; therefore, the average residential bill for two billing periods is approximately $</w:t>
      </w:r>
      <w:r w:rsidR="00783295">
        <w:t>78</w:t>
      </w:r>
      <w:r>
        <w:t xml:space="preserve"> for water and $</w:t>
      </w:r>
      <w:r w:rsidR="00783295">
        <w:t>124</w:t>
      </w:r>
      <w:r>
        <w:t xml:space="preserve"> for wastewater. </w:t>
      </w:r>
    </w:p>
    <w:p w:rsidR="004D13F1" w:rsidRDefault="004D13F1" w:rsidP="004D13F1">
      <w:pPr>
        <w:jc w:val="both"/>
      </w:pPr>
    </w:p>
    <w:p w:rsidR="00A8572A" w:rsidRDefault="004D13F1" w:rsidP="004D13F1">
      <w:pPr>
        <w:pStyle w:val="BodyText"/>
      </w:pPr>
      <w:r>
        <w:t xml:space="preserve">Based on the above, the appropriate initial customer deposits for the residential 5/8 inch x 3/4 inch meter size are </w:t>
      </w:r>
      <w:r w:rsidR="005D3BEA">
        <w:t xml:space="preserve">approximately </w:t>
      </w:r>
      <w:r>
        <w:t>$</w:t>
      </w:r>
      <w:r w:rsidR="00783295">
        <w:t>78</w:t>
      </w:r>
      <w:r>
        <w:t xml:space="preserve"> for water and $</w:t>
      </w:r>
      <w:r w:rsidR="00783295">
        <w:t>124</w:t>
      </w:r>
      <w:r>
        <w:t xml:space="preserve"> for wastewater. The initial customer deposit for all other residential meter sizes and all general service meter sizes should be two times the average estimated quarterly bill for water and wastewater. The approved initial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rsidR="00A8572A" w:rsidRDefault="00A8572A">
      <w:pPr>
        <w:pStyle w:val="IssueHeading"/>
        <w:rPr>
          <w:vanish/>
          <w:specVanish/>
        </w:rPr>
      </w:pPr>
      <w:r w:rsidRPr="004C3641">
        <w:rPr>
          <w:b w:val="0"/>
          <w:i w:val="0"/>
        </w:rPr>
        <w:br w:type="page"/>
      </w:r>
      <w:r w:rsidRPr="004C3641">
        <w:lastRenderedPageBreak/>
        <w:t xml:space="preserve">Issue </w:t>
      </w:r>
      <w:r w:rsidR="004441A9">
        <w:fldChar w:fldCharType="begin"/>
      </w:r>
      <w:r w:rsidR="004441A9">
        <w:instrText xml:space="preserve"> SEQ Issue \* MERGEFORMAT </w:instrText>
      </w:r>
      <w:r w:rsidR="004441A9">
        <w:fldChar w:fldCharType="separate"/>
      </w:r>
      <w:r w:rsidR="00E40A76">
        <w:rPr>
          <w:noProof/>
        </w:rPr>
        <w:t>4</w:t>
      </w:r>
      <w:r w:rsidR="004441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A76">
        <w:rPr>
          <w:noProof/>
        </w:rPr>
        <w:instrText>4</w:instrText>
      </w:r>
      <w:r>
        <w:fldChar w:fldCharType="end"/>
      </w:r>
      <w:r>
        <w:tab/>
        <w:instrText xml:space="preserve">" \l 1 </w:instrText>
      </w:r>
      <w:r>
        <w:fldChar w:fldCharType="end"/>
      </w:r>
      <w:r>
        <w:t> </w:t>
      </w:r>
    </w:p>
    <w:p w:rsidR="00A8572A" w:rsidRDefault="00A8572A">
      <w:pPr>
        <w:pStyle w:val="BodyText"/>
      </w:pPr>
      <w:r>
        <w:t> Should the corrected legal description of the original Heather Hills water and wastewater service territory shown in Attachment A be approved?</w:t>
      </w:r>
    </w:p>
    <w:p w:rsidR="00A8572A" w:rsidRPr="004C3641" w:rsidRDefault="00A8572A">
      <w:pPr>
        <w:pStyle w:val="IssueSubsectionHeading"/>
        <w:rPr>
          <w:vanish/>
          <w:specVanish/>
        </w:rPr>
      </w:pPr>
      <w:r w:rsidRPr="004C3641">
        <w:t>Recommendation: </w:t>
      </w:r>
    </w:p>
    <w:p w:rsidR="00A8572A" w:rsidRDefault="00A8572A">
      <w:pPr>
        <w:pStyle w:val="BodyText"/>
      </w:pPr>
      <w:r>
        <w:t> </w:t>
      </w:r>
      <w:r w:rsidR="00453152" w:rsidRPr="00453152">
        <w:t xml:space="preserve">Yes. The corrected legal description of the original </w:t>
      </w:r>
      <w:proofErr w:type="gramStart"/>
      <w:r w:rsidR="00453152">
        <w:t>Heather Hills</w:t>
      </w:r>
      <w:proofErr w:type="gramEnd"/>
      <w:r w:rsidR="00453152" w:rsidRPr="00453152">
        <w:t xml:space="preserve"> water and wastewater service territory shown in A</w:t>
      </w:r>
      <w:r w:rsidR="00453152">
        <w:t>ttachment A</w:t>
      </w:r>
      <w:r w:rsidR="0073421D">
        <w:t>, which removes the golf course clubhouse/restaurant,</w:t>
      </w:r>
      <w:r w:rsidR="00453152">
        <w:t xml:space="preserve"> should be approved.</w:t>
      </w:r>
      <w:r w:rsidR="00453152" w:rsidRPr="00453152">
        <w:t xml:space="preserve"> The resulting order should serve as Certificate Nos. 577-W and 498-S and should be retained by Heather Hil</w:t>
      </w:r>
      <w:r w:rsidR="00560719">
        <w:t xml:space="preserve">ls Utilities, LLC. </w:t>
      </w:r>
      <w:r w:rsidR="00453152" w:rsidRPr="00453152">
        <w:t>(</w:t>
      </w:r>
      <w:r w:rsidR="00453152">
        <w:t>M. Watts</w:t>
      </w:r>
      <w:r w:rsidR="00453152" w:rsidRPr="00453152">
        <w:t xml:space="preserve">, </w:t>
      </w:r>
      <w:r w:rsidR="00453152">
        <w:t>Trierweiler)</w:t>
      </w:r>
      <w:r>
        <w:t xml:space="preserve"> </w:t>
      </w:r>
    </w:p>
    <w:p w:rsidR="00A8572A" w:rsidRPr="004C3641" w:rsidRDefault="00A8572A">
      <w:pPr>
        <w:pStyle w:val="IssueSubsectionHeading"/>
        <w:rPr>
          <w:vanish/>
          <w:specVanish/>
        </w:rPr>
      </w:pPr>
      <w:r w:rsidRPr="004C3641">
        <w:t>Staff Analysis: </w:t>
      </w:r>
    </w:p>
    <w:p w:rsidR="00964FDF" w:rsidRDefault="00A8572A" w:rsidP="00453152">
      <w:pPr>
        <w:pStyle w:val="BodyText"/>
      </w:pPr>
      <w:r>
        <w:t> </w:t>
      </w:r>
      <w:r w:rsidR="00453152">
        <w:t>The Commission approved the legal description of the Heather Hills water and wastewater service territory in</w:t>
      </w:r>
      <w:r w:rsidR="00964FDF">
        <w:t xml:space="preserve"> Docket No. 951533-WS</w:t>
      </w:r>
      <w:r w:rsidR="00964FDF">
        <w:rPr>
          <w:rStyle w:val="FootnoteReference"/>
        </w:rPr>
        <w:footnoteReference w:id="14"/>
      </w:r>
      <w:r w:rsidR="00964FDF">
        <w:t xml:space="preserve"> (the</w:t>
      </w:r>
      <w:r w:rsidR="00453152">
        <w:t xml:space="preserve"> grandfather </w:t>
      </w:r>
      <w:r w:rsidR="00964FDF">
        <w:t>docket)</w:t>
      </w:r>
      <w:r w:rsidR="00E86CE7">
        <w:t xml:space="preserve"> in 1996</w:t>
      </w:r>
      <w:r w:rsidR="00453152">
        <w:t xml:space="preserve"> </w:t>
      </w:r>
      <w:r w:rsidR="00964FDF">
        <w:t>after</w:t>
      </w:r>
      <w:r w:rsidR="00453152">
        <w:t xml:space="preserve"> Manatee County turned jurisdiction over to the Commission in 19</w:t>
      </w:r>
      <w:r w:rsidR="00E86CE7">
        <w:t>95</w:t>
      </w:r>
      <w:r w:rsidR="00453152">
        <w:t>.</w:t>
      </w:r>
      <w:r w:rsidR="00964FDF">
        <w:rPr>
          <w:rStyle w:val="FootnoteReference"/>
        </w:rPr>
        <w:footnoteReference w:id="15"/>
      </w:r>
      <w:r w:rsidR="00453152">
        <w:t xml:space="preserve"> </w:t>
      </w:r>
      <w:r w:rsidR="00964FDF">
        <w:t xml:space="preserve">While investigating an issue raised by a customer of Heather Hills in the instant docket, staff learned that a portion of the territory description provided by the applicant in the grandfather docket </w:t>
      </w:r>
      <w:r w:rsidR="00EA3723">
        <w:t xml:space="preserve">was </w:t>
      </w:r>
      <w:r w:rsidR="00964FDF">
        <w:t>in error</w:t>
      </w:r>
      <w:r w:rsidR="00453152">
        <w:t xml:space="preserve">. The original territory description includes the </w:t>
      </w:r>
      <w:r w:rsidR="00964FDF">
        <w:t>following:</w:t>
      </w:r>
    </w:p>
    <w:p w:rsidR="00964FDF" w:rsidRDefault="00964FDF" w:rsidP="00271BF5">
      <w:pPr>
        <w:pStyle w:val="BodyText"/>
        <w:spacing w:after="0"/>
        <w:ind w:left="720" w:right="990"/>
      </w:pPr>
      <w:r>
        <w:t>Section 12, Township 35S, Range 17E</w:t>
      </w:r>
    </w:p>
    <w:p w:rsidR="004A0A03" w:rsidRDefault="004A0A03" w:rsidP="00271BF5">
      <w:pPr>
        <w:pStyle w:val="BodyText"/>
        <w:spacing w:after="0"/>
        <w:ind w:left="720" w:right="990"/>
      </w:pPr>
    </w:p>
    <w:p w:rsidR="00964FDF" w:rsidRDefault="00964FDF" w:rsidP="00271BF5">
      <w:pPr>
        <w:pStyle w:val="BodyText"/>
        <w:spacing w:after="0"/>
        <w:ind w:left="720" w:right="990"/>
      </w:pPr>
      <w:r>
        <w:t xml:space="preserve">From the NW corner of the SW 1/4 of the SW 1/4 of the NW 1/4 run due East 170.0 feet to the Point of Beginning; </w:t>
      </w:r>
    </w:p>
    <w:p w:rsidR="004A0A03" w:rsidRDefault="004A0A03" w:rsidP="00D25FB4">
      <w:pPr>
        <w:pStyle w:val="BodyText"/>
        <w:spacing w:after="0"/>
        <w:ind w:left="720" w:right="990"/>
      </w:pPr>
    </w:p>
    <w:p w:rsidR="00964FDF" w:rsidRDefault="00964FDF" w:rsidP="00271BF5">
      <w:pPr>
        <w:pStyle w:val="BodyText"/>
        <w:ind w:left="720" w:right="990"/>
      </w:pPr>
      <w:r>
        <w:t>thence due North 50.0 feet; thence due East 100.0 feet; thence due South 100.0 feet; thence due West 100.0 feet; thence due North 50.0 feet to the Point of Beginning.</w:t>
      </w:r>
    </w:p>
    <w:p w:rsidR="00453152" w:rsidRDefault="00964FDF" w:rsidP="00453152">
      <w:pPr>
        <w:pStyle w:val="BodyText"/>
      </w:pPr>
      <w:r>
        <w:t>This is a 100-square-foot parcel across the street from the Heather Hills subdivision on which a golf course clubhouse</w:t>
      </w:r>
      <w:r w:rsidR="004E4682">
        <w:t>/restaurant</w:t>
      </w:r>
      <w:r>
        <w:t xml:space="preserve"> is located.</w:t>
      </w:r>
      <w:r w:rsidR="00453152">
        <w:t xml:space="preserve"> </w:t>
      </w:r>
      <w:r>
        <w:t>The clubhouse is cited in the grandfather docket as one of the applicant’</w:t>
      </w:r>
      <w:r w:rsidR="005A616C">
        <w:t>s water customers, but is currently served by Manatee County.</w:t>
      </w:r>
    </w:p>
    <w:p w:rsidR="005A616C" w:rsidRDefault="005A616C" w:rsidP="00453152">
      <w:pPr>
        <w:pStyle w:val="BodyText"/>
      </w:pPr>
      <w:r>
        <w:t>Staff contacted Manatee County regarding the matter, and received the following response</w:t>
      </w:r>
      <w:r w:rsidR="009E6DB2">
        <w:t xml:space="preserve"> clarifying the situation from the Manatee County Water Division Manager:</w:t>
      </w:r>
    </w:p>
    <w:p w:rsidR="009E6DB2" w:rsidRDefault="009E6DB2" w:rsidP="00271BF5">
      <w:pPr>
        <w:pStyle w:val="BodyText"/>
        <w:ind w:left="720" w:right="720"/>
      </w:pPr>
      <w:r>
        <w:t xml:space="preserve">Per the 'grandfather certificate' document from the PSC (Docket </w:t>
      </w:r>
      <w:proofErr w:type="gramStart"/>
      <w:r>
        <w:t>No</w:t>
      </w:r>
      <w:proofErr w:type="gramEnd"/>
      <w:r>
        <w:t xml:space="preserve">. 951533-WS, Order No. PSC-96-0434-FOF-WS, Issued March 28, 1996) you provided, a copy of which is attached, </w:t>
      </w:r>
      <w:proofErr w:type="gramStart"/>
      <w:r>
        <w:t>the</w:t>
      </w:r>
      <w:proofErr w:type="gramEnd"/>
      <w:r>
        <w:t xml:space="preserve"> questions seem to originate from the description of the 'Heather Hills Utility' as included in the BACKGROUND section of the document. That description (top of second page) states:</w:t>
      </w:r>
    </w:p>
    <w:p w:rsidR="009E6DB2" w:rsidRDefault="009E6DB2" w:rsidP="00271BF5">
      <w:pPr>
        <w:pStyle w:val="BodyText"/>
        <w:ind w:left="1080" w:right="1440"/>
      </w:pPr>
      <w:r>
        <w:t xml:space="preserve">"Keith and Clara Starkey d/b/s Heather Hills Estates (Heather Hills or utility) was established in 1967 to serve water and wastewater customers within the Heather Hills Estates in Manatee County, Florida. Heather Hills, a Class C utility serves 353 single family </w:t>
      </w:r>
      <w:r>
        <w:lastRenderedPageBreak/>
        <w:t>residential customers, a club house, and a golf course clubhouse/restaurant for an approximate total of 355 water customers and 354 wastewater customers. The golf course furnishes its own wastewater service."</w:t>
      </w:r>
    </w:p>
    <w:p w:rsidR="004D1D8D" w:rsidRDefault="009E6DB2" w:rsidP="004D1D8D">
      <w:pPr>
        <w:pStyle w:val="BodyText"/>
        <w:spacing w:after="0"/>
        <w:ind w:left="720" w:right="720"/>
      </w:pPr>
      <w:r>
        <w:t>It appears that this description of the original</w:t>
      </w:r>
      <w:r w:rsidR="00541BB4">
        <w:t xml:space="preserve"> </w:t>
      </w:r>
      <w:r>
        <w:t>1967 configuration of the Heather Hills Utility was erroneously used in the 1996 application to the PSC for a Grandfather Certificate for Heather Hills. In 1967, the Manatee County Utilities System was just being formed and water service was likely not yet available to Heather Hills. There were various privately owned utilities that provided water to area residents at that time. These primarily consisted of groundwater wells, storage systems and chlorination systems. In 1967 Heather Hills Utilities may have received bulk water from one of these or may have had a well system of its own to serve the residences, the clubhouse and the golf course clubhouse restaurant. However, by the time of 1995 application to the PSC the golf course clubhouse/restaurant had been served directly by Manatee County Utilities for over 10 years. The single family residences and the clubhouse were being, and still are, provided bulk water from Manatee County through a separate master meter.</w:t>
      </w:r>
      <w:r>
        <w:rPr>
          <w:rStyle w:val="FootnoteReference"/>
        </w:rPr>
        <w:footnoteReference w:id="16"/>
      </w:r>
    </w:p>
    <w:p w:rsidR="004D1D8D" w:rsidRDefault="004D1D8D" w:rsidP="004D1D8D">
      <w:pPr>
        <w:pStyle w:val="BodyText"/>
        <w:spacing w:after="0"/>
        <w:ind w:right="720"/>
      </w:pPr>
    </w:p>
    <w:p w:rsidR="00453152" w:rsidRDefault="00453152" w:rsidP="00124C3C">
      <w:pPr>
        <w:pStyle w:val="BodyText"/>
        <w:spacing w:after="0"/>
      </w:pPr>
      <w:r>
        <w:t xml:space="preserve">Since </w:t>
      </w:r>
      <w:r w:rsidR="004E4682">
        <w:t xml:space="preserve">neither </w:t>
      </w:r>
      <w:r>
        <w:t xml:space="preserve">the Utility </w:t>
      </w:r>
      <w:r w:rsidR="004E4682">
        <w:t xml:space="preserve">nor its predecessors </w:t>
      </w:r>
      <w:r>
        <w:t xml:space="preserve">has been serving the affected customer since </w:t>
      </w:r>
      <w:r w:rsidR="004E4682">
        <w:t>the water certificate for the system was first issued by the Commission in 1996, and since Manatee County has in fact been serving this customer throughout this time period</w:t>
      </w:r>
      <w:r>
        <w:t xml:space="preserve">, staff believes that </w:t>
      </w:r>
      <w:r w:rsidR="004E4682">
        <w:t>the original territory description submitted in the grandfather docket erroneously included the golf course clubhouse/restaurant.</w:t>
      </w:r>
    </w:p>
    <w:p w:rsidR="00271BF5" w:rsidRDefault="00271BF5" w:rsidP="00271BF5">
      <w:pPr>
        <w:pStyle w:val="BodyText"/>
        <w:spacing w:after="0"/>
      </w:pPr>
    </w:p>
    <w:p w:rsidR="00A8572A" w:rsidRDefault="00453152" w:rsidP="00453152">
      <w:pPr>
        <w:pStyle w:val="BodyText"/>
      </w:pPr>
      <w:r>
        <w:t xml:space="preserve">Based on the above, staff recommends that the </w:t>
      </w:r>
      <w:r w:rsidRPr="00453152">
        <w:t xml:space="preserve">corrected legal description of the original </w:t>
      </w:r>
      <w:proofErr w:type="gramStart"/>
      <w:r>
        <w:t>Heather Hills</w:t>
      </w:r>
      <w:proofErr w:type="gramEnd"/>
      <w:r w:rsidRPr="00453152">
        <w:t xml:space="preserve"> water and wastewater service territory shown in A</w:t>
      </w:r>
      <w:r>
        <w:t>ttachment A</w:t>
      </w:r>
      <w:r w:rsidR="0073421D">
        <w:t xml:space="preserve">, which removes the golf course clubhouse/restaurant, </w:t>
      </w:r>
      <w:r>
        <w:t>should be approved.</w:t>
      </w:r>
      <w:r w:rsidRPr="00453152">
        <w:t xml:space="preserve"> The resulting order should serve as Certificate Nos. 577-W and 498-S and should be retained by Heather Hills Utilities, LLC</w:t>
      </w:r>
      <w:r>
        <w:t>.</w:t>
      </w:r>
    </w:p>
    <w:p w:rsidR="00A8572A" w:rsidRDefault="00A8572A">
      <w:pPr>
        <w:pStyle w:val="IssueHeading"/>
        <w:rPr>
          <w:vanish/>
          <w:specVanish/>
        </w:rPr>
      </w:pPr>
      <w:r w:rsidRPr="004C3641">
        <w:rPr>
          <w:b w:val="0"/>
          <w:i w:val="0"/>
        </w:rPr>
        <w:br w:type="page"/>
      </w:r>
      <w:r w:rsidRPr="004C3641">
        <w:lastRenderedPageBreak/>
        <w:t xml:space="preserve">Issue </w:t>
      </w:r>
      <w:r w:rsidR="004441A9">
        <w:fldChar w:fldCharType="begin"/>
      </w:r>
      <w:r w:rsidR="004441A9">
        <w:instrText xml:space="preserve"> SEQ Issue \* MERGEFORMAT </w:instrText>
      </w:r>
      <w:r w:rsidR="004441A9">
        <w:fldChar w:fldCharType="separate"/>
      </w:r>
      <w:r w:rsidR="00E40A76">
        <w:rPr>
          <w:noProof/>
        </w:rPr>
        <w:t>5</w:t>
      </w:r>
      <w:r w:rsidR="004441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0A76">
        <w:rPr>
          <w:noProof/>
        </w:rPr>
        <w:instrText>5</w:instrText>
      </w:r>
      <w:r>
        <w:fldChar w:fldCharType="end"/>
      </w:r>
      <w:r>
        <w:tab/>
        <w:instrText xml:space="preserve">" \l 1 </w:instrText>
      </w:r>
      <w:r>
        <w:fldChar w:fldCharType="end"/>
      </w:r>
      <w:r>
        <w:t> </w:t>
      </w:r>
    </w:p>
    <w:p w:rsidR="00A8572A" w:rsidRDefault="00A8572A">
      <w:pPr>
        <w:pStyle w:val="BodyText"/>
      </w:pPr>
      <w:r>
        <w:t> Should this docket be closed?</w:t>
      </w:r>
    </w:p>
    <w:p w:rsidR="00A8572A" w:rsidRPr="004C3641" w:rsidRDefault="00A8572A">
      <w:pPr>
        <w:pStyle w:val="IssueSubsectionHeading"/>
        <w:rPr>
          <w:vanish/>
          <w:specVanish/>
        </w:rPr>
      </w:pPr>
      <w:r w:rsidRPr="004C3641">
        <w:t>Recommendation: </w:t>
      </w:r>
    </w:p>
    <w:p w:rsidR="00A8572A" w:rsidRDefault="00A8572A">
      <w:pPr>
        <w:pStyle w:val="BodyText"/>
      </w:pPr>
      <w:r>
        <w:t> </w:t>
      </w:r>
      <w:r w:rsidR="00453152" w:rsidRPr="00281E97">
        <w:t xml:space="preserve">If no protest to the proposed agency action is filed by a substantially affected person within 21 days of the date of the issuance of the </w:t>
      </w:r>
      <w:r w:rsidR="00453152">
        <w:t>o</w:t>
      </w:r>
      <w:r w:rsidR="00453152" w:rsidRPr="00281E97">
        <w:t>rder, a consummating order should be issued and the docket should be closed administratively upon Commission staff’s verification that the revised tariff sheets have been filed</w:t>
      </w:r>
      <w:r w:rsidR="00453152">
        <w:t xml:space="preserve"> and the Buyer has notified the Commission in writing that it has adjusted its books in accordance with the Commission’s decision</w:t>
      </w:r>
      <w:r w:rsidR="00453152" w:rsidRPr="00281E97">
        <w:t>. (</w:t>
      </w:r>
      <w:r w:rsidR="00453152">
        <w:t>Trierweiler)</w:t>
      </w:r>
      <w:r>
        <w:t xml:space="preserve"> </w:t>
      </w:r>
    </w:p>
    <w:p w:rsidR="00A8572A" w:rsidRPr="004C3641" w:rsidRDefault="00A8572A">
      <w:pPr>
        <w:pStyle w:val="IssueSubsectionHeading"/>
        <w:rPr>
          <w:vanish/>
          <w:specVanish/>
        </w:rPr>
      </w:pPr>
      <w:r w:rsidRPr="004C3641">
        <w:t>Staff Analysis: </w:t>
      </w:r>
    </w:p>
    <w:p w:rsidR="00A8572A" w:rsidRDefault="00A8572A">
      <w:pPr>
        <w:pStyle w:val="BodyText"/>
      </w:pPr>
      <w:r>
        <w:t> </w:t>
      </w:r>
      <w:r w:rsidR="00453152" w:rsidRPr="00281E97">
        <w:t xml:space="preserve">If no protest to the proposed agency action is filed by a substantially affected person within 21 days of the date of the issuance of the </w:t>
      </w:r>
      <w:r w:rsidR="00453152">
        <w:t>o</w:t>
      </w:r>
      <w:r w:rsidR="00453152" w:rsidRPr="00281E97">
        <w:t>rder, a consummating order should be issued and the docket should be closed administratively upon Commission staff’s verification that the revised tariff sheets have been filed</w:t>
      </w:r>
      <w:r w:rsidR="00453152">
        <w:t xml:space="preserve"> and the Buyer has notified the Commission in writing that it has adjusted its books in accordance with the Commission’s decision.</w:t>
      </w:r>
    </w:p>
    <w:p w:rsidR="00CA65C9" w:rsidRDefault="00CA65C9">
      <w:pPr>
        <w:pStyle w:val="BodyText"/>
      </w:pPr>
    </w:p>
    <w:p w:rsidR="00EA589A" w:rsidRDefault="00EA589A" w:rsidP="00E275D8">
      <w:pPr>
        <w:pStyle w:val="BodyText"/>
        <w:sectPr w:rsidR="00EA589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A65C9" w:rsidRDefault="00CA65C9" w:rsidP="00CA65C9">
      <w:pPr>
        <w:pStyle w:val="BodyText"/>
        <w:tabs>
          <w:tab w:val="left" w:pos="7380"/>
        </w:tabs>
        <w:spacing w:after="0"/>
        <w:jc w:val="center"/>
        <w:rPr>
          <w:b/>
        </w:rPr>
      </w:pPr>
      <w:r>
        <w:rPr>
          <w:b/>
        </w:rPr>
        <w:lastRenderedPageBreak/>
        <w:tab/>
      </w:r>
      <w:r>
        <w:rPr>
          <w:b/>
        </w:rPr>
        <w:tab/>
      </w:r>
      <w:r>
        <w:rPr>
          <w:b/>
        </w:rPr>
        <w:tab/>
      </w:r>
      <w:r>
        <w:rPr>
          <w:b/>
        </w:rPr>
        <w:tab/>
      </w:r>
    </w:p>
    <w:p w:rsidR="00CA65C9" w:rsidRDefault="00CA65C9" w:rsidP="00CA65C9">
      <w:pPr>
        <w:pStyle w:val="BodyText"/>
        <w:spacing w:after="0"/>
        <w:jc w:val="center"/>
        <w:rPr>
          <w:b/>
        </w:rPr>
      </w:pPr>
    </w:p>
    <w:p w:rsidR="00CA65C9" w:rsidRDefault="00CA65C9" w:rsidP="00CA65C9">
      <w:pPr>
        <w:pStyle w:val="BodyText"/>
        <w:spacing w:after="0"/>
        <w:jc w:val="center"/>
        <w:rPr>
          <w:b/>
        </w:rPr>
      </w:pPr>
    </w:p>
    <w:p w:rsidR="00CA65C9" w:rsidRDefault="00CA65C9" w:rsidP="00CA65C9">
      <w:pPr>
        <w:pStyle w:val="BodyText"/>
        <w:spacing w:after="0"/>
        <w:jc w:val="center"/>
        <w:rPr>
          <w:b/>
        </w:rPr>
      </w:pPr>
      <w:r>
        <w:rPr>
          <w:b/>
        </w:rPr>
        <w:t>TERRITORY DESCRIPTION</w:t>
      </w:r>
    </w:p>
    <w:p w:rsidR="00CA65C9" w:rsidRDefault="00CA65C9" w:rsidP="00CA65C9">
      <w:pPr>
        <w:pStyle w:val="BodyText"/>
        <w:spacing w:after="0"/>
        <w:jc w:val="center"/>
        <w:rPr>
          <w:b/>
        </w:rPr>
      </w:pPr>
      <w:r>
        <w:rPr>
          <w:b/>
        </w:rPr>
        <w:t>Heather Hills Utilities, LLC</w:t>
      </w:r>
    </w:p>
    <w:p w:rsidR="00CA65C9" w:rsidRDefault="00CA65C9" w:rsidP="00CA65C9">
      <w:pPr>
        <w:pStyle w:val="BodyText"/>
        <w:spacing w:after="0"/>
        <w:jc w:val="center"/>
        <w:rPr>
          <w:b/>
        </w:rPr>
      </w:pPr>
      <w:r>
        <w:rPr>
          <w:b/>
        </w:rPr>
        <w:t>Manatee County</w:t>
      </w:r>
    </w:p>
    <w:p w:rsidR="00CA65C9" w:rsidRDefault="00CA65C9" w:rsidP="00CA65C9">
      <w:pPr>
        <w:pStyle w:val="BodyText"/>
        <w:spacing w:after="0"/>
        <w:jc w:val="center"/>
        <w:rPr>
          <w:b/>
        </w:rPr>
      </w:pPr>
      <w:r>
        <w:rPr>
          <w:b/>
        </w:rPr>
        <w:t>Water and Wastewater Service</w:t>
      </w:r>
    </w:p>
    <w:p w:rsidR="00CA65C9" w:rsidRDefault="00CA65C9" w:rsidP="00CA65C9">
      <w:pPr>
        <w:pStyle w:val="BodyText"/>
        <w:jc w:val="center"/>
        <w:rPr>
          <w:b/>
        </w:rPr>
      </w:pPr>
    </w:p>
    <w:p w:rsidR="00CA65C9" w:rsidRPr="00931B69" w:rsidRDefault="00CA65C9" w:rsidP="00CA65C9">
      <w:pPr>
        <w:keepNext/>
        <w:jc w:val="both"/>
        <w:outlineLvl w:val="1"/>
        <w:rPr>
          <w:rFonts w:cs="Arial"/>
          <w:b/>
          <w:bCs/>
          <w:iCs/>
        </w:rPr>
      </w:pPr>
      <w:r w:rsidRPr="00931B69">
        <w:rPr>
          <w:rFonts w:cs="Arial"/>
          <w:b/>
          <w:bCs/>
          <w:iCs/>
        </w:rPr>
        <w:t>Township 35 South, Range 17 East</w:t>
      </w:r>
    </w:p>
    <w:p w:rsidR="00CA65C9" w:rsidRPr="00931B69" w:rsidRDefault="00CA65C9" w:rsidP="00CA65C9">
      <w:pPr>
        <w:keepNext/>
        <w:jc w:val="both"/>
        <w:outlineLvl w:val="1"/>
        <w:rPr>
          <w:rFonts w:cs="Arial"/>
          <w:b/>
          <w:bCs/>
          <w:iCs/>
          <w:u w:val="single"/>
        </w:rPr>
      </w:pPr>
      <w:r w:rsidRPr="00931B69">
        <w:rPr>
          <w:rFonts w:cs="Arial"/>
          <w:b/>
          <w:bCs/>
          <w:iCs/>
          <w:u w:val="single"/>
        </w:rPr>
        <w:t>Section 11</w:t>
      </w:r>
    </w:p>
    <w:p w:rsidR="00CA65C9" w:rsidRPr="00931B69" w:rsidRDefault="00CA65C9" w:rsidP="00CA65C9">
      <w:pPr>
        <w:ind w:firstLine="720"/>
        <w:jc w:val="both"/>
      </w:pPr>
    </w:p>
    <w:p w:rsidR="00CA65C9" w:rsidRPr="00931B69" w:rsidRDefault="00CA65C9" w:rsidP="00CA65C9">
      <w:pPr>
        <w:keepNext/>
        <w:jc w:val="both"/>
        <w:outlineLvl w:val="1"/>
        <w:rPr>
          <w:rFonts w:cs="Arial"/>
          <w:bCs/>
          <w:iCs/>
        </w:rPr>
      </w:pPr>
      <w:r w:rsidRPr="00931B69">
        <w:rPr>
          <w:rFonts w:cs="Arial"/>
          <w:bCs/>
          <w:iCs/>
        </w:rPr>
        <w:t>The NE 1/4 of the SE 1/4 and the South 1/2 of the SE 1/4 of the NE 1/4.</w:t>
      </w:r>
    </w:p>
    <w:p w:rsidR="00CA65C9" w:rsidRPr="00931B69" w:rsidRDefault="00CA65C9" w:rsidP="00CA65C9">
      <w:pPr>
        <w:ind w:firstLine="720"/>
        <w:jc w:val="both"/>
      </w:pPr>
    </w:p>
    <w:p w:rsidR="00CA65C9" w:rsidRDefault="00CA65C9" w:rsidP="00CA65C9">
      <w:pPr>
        <w:pStyle w:val="BodyText"/>
        <w:spacing w:after="0"/>
      </w:pPr>
    </w:p>
    <w:p w:rsidR="000B43DD" w:rsidRDefault="000B43DD" w:rsidP="00CA65C9">
      <w:pPr>
        <w:pStyle w:val="BodyText"/>
        <w:spacing w:after="0"/>
        <w:jc w:val="center"/>
        <w:rPr>
          <w:b/>
        </w:rPr>
        <w:sectPr w:rsidR="000B43DD" w:rsidSect="00CA65C9">
          <w:headerReference w:type="default" r:id="rId15"/>
          <w:pgSz w:w="12240" w:h="15840"/>
          <w:pgMar w:top="1440" w:right="1440" w:bottom="1440" w:left="1440" w:header="720" w:footer="720" w:gutter="0"/>
          <w:cols w:space="720"/>
          <w:docGrid w:linePitch="360"/>
        </w:sectPr>
      </w:pPr>
    </w:p>
    <w:p w:rsidR="00CA65C9" w:rsidRDefault="00CA65C9" w:rsidP="00CA65C9">
      <w:pPr>
        <w:pStyle w:val="BodyText"/>
        <w:spacing w:after="0"/>
        <w:jc w:val="center"/>
        <w:rPr>
          <w:b/>
        </w:rPr>
      </w:pPr>
    </w:p>
    <w:p w:rsidR="00CA65C9" w:rsidRDefault="00CA65C9" w:rsidP="00CA65C9">
      <w:pPr>
        <w:pStyle w:val="BodyText"/>
        <w:spacing w:after="0"/>
        <w:jc w:val="center"/>
        <w:rPr>
          <w:b/>
        </w:rPr>
      </w:pPr>
    </w:p>
    <w:p w:rsidR="00E36103" w:rsidRDefault="00E36103" w:rsidP="00CA65C9">
      <w:pPr>
        <w:pStyle w:val="BodyText"/>
        <w:spacing w:after="0"/>
        <w:jc w:val="center"/>
        <w:rPr>
          <w:b/>
        </w:rPr>
      </w:pPr>
    </w:p>
    <w:p w:rsidR="00CA65C9" w:rsidRDefault="00CA65C9" w:rsidP="00CA65C9">
      <w:pPr>
        <w:pStyle w:val="BodyText"/>
        <w:spacing w:after="0"/>
        <w:jc w:val="center"/>
        <w:rPr>
          <w:b/>
        </w:rPr>
      </w:pPr>
      <w:r>
        <w:rPr>
          <w:b/>
        </w:rPr>
        <w:t>FLORIDA PUBLIC SERVICE COMMISSION</w:t>
      </w:r>
    </w:p>
    <w:p w:rsidR="00CA65C9" w:rsidRDefault="00CA65C9" w:rsidP="00CA65C9">
      <w:pPr>
        <w:jc w:val="center"/>
        <w:rPr>
          <w:b/>
        </w:rPr>
      </w:pPr>
      <w:proofErr w:type="gramStart"/>
      <w:r>
        <w:rPr>
          <w:b/>
        </w:rPr>
        <w:t>authorizes</w:t>
      </w:r>
      <w:proofErr w:type="gramEnd"/>
    </w:p>
    <w:p w:rsidR="00CA65C9" w:rsidRDefault="00CA65C9" w:rsidP="00CA65C9">
      <w:pPr>
        <w:jc w:val="center"/>
        <w:rPr>
          <w:b/>
        </w:rPr>
      </w:pPr>
      <w:r>
        <w:rPr>
          <w:b/>
        </w:rPr>
        <w:t>Heather Hills Utilities, LLC</w:t>
      </w:r>
    </w:p>
    <w:p w:rsidR="00CA65C9" w:rsidRDefault="00CA65C9" w:rsidP="00CA65C9">
      <w:pPr>
        <w:jc w:val="center"/>
        <w:rPr>
          <w:b/>
        </w:rPr>
      </w:pPr>
      <w:proofErr w:type="gramStart"/>
      <w:r>
        <w:rPr>
          <w:b/>
        </w:rPr>
        <w:t>pursuant</w:t>
      </w:r>
      <w:proofErr w:type="gramEnd"/>
      <w:r>
        <w:rPr>
          <w:b/>
        </w:rPr>
        <w:t xml:space="preserve"> to </w:t>
      </w:r>
    </w:p>
    <w:p w:rsidR="00CA65C9" w:rsidRDefault="00CA65C9" w:rsidP="00CA65C9">
      <w:pPr>
        <w:jc w:val="center"/>
        <w:rPr>
          <w:b/>
        </w:rPr>
      </w:pPr>
      <w:r>
        <w:rPr>
          <w:b/>
        </w:rPr>
        <w:t>Certificate Number 577-W</w:t>
      </w:r>
    </w:p>
    <w:p w:rsidR="00CA65C9" w:rsidRDefault="00CA65C9" w:rsidP="00CA65C9">
      <w:pPr>
        <w:jc w:val="both"/>
      </w:pPr>
    </w:p>
    <w:p w:rsidR="00CA65C9" w:rsidRDefault="00CA65C9" w:rsidP="00CA65C9">
      <w:pPr>
        <w:jc w:val="both"/>
      </w:pPr>
      <w:r>
        <w:t xml:space="preserve">to provide water service in </w:t>
      </w:r>
      <w:r>
        <w:rPr>
          <w:u w:val="single"/>
        </w:rPr>
        <w:t>Manatee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CA65C9" w:rsidRDefault="00CA65C9" w:rsidP="00CA65C9"/>
    <w:p w:rsidR="00CA65C9" w:rsidRDefault="00CA65C9" w:rsidP="00CA65C9">
      <w:r>
        <w:rPr>
          <w:u w:val="single"/>
        </w:rPr>
        <w:t>Order Number</w:t>
      </w:r>
      <w:r>
        <w:tab/>
      </w:r>
      <w:r>
        <w:tab/>
      </w:r>
      <w:r>
        <w:tab/>
      </w:r>
      <w:r>
        <w:rPr>
          <w:u w:val="single"/>
        </w:rPr>
        <w:t>Date Issued</w:t>
      </w:r>
      <w:r>
        <w:tab/>
      </w:r>
      <w:r>
        <w:rPr>
          <w:u w:val="single"/>
        </w:rPr>
        <w:t>Docket Number</w:t>
      </w:r>
      <w:r>
        <w:tab/>
      </w:r>
      <w:r>
        <w:rPr>
          <w:u w:val="single"/>
        </w:rPr>
        <w:t>Filing Type</w:t>
      </w:r>
    </w:p>
    <w:p w:rsidR="00CA65C9" w:rsidRDefault="00CA65C9" w:rsidP="00CA65C9"/>
    <w:p w:rsidR="00CA65C9" w:rsidRDefault="00CA65C9" w:rsidP="00CA65C9">
      <w:pPr>
        <w:spacing w:before="60"/>
      </w:pPr>
      <w:r>
        <w:t>PSC-96-0434-FOF-WU</w:t>
      </w:r>
      <w:r>
        <w:tab/>
      </w:r>
      <w:r w:rsidR="00EF5A2C">
        <w:t>04/29/97</w:t>
      </w:r>
      <w:r w:rsidR="00EF5A2C">
        <w:tab/>
        <w:t>951533-WS</w:t>
      </w:r>
      <w:r w:rsidR="00EF5A2C">
        <w:tab/>
      </w:r>
      <w:r w:rsidR="00EF5A2C">
        <w:tab/>
        <w:t>Grandfather</w:t>
      </w:r>
    </w:p>
    <w:p w:rsidR="00CA65C9" w:rsidRDefault="00CA65C9" w:rsidP="00CA65C9">
      <w:pPr>
        <w:spacing w:before="60"/>
        <w:rPr>
          <w:b/>
        </w:rPr>
      </w:pPr>
      <w:r>
        <w:t>PSC-10-0519-FOF-WS</w:t>
      </w:r>
      <w:r>
        <w:rPr>
          <w:b/>
        </w:rPr>
        <w:t xml:space="preserve">       </w:t>
      </w:r>
      <w:r>
        <w:rPr>
          <w:b/>
        </w:rPr>
        <w:tab/>
      </w:r>
      <w:r>
        <w:t>08/16/10</w:t>
      </w:r>
      <w:r>
        <w:rPr>
          <w:b/>
        </w:rPr>
        <w:tab/>
      </w:r>
      <w:r>
        <w:t>090093-WS</w:t>
      </w:r>
      <w:r>
        <w:tab/>
      </w:r>
      <w:r>
        <w:tab/>
        <w:t>Transfer</w:t>
      </w:r>
    </w:p>
    <w:p w:rsidR="00EF5A2C" w:rsidRPr="008C04CD" w:rsidRDefault="00EF5A2C" w:rsidP="00EF5A2C">
      <w:pPr>
        <w:spacing w:before="60"/>
      </w:pPr>
      <w:r w:rsidRPr="008C04CD">
        <w:t>*</w:t>
      </w:r>
      <w:r w:rsidRPr="008C04CD">
        <w:tab/>
      </w:r>
      <w:r w:rsidRPr="008C04CD">
        <w:tab/>
      </w:r>
      <w:r w:rsidRPr="008C04CD">
        <w:tab/>
      </w:r>
      <w:r w:rsidRPr="008C04CD">
        <w:tab/>
        <w:t>*</w:t>
      </w:r>
      <w:r w:rsidRPr="008C04CD">
        <w:tab/>
      </w:r>
      <w:r w:rsidRPr="008C04CD">
        <w:tab/>
        <w:t>20170</w:t>
      </w:r>
      <w:r>
        <w:t>151</w:t>
      </w:r>
      <w:r w:rsidRPr="008C04CD">
        <w:t>-</w:t>
      </w:r>
      <w:r>
        <w:t>WS</w:t>
      </w:r>
      <w:r w:rsidRPr="008C04CD">
        <w:tab/>
      </w:r>
      <w:r w:rsidRPr="008C04CD">
        <w:tab/>
        <w:t>Transfer</w:t>
      </w:r>
    </w:p>
    <w:p w:rsidR="00EF5A2C" w:rsidRPr="008C04CD" w:rsidRDefault="00EF5A2C" w:rsidP="00EF5A2C">
      <w:pPr>
        <w:rPr>
          <w:b/>
        </w:rPr>
      </w:pPr>
    </w:p>
    <w:p w:rsidR="00EF5A2C" w:rsidRPr="008C04CD" w:rsidRDefault="00EF5A2C" w:rsidP="00EF5A2C">
      <w:pPr>
        <w:rPr>
          <w:b/>
        </w:rPr>
      </w:pPr>
    </w:p>
    <w:p w:rsidR="00CA65C9" w:rsidRDefault="00EF5A2C" w:rsidP="00EF5A2C">
      <w:pPr>
        <w:rPr>
          <w:b/>
        </w:rPr>
      </w:pPr>
      <w:r w:rsidRPr="008C04CD">
        <w:rPr>
          <w:b/>
        </w:rPr>
        <w:t>*Order Number and date to be provided at time of issuanc</w:t>
      </w:r>
      <w:r>
        <w:rPr>
          <w:b/>
        </w:rPr>
        <w:t>e</w:t>
      </w:r>
    </w:p>
    <w:p w:rsidR="00CA65C9" w:rsidRDefault="00CA65C9" w:rsidP="00CA65C9">
      <w:pPr>
        <w:pStyle w:val="BodyText"/>
        <w:rPr>
          <w:b/>
        </w:rPr>
      </w:pPr>
    </w:p>
    <w:p w:rsidR="000B43DD" w:rsidRDefault="000B43DD" w:rsidP="00CA65C9">
      <w:pPr>
        <w:pStyle w:val="BodyText"/>
        <w:spacing w:after="0"/>
        <w:jc w:val="center"/>
        <w:sectPr w:rsidR="000B43DD" w:rsidSect="00CA65C9">
          <w:headerReference w:type="default" r:id="rId16"/>
          <w:pgSz w:w="12240" w:h="15840"/>
          <w:pgMar w:top="1440" w:right="1440" w:bottom="1440" w:left="1440" w:header="720" w:footer="720" w:gutter="0"/>
          <w:cols w:space="720"/>
          <w:docGrid w:linePitch="360"/>
        </w:sectPr>
      </w:pPr>
    </w:p>
    <w:p w:rsidR="00CA65C9" w:rsidRDefault="00CA65C9" w:rsidP="00CA65C9">
      <w:pPr>
        <w:pStyle w:val="BodyText"/>
        <w:spacing w:after="0"/>
        <w:jc w:val="center"/>
      </w:pPr>
    </w:p>
    <w:p w:rsidR="00CA65C9" w:rsidRDefault="00CA65C9" w:rsidP="00CA65C9">
      <w:pPr>
        <w:pStyle w:val="BodyText"/>
        <w:tabs>
          <w:tab w:val="left" w:pos="7380"/>
        </w:tabs>
        <w:spacing w:after="0"/>
        <w:jc w:val="center"/>
      </w:pPr>
    </w:p>
    <w:p w:rsidR="00E36103" w:rsidRDefault="00E36103" w:rsidP="00CA65C9">
      <w:pPr>
        <w:pStyle w:val="BodyText"/>
        <w:tabs>
          <w:tab w:val="left" w:pos="7380"/>
        </w:tabs>
        <w:spacing w:after="0"/>
        <w:jc w:val="center"/>
      </w:pPr>
    </w:p>
    <w:p w:rsidR="00CA65C9" w:rsidRDefault="00CA65C9" w:rsidP="00CA65C9">
      <w:pPr>
        <w:pStyle w:val="BodyText"/>
        <w:spacing w:after="0"/>
        <w:jc w:val="center"/>
        <w:rPr>
          <w:b/>
        </w:rPr>
      </w:pPr>
      <w:r>
        <w:rPr>
          <w:b/>
        </w:rPr>
        <w:t>FLORIDA PUBLIC SERVICE COMMISSION</w:t>
      </w:r>
    </w:p>
    <w:p w:rsidR="00CA65C9" w:rsidRDefault="00CA65C9" w:rsidP="00CA65C9">
      <w:pPr>
        <w:pStyle w:val="BodyText"/>
        <w:spacing w:after="0"/>
        <w:jc w:val="center"/>
        <w:rPr>
          <w:b/>
        </w:rPr>
      </w:pPr>
      <w:proofErr w:type="gramStart"/>
      <w:r>
        <w:rPr>
          <w:b/>
        </w:rPr>
        <w:t>authorizes</w:t>
      </w:r>
      <w:proofErr w:type="gramEnd"/>
    </w:p>
    <w:p w:rsidR="00CA65C9" w:rsidRDefault="00CA65C9" w:rsidP="00CA65C9">
      <w:pPr>
        <w:jc w:val="center"/>
        <w:rPr>
          <w:b/>
        </w:rPr>
      </w:pPr>
      <w:r>
        <w:rPr>
          <w:b/>
        </w:rPr>
        <w:t>Heather Hills Utilities, LLC</w:t>
      </w:r>
    </w:p>
    <w:p w:rsidR="00CA65C9" w:rsidRDefault="00CA65C9" w:rsidP="00CA65C9">
      <w:pPr>
        <w:jc w:val="center"/>
        <w:rPr>
          <w:b/>
        </w:rPr>
      </w:pPr>
      <w:proofErr w:type="gramStart"/>
      <w:r>
        <w:rPr>
          <w:b/>
        </w:rPr>
        <w:t>pursuant</w:t>
      </w:r>
      <w:proofErr w:type="gramEnd"/>
      <w:r>
        <w:rPr>
          <w:b/>
        </w:rPr>
        <w:t xml:space="preserve"> to </w:t>
      </w:r>
    </w:p>
    <w:p w:rsidR="00CA65C9" w:rsidRDefault="00CA65C9" w:rsidP="00CA65C9">
      <w:pPr>
        <w:jc w:val="center"/>
        <w:rPr>
          <w:b/>
        </w:rPr>
      </w:pPr>
      <w:r>
        <w:rPr>
          <w:b/>
        </w:rPr>
        <w:t>Certificate Number 498-S</w:t>
      </w:r>
    </w:p>
    <w:p w:rsidR="00CA65C9" w:rsidRDefault="00CA65C9" w:rsidP="00CA65C9">
      <w:pPr>
        <w:jc w:val="center"/>
      </w:pPr>
    </w:p>
    <w:p w:rsidR="00CA65C9" w:rsidRDefault="00CA65C9" w:rsidP="00CA65C9">
      <w:pPr>
        <w:jc w:val="both"/>
      </w:pPr>
      <w:r>
        <w:t xml:space="preserve">to provide wastewater service in </w:t>
      </w:r>
      <w:r>
        <w:rPr>
          <w:u w:val="single"/>
        </w:rPr>
        <w:t>Manatee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CA65C9" w:rsidRDefault="00CA65C9" w:rsidP="00CA65C9"/>
    <w:p w:rsidR="00CA65C9" w:rsidRDefault="00CA65C9" w:rsidP="00CA65C9">
      <w:r>
        <w:rPr>
          <w:u w:val="single"/>
        </w:rPr>
        <w:t>Order Number</w:t>
      </w:r>
      <w:r>
        <w:tab/>
      </w:r>
      <w:r>
        <w:tab/>
      </w:r>
      <w:r>
        <w:tab/>
      </w:r>
      <w:r>
        <w:rPr>
          <w:u w:val="single"/>
        </w:rPr>
        <w:t>Date Issued</w:t>
      </w:r>
      <w:r>
        <w:tab/>
      </w:r>
      <w:r>
        <w:rPr>
          <w:u w:val="single"/>
        </w:rPr>
        <w:t>Docket Number</w:t>
      </w:r>
      <w:r>
        <w:tab/>
      </w:r>
      <w:r>
        <w:rPr>
          <w:u w:val="single"/>
        </w:rPr>
        <w:t>Filing Type</w:t>
      </w:r>
    </w:p>
    <w:p w:rsidR="00CA65C9" w:rsidRDefault="00CA65C9" w:rsidP="00CA65C9"/>
    <w:p w:rsidR="00CA65C9" w:rsidRDefault="00CA65C9" w:rsidP="00CA65C9">
      <w:pPr>
        <w:spacing w:before="60"/>
      </w:pPr>
      <w:r>
        <w:t>PSC-96-0434-FOF-WU</w:t>
      </w:r>
      <w:r>
        <w:tab/>
        <w:t>04/29/97</w:t>
      </w:r>
      <w:r>
        <w:tab/>
        <w:t>951533-WS</w:t>
      </w:r>
      <w:r>
        <w:tab/>
      </w:r>
      <w:r>
        <w:tab/>
        <w:t xml:space="preserve">Grandfather </w:t>
      </w:r>
    </w:p>
    <w:p w:rsidR="00CA65C9" w:rsidRDefault="00CA65C9" w:rsidP="00CA65C9">
      <w:pPr>
        <w:spacing w:before="60"/>
        <w:rPr>
          <w:b/>
        </w:rPr>
      </w:pPr>
      <w:r>
        <w:t>PSC-10-0519-FOF-WS</w:t>
      </w:r>
      <w:r>
        <w:rPr>
          <w:b/>
        </w:rPr>
        <w:t xml:space="preserve"> </w:t>
      </w:r>
      <w:r>
        <w:rPr>
          <w:b/>
        </w:rPr>
        <w:tab/>
      </w:r>
      <w:r>
        <w:t>08/16/10</w:t>
      </w:r>
      <w:r>
        <w:rPr>
          <w:b/>
        </w:rPr>
        <w:tab/>
      </w:r>
      <w:r>
        <w:t>090093-WS</w:t>
      </w:r>
      <w:r>
        <w:tab/>
      </w:r>
      <w:r>
        <w:tab/>
        <w:t>Transfer</w:t>
      </w:r>
    </w:p>
    <w:p w:rsidR="00EF5A2C" w:rsidRPr="008C04CD" w:rsidRDefault="00EF5A2C" w:rsidP="00EF5A2C">
      <w:pPr>
        <w:spacing w:before="60"/>
      </w:pPr>
      <w:r w:rsidRPr="008C04CD">
        <w:t>*</w:t>
      </w:r>
      <w:r w:rsidRPr="008C04CD">
        <w:tab/>
      </w:r>
      <w:r w:rsidRPr="008C04CD">
        <w:tab/>
      </w:r>
      <w:r w:rsidRPr="008C04CD">
        <w:tab/>
      </w:r>
      <w:r w:rsidRPr="008C04CD">
        <w:tab/>
        <w:t>*</w:t>
      </w:r>
      <w:r w:rsidRPr="008C04CD">
        <w:tab/>
      </w:r>
      <w:r w:rsidRPr="008C04CD">
        <w:tab/>
        <w:t>20170</w:t>
      </w:r>
      <w:r>
        <w:t>151</w:t>
      </w:r>
      <w:r w:rsidRPr="008C04CD">
        <w:t>-</w:t>
      </w:r>
      <w:r>
        <w:t>WS</w:t>
      </w:r>
      <w:r w:rsidRPr="008C04CD">
        <w:tab/>
      </w:r>
      <w:r w:rsidRPr="008C04CD">
        <w:tab/>
        <w:t>Transfer</w:t>
      </w:r>
    </w:p>
    <w:p w:rsidR="00EF5A2C" w:rsidRPr="008C04CD" w:rsidRDefault="00EF5A2C" w:rsidP="00EF5A2C">
      <w:pPr>
        <w:rPr>
          <w:b/>
        </w:rPr>
      </w:pPr>
    </w:p>
    <w:p w:rsidR="00EF5A2C" w:rsidRPr="008C04CD" w:rsidRDefault="00EF5A2C" w:rsidP="00EF5A2C">
      <w:pPr>
        <w:rPr>
          <w:b/>
        </w:rPr>
      </w:pPr>
    </w:p>
    <w:p w:rsidR="00CA65C9" w:rsidRDefault="00EF5A2C" w:rsidP="00EF5A2C">
      <w:pPr>
        <w:spacing w:before="60"/>
        <w:rPr>
          <w:b/>
        </w:rPr>
      </w:pPr>
      <w:r w:rsidRPr="008C04CD">
        <w:rPr>
          <w:b/>
        </w:rPr>
        <w:t>*Order Number and date to be provided at time of issuanc</w:t>
      </w:r>
      <w:r>
        <w:rPr>
          <w:b/>
        </w:rPr>
        <w:t>e</w:t>
      </w:r>
    </w:p>
    <w:p w:rsidR="00CA65C9" w:rsidRDefault="00CA65C9" w:rsidP="00CA65C9">
      <w:pPr>
        <w:spacing w:before="60"/>
        <w:rPr>
          <w:b/>
        </w:rPr>
      </w:pPr>
    </w:p>
    <w:p w:rsidR="00CA65C9" w:rsidRDefault="00CA65C9" w:rsidP="00CA65C9">
      <w:pPr>
        <w:spacing w:before="60"/>
        <w:rPr>
          <w:b/>
        </w:rPr>
        <w:sectPr w:rsidR="00CA65C9" w:rsidSect="00CA65C9">
          <w:headerReference w:type="default" r:id="rId17"/>
          <w:pgSz w:w="12240" w:h="15840"/>
          <w:pgMar w:top="1440" w:right="1440" w:bottom="1440" w:left="1440" w:header="720" w:footer="720" w:gutter="0"/>
          <w:cols w:space="720"/>
          <w:docGrid w:linePitch="360"/>
        </w:sectPr>
      </w:pPr>
    </w:p>
    <w:p w:rsidR="00CA65C9" w:rsidRDefault="00CA65C9" w:rsidP="00CA65C9">
      <w:pPr>
        <w:spacing w:before="60"/>
        <w:rPr>
          <w:b/>
        </w:rPr>
      </w:pPr>
    </w:p>
    <w:p w:rsidR="00CA65C9" w:rsidRDefault="00CA65C9" w:rsidP="00CA65C9">
      <w:pPr>
        <w:rPr>
          <w:b/>
        </w:rPr>
      </w:pPr>
    </w:p>
    <w:tbl>
      <w:tblPr>
        <w:tblW w:w="8671" w:type="dxa"/>
        <w:jc w:val="center"/>
        <w:tblInd w:w="93" w:type="dxa"/>
        <w:tblLook w:val="04A0" w:firstRow="1" w:lastRow="0" w:firstColumn="1" w:lastColumn="0" w:noHBand="0" w:noVBand="1"/>
      </w:tblPr>
      <w:tblGrid>
        <w:gridCol w:w="2884"/>
        <w:gridCol w:w="1887"/>
        <w:gridCol w:w="1562"/>
        <w:gridCol w:w="2338"/>
      </w:tblGrid>
      <w:tr w:rsidR="00CA65C9" w:rsidRPr="006017B2" w:rsidTr="00CA65C9">
        <w:trPr>
          <w:trHeight w:val="276"/>
          <w:jc w:val="center"/>
        </w:trPr>
        <w:tc>
          <w:tcPr>
            <w:tcW w:w="8671" w:type="dxa"/>
            <w:gridSpan w:val="4"/>
            <w:tcBorders>
              <w:top w:val="nil"/>
              <w:left w:val="nil"/>
              <w:bottom w:val="nil"/>
              <w:right w:val="nil"/>
            </w:tcBorders>
            <w:hideMark/>
          </w:tcPr>
          <w:p w:rsidR="00CA65C9" w:rsidRPr="006017B2" w:rsidRDefault="00CA65C9" w:rsidP="00CA65C9">
            <w:pPr>
              <w:rPr>
                <w:b/>
                <w:bCs/>
                <w:color w:val="000000"/>
              </w:rPr>
            </w:pPr>
          </w:p>
        </w:tc>
      </w:tr>
      <w:tr w:rsidR="00CA65C9" w:rsidRPr="006017B2" w:rsidTr="00CA65C9">
        <w:trPr>
          <w:trHeight w:val="450"/>
          <w:jc w:val="center"/>
        </w:trPr>
        <w:tc>
          <w:tcPr>
            <w:tcW w:w="8671" w:type="dxa"/>
            <w:gridSpan w:val="4"/>
            <w:tcBorders>
              <w:top w:val="nil"/>
              <w:left w:val="nil"/>
              <w:bottom w:val="nil"/>
              <w:right w:val="nil"/>
            </w:tcBorders>
            <w:shd w:val="clear" w:color="auto" w:fill="auto"/>
            <w:hideMark/>
          </w:tcPr>
          <w:tbl>
            <w:tblPr>
              <w:tblpPr w:leftFromText="180" w:rightFromText="180" w:vertAnchor="text" w:tblpXSpec="center" w:tblpY="1"/>
              <w:tblOverlap w:val="never"/>
              <w:tblW w:w="8455" w:type="dxa"/>
              <w:tblLook w:val="04A0" w:firstRow="1" w:lastRow="0" w:firstColumn="1" w:lastColumn="0" w:noHBand="0" w:noVBand="1"/>
            </w:tblPr>
            <w:tblGrid>
              <w:gridCol w:w="8455"/>
            </w:tblGrid>
            <w:tr w:rsidR="00CA65C9" w:rsidRPr="006017B2" w:rsidTr="00CA65C9">
              <w:trPr>
                <w:trHeight w:val="80"/>
              </w:trPr>
              <w:tc>
                <w:tcPr>
                  <w:tcW w:w="8455" w:type="dxa"/>
                  <w:tcBorders>
                    <w:top w:val="nil"/>
                    <w:left w:val="nil"/>
                    <w:bottom w:val="nil"/>
                    <w:right w:val="nil"/>
                  </w:tcBorders>
                  <w:shd w:val="clear" w:color="auto" w:fill="auto"/>
                  <w:vAlign w:val="center"/>
                </w:tcPr>
                <w:p w:rsidR="00CA65C9" w:rsidRPr="006017B2" w:rsidRDefault="00CA65C9" w:rsidP="00CA65C9">
                  <w:pPr>
                    <w:jc w:val="center"/>
                    <w:rPr>
                      <w:b/>
                      <w:bCs/>
                      <w:color w:val="000000"/>
                    </w:rPr>
                  </w:pPr>
                  <w:r w:rsidRPr="006017B2">
                    <w:rPr>
                      <w:b/>
                      <w:bCs/>
                      <w:color w:val="000000"/>
                    </w:rPr>
                    <w:t>Heather Hills Utilities, LLC</w:t>
                  </w:r>
                </w:p>
              </w:tc>
            </w:tr>
            <w:tr w:rsidR="00CA65C9" w:rsidRPr="006017B2" w:rsidTr="00CA65C9">
              <w:trPr>
                <w:trHeight w:val="80"/>
              </w:trPr>
              <w:tc>
                <w:tcPr>
                  <w:tcW w:w="8455" w:type="dxa"/>
                  <w:tcBorders>
                    <w:top w:val="nil"/>
                    <w:left w:val="nil"/>
                    <w:bottom w:val="nil"/>
                    <w:right w:val="nil"/>
                  </w:tcBorders>
                  <w:shd w:val="clear" w:color="auto" w:fill="auto"/>
                  <w:vAlign w:val="center"/>
                </w:tcPr>
                <w:p w:rsidR="00CA65C9" w:rsidRPr="006017B2" w:rsidRDefault="00CA65C9" w:rsidP="00CA65C9">
                  <w:pPr>
                    <w:jc w:val="center"/>
                    <w:rPr>
                      <w:b/>
                      <w:bCs/>
                      <w:color w:val="000000"/>
                    </w:rPr>
                  </w:pPr>
                  <w:r w:rsidRPr="006017B2">
                    <w:rPr>
                      <w:b/>
                      <w:bCs/>
                      <w:color w:val="000000"/>
                    </w:rPr>
                    <w:t>Water System</w:t>
                  </w:r>
                </w:p>
              </w:tc>
            </w:tr>
            <w:tr w:rsidR="00CA65C9" w:rsidRPr="006017B2" w:rsidTr="00CA65C9">
              <w:trPr>
                <w:trHeight w:val="80"/>
              </w:trPr>
              <w:tc>
                <w:tcPr>
                  <w:tcW w:w="8455" w:type="dxa"/>
                  <w:tcBorders>
                    <w:top w:val="nil"/>
                    <w:left w:val="nil"/>
                    <w:bottom w:val="nil"/>
                    <w:right w:val="nil"/>
                  </w:tcBorders>
                  <w:shd w:val="clear" w:color="auto" w:fill="auto"/>
                  <w:vAlign w:val="center"/>
                  <w:hideMark/>
                </w:tcPr>
                <w:p w:rsidR="00CA65C9" w:rsidRPr="006017B2" w:rsidRDefault="00CA65C9" w:rsidP="00CA65C9">
                  <w:pPr>
                    <w:jc w:val="center"/>
                    <w:rPr>
                      <w:b/>
                      <w:bCs/>
                      <w:color w:val="000000"/>
                    </w:rPr>
                  </w:pPr>
                  <w:r w:rsidRPr="006017B2">
                    <w:rPr>
                      <w:b/>
                      <w:bCs/>
                      <w:color w:val="000000"/>
                    </w:rPr>
                    <w:t>Net Book Value as of April 7, 2017</w:t>
                  </w:r>
                </w:p>
              </w:tc>
            </w:tr>
            <w:tr w:rsidR="00CA65C9" w:rsidRPr="006017B2" w:rsidTr="00CA65C9">
              <w:trPr>
                <w:trHeight w:val="80"/>
              </w:trPr>
              <w:tc>
                <w:tcPr>
                  <w:tcW w:w="8455" w:type="dxa"/>
                  <w:tcBorders>
                    <w:top w:val="nil"/>
                    <w:left w:val="nil"/>
                    <w:bottom w:val="nil"/>
                    <w:right w:val="nil"/>
                  </w:tcBorders>
                  <w:shd w:val="clear" w:color="auto" w:fill="auto"/>
                  <w:vAlign w:val="center"/>
                </w:tcPr>
                <w:p w:rsidR="00CA65C9" w:rsidRPr="006017B2" w:rsidRDefault="00CA65C9" w:rsidP="00CA65C9">
                  <w:pPr>
                    <w:jc w:val="center"/>
                    <w:rPr>
                      <w:b/>
                      <w:bCs/>
                      <w:color w:val="000000"/>
                    </w:rPr>
                  </w:pPr>
                </w:p>
              </w:tc>
            </w:tr>
          </w:tbl>
          <w:p w:rsidR="00CA65C9" w:rsidRPr="006017B2" w:rsidRDefault="00CA65C9" w:rsidP="00CA65C9"/>
        </w:tc>
      </w:tr>
      <w:tr w:rsidR="00CA65C9" w:rsidRPr="006017B2" w:rsidTr="00CA65C9">
        <w:trPr>
          <w:trHeight w:val="630"/>
          <w:jc w:val="center"/>
        </w:trPr>
        <w:tc>
          <w:tcPr>
            <w:tcW w:w="2884" w:type="dxa"/>
            <w:tcBorders>
              <w:top w:val="nil"/>
              <w:left w:val="nil"/>
              <w:bottom w:val="nil"/>
              <w:right w:val="nil"/>
            </w:tcBorders>
            <w:shd w:val="clear" w:color="auto" w:fill="auto"/>
            <w:vAlign w:val="bottom"/>
            <w:hideMark/>
          </w:tcPr>
          <w:p w:rsidR="00CA65C9" w:rsidRPr="006017B2" w:rsidRDefault="00CA65C9" w:rsidP="00CA65C9">
            <w:pPr>
              <w:jc w:val="center"/>
              <w:rPr>
                <w:b/>
                <w:bCs/>
                <w:color w:val="000000"/>
              </w:rPr>
            </w:pPr>
            <w:r w:rsidRPr="006017B2">
              <w:rPr>
                <w:b/>
                <w:bCs/>
                <w:color w:val="000000"/>
              </w:rPr>
              <w:t>Description</w:t>
            </w:r>
          </w:p>
        </w:tc>
        <w:tc>
          <w:tcPr>
            <w:tcW w:w="1887" w:type="dxa"/>
            <w:tcBorders>
              <w:top w:val="nil"/>
              <w:left w:val="nil"/>
              <w:bottom w:val="nil"/>
              <w:right w:val="nil"/>
            </w:tcBorders>
            <w:shd w:val="clear" w:color="auto" w:fill="auto"/>
            <w:vAlign w:val="bottom"/>
            <w:hideMark/>
          </w:tcPr>
          <w:p w:rsidR="00CA65C9" w:rsidRPr="006017B2" w:rsidRDefault="00CA65C9" w:rsidP="00CA65C9">
            <w:pPr>
              <w:tabs>
                <w:tab w:val="left" w:pos="1532"/>
              </w:tabs>
              <w:jc w:val="center"/>
              <w:rPr>
                <w:b/>
                <w:bCs/>
                <w:color w:val="000000"/>
              </w:rPr>
            </w:pPr>
            <w:r w:rsidRPr="006017B2">
              <w:rPr>
                <w:b/>
                <w:bCs/>
                <w:color w:val="000000"/>
              </w:rPr>
              <w:t>Balance Per Utility</w:t>
            </w:r>
          </w:p>
        </w:tc>
        <w:tc>
          <w:tcPr>
            <w:tcW w:w="1562" w:type="dxa"/>
            <w:tcBorders>
              <w:top w:val="nil"/>
              <w:left w:val="nil"/>
              <w:bottom w:val="nil"/>
              <w:right w:val="nil"/>
            </w:tcBorders>
            <w:shd w:val="clear" w:color="auto" w:fill="auto"/>
            <w:vAlign w:val="bottom"/>
            <w:hideMark/>
          </w:tcPr>
          <w:p w:rsidR="00CA65C9" w:rsidRPr="006017B2" w:rsidRDefault="00CA65C9" w:rsidP="00CA65C9">
            <w:pPr>
              <w:jc w:val="center"/>
              <w:rPr>
                <w:b/>
                <w:bCs/>
                <w:color w:val="000000"/>
              </w:rPr>
            </w:pPr>
            <w:r w:rsidRPr="006017B2">
              <w:rPr>
                <w:b/>
                <w:bCs/>
                <w:color w:val="000000"/>
              </w:rPr>
              <w:t xml:space="preserve">Adjustments </w:t>
            </w:r>
          </w:p>
        </w:tc>
        <w:tc>
          <w:tcPr>
            <w:tcW w:w="2338" w:type="dxa"/>
            <w:tcBorders>
              <w:top w:val="nil"/>
              <w:left w:val="nil"/>
              <w:bottom w:val="nil"/>
              <w:right w:val="nil"/>
            </w:tcBorders>
            <w:shd w:val="clear" w:color="auto" w:fill="auto"/>
            <w:vAlign w:val="bottom"/>
            <w:hideMark/>
          </w:tcPr>
          <w:p w:rsidR="00CA65C9" w:rsidRPr="006017B2" w:rsidRDefault="00CA65C9" w:rsidP="00CA65C9">
            <w:pPr>
              <w:jc w:val="center"/>
              <w:rPr>
                <w:b/>
                <w:bCs/>
                <w:color w:val="000000"/>
              </w:rPr>
            </w:pPr>
            <w:r w:rsidRPr="006017B2">
              <w:rPr>
                <w:b/>
                <w:bCs/>
                <w:color w:val="000000"/>
              </w:rPr>
              <w:t>Staff Recommendation</w:t>
            </w: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r w:rsidRPr="006017B2">
              <w:rPr>
                <w:color w:val="000000"/>
                <w:sz w:val="22"/>
                <w:szCs w:val="22"/>
              </w:rPr>
              <w:t>Utility Plant in Service</w:t>
            </w: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 xml:space="preserve">$94,196 </w:t>
            </w: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($4,332)</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 xml:space="preserve">$89,864 </w:t>
            </w: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r w:rsidRPr="006017B2">
              <w:rPr>
                <w:color w:val="000000"/>
                <w:sz w:val="22"/>
                <w:szCs w:val="22"/>
              </w:rPr>
              <w:t>Land &amp; Land Rights</w:t>
            </w: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 xml:space="preserve">389 </w:t>
            </w: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389</w:t>
            </w: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r w:rsidRPr="006017B2">
              <w:rPr>
                <w:color w:val="000000"/>
                <w:sz w:val="22"/>
                <w:szCs w:val="22"/>
              </w:rPr>
              <w:t>Accumulated Depreciation</w:t>
            </w: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(48,443)</w:t>
            </w: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(1,257)</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(49,700)</w:t>
            </w: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r w:rsidRPr="006017B2">
              <w:rPr>
                <w:color w:val="000000"/>
                <w:sz w:val="22"/>
                <w:szCs w:val="22"/>
              </w:rPr>
              <w:t>CIAC</w:t>
            </w: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(26,625)</w:t>
            </w: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(26,625)</w:t>
            </w: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r w:rsidRPr="006017B2">
              <w:rPr>
                <w:color w:val="000000"/>
                <w:sz w:val="22"/>
                <w:szCs w:val="22"/>
              </w:rPr>
              <w:t>Amortization of CIAC</w:t>
            </w: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u w:val="single"/>
              </w:rPr>
            </w:pPr>
            <w:r w:rsidRPr="006017B2">
              <w:rPr>
                <w:color w:val="000000"/>
                <w:sz w:val="22"/>
                <w:szCs w:val="22"/>
                <w:u w:val="single"/>
              </w:rPr>
              <w:t xml:space="preserve">26,625 </w:t>
            </w: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r>
            <w:r w:rsidRPr="006017B2">
              <w:rPr>
                <w:color w:val="000000"/>
                <w:sz w:val="22"/>
                <w:szCs w:val="22"/>
                <w:u w:val="single"/>
              </w:rPr>
              <w:t>0</w:t>
            </w:r>
            <w:r w:rsidRPr="006017B2">
              <w:rPr>
                <w:color w:val="000000"/>
                <w:sz w:val="22"/>
                <w:szCs w:val="22"/>
              </w:rPr>
              <w:tab/>
            </w: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u w:val="single"/>
              </w:rPr>
            </w:pPr>
            <w:r w:rsidRPr="006017B2">
              <w:rPr>
                <w:color w:val="000000"/>
                <w:sz w:val="22"/>
                <w:szCs w:val="22"/>
                <w:u w:val="single"/>
              </w:rPr>
              <w:t xml:space="preserve">26,625 </w:t>
            </w: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p>
        </w:tc>
      </w:tr>
      <w:tr w:rsidR="00CA65C9" w:rsidRPr="006017B2" w:rsidTr="00CA65C9">
        <w:trPr>
          <w:trHeight w:val="300"/>
          <w:jc w:val="center"/>
        </w:trPr>
        <w:tc>
          <w:tcPr>
            <w:tcW w:w="2884" w:type="dxa"/>
            <w:tcBorders>
              <w:top w:val="nil"/>
              <w:left w:val="nil"/>
              <w:bottom w:val="nil"/>
              <w:right w:val="nil"/>
            </w:tcBorders>
            <w:shd w:val="clear" w:color="auto" w:fill="auto"/>
            <w:noWrap/>
            <w:vAlign w:val="bottom"/>
            <w:hideMark/>
          </w:tcPr>
          <w:p w:rsidR="00CA65C9" w:rsidRPr="006017B2" w:rsidRDefault="00CA65C9" w:rsidP="00CA65C9">
            <w:pPr>
              <w:rPr>
                <w:color w:val="000000"/>
                <w:sz w:val="22"/>
                <w:szCs w:val="22"/>
              </w:rPr>
            </w:pPr>
            <w:r w:rsidRPr="006017B2">
              <w:rPr>
                <w:color w:val="000000"/>
                <w:sz w:val="22"/>
                <w:szCs w:val="22"/>
              </w:rPr>
              <w:t>Total</w:t>
            </w:r>
          </w:p>
        </w:tc>
        <w:tc>
          <w:tcPr>
            <w:tcW w:w="1887"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u w:val="double"/>
              </w:rPr>
            </w:pPr>
            <w:r w:rsidRPr="006017B2">
              <w:rPr>
                <w:color w:val="000000"/>
                <w:sz w:val="22"/>
                <w:szCs w:val="22"/>
                <w:u w:val="double"/>
              </w:rPr>
              <w:t xml:space="preserve">$46,142 </w:t>
            </w:r>
          </w:p>
        </w:tc>
        <w:tc>
          <w:tcPr>
            <w:tcW w:w="1562"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u w:val="double"/>
              </w:rPr>
            </w:pPr>
            <w:r w:rsidRPr="006017B2">
              <w:rPr>
                <w:color w:val="000000"/>
                <w:sz w:val="22"/>
                <w:szCs w:val="22"/>
              </w:rPr>
              <w:tab/>
            </w:r>
            <w:r w:rsidRPr="006017B2">
              <w:rPr>
                <w:color w:val="000000"/>
                <w:sz w:val="22"/>
                <w:szCs w:val="22"/>
                <w:u w:val="double"/>
              </w:rPr>
              <w:t>($5,589)</w:t>
            </w:r>
          </w:p>
        </w:tc>
        <w:tc>
          <w:tcPr>
            <w:tcW w:w="2338"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u w:val="double"/>
              </w:rPr>
            </w:pPr>
            <w:r w:rsidRPr="006017B2">
              <w:rPr>
                <w:color w:val="000000"/>
                <w:sz w:val="22"/>
                <w:szCs w:val="22"/>
                <w:u w:val="double"/>
              </w:rPr>
              <w:t xml:space="preserve">$40,553 </w:t>
            </w:r>
          </w:p>
        </w:tc>
      </w:tr>
    </w:tbl>
    <w:p w:rsidR="00CA65C9" w:rsidRPr="006017B2" w:rsidRDefault="00CA65C9" w:rsidP="00CA65C9"/>
    <w:p w:rsidR="006155EC" w:rsidRDefault="006155EC" w:rsidP="00CA65C9">
      <w:pPr>
        <w:sectPr w:rsidR="006155EC" w:rsidSect="00CA65C9">
          <w:headerReference w:type="default" r:id="rId18"/>
          <w:pgSz w:w="12240" w:h="15840"/>
          <w:pgMar w:top="1440" w:right="1440" w:bottom="1440" w:left="1440" w:header="720" w:footer="720" w:gutter="0"/>
          <w:cols w:space="720"/>
          <w:docGrid w:linePitch="360"/>
        </w:sectPr>
      </w:pPr>
    </w:p>
    <w:p w:rsidR="00CA65C9" w:rsidRPr="006017B2" w:rsidRDefault="00CA65C9" w:rsidP="00CA65C9">
      <w:pPr>
        <w:jc w:val="right"/>
      </w:pPr>
    </w:p>
    <w:tbl>
      <w:tblPr>
        <w:tblW w:w="8751" w:type="dxa"/>
        <w:jc w:val="center"/>
        <w:tblLook w:val="04A0" w:firstRow="1" w:lastRow="0" w:firstColumn="1" w:lastColumn="0" w:noHBand="0" w:noVBand="1"/>
      </w:tblPr>
      <w:tblGrid>
        <w:gridCol w:w="7305"/>
        <w:gridCol w:w="1446"/>
      </w:tblGrid>
      <w:tr w:rsidR="00CA65C9" w:rsidRPr="006017B2" w:rsidTr="00CA65C9">
        <w:trPr>
          <w:trHeight w:val="330"/>
          <w:jc w:val="center"/>
        </w:trPr>
        <w:tc>
          <w:tcPr>
            <w:tcW w:w="8751" w:type="dxa"/>
            <w:gridSpan w:val="2"/>
            <w:shd w:val="clear" w:color="auto" w:fill="auto"/>
            <w:noWrap/>
            <w:vAlign w:val="bottom"/>
            <w:hideMark/>
          </w:tcPr>
          <w:p w:rsidR="00CA65C9" w:rsidRDefault="00CA65C9" w:rsidP="00CA65C9">
            <w:pPr>
              <w:jc w:val="center"/>
              <w:rPr>
                <w:b/>
                <w:bCs/>
                <w:color w:val="000000"/>
              </w:rPr>
            </w:pPr>
          </w:p>
          <w:p w:rsidR="00E36103" w:rsidRPr="006017B2" w:rsidRDefault="00E36103" w:rsidP="00CA65C9">
            <w:pPr>
              <w:jc w:val="center"/>
              <w:rPr>
                <w:b/>
                <w:bCs/>
                <w:color w:val="000000"/>
              </w:rPr>
            </w:pPr>
          </w:p>
          <w:p w:rsidR="00CA65C9" w:rsidRPr="006017B2" w:rsidRDefault="00CA65C9" w:rsidP="00CA65C9">
            <w:pPr>
              <w:jc w:val="center"/>
              <w:rPr>
                <w:b/>
                <w:bCs/>
                <w:color w:val="000000"/>
              </w:rPr>
            </w:pPr>
            <w:r w:rsidRPr="006017B2">
              <w:rPr>
                <w:b/>
                <w:bCs/>
                <w:color w:val="000000"/>
              </w:rPr>
              <w:t>Explanation of Staff's Recommended</w:t>
            </w:r>
          </w:p>
        </w:tc>
      </w:tr>
      <w:tr w:rsidR="00CA65C9" w:rsidRPr="006017B2" w:rsidTr="00CA65C9">
        <w:trPr>
          <w:trHeight w:val="315"/>
          <w:jc w:val="center"/>
        </w:trPr>
        <w:tc>
          <w:tcPr>
            <w:tcW w:w="8751" w:type="dxa"/>
            <w:gridSpan w:val="2"/>
            <w:shd w:val="clear" w:color="auto" w:fill="auto"/>
            <w:noWrap/>
            <w:vAlign w:val="bottom"/>
            <w:hideMark/>
          </w:tcPr>
          <w:p w:rsidR="00CA65C9" w:rsidRPr="006017B2" w:rsidRDefault="00CA65C9" w:rsidP="00CA65C9">
            <w:pPr>
              <w:jc w:val="center"/>
              <w:rPr>
                <w:b/>
                <w:bCs/>
                <w:color w:val="000000"/>
              </w:rPr>
            </w:pPr>
            <w:r w:rsidRPr="006017B2">
              <w:rPr>
                <w:b/>
                <w:bCs/>
                <w:color w:val="000000"/>
              </w:rPr>
              <w:t>Adjustments to Net Book Value as of April 7, 2017</w:t>
            </w:r>
          </w:p>
        </w:tc>
      </w:tr>
      <w:tr w:rsidR="00CA65C9" w:rsidRPr="006017B2" w:rsidTr="00CA65C9">
        <w:trPr>
          <w:trHeight w:val="315"/>
          <w:jc w:val="center"/>
        </w:trPr>
        <w:tc>
          <w:tcPr>
            <w:tcW w:w="8751" w:type="dxa"/>
            <w:gridSpan w:val="2"/>
            <w:shd w:val="clear" w:color="auto" w:fill="auto"/>
            <w:noWrap/>
            <w:vAlign w:val="bottom"/>
            <w:hideMark/>
          </w:tcPr>
          <w:p w:rsidR="00CA65C9" w:rsidRPr="006017B2" w:rsidRDefault="00CA65C9" w:rsidP="00CA65C9">
            <w:pPr>
              <w:jc w:val="center"/>
              <w:rPr>
                <w:b/>
                <w:bCs/>
                <w:color w:val="000000"/>
              </w:rPr>
            </w:pPr>
            <w:r w:rsidRPr="006017B2">
              <w:rPr>
                <w:b/>
                <w:bCs/>
                <w:color w:val="000000"/>
              </w:rPr>
              <w:t>Water System</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p>
        </w:tc>
        <w:tc>
          <w:tcPr>
            <w:tcW w:w="1446" w:type="dxa"/>
            <w:shd w:val="clear" w:color="auto" w:fill="auto"/>
            <w:noWrap/>
            <w:vAlign w:val="bottom"/>
            <w:hideMark/>
          </w:tcPr>
          <w:p w:rsidR="00CA65C9" w:rsidRPr="006017B2" w:rsidRDefault="00CA65C9" w:rsidP="00CA65C9">
            <w:pPr>
              <w:rPr>
                <w:color w:val="000000"/>
              </w:rPr>
            </w:pPr>
            <w:r w:rsidRPr="006017B2">
              <w:rPr>
                <w:color w:val="000000"/>
              </w:rPr>
              <w:t> </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b/>
                <w:bCs/>
                <w:color w:val="000000"/>
              </w:rPr>
            </w:pPr>
            <w:r w:rsidRPr="006017B2">
              <w:rPr>
                <w:b/>
                <w:bCs/>
                <w:color w:val="000000"/>
              </w:rPr>
              <w:t>Explanation</w:t>
            </w:r>
          </w:p>
        </w:tc>
        <w:tc>
          <w:tcPr>
            <w:tcW w:w="1446" w:type="dxa"/>
            <w:shd w:val="clear" w:color="auto" w:fill="auto"/>
            <w:noWrap/>
            <w:vAlign w:val="bottom"/>
            <w:hideMark/>
          </w:tcPr>
          <w:p w:rsidR="00CA65C9" w:rsidRPr="006017B2" w:rsidRDefault="00CA65C9" w:rsidP="00CA65C9">
            <w:pPr>
              <w:rPr>
                <w:b/>
                <w:bCs/>
                <w:color w:val="000000"/>
              </w:rPr>
            </w:pPr>
            <w:r w:rsidRPr="006017B2">
              <w:rPr>
                <w:b/>
                <w:bCs/>
                <w:color w:val="000000"/>
              </w:rPr>
              <w:t>Amount</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p>
          <w:p w:rsidR="00CA65C9" w:rsidRPr="006017B2" w:rsidRDefault="00CA65C9" w:rsidP="00CA65C9">
            <w:pPr>
              <w:rPr>
                <w:color w:val="000000"/>
              </w:rPr>
            </w:pPr>
            <w:r w:rsidRPr="006017B2">
              <w:rPr>
                <w:color w:val="000000"/>
              </w:rPr>
              <w:t>A.  Utility Plant In Service</w:t>
            </w:r>
          </w:p>
        </w:tc>
        <w:tc>
          <w:tcPr>
            <w:tcW w:w="1446" w:type="dxa"/>
            <w:shd w:val="clear" w:color="auto" w:fill="auto"/>
            <w:noWrap/>
            <w:vAlign w:val="bottom"/>
            <w:hideMark/>
          </w:tcPr>
          <w:p w:rsidR="00CA65C9" w:rsidRPr="006017B2" w:rsidRDefault="00CA65C9" w:rsidP="00CA65C9">
            <w:pPr>
              <w:rPr>
                <w:color w:val="000000"/>
              </w:rPr>
            </w:pPr>
            <w:r w:rsidRPr="006017B2">
              <w:rPr>
                <w:color w:val="000000"/>
              </w:rPr>
              <w:t> </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r w:rsidRPr="006017B2">
              <w:rPr>
                <w:color w:val="000000"/>
              </w:rPr>
              <w:t xml:space="preserve">   To reflect appropriate amount of utility plant in service.</w:t>
            </w:r>
          </w:p>
        </w:tc>
        <w:tc>
          <w:tcPr>
            <w:tcW w:w="1446" w:type="dxa"/>
            <w:shd w:val="clear" w:color="auto" w:fill="auto"/>
            <w:noWrap/>
            <w:vAlign w:val="bottom"/>
            <w:hideMark/>
          </w:tcPr>
          <w:p w:rsidR="00CA65C9" w:rsidRPr="006017B2" w:rsidRDefault="00CA65C9" w:rsidP="00CA65C9">
            <w:pPr>
              <w:tabs>
                <w:tab w:val="decimal" w:pos="1150"/>
              </w:tabs>
              <w:rPr>
                <w:color w:val="000000"/>
                <w:u w:val="double"/>
              </w:rPr>
            </w:pPr>
            <w:r w:rsidRPr="006017B2">
              <w:rPr>
                <w:color w:val="000000"/>
                <w:u w:val="double"/>
              </w:rPr>
              <w:t>($4,332)</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r w:rsidRPr="006017B2">
              <w:rPr>
                <w:color w:val="000000"/>
              </w:rPr>
              <w:t xml:space="preserve">B.  </w:t>
            </w:r>
            <w:r w:rsidRPr="006017B2">
              <w:t>Accumulated Depreciation</w:t>
            </w:r>
          </w:p>
        </w:tc>
        <w:tc>
          <w:tcPr>
            <w:tcW w:w="1446" w:type="dxa"/>
            <w:shd w:val="clear" w:color="auto" w:fill="auto"/>
            <w:noWrap/>
            <w:vAlign w:val="bottom"/>
            <w:hideMark/>
          </w:tcPr>
          <w:p w:rsidR="00CA65C9" w:rsidRPr="006017B2" w:rsidRDefault="00CA65C9" w:rsidP="00CA65C9">
            <w:pPr>
              <w:tabs>
                <w:tab w:val="decimal" w:pos="1150"/>
              </w:tabs>
              <w:rPr>
                <w:color w:val="000000"/>
              </w:rPr>
            </w:pPr>
            <w:r w:rsidRPr="006017B2">
              <w:rPr>
                <w:color w:val="000000"/>
              </w:rPr>
              <w:t> </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r w:rsidRPr="006017B2">
              <w:rPr>
                <w:color w:val="000000"/>
              </w:rPr>
              <w:t xml:space="preserve">   To reflect appropriate amount of accumulated depreciation.</w:t>
            </w:r>
          </w:p>
        </w:tc>
        <w:tc>
          <w:tcPr>
            <w:tcW w:w="1446" w:type="dxa"/>
            <w:shd w:val="clear" w:color="auto" w:fill="auto"/>
            <w:noWrap/>
            <w:vAlign w:val="bottom"/>
            <w:hideMark/>
          </w:tcPr>
          <w:p w:rsidR="00CA65C9" w:rsidRPr="006017B2" w:rsidRDefault="00CA65C9" w:rsidP="00CA65C9">
            <w:pPr>
              <w:tabs>
                <w:tab w:val="decimal" w:pos="1150"/>
              </w:tabs>
              <w:rPr>
                <w:color w:val="000000"/>
                <w:u w:val="double"/>
              </w:rPr>
            </w:pPr>
            <w:r w:rsidRPr="006017B2">
              <w:rPr>
                <w:color w:val="000000"/>
                <w:u w:val="double"/>
              </w:rPr>
              <w:t>($1,257)</w:t>
            </w:r>
          </w:p>
        </w:tc>
      </w:tr>
    </w:tbl>
    <w:p w:rsidR="00CA65C9" w:rsidRPr="006017B2" w:rsidRDefault="00CA65C9" w:rsidP="00CA65C9"/>
    <w:p w:rsidR="006155EC" w:rsidRDefault="006155EC" w:rsidP="00CA65C9">
      <w:pPr>
        <w:sectPr w:rsidR="006155EC" w:rsidSect="00CA65C9">
          <w:headerReference w:type="default" r:id="rId19"/>
          <w:pgSz w:w="12240" w:h="15840"/>
          <w:pgMar w:top="1440" w:right="1440" w:bottom="1440" w:left="1440" w:header="720" w:footer="720" w:gutter="0"/>
          <w:cols w:space="720"/>
          <w:docGrid w:linePitch="360"/>
        </w:sectPr>
      </w:pPr>
    </w:p>
    <w:tbl>
      <w:tblPr>
        <w:tblW w:w="8385" w:type="dxa"/>
        <w:jc w:val="center"/>
        <w:tblLook w:val="04A0" w:firstRow="1" w:lastRow="0" w:firstColumn="1" w:lastColumn="0" w:noHBand="0" w:noVBand="1"/>
      </w:tblPr>
      <w:tblGrid>
        <w:gridCol w:w="1070"/>
        <w:gridCol w:w="4221"/>
        <w:gridCol w:w="1116"/>
        <w:gridCol w:w="1978"/>
      </w:tblGrid>
      <w:tr w:rsidR="00CA65C9" w:rsidRPr="006017B2" w:rsidTr="00CA65C9">
        <w:trPr>
          <w:trHeight w:val="711"/>
          <w:jc w:val="center"/>
        </w:trPr>
        <w:tc>
          <w:tcPr>
            <w:tcW w:w="8385" w:type="dxa"/>
            <w:gridSpan w:val="4"/>
            <w:tcBorders>
              <w:top w:val="nil"/>
              <w:bottom w:val="nil"/>
            </w:tcBorders>
            <w:shd w:val="clear" w:color="auto" w:fill="auto"/>
            <w:noWrap/>
            <w:vAlign w:val="bottom"/>
            <w:hideMark/>
          </w:tcPr>
          <w:p w:rsidR="00CA65C9" w:rsidRDefault="00CA65C9" w:rsidP="00CA65C9">
            <w:pPr>
              <w:tabs>
                <w:tab w:val="left" w:pos="8006"/>
                <w:tab w:val="left" w:pos="8291"/>
              </w:tabs>
              <w:jc w:val="center"/>
              <w:rPr>
                <w:b/>
                <w:bCs/>
              </w:rPr>
            </w:pPr>
          </w:p>
          <w:p w:rsidR="00E36103" w:rsidRDefault="00E36103" w:rsidP="00CA65C9">
            <w:pPr>
              <w:tabs>
                <w:tab w:val="left" w:pos="8006"/>
                <w:tab w:val="left" w:pos="8291"/>
              </w:tabs>
              <w:jc w:val="center"/>
              <w:rPr>
                <w:b/>
                <w:bCs/>
              </w:rPr>
            </w:pPr>
          </w:p>
          <w:p w:rsidR="006D28D4" w:rsidRPr="006017B2" w:rsidRDefault="006D28D4" w:rsidP="00CA65C9">
            <w:pPr>
              <w:tabs>
                <w:tab w:val="left" w:pos="8006"/>
                <w:tab w:val="left" w:pos="8291"/>
              </w:tabs>
              <w:jc w:val="center"/>
              <w:rPr>
                <w:b/>
                <w:bCs/>
              </w:rPr>
            </w:pPr>
          </w:p>
          <w:p w:rsidR="00CA65C9" w:rsidRPr="006017B2" w:rsidRDefault="00CA65C9" w:rsidP="00CA65C9">
            <w:pPr>
              <w:tabs>
                <w:tab w:val="left" w:pos="8006"/>
                <w:tab w:val="left" w:pos="8291"/>
              </w:tabs>
              <w:jc w:val="center"/>
              <w:rPr>
                <w:b/>
                <w:bCs/>
                <w:color w:val="000000"/>
              </w:rPr>
            </w:pPr>
            <w:r w:rsidRPr="006017B2">
              <w:rPr>
                <w:b/>
                <w:bCs/>
              </w:rPr>
              <w:t>Heather Hills Utilities, LLC</w:t>
            </w:r>
            <w:r w:rsidRPr="006017B2">
              <w:rPr>
                <w:b/>
                <w:bCs/>
                <w:color w:val="000000"/>
              </w:rPr>
              <w:t xml:space="preserve"> </w:t>
            </w:r>
          </w:p>
          <w:p w:rsidR="00CA65C9" w:rsidRPr="006017B2" w:rsidRDefault="00CA65C9" w:rsidP="00CA65C9">
            <w:pPr>
              <w:jc w:val="center"/>
              <w:rPr>
                <w:b/>
                <w:bCs/>
                <w:color w:val="000000"/>
              </w:rPr>
            </w:pPr>
            <w:r w:rsidRPr="006017B2">
              <w:rPr>
                <w:b/>
                <w:bCs/>
                <w:color w:val="000000"/>
              </w:rPr>
              <w:t>Water System</w:t>
            </w:r>
          </w:p>
        </w:tc>
      </w:tr>
      <w:tr w:rsidR="00CA65C9" w:rsidRPr="006017B2" w:rsidTr="00CA65C9">
        <w:trPr>
          <w:trHeight w:val="66"/>
          <w:jc w:val="center"/>
        </w:trPr>
        <w:tc>
          <w:tcPr>
            <w:tcW w:w="8385" w:type="dxa"/>
            <w:gridSpan w:val="4"/>
            <w:tcBorders>
              <w:top w:val="nil"/>
              <w:bottom w:val="nil"/>
            </w:tcBorders>
            <w:shd w:val="clear" w:color="auto" w:fill="auto"/>
            <w:noWrap/>
            <w:vAlign w:val="bottom"/>
            <w:hideMark/>
          </w:tcPr>
          <w:p w:rsidR="00CA65C9" w:rsidRPr="006017B2" w:rsidRDefault="00CA65C9" w:rsidP="00CA65C9">
            <w:pPr>
              <w:jc w:val="center"/>
              <w:rPr>
                <w:b/>
                <w:bCs/>
                <w:color w:val="000000"/>
              </w:rPr>
            </w:pPr>
            <w:r w:rsidRPr="006017B2">
              <w:rPr>
                <w:b/>
                <w:bCs/>
                <w:color w:val="000000"/>
              </w:rPr>
              <w:t>Schedule of Staff Recommended Account Balances as of April 7, 2017</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rPr>
                <w:b/>
                <w:bCs/>
                <w:color w:val="000000"/>
              </w:rPr>
            </w:pPr>
            <w:r w:rsidRPr="006017B2">
              <w:rPr>
                <w:b/>
                <w:bCs/>
                <w:color w:val="000000"/>
              </w:rPr>
              <w:t> </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p>
        </w:tc>
        <w:tc>
          <w:tcPr>
            <w:tcW w:w="1116"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p>
        </w:tc>
        <w:tc>
          <w:tcPr>
            <w:tcW w:w="1978" w:type="dxa"/>
            <w:tcBorders>
              <w:top w:val="nil"/>
              <w:left w:val="nil"/>
              <w:bottom w:val="nil"/>
            </w:tcBorders>
            <w:shd w:val="clear" w:color="auto" w:fill="auto"/>
            <w:noWrap/>
            <w:vAlign w:val="bottom"/>
            <w:hideMark/>
          </w:tcPr>
          <w:p w:rsidR="00CA65C9" w:rsidRPr="006017B2" w:rsidRDefault="00CA65C9" w:rsidP="00CA65C9">
            <w:pPr>
              <w:rPr>
                <w:b/>
                <w:bCs/>
                <w:color w:val="000000"/>
              </w:rPr>
            </w:pPr>
            <w:r w:rsidRPr="006017B2">
              <w:rPr>
                <w:b/>
                <w:bCs/>
                <w:color w:val="000000"/>
              </w:rPr>
              <w:t> </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
                <w:bCs/>
                <w:color w:val="000000"/>
              </w:rPr>
            </w:pPr>
            <w:r w:rsidRPr="006017B2">
              <w:rPr>
                <w:b/>
                <w:bCs/>
                <w:color w:val="000000"/>
              </w:rPr>
              <w:t xml:space="preserve">Account </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p>
        </w:tc>
        <w:tc>
          <w:tcPr>
            <w:tcW w:w="1116" w:type="dxa"/>
            <w:tcBorders>
              <w:top w:val="nil"/>
              <w:left w:val="nil"/>
              <w:bottom w:val="nil"/>
              <w:right w:val="nil"/>
            </w:tcBorders>
            <w:shd w:val="clear" w:color="auto" w:fill="auto"/>
            <w:noWrap/>
            <w:vAlign w:val="bottom"/>
            <w:hideMark/>
          </w:tcPr>
          <w:p w:rsidR="00CA65C9" w:rsidRPr="006017B2" w:rsidRDefault="00CA65C9" w:rsidP="00CA65C9">
            <w:pPr>
              <w:jc w:val="center"/>
              <w:rPr>
                <w:b/>
                <w:bCs/>
                <w:color w:val="000000"/>
              </w:rPr>
            </w:pPr>
          </w:p>
        </w:tc>
        <w:tc>
          <w:tcPr>
            <w:tcW w:w="1978" w:type="dxa"/>
            <w:tcBorders>
              <w:top w:val="nil"/>
              <w:left w:val="nil"/>
              <w:bottom w:val="nil"/>
            </w:tcBorders>
            <w:shd w:val="clear" w:color="auto" w:fill="auto"/>
            <w:noWrap/>
            <w:vAlign w:val="bottom"/>
            <w:hideMark/>
          </w:tcPr>
          <w:p w:rsidR="00CA65C9" w:rsidRPr="006017B2" w:rsidRDefault="00CA65C9" w:rsidP="00CA65C9">
            <w:pPr>
              <w:jc w:val="right"/>
              <w:rPr>
                <w:b/>
                <w:bCs/>
                <w:color w:val="000000"/>
              </w:rPr>
            </w:pPr>
            <w:r w:rsidRPr="006017B2">
              <w:rPr>
                <w:b/>
                <w:bCs/>
                <w:color w:val="000000"/>
              </w:rPr>
              <w:t>Accumulated</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
                <w:bCs/>
                <w:color w:val="000000"/>
              </w:rPr>
            </w:pPr>
            <w:r w:rsidRPr="006017B2">
              <w:rPr>
                <w:b/>
                <w:bCs/>
                <w:color w:val="000000"/>
              </w:rPr>
              <w:t>No.</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r w:rsidRPr="006017B2">
              <w:rPr>
                <w:b/>
                <w:bCs/>
                <w:color w:val="000000"/>
              </w:rPr>
              <w:t>Description</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jc w:val="right"/>
              <w:rPr>
                <w:b/>
                <w:bCs/>
                <w:color w:val="000000"/>
              </w:rPr>
            </w:pPr>
            <w:r w:rsidRPr="006017B2">
              <w:rPr>
                <w:b/>
                <w:bCs/>
                <w:color w:val="000000"/>
              </w:rPr>
              <w:t>UPIS</w:t>
            </w:r>
          </w:p>
        </w:tc>
        <w:tc>
          <w:tcPr>
            <w:tcW w:w="1978" w:type="dxa"/>
            <w:tcBorders>
              <w:top w:val="nil"/>
              <w:left w:val="nil"/>
              <w:bottom w:val="nil"/>
            </w:tcBorders>
            <w:shd w:val="clear" w:color="auto" w:fill="auto"/>
            <w:noWrap/>
            <w:vAlign w:val="bottom"/>
            <w:hideMark/>
          </w:tcPr>
          <w:p w:rsidR="00CA65C9" w:rsidRPr="006017B2" w:rsidRDefault="00CA65C9" w:rsidP="00CA65C9">
            <w:pPr>
              <w:jc w:val="right"/>
              <w:rPr>
                <w:b/>
                <w:bCs/>
                <w:color w:val="000000"/>
              </w:rPr>
            </w:pPr>
            <w:r w:rsidRPr="006017B2">
              <w:rPr>
                <w:b/>
                <w:bCs/>
                <w:color w:val="000000"/>
              </w:rPr>
              <w:t>Depreciation</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r w:rsidRPr="006017B2">
              <w:rPr>
                <w:bCs/>
                <w:color w:val="000000"/>
              </w:rPr>
              <w:t>309</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r w:rsidRPr="006017B2">
              <w:rPr>
                <w:bCs/>
                <w:color w:val="000000"/>
              </w:rPr>
              <w:t>Supply Mains</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rPr>
            </w:pPr>
            <w:r w:rsidRPr="006017B2">
              <w:rPr>
                <w:bCs/>
                <w:color w:val="000000"/>
              </w:rPr>
              <w:t xml:space="preserve">$11,188 </w:t>
            </w: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rPr>
            </w:pPr>
            <w:r w:rsidRPr="006017B2">
              <w:rPr>
                <w:bCs/>
                <w:color w:val="000000"/>
              </w:rPr>
              <w:t xml:space="preserve">($2,769) </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r w:rsidRPr="006017B2">
              <w:rPr>
                <w:bCs/>
                <w:color w:val="000000"/>
              </w:rPr>
              <w:t>331</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r w:rsidRPr="006017B2">
              <w:rPr>
                <w:bCs/>
                <w:color w:val="000000"/>
              </w:rPr>
              <w:t>Transmission &amp; Distribution Lines</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rPr>
            </w:pPr>
            <w:r w:rsidRPr="006017B2">
              <w:rPr>
                <w:bCs/>
                <w:color w:val="000000"/>
              </w:rPr>
              <w:t xml:space="preserve">62,663 </w:t>
            </w: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rPr>
            </w:pPr>
            <w:r w:rsidRPr="006017B2">
              <w:rPr>
                <w:bCs/>
                <w:color w:val="000000"/>
              </w:rPr>
              <w:t xml:space="preserve">(40,541) </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r w:rsidRPr="006017B2">
              <w:rPr>
                <w:bCs/>
                <w:color w:val="000000"/>
              </w:rPr>
              <w:t>334</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r w:rsidRPr="006017B2">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u w:val="single"/>
              </w:rPr>
            </w:pPr>
            <w:r w:rsidRPr="006017B2">
              <w:rPr>
                <w:bCs/>
                <w:color w:val="000000"/>
                <w:u w:val="single"/>
              </w:rPr>
              <w:t xml:space="preserve">16,013 </w:t>
            </w: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u w:val="single"/>
              </w:rPr>
            </w:pPr>
            <w:r w:rsidRPr="006017B2">
              <w:rPr>
                <w:bCs/>
                <w:color w:val="000000"/>
                <w:u w:val="single"/>
              </w:rPr>
              <w:t xml:space="preserve">(6,389) </w:t>
            </w:r>
          </w:p>
        </w:tc>
      </w:tr>
      <w:tr w:rsidR="00CA65C9" w:rsidRPr="006017B2" w:rsidTr="00CA65C9">
        <w:trPr>
          <w:trHeight w:val="315"/>
          <w:jc w:val="center"/>
        </w:trPr>
        <w:tc>
          <w:tcPr>
            <w:tcW w:w="1070" w:type="dxa"/>
            <w:tcBorders>
              <w:top w:val="nil"/>
              <w:bottom w:val="nil"/>
              <w:right w:val="nil"/>
            </w:tcBorders>
            <w:shd w:val="clear" w:color="auto" w:fill="auto"/>
            <w:noWrap/>
            <w:vAlign w:val="bottom"/>
          </w:tcPr>
          <w:p w:rsidR="00CA65C9" w:rsidRPr="006017B2" w:rsidRDefault="00CA65C9" w:rsidP="00CA65C9">
            <w:pPr>
              <w:jc w:val="center"/>
              <w:rPr>
                <w:bCs/>
                <w:color w:val="000000"/>
                <w:highlight w:val="yellow"/>
              </w:rPr>
            </w:pPr>
          </w:p>
        </w:tc>
        <w:tc>
          <w:tcPr>
            <w:tcW w:w="4221" w:type="dxa"/>
            <w:tcBorders>
              <w:top w:val="nil"/>
              <w:left w:val="nil"/>
              <w:bottom w:val="nil"/>
              <w:right w:val="nil"/>
            </w:tcBorders>
            <w:shd w:val="clear" w:color="auto" w:fill="auto"/>
            <w:noWrap/>
            <w:vAlign w:val="bottom"/>
          </w:tcPr>
          <w:p w:rsidR="00CA65C9" w:rsidRPr="006017B2" w:rsidRDefault="00CA65C9" w:rsidP="00CA65C9">
            <w:pPr>
              <w:rPr>
                <w:bCs/>
                <w:color w:val="000000"/>
                <w:highlight w:val="yellow"/>
              </w:rPr>
            </w:pPr>
          </w:p>
        </w:tc>
        <w:tc>
          <w:tcPr>
            <w:tcW w:w="1116" w:type="dxa"/>
            <w:tcBorders>
              <w:top w:val="nil"/>
              <w:left w:val="nil"/>
              <w:bottom w:val="nil"/>
              <w:right w:val="nil"/>
            </w:tcBorders>
            <w:shd w:val="clear" w:color="auto" w:fill="auto"/>
            <w:noWrap/>
            <w:vAlign w:val="bottom"/>
          </w:tcPr>
          <w:p w:rsidR="00CA65C9" w:rsidRPr="006017B2" w:rsidRDefault="00CA65C9" w:rsidP="00CA65C9">
            <w:pPr>
              <w:tabs>
                <w:tab w:val="decimal" w:pos="750"/>
              </w:tabs>
              <w:jc w:val="right"/>
              <w:rPr>
                <w:bCs/>
                <w:color w:val="000000"/>
                <w:highlight w:val="yellow"/>
                <w:u w:val="single"/>
              </w:rPr>
            </w:pPr>
          </w:p>
        </w:tc>
        <w:tc>
          <w:tcPr>
            <w:tcW w:w="1978" w:type="dxa"/>
            <w:tcBorders>
              <w:top w:val="nil"/>
              <w:left w:val="nil"/>
              <w:bottom w:val="nil"/>
            </w:tcBorders>
            <w:shd w:val="clear" w:color="auto" w:fill="auto"/>
            <w:noWrap/>
            <w:vAlign w:val="bottom"/>
          </w:tcPr>
          <w:p w:rsidR="00CA65C9" w:rsidRPr="006017B2" w:rsidRDefault="00CA65C9" w:rsidP="00CA65C9">
            <w:pPr>
              <w:tabs>
                <w:tab w:val="decimal" w:pos="1592"/>
              </w:tabs>
              <w:rPr>
                <w:bCs/>
                <w:color w:val="000000"/>
                <w:highlight w:val="yellow"/>
                <w:u w:val="single"/>
              </w:rPr>
            </w:pP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r w:rsidRPr="006017B2">
              <w:rPr>
                <w:bCs/>
                <w:color w:val="000000"/>
              </w:rPr>
              <w:t>Total</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rPr>
            </w:pPr>
            <w:r w:rsidRPr="006017B2">
              <w:rPr>
                <w:bCs/>
                <w:color w:val="000000"/>
                <w:u w:val="double"/>
              </w:rPr>
              <w:t xml:space="preserve">$89,864 </w:t>
            </w: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rPr>
            </w:pPr>
            <w:r w:rsidRPr="006017B2">
              <w:rPr>
                <w:bCs/>
                <w:color w:val="000000"/>
                <w:u w:val="double"/>
              </w:rPr>
              <w:t xml:space="preserve">($49,700) </w:t>
            </w:r>
          </w:p>
        </w:tc>
      </w:tr>
      <w:tr w:rsidR="00CA65C9" w:rsidRPr="006017B2" w:rsidTr="00CA65C9">
        <w:trPr>
          <w:trHeight w:val="315"/>
          <w:jc w:val="center"/>
        </w:trPr>
        <w:tc>
          <w:tcPr>
            <w:tcW w:w="1070" w:type="dxa"/>
            <w:tcBorders>
              <w:top w:val="nil"/>
              <w:bottom w:val="nil"/>
              <w:right w:val="nil"/>
            </w:tcBorders>
            <w:shd w:val="clear" w:color="auto" w:fill="auto"/>
            <w:noWrap/>
            <w:vAlign w:val="bottom"/>
          </w:tcPr>
          <w:p w:rsidR="00CA65C9" w:rsidRPr="006017B2" w:rsidRDefault="00CA65C9" w:rsidP="00CA65C9">
            <w:pPr>
              <w:jc w:val="center"/>
              <w:rPr>
                <w:bCs/>
                <w:color w:val="000000"/>
              </w:rPr>
            </w:pPr>
          </w:p>
        </w:tc>
        <w:tc>
          <w:tcPr>
            <w:tcW w:w="4221" w:type="dxa"/>
            <w:tcBorders>
              <w:top w:val="nil"/>
              <w:left w:val="nil"/>
              <w:bottom w:val="nil"/>
              <w:right w:val="nil"/>
            </w:tcBorders>
            <w:shd w:val="clear" w:color="auto" w:fill="auto"/>
            <w:noWrap/>
            <w:vAlign w:val="bottom"/>
          </w:tcPr>
          <w:p w:rsidR="00CA65C9" w:rsidRPr="006017B2" w:rsidRDefault="00CA65C9" w:rsidP="00CA65C9">
            <w:pPr>
              <w:rPr>
                <w:bCs/>
                <w:color w:val="000000"/>
              </w:rPr>
            </w:pPr>
          </w:p>
        </w:tc>
        <w:tc>
          <w:tcPr>
            <w:tcW w:w="1116" w:type="dxa"/>
            <w:tcBorders>
              <w:top w:val="nil"/>
              <w:left w:val="nil"/>
              <w:bottom w:val="nil"/>
              <w:right w:val="nil"/>
            </w:tcBorders>
            <w:shd w:val="clear" w:color="auto" w:fill="auto"/>
            <w:noWrap/>
            <w:vAlign w:val="bottom"/>
          </w:tcPr>
          <w:p w:rsidR="00CA65C9" w:rsidRPr="006017B2" w:rsidRDefault="00CA65C9" w:rsidP="00CA65C9">
            <w:pPr>
              <w:tabs>
                <w:tab w:val="decimal" w:pos="750"/>
              </w:tabs>
              <w:jc w:val="right"/>
              <w:rPr>
                <w:bCs/>
                <w:color w:val="000000"/>
              </w:rPr>
            </w:pPr>
          </w:p>
        </w:tc>
        <w:tc>
          <w:tcPr>
            <w:tcW w:w="1978" w:type="dxa"/>
            <w:tcBorders>
              <w:top w:val="nil"/>
              <w:left w:val="nil"/>
              <w:bottom w:val="nil"/>
            </w:tcBorders>
            <w:shd w:val="clear" w:color="auto" w:fill="auto"/>
            <w:noWrap/>
            <w:vAlign w:val="bottom"/>
          </w:tcPr>
          <w:p w:rsidR="00CA65C9" w:rsidRPr="006017B2" w:rsidRDefault="00CA65C9" w:rsidP="00CA65C9">
            <w:pPr>
              <w:tabs>
                <w:tab w:val="decimal" w:pos="1592"/>
              </w:tabs>
              <w:rPr>
                <w:bCs/>
                <w:color w:val="000000"/>
              </w:rPr>
            </w:pPr>
          </w:p>
        </w:tc>
      </w:tr>
    </w:tbl>
    <w:p w:rsidR="006D28D4" w:rsidRDefault="006D28D4" w:rsidP="00CA65C9">
      <w:pPr>
        <w:sectPr w:rsidR="006D28D4" w:rsidSect="00CA65C9">
          <w:headerReference w:type="default" r:id="rId20"/>
          <w:pgSz w:w="12240" w:h="15840"/>
          <w:pgMar w:top="1440" w:right="1440" w:bottom="1440" w:left="1440" w:header="720" w:footer="720" w:gutter="0"/>
          <w:cols w:space="720"/>
          <w:docGrid w:linePitch="360"/>
        </w:sectPr>
      </w:pPr>
    </w:p>
    <w:p w:rsidR="00CA65C9" w:rsidRPr="006017B2" w:rsidRDefault="00CA65C9" w:rsidP="00CA65C9"/>
    <w:p w:rsidR="00CA65C9" w:rsidRDefault="00CA65C9" w:rsidP="0093313C">
      <w:pPr>
        <w:jc w:val="center"/>
      </w:pPr>
    </w:p>
    <w:p w:rsidR="0093313C" w:rsidRPr="006017B2" w:rsidRDefault="0093313C" w:rsidP="0093313C">
      <w:pPr>
        <w:jc w:val="center"/>
      </w:pPr>
    </w:p>
    <w:tbl>
      <w:tblPr>
        <w:tblpPr w:leftFromText="180" w:rightFromText="180" w:vertAnchor="text" w:tblpXSpec="center" w:tblpY="1"/>
        <w:tblOverlap w:val="never"/>
        <w:tblW w:w="8455" w:type="dxa"/>
        <w:tblLook w:val="04A0" w:firstRow="1" w:lastRow="0" w:firstColumn="1" w:lastColumn="0" w:noHBand="0" w:noVBand="1"/>
      </w:tblPr>
      <w:tblGrid>
        <w:gridCol w:w="2812"/>
        <w:gridCol w:w="1840"/>
        <w:gridCol w:w="1523"/>
        <w:gridCol w:w="2280"/>
      </w:tblGrid>
      <w:tr w:rsidR="00CA65C9" w:rsidRPr="006017B2" w:rsidTr="00CA65C9">
        <w:trPr>
          <w:trHeight w:val="80"/>
        </w:trPr>
        <w:tc>
          <w:tcPr>
            <w:tcW w:w="8455" w:type="dxa"/>
            <w:gridSpan w:val="4"/>
            <w:tcBorders>
              <w:top w:val="nil"/>
              <w:left w:val="nil"/>
              <w:bottom w:val="nil"/>
              <w:right w:val="nil"/>
            </w:tcBorders>
            <w:shd w:val="clear" w:color="auto" w:fill="auto"/>
            <w:vAlign w:val="center"/>
          </w:tcPr>
          <w:p w:rsidR="00CA65C9" w:rsidRPr="006017B2" w:rsidRDefault="00CA65C9" w:rsidP="00CA65C9">
            <w:pPr>
              <w:jc w:val="center"/>
              <w:rPr>
                <w:b/>
                <w:bCs/>
                <w:color w:val="000000"/>
              </w:rPr>
            </w:pPr>
            <w:r w:rsidRPr="006017B2">
              <w:rPr>
                <w:b/>
                <w:bCs/>
                <w:color w:val="000000"/>
              </w:rPr>
              <w:t>Heather Hills Utilities, LLC</w:t>
            </w:r>
          </w:p>
        </w:tc>
      </w:tr>
      <w:tr w:rsidR="00CA65C9" w:rsidRPr="006017B2" w:rsidTr="00CA65C9">
        <w:trPr>
          <w:trHeight w:val="80"/>
        </w:trPr>
        <w:tc>
          <w:tcPr>
            <w:tcW w:w="8455" w:type="dxa"/>
            <w:gridSpan w:val="4"/>
            <w:tcBorders>
              <w:top w:val="nil"/>
              <w:left w:val="nil"/>
              <w:bottom w:val="nil"/>
              <w:right w:val="nil"/>
            </w:tcBorders>
            <w:shd w:val="clear" w:color="auto" w:fill="auto"/>
            <w:vAlign w:val="center"/>
          </w:tcPr>
          <w:p w:rsidR="00CA65C9" w:rsidRPr="006017B2" w:rsidRDefault="00CA65C9" w:rsidP="00CA65C9">
            <w:pPr>
              <w:jc w:val="center"/>
              <w:rPr>
                <w:b/>
                <w:bCs/>
                <w:color w:val="000000"/>
              </w:rPr>
            </w:pPr>
            <w:r w:rsidRPr="006017B2">
              <w:rPr>
                <w:b/>
                <w:bCs/>
                <w:color w:val="000000"/>
              </w:rPr>
              <w:t>Wastewater System</w:t>
            </w:r>
          </w:p>
        </w:tc>
      </w:tr>
      <w:tr w:rsidR="00CA65C9" w:rsidRPr="006017B2" w:rsidTr="00CA65C9">
        <w:trPr>
          <w:trHeight w:val="80"/>
        </w:trPr>
        <w:tc>
          <w:tcPr>
            <w:tcW w:w="8455" w:type="dxa"/>
            <w:gridSpan w:val="4"/>
            <w:tcBorders>
              <w:top w:val="nil"/>
              <w:left w:val="nil"/>
              <w:bottom w:val="nil"/>
              <w:right w:val="nil"/>
            </w:tcBorders>
            <w:shd w:val="clear" w:color="auto" w:fill="auto"/>
            <w:vAlign w:val="center"/>
            <w:hideMark/>
          </w:tcPr>
          <w:p w:rsidR="00CA65C9" w:rsidRPr="006017B2" w:rsidRDefault="00CA65C9" w:rsidP="00CA65C9">
            <w:pPr>
              <w:jc w:val="center"/>
              <w:rPr>
                <w:b/>
                <w:bCs/>
                <w:color w:val="000000"/>
              </w:rPr>
            </w:pPr>
            <w:r w:rsidRPr="006017B2">
              <w:rPr>
                <w:b/>
                <w:bCs/>
                <w:color w:val="000000"/>
              </w:rPr>
              <w:t>Net Book Value as of April 7, 2017</w:t>
            </w:r>
          </w:p>
        </w:tc>
      </w:tr>
      <w:tr w:rsidR="00CA65C9" w:rsidRPr="006017B2" w:rsidTr="00CA65C9">
        <w:trPr>
          <w:trHeight w:val="80"/>
        </w:trPr>
        <w:tc>
          <w:tcPr>
            <w:tcW w:w="8455" w:type="dxa"/>
            <w:gridSpan w:val="4"/>
            <w:tcBorders>
              <w:top w:val="nil"/>
              <w:left w:val="nil"/>
              <w:bottom w:val="nil"/>
              <w:right w:val="nil"/>
            </w:tcBorders>
            <w:shd w:val="clear" w:color="auto" w:fill="auto"/>
            <w:vAlign w:val="center"/>
          </w:tcPr>
          <w:p w:rsidR="00CA65C9" w:rsidRPr="006017B2" w:rsidRDefault="00CA65C9" w:rsidP="00CA65C9">
            <w:pPr>
              <w:jc w:val="center"/>
              <w:rPr>
                <w:b/>
                <w:bCs/>
                <w:color w:val="000000"/>
              </w:rPr>
            </w:pP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jc w:val="center"/>
              <w:rPr>
                <w:b/>
                <w:bCs/>
                <w:color w:val="000000"/>
              </w:rPr>
            </w:pPr>
            <w:r w:rsidRPr="006017B2">
              <w:rPr>
                <w:b/>
                <w:bCs/>
                <w:color w:val="000000"/>
              </w:rPr>
              <w:t>Description</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left" w:pos="1532"/>
              </w:tabs>
              <w:jc w:val="center"/>
              <w:rPr>
                <w:b/>
                <w:bCs/>
                <w:color w:val="000000"/>
              </w:rPr>
            </w:pPr>
            <w:r w:rsidRPr="006017B2">
              <w:rPr>
                <w:b/>
                <w:bCs/>
                <w:color w:val="000000"/>
              </w:rPr>
              <w:t>Balance Per Utility</w:t>
            </w:r>
          </w:p>
        </w:tc>
        <w:tc>
          <w:tcPr>
            <w:tcW w:w="1523" w:type="dxa"/>
            <w:tcBorders>
              <w:top w:val="nil"/>
              <w:left w:val="nil"/>
              <w:right w:val="nil"/>
            </w:tcBorders>
            <w:shd w:val="clear" w:color="auto" w:fill="auto"/>
            <w:noWrap/>
            <w:vAlign w:val="bottom"/>
          </w:tcPr>
          <w:p w:rsidR="00CA65C9" w:rsidRPr="006017B2" w:rsidRDefault="00CA65C9" w:rsidP="00CA65C9">
            <w:pPr>
              <w:jc w:val="center"/>
              <w:rPr>
                <w:b/>
                <w:bCs/>
                <w:color w:val="000000"/>
              </w:rPr>
            </w:pPr>
            <w:r w:rsidRPr="006017B2">
              <w:rPr>
                <w:b/>
                <w:bCs/>
                <w:color w:val="000000"/>
              </w:rPr>
              <w:t xml:space="preserve">Adjustments </w:t>
            </w:r>
          </w:p>
        </w:tc>
        <w:tc>
          <w:tcPr>
            <w:tcW w:w="2280" w:type="dxa"/>
            <w:tcBorders>
              <w:top w:val="nil"/>
              <w:left w:val="nil"/>
              <w:bottom w:val="nil"/>
              <w:right w:val="nil"/>
            </w:tcBorders>
            <w:shd w:val="clear" w:color="auto" w:fill="auto"/>
            <w:noWrap/>
            <w:vAlign w:val="bottom"/>
          </w:tcPr>
          <w:p w:rsidR="00CA65C9" w:rsidRPr="006017B2" w:rsidRDefault="00CA65C9" w:rsidP="00CA65C9">
            <w:pPr>
              <w:jc w:val="center"/>
              <w:rPr>
                <w:b/>
                <w:bCs/>
                <w:color w:val="000000"/>
              </w:rPr>
            </w:pPr>
            <w:r w:rsidRPr="006017B2">
              <w:rPr>
                <w:b/>
                <w:bCs/>
                <w:color w:val="000000"/>
              </w:rPr>
              <w:t>Staff Recommendation</w:t>
            </w: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r w:rsidRPr="006017B2">
              <w:rPr>
                <w:color w:val="000000"/>
                <w:sz w:val="22"/>
                <w:szCs w:val="22"/>
              </w:rPr>
              <w:t>Utility Plant in Service</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$72,512</w:t>
            </w:r>
          </w:p>
        </w:tc>
        <w:tc>
          <w:tcPr>
            <w:tcW w:w="1523" w:type="dxa"/>
            <w:tcBorders>
              <w:top w:val="nil"/>
              <w:left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$72,512</w:t>
            </w: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r w:rsidRPr="006017B2">
              <w:rPr>
                <w:color w:val="000000"/>
                <w:sz w:val="22"/>
                <w:szCs w:val="22"/>
              </w:rPr>
              <w:t>Land &amp; Land Rights</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389</w:t>
            </w:r>
          </w:p>
        </w:tc>
        <w:tc>
          <w:tcPr>
            <w:tcW w:w="1523" w:type="dxa"/>
            <w:tcBorders>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389</w:t>
            </w: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r w:rsidRPr="006017B2">
              <w:rPr>
                <w:color w:val="000000"/>
                <w:sz w:val="22"/>
                <w:szCs w:val="22"/>
              </w:rPr>
              <w:t>Accumulated Depreciation</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(72,262)</w:t>
            </w:r>
          </w:p>
        </w:tc>
        <w:tc>
          <w:tcPr>
            <w:tcW w:w="1523"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(250)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(72,512)</w:t>
            </w: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r w:rsidRPr="006017B2">
              <w:rPr>
                <w:color w:val="000000"/>
                <w:sz w:val="22"/>
                <w:szCs w:val="22"/>
              </w:rPr>
              <w:t>CIAC</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rPr>
            </w:pPr>
            <w:r w:rsidRPr="006017B2">
              <w:rPr>
                <w:color w:val="000000"/>
                <w:sz w:val="22"/>
                <w:szCs w:val="22"/>
              </w:rPr>
              <w:t>0</w:t>
            </w:r>
          </w:p>
        </w:tc>
        <w:tc>
          <w:tcPr>
            <w:tcW w:w="1523"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rPr>
            </w:pPr>
            <w:r w:rsidRPr="006017B2">
              <w:rPr>
                <w:color w:val="000000"/>
                <w:sz w:val="22"/>
                <w:szCs w:val="22"/>
              </w:rPr>
              <w:t>0</w:t>
            </w: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r w:rsidRPr="006017B2">
              <w:rPr>
                <w:color w:val="000000"/>
                <w:sz w:val="22"/>
                <w:szCs w:val="22"/>
              </w:rPr>
              <w:t>Amortization of CIAC</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u w:val="single"/>
              </w:rPr>
            </w:pPr>
            <w:r w:rsidRPr="006017B2">
              <w:rPr>
                <w:color w:val="000000"/>
                <w:sz w:val="22"/>
                <w:szCs w:val="22"/>
                <w:u w:val="single"/>
              </w:rPr>
              <w:t>0</w:t>
            </w:r>
          </w:p>
        </w:tc>
        <w:tc>
          <w:tcPr>
            <w:tcW w:w="1523"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r w:rsidRPr="006017B2">
              <w:rPr>
                <w:color w:val="000000"/>
                <w:sz w:val="22"/>
                <w:szCs w:val="22"/>
              </w:rPr>
              <w:tab/>
            </w:r>
            <w:r w:rsidRPr="006017B2">
              <w:rPr>
                <w:color w:val="000000"/>
                <w:sz w:val="22"/>
                <w:szCs w:val="22"/>
                <w:u w:val="single"/>
              </w:rPr>
              <w:t>0</w:t>
            </w:r>
            <w:r w:rsidRPr="006017B2">
              <w:rPr>
                <w:color w:val="000000"/>
                <w:sz w:val="22"/>
                <w:szCs w:val="22"/>
              </w:rPr>
              <w:tab/>
            </w: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u w:val="single"/>
              </w:rPr>
            </w:pPr>
            <w:r w:rsidRPr="006017B2">
              <w:rPr>
                <w:color w:val="000000"/>
                <w:sz w:val="22"/>
                <w:szCs w:val="22"/>
                <w:u w:val="single"/>
              </w:rPr>
              <w:t>0</w:t>
            </w: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u w:val="double"/>
              </w:rPr>
            </w:pPr>
          </w:p>
        </w:tc>
        <w:tc>
          <w:tcPr>
            <w:tcW w:w="1523"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rPr>
            </w:pP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u w:val="double"/>
              </w:rPr>
            </w:pPr>
          </w:p>
        </w:tc>
      </w:tr>
      <w:tr w:rsidR="00CA65C9" w:rsidRPr="006017B2" w:rsidTr="00CA65C9">
        <w:trPr>
          <w:trHeight w:val="300"/>
        </w:trPr>
        <w:tc>
          <w:tcPr>
            <w:tcW w:w="2812" w:type="dxa"/>
            <w:tcBorders>
              <w:top w:val="nil"/>
              <w:left w:val="nil"/>
              <w:bottom w:val="nil"/>
              <w:right w:val="nil"/>
            </w:tcBorders>
            <w:shd w:val="clear" w:color="auto" w:fill="auto"/>
            <w:noWrap/>
            <w:vAlign w:val="bottom"/>
          </w:tcPr>
          <w:p w:rsidR="00CA65C9" w:rsidRPr="006017B2" w:rsidRDefault="00CA65C9" w:rsidP="00CA65C9">
            <w:pPr>
              <w:rPr>
                <w:color w:val="000000"/>
                <w:sz w:val="22"/>
                <w:szCs w:val="22"/>
              </w:rPr>
            </w:pPr>
            <w:r w:rsidRPr="006017B2">
              <w:rPr>
                <w:color w:val="000000"/>
                <w:sz w:val="22"/>
                <w:szCs w:val="22"/>
              </w:rPr>
              <w:t>Total</w:t>
            </w:r>
          </w:p>
        </w:tc>
        <w:tc>
          <w:tcPr>
            <w:tcW w:w="1840" w:type="dxa"/>
            <w:tcBorders>
              <w:top w:val="nil"/>
              <w:left w:val="nil"/>
              <w:bottom w:val="nil"/>
              <w:right w:val="nil"/>
            </w:tcBorders>
            <w:shd w:val="clear" w:color="auto" w:fill="auto"/>
            <w:noWrap/>
            <w:vAlign w:val="bottom"/>
          </w:tcPr>
          <w:p w:rsidR="00CA65C9" w:rsidRPr="006017B2" w:rsidRDefault="00CA65C9" w:rsidP="00CA65C9">
            <w:pPr>
              <w:tabs>
                <w:tab w:val="decimal" w:pos="1502"/>
              </w:tabs>
              <w:rPr>
                <w:color w:val="000000"/>
                <w:sz w:val="22"/>
                <w:szCs w:val="22"/>
                <w:u w:val="double"/>
              </w:rPr>
            </w:pPr>
            <w:r w:rsidRPr="006017B2">
              <w:rPr>
                <w:color w:val="000000"/>
                <w:sz w:val="22"/>
                <w:szCs w:val="22"/>
                <w:u w:val="double"/>
              </w:rPr>
              <w:t>$639</w:t>
            </w:r>
          </w:p>
        </w:tc>
        <w:tc>
          <w:tcPr>
            <w:tcW w:w="1523" w:type="dxa"/>
            <w:tcBorders>
              <w:top w:val="nil"/>
              <w:left w:val="nil"/>
              <w:bottom w:val="nil"/>
              <w:right w:val="nil"/>
            </w:tcBorders>
            <w:shd w:val="clear" w:color="auto" w:fill="auto"/>
            <w:noWrap/>
            <w:vAlign w:val="bottom"/>
          </w:tcPr>
          <w:p w:rsidR="00CA65C9" w:rsidRPr="006017B2" w:rsidRDefault="00CA65C9" w:rsidP="00CA65C9">
            <w:pPr>
              <w:tabs>
                <w:tab w:val="decimal" w:pos="994"/>
                <w:tab w:val="left" w:pos="1133"/>
              </w:tabs>
              <w:rPr>
                <w:color w:val="000000"/>
                <w:sz w:val="22"/>
                <w:szCs w:val="22"/>
                <w:u w:val="double"/>
              </w:rPr>
            </w:pPr>
            <w:r w:rsidRPr="006017B2">
              <w:rPr>
                <w:color w:val="000000"/>
                <w:sz w:val="22"/>
                <w:szCs w:val="22"/>
              </w:rPr>
              <w:tab/>
            </w:r>
            <w:r w:rsidRPr="006017B2">
              <w:rPr>
                <w:color w:val="000000"/>
                <w:sz w:val="22"/>
                <w:szCs w:val="22"/>
                <w:u w:val="double"/>
              </w:rPr>
              <w:t>($250)</w:t>
            </w:r>
          </w:p>
        </w:tc>
        <w:tc>
          <w:tcPr>
            <w:tcW w:w="2280" w:type="dxa"/>
            <w:tcBorders>
              <w:top w:val="nil"/>
              <w:left w:val="nil"/>
              <w:bottom w:val="nil"/>
              <w:right w:val="nil"/>
            </w:tcBorders>
            <w:shd w:val="clear" w:color="auto" w:fill="auto"/>
            <w:noWrap/>
            <w:vAlign w:val="bottom"/>
          </w:tcPr>
          <w:p w:rsidR="00CA65C9" w:rsidRPr="006017B2" w:rsidRDefault="00CA65C9" w:rsidP="00CA65C9">
            <w:pPr>
              <w:tabs>
                <w:tab w:val="decimal" w:pos="1635"/>
              </w:tabs>
              <w:rPr>
                <w:color w:val="000000"/>
                <w:sz w:val="22"/>
                <w:szCs w:val="22"/>
                <w:u w:val="double"/>
              </w:rPr>
            </w:pPr>
            <w:r w:rsidRPr="006017B2">
              <w:rPr>
                <w:color w:val="000000"/>
                <w:sz w:val="22"/>
                <w:szCs w:val="22"/>
                <w:u w:val="double"/>
              </w:rPr>
              <w:t>$389</w:t>
            </w:r>
          </w:p>
        </w:tc>
      </w:tr>
    </w:tbl>
    <w:p w:rsidR="00CA65C9" w:rsidRPr="006017B2" w:rsidRDefault="00CA65C9" w:rsidP="00CA65C9">
      <w:r w:rsidRPr="006017B2">
        <w:br w:type="textWrapping" w:clear="all"/>
      </w:r>
    </w:p>
    <w:p w:rsidR="004A557A" w:rsidRDefault="004A557A" w:rsidP="00CA65C9">
      <w:pPr>
        <w:sectPr w:rsidR="004A557A" w:rsidSect="00CA65C9">
          <w:headerReference w:type="default" r:id="rId21"/>
          <w:pgSz w:w="12240" w:h="15840"/>
          <w:pgMar w:top="1440" w:right="1440" w:bottom="1440" w:left="1440" w:header="720" w:footer="720" w:gutter="0"/>
          <w:cols w:space="720"/>
          <w:docGrid w:linePitch="360"/>
        </w:sectPr>
      </w:pPr>
    </w:p>
    <w:p w:rsidR="00CA65C9" w:rsidRPr="006017B2" w:rsidRDefault="00CA65C9" w:rsidP="0093313C">
      <w:pPr>
        <w:jc w:val="center"/>
      </w:pPr>
    </w:p>
    <w:tbl>
      <w:tblPr>
        <w:tblW w:w="8751" w:type="dxa"/>
        <w:jc w:val="center"/>
        <w:tblLook w:val="04A0" w:firstRow="1" w:lastRow="0" w:firstColumn="1" w:lastColumn="0" w:noHBand="0" w:noVBand="1"/>
      </w:tblPr>
      <w:tblGrid>
        <w:gridCol w:w="7305"/>
        <w:gridCol w:w="1446"/>
      </w:tblGrid>
      <w:tr w:rsidR="00CA65C9" w:rsidRPr="006017B2" w:rsidTr="00CA65C9">
        <w:trPr>
          <w:trHeight w:val="330"/>
          <w:jc w:val="center"/>
        </w:trPr>
        <w:tc>
          <w:tcPr>
            <w:tcW w:w="8751" w:type="dxa"/>
            <w:gridSpan w:val="2"/>
            <w:shd w:val="clear" w:color="auto" w:fill="auto"/>
            <w:noWrap/>
            <w:vAlign w:val="bottom"/>
            <w:hideMark/>
          </w:tcPr>
          <w:p w:rsidR="00CA65C9" w:rsidRPr="006017B2" w:rsidRDefault="00CA65C9" w:rsidP="00CA65C9">
            <w:pPr>
              <w:jc w:val="center"/>
              <w:rPr>
                <w:b/>
                <w:bCs/>
                <w:color w:val="000000"/>
              </w:rPr>
            </w:pPr>
          </w:p>
          <w:p w:rsidR="00CA65C9" w:rsidRPr="006017B2" w:rsidRDefault="00CA65C9" w:rsidP="00CA65C9">
            <w:pPr>
              <w:jc w:val="center"/>
              <w:rPr>
                <w:b/>
                <w:bCs/>
                <w:color w:val="000000"/>
              </w:rPr>
            </w:pPr>
            <w:r w:rsidRPr="006017B2">
              <w:rPr>
                <w:b/>
                <w:bCs/>
                <w:color w:val="000000"/>
              </w:rPr>
              <w:t>Explanation of Staff's Recommended</w:t>
            </w:r>
          </w:p>
        </w:tc>
      </w:tr>
      <w:tr w:rsidR="00CA65C9" w:rsidRPr="006017B2" w:rsidTr="00CA65C9">
        <w:trPr>
          <w:trHeight w:val="315"/>
          <w:jc w:val="center"/>
        </w:trPr>
        <w:tc>
          <w:tcPr>
            <w:tcW w:w="8751" w:type="dxa"/>
            <w:gridSpan w:val="2"/>
            <w:shd w:val="clear" w:color="auto" w:fill="auto"/>
            <w:noWrap/>
            <w:vAlign w:val="bottom"/>
            <w:hideMark/>
          </w:tcPr>
          <w:p w:rsidR="00CA65C9" w:rsidRPr="006017B2" w:rsidRDefault="00CA65C9" w:rsidP="00CA65C9">
            <w:pPr>
              <w:jc w:val="center"/>
              <w:rPr>
                <w:b/>
                <w:bCs/>
                <w:color w:val="000000"/>
              </w:rPr>
            </w:pPr>
            <w:r w:rsidRPr="006017B2">
              <w:rPr>
                <w:b/>
                <w:bCs/>
                <w:color w:val="000000"/>
              </w:rPr>
              <w:t>Adjustments to Net Book Value as of April 7, 2017</w:t>
            </w:r>
          </w:p>
        </w:tc>
      </w:tr>
      <w:tr w:rsidR="00CA65C9" w:rsidRPr="006017B2" w:rsidTr="00CA65C9">
        <w:trPr>
          <w:trHeight w:val="315"/>
          <w:jc w:val="center"/>
        </w:trPr>
        <w:tc>
          <w:tcPr>
            <w:tcW w:w="8751" w:type="dxa"/>
            <w:gridSpan w:val="2"/>
            <w:shd w:val="clear" w:color="auto" w:fill="auto"/>
            <w:noWrap/>
            <w:vAlign w:val="bottom"/>
            <w:hideMark/>
          </w:tcPr>
          <w:p w:rsidR="00CA65C9" w:rsidRPr="006017B2" w:rsidRDefault="00CA65C9" w:rsidP="00CA65C9">
            <w:pPr>
              <w:jc w:val="center"/>
              <w:rPr>
                <w:b/>
                <w:bCs/>
                <w:color w:val="000000"/>
              </w:rPr>
            </w:pPr>
            <w:r w:rsidRPr="006017B2">
              <w:rPr>
                <w:b/>
                <w:bCs/>
                <w:color w:val="000000"/>
              </w:rPr>
              <w:t>Wastewater System</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p>
        </w:tc>
        <w:tc>
          <w:tcPr>
            <w:tcW w:w="1446" w:type="dxa"/>
            <w:shd w:val="clear" w:color="auto" w:fill="auto"/>
            <w:noWrap/>
            <w:vAlign w:val="bottom"/>
            <w:hideMark/>
          </w:tcPr>
          <w:p w:rsidR="00CA65C9" w:rsidRPr="006017B2" w:rsidRDefault="00CA65C9" w:rsidP="00CA65C9">
            <w:pPr>
              <w:rPr>
                <w:color w:val="000000"/>
              </w:rPr>
            </w:pPr>
            <w:r w:rsidRPr="006017B2">
              <w:rPr>
                <w:color w:val="000000"/>
              </w:rPr>
              <w:t> </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b/>
                <w:bCs/>
                <w:color w:val="000000"/>
              </w:rPr>
            </w:pPr>
            <w:r w:rsidRPr="006017B2">
              <w:rPr>
                <w:b/>
                <w:bCs/>
                <w:color w:val="000000"/>
              </w:rPr>
              <w:t>Explanation</w:t>
            </w:r>
          </w:p>
        </w:tc>
        <w:tc>
          <w:tcPr>
            <w:tcW w:w="1446" w:type="dxa"/>
            <w:shd w:val="clear" w:color="auto" w:fill="auto"/>
            <w:noWrap/>
            <w:vAlign w:val="bottom"/>
            <w:hideMark/>
          </w:tcPr>
          <w:p w:rsidR="00CA65C9" w:rsidRPr="006017B2" w:rsidRDefault="00CA65C9" w:rsidP="00CA65C9">
            <w:pPr>
              <w:rPr>
                <w:b/>
                <w:bCs/>
                <w:color w:val="000000"/>
              </w:rPr>
            </w:pPr>
            <w:r w:rsidRPr="006017B2">
              <w:rPr>
                <w:b/>
                <w:bCs/>
                <w:color w:val="000000"/>
              </w:rPr>
              <w:t>Amount</w:t>
            </w:r>
          </w:p>
        </w:tc>
      </w:tr>
      <w:tr w:rsidR="00CA65C9" w:rsidRPr="006017B2" w:rsidTr="00CA65C9">
        <w:trPr>
          <w:trHeight w:val="315"/>
          <w:jc w:val="center"/>
        </w:trPr>
        <w:tc>
          <w:tcPr>
            <w:tcW w:w="7305" w:type="dxa"/>
            <w:shd w:val="clear" w:color="auto" w:fill="auto"/>
            <w:noWrap/>
            <w:vAlign w:val="bottom"/>
            <w:hideMark/>
          </w:tcPr>
          <w:p w:rsidR="00CA65C9" w:rsidRPr="006017B2" w:rsidRDefault="00CA65C9" w:rsidP="00CA65C9">
            <w:pPr>
              <w:rPr>
                <w:color w:val="000000"/>
              </w:rPr>
            </w:pPr>
          </w:p>
          <w:p w:rsidR="00CA65C9" w:rsidRPr="006017B2" w:rsidRDefault="00CA65C9" w:rsidP="00CA65C9">
            <w:pPr>
              <w:rPr>
                <w:color w:val="000000"/>
              </w:rPr>
            </w:pPr>
            <w:r w:rsidRPr="006017B2">
              <w:rPr>
                <w:color w:val="000000"/>
              </w:rPr>
              <w:t xml:space="preserve">A.  </w:t>
            </w:r>
            <w:r w:rsidRPr="006017B2">
              <w:t xml:space="preserve">Accumulated Depreciation </w:t>
            </w:r>
          </w:p>
        </w:tc>
        <w:tc>
          <w:tcPr>
            <w:tcW w:w="1446" w:type="dxa"/>
            <w:shd w:val="clear" w:color="auto" w:fill="auto"/>
            <w:noWrap/>
            <w:vAlign w:val="bottom"/>
            <w:hideMark/>
          </w:tcPr>
          <w:p w:rsidR="00CA65C9" w:rsidRPr="006017B2" w:rsidRDefault="00CA65C9" w:rsidP="00CA65C9">
            <w:pPr>
              <w:tabs>
                <w:tab w:val="decimal" w:pos="1150"/>
              </w:tabs>
              <w:rPr>
                <w:color w:val="000000"/>
              </w:rPr>
            </w:pPr>
            <w:r w:rsidRPr="006017B2">
              <w:rPr>
                <w:color w:val="000000"/>
              </w:rPr>
              <w:t> </w:t>
            </w:r>
          </w:p>
        </w:tc>
      </w:tr>
      <w:tr w:rsidR="00CA65C9" w:rsidRPr="006017B2" w:rsidTr="00CA65C9">
        <w:trPr>
          <w:trHeight w:val="330"/>
          <w:jc w:val="center"/>
        </w:trPr>
        <w:tc>
          <w:tcPr>
            <w:tcW w:w="7305" w:type="dxa"/>
            <w:shd w:val="clear" w:color="auto" w:fill="auto"/>
            <w:noWrap/>
            <w:vAlign w:val="bottom"/>
            <w:hideMark/>
          </w:tcPr>
          <w:p w:rsidR="00CA65C9" w:rsidRPr="006017B2" w:rsidRDefault="00CA65C9" w:rsidP="00CA65C9">
            <w:pPr>
              <w:rPr>
                <w:color w:val="000000"/>
              </w:rPr>
            </w:pPr>
            <w:r w:rsidRPr="006017B2">
              <w:rPr>
                <w:color w:val="000000"/>
              </w:rPr>
              <w:t xml:space="preserve">   To reflect appropriate amount of accumulated depreciation.</w:t>
            </w:r>
          </w:p>
        </w:tc>
        <w:tc>
          <w:tcPr>
            <w:tcW w:w="1446" w:type="dxa"/>
            <w:shd w:val="clear" w:color="auto" w:fill="auto"/>
            <w:noWrap/>
            <w:vAlign w:val="bottom"/>
            <w:hideMark/>
          </w:tcPr>
          <w:p w:rsidR="00CA65C9" w:rsidRPr="006017B2" w:rsidRDefault="00CA65C9" w:rsidP="00CA65C9">
            <w:pPr>
              <w:tabs>
                <w:tab w:val="decimal" w:pos="1150"/>
              </w:tabs>
              <w:rPr>
                <w:color w:val="000000"/>
                <w:u w:val="double"/>
              </w:rPr>
            </w:pPr>
            <w:r w:rsidRPr="006017B2">
              <w:rPr>
                <w:color w:val="000000"/>
              </w:rPr>
              <w:t>(</w:t>
            </w:r>
            <w:r w:rsidRPr="006017B2">
              <w:rPr>
                <w:color w:val="000000"/>
                <w:u w:val="double"/>
              </w:rPr>
              <w:t>$250)</w:t>
            </w:r>
          </w:p>
        </w:tc>
      </w:tr>
    </w:tbl>
    <w:p w:rsidR="00CA65C9" w:rsidRPr="006017B2" w:rsidRDefault="00CA65C9" w:rsidP="00CA65C9"/>
    <w:p w:rsidR="004A557A" w:rsidRDefault="004A557A" w:rsidP="00CA65C9">
      <w:pPr>
        <w:sectPr w:rsidR="004A557A" w:rsidSect="00CA65C9">
          <w:headerReference w:type="default" r:id="rId22"/>
          <w:pgSz w:w="12240" w:h="15840"/>
          <w:pgMar w:top="1440" w:right="1440" w:bottom="1440" w:left="1440" w:header="720" w:footer="720" w:gutter="0"/>
          <w:cols w:space="720"/>
          <w:docGrid w:linePitch="360"/>
        </w:sectPr>
      </w:pPr>
    </w:p>
    <w:p w:rsidR="00CA65C9" w:rsidRPr="006017B2" w:rsidRDefault="00CA65C9" w:rsidP="0093313C">
      <w:pPr>
        <w:jc w:val="center"/>
      </w:pPr>
    </w:p>
    <w:tbl>
      <w:tblPr>
        <w:tblW w:w="8385" w:type="dxa"/>
        <w:jc w:val="center"/>
        <w:tblLook w:val="04A0" w:firstRow="1" w:lastRow="0" w:firstColumn="1" w:lastColumn="0" w:noHBand="0" w:noVBand="1"/>
      </w:tblPr>
      <w:tblGrid>
        <w:gridCol w:w="1070"/>
        <w:gridCol w:w="4221"/>
        <w:gridCol w:w="1116"/>
        <w:gridCol w:w="1978"/>
      </w:tblGrid>
      <w:tr w:rsidR="00CA65C9" w:rsidRPr="006017B2" w:rsidTr="00CA65C9">
        <w:trPr>
          <w:trHeight w:val="315"/>
          <w:jc w:val="center"/>
        </w:trPr>
        <w:tc>
          <w:tcPr>
            <w:tcW w:w="8385" w:type="dxa"/>
            <w:gridSpan w:val="4"/>
            <w:tcBorders>
              <w:top w:val="nil"/>
              <w:bottom w:val="nil"/>
            </w:tcBorders>
            <w:shd w:val="clear" w:color="auto" w:fill="auto"/>
            <w:noWrap/>
            <w:vAlign w:val="bottom"/>
            <w:hideMark/>
          </w:tcPr>
          <w:p w:rsidR="00CA65C9" w:rsidRPr="006017B2" w:rsidRDefault="00CA65C9" w:rsidP="00CA65C9">
            <w:pPr>
              <w:tabs>
                <w:tab w:val="left" w:pos="8006"/>
                <w:tab w:val="left" w:pos="8291"/>
              </w:tabs>
              <w:jc w:val="center"/>
              <w:rPr>
                <w:b/>
                <w:bCs/>
              </w:rPr>
            </w:pPr>
          </w:p>
          <w:p w:rsidR="00CA65C9" w:rsidRPr="006017B2" w:rsidRDefault="00CA65C9" w:rsidP="00CA65C9">
            <w:pPr>
              <w:tabs>
                <w:tab w:val="left" w:pos="8006"/>
                <w:tab w:val="left" w:pos="8291"/>
              </w:tabs>
              <w:jc w:val="center"/>
              <w:rPr>
                <w:b/>
                <w:bCs/>
                <w:color w:val="000000"/>
              </w:rPr>
            </w:pPr>
            <w:r w:rsidRPr="006017B2">
              <w:rPr>
                <w:b/>
                <w:bCs/>
              </w:rPr>
              <w:t>Heather Hills Utilities, LLC</w:t>
            </w:r>
            <w:r w:rsidRPr="006017B2">
              <w:rPr>
                <w:b/>
                <w:bCs/>
                <w:color w:val="000000"/>
              </w:rPr>
              <w:t xml:space="preserve"> </w:t>
            </w:r>
          </w:p>
          <w:p w:rsidR="00CA65C9" w:rsidRPr="006017B2" w:rsidRDefault="00CA65C9" w:rsidP="00CA65C9">
            <w:pPr>
              <w:jc w:val="center"/>
              <w:rPr>
                <w:b/>
                <w:bCs/>
                <w:color w:val="000000"/>
              </w:rPr>
            </w:pPr>
            <w:r w:rsidRPr="006017B2">
              <w:rPr>
                <w:b/>
                <w:bCs/>
                <w:color w:val="000000"/>
              </w:rPr>
              <w:t>Wastewater System</w:t>
            </w:r>
          </w:p>
        </w:tc>
      </w:tr>
      <w:tr w:rsidR="00CA65C9" w:rsidRPr="006017B2" w:rsidTr="00CA65C9">
        <w:trPr>
          <w:trHeight w:val="243"/>
          <w:jc w:val="center"/>
        </w:trPr>
        <w:tc>
          <w:tcPr>
            <w:tcW w:w="8385" w:type="dxa"/>
            <w:gridSpan w:val="4"/>
            <w:tcBorders>
              <w:top w:val="nil"/>
              <w:bottom w:val="nil"/>
            </w:tcBorders>
            <w:shd w:val="clear" w:color="auto" w:fill="auto"/>
            <w:noWrap/>
            <w:vAlign w:val="bottom"/>
            <w:hideMark/>
          </w:tcPr>
          <w:p w:rsidR="00CA65C9" w:rsidRPr="006017B2" w:rsidRDefault="00CA65C9" w:rsidP="00CA65C9">
            <w:pPr>
              <w:jc w:val="center"/>
              <w:rPr>
                <w:b/>
                <w:bCs/>
                <w:color w:val="000000"/>
              </w:rPr>
            </w:pPr>
            <w:r w:rsidRPr="006017B2">
              <w:rPr>
                <w:b/>
                <w:bCs/>
                <w:color w:val="000000"/>
              </w:rPr>
              <w:t>Schedule of Staff Recommended Account Balances as of April 7, 2017</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rPr>
                <w:b/>
                <w:bCs/>
                <w:color w:val="000000"/>
              </w:rPr>
            </w:pPr>
            <w:r w:rsidRPr="006017B2">
              <w:rPr>
                <w:b/>
                <w:bCs/>
                <w:color w:val="000000"/>
              </w:rPr>
              <w:t> </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p>
        </w:tc>
        <w:tc>
          <w:tcPr>
            <w:tcW w:w="1116"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p>
        </w:tc>
        <w:tc>
          <w:tcPr>
            <w:tcW w:w="1978" w:type="dxa"/>
            <w:tcBorders>
              <w:top w:val="nil"/>
              <w:left w:val="nil"/>
              <w:bottom w:val="nil"/>
            </w:tcBorders>
            <w:shd w:val="clear" w:color="auto" w:fill="auto"/>
            <w:noWrap/>
            <w:vAlign w:val="bottom"/>
            <w:hideMark/>
          </w:tcPr>
          <w:p w:rsidR="00CA65C9" w:rsidRPr="006017B2" w:rsidRDefault="00CA65C9" w:rsidP="00CA65C9">
            <w:pPr>
              <w:rPr>
                <w:b/>
                <w:bCs/>
                <w:color w:val="000000"/>
              </w:rPr>
            </w:pPr>
            <w:r w:rsidRPr="006017B2">
              <w:rPr>
                <w:b/>
                <w:bCs/>
                <w:color w:val="000000"/>
              </w:rPr>
              <w:t> </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
                <w:bCs/>
                <w:color w:val="000000"/>
              </w:rPr>
            </w:pPr>
            <w:r w:rsidRPr="006017B2">
              <w:rPr>
                <w:b/>
                <w:bCs/>
                <w:color w:val="000000"/>
              </w:rPr>
              <w:t xml:space="preserve">Account </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p>
        </w:tc>
        <w:tc>
          <w:tcPr>
            <w:tcW w:w="1116" w:type="dxa"/>
            <w:tcBorders>
              <w:top w:val="nil"/>
              <w:left w:val="nil"/>
              <w:bottom w:val="nil"/>
              <w:right w:val="nil"/>
            </w:tcBorders>
            <w:shd w:val="clear" w:color="auto" w:fill="auto"/>
            <w:noWrap/>
            <w:vAlign w:val="bottom"/>
            <w:hideMark/>
          </w:tcPr>
          <w:p w:rsidR="00CA65C9" w:rsidRPr="006017B2" w:rsidRDefault="00CA65C9" w:rsidP="00CA65C9">
            <w:pPr>
              <w:jc w:val="center"/>
              <w:rPr>
                <w:b/>
                <w:bCs/>
                <w:color w:val="000000"/>
              </w:rPr>
            </w:pPr>
          </w:p>
        </w:tc>
        <w:tc>
          <w:tcPr>
            <w:tcW w:w="1978" w:type="dxa"/>
            <w:tcBorders>
              <w:top w:val="nil"/>
              <w:left w:val="nil"/>
              <w:bottom w:val="nil"/>
            </w:tcBorders>
            <w:shd w:val="clear" w:color="auto" w:fill="auto"/>
            <w:noWrap/>
            <w:vAlign w:val="bottom"/>
            <w:hideMark/>
          </w:tcPr>
          <w:p w:rsidR="00CA65C9" w:rsidRPr="006017B2" w:rsidRDefault="00CA65C9" w:rsidP="00CA65C9">
            <w:pPr>
              <w:jc w:val="right"/>
              <w:rPr>
                <w:b/>
                <w:bCs/>
                <w:color w:val="000000"/>
              </w:rPr>
            </w:pPr>
            <w:r w:rsidRPr="006017B2">
              <w:rPr>
                <w:b/>
                <w:bCs/>
                <w:color w:val="000000"/>
              </w:rPr>
              <w:t>Accumulated</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
                <w:bCs/>
                <w:color w:val="000000"/>
              </w:rPr>
            </w:pPr>
            <w:r w:rsidRPr="006017B2">
              <w:rPr>
                <w:b/>
                <w:bCs/>
                <w:color w:val="000000"/>
              </w:rPr>
              <w:t>No.</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
                <w:bCs/>
                <w:color w:val="000000"/>
              </w:rPr>
            </w:pPr>
            <w:r w:rsidRPr="006017B2">
              <w:rPr>
                <w:b/>
                <w:bCs/>
                <w:color w:val="000000"/>
              </w:rPr>
              <w:t>Description</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jc w:val="right"/>
              <w:rPr>
                <w:b/>
                <w:bCs/>
                <w:color w:val="000000"/>
              </w:rPr>
            </w:pPr>
            <w:r w:rsidRPr="006017B2">
              <w:rPr>
                <w:b/>
                <w:bCs/>
                <w:color w:val="000000"/>
              </w:rPr>
              <w:t>UPIS</w:t>
            </w:r>
          </w:p>
        </w:tc>
        <w:tc>
          <w:tcPr>
            <w:tcW w:w="1978" w:type="dxa"/>
            <w:tcBorders>
              <w:top w:val="nil"/>
              <w:left w:val="nil"/>
              <w:bottom w:val="nil"/>
            </w:tcBorders>
            <w:shd w:val="clear" w:color="auto" w:fill="auto"/>
            <w:noWrap/>
            <w:vAlign w:val="bottom"/>
            <w:hideMark/>
          </w:tcPr>
          <w:p w:rsidR="00CA65C9" w:rsidRPr="006017B2" w:rsidRDefault="00CA65C9" w:rsidP="00CA65C9">
            <w:pPr>
              <w:jc w:val="right"/>
              <w:rPr>
                <w:b/>
                <w:bCs/>
                <w:color w:val="000000"/>
              </w:rPr>
            </w:pPr>
            <w:r w:rsidRPr="006017B2">
              <w:rPr>
                <w:b/>
                <w:bCs/>
                <w:color w:val="000000"/>
              </w:rPr>
              <w:t>Depreciation</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r w:rsidRPr="006017B2">
              <w:rPr>
                <w:bCs/>
                <w:color w:val="000000"/>
              </w:rPr>
              <w:t>361</w:t>
            </w: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r w:rsidRPr="006017B2">
              <w:rPr>
                <w:bCs/>
                <w:color w:val="000000"/>
              </w:rPr>
              <w:t>Collection Sewers - Gravity</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u w:val="single"/>
              </w:rPr>
            </w:pPr>
            <w:r w:rsidRPr="006017B2">
              <w:rPr>
                <w:bCs/>
                <w:color w:val="000000"/>
                <w:u w:val="single"/>
              </w:rPr>
              <w:t xml:space="preserve">$72,512 </w:t>
            </w: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u w:val="single"/>
              </w:rPr>
            </w:pPr>
            <w:r w:rsidRPr="006017B2">
              <w:rPr>
                <w:bCs/>
                <w:color w:val="000000"/>
                <w:u w:val="single"/>
              </w:rPr>
              <w:t xml:space="preserve">($72,512) </w:t>
            </w: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rPr>
            </w:pPr>
          </w:p>
        </w:tc>
      </w:tr>
      <w:tr w:rsidR="00CA65C9" w:rsidRPr="006017B2" w:rsidTr="00CA65C9">
        <w:trPr>
          <w:trHeight w:val="315"/>
          <w:jc w:val="center"/>
        </w:trPr>
        <w:tc>
          <w:tcPr>
            <w:tcW w:w="1070" w:type="dxa"/>
            <w:tcBorders>
              <w:top w:val="nil"/>
              <w:bottom w:val="nil"/>
              <w:right w:val="nil"/>
            </w:tcBorders>
            <w:shd w:val="clear" w:color="auto" w:fill="auto"/>
            <w:noWrap/>
            <w:vAlign w:val="bottom"/>
            <w:hideMark/>
          </w:tcPr>
          <w:p w:rsidR="00CA65C9" w:rsidRPr="006017B2" w:rsidRDefault="00CA65C9" w:rsidP="00CA65C9">
            <w:pPr>
              <w:jc w:val="center"/>
              <w:rPr>
                <w:bCs/>
                <w:color w:val="000000"/>
              </w:rPr>
            </w:pPr>
          </w:p>
        </w:tc>
        <w:tc>
          <w:tcPr>
            <w:tcW w:w="4221" w:type="dxa"/>
            <w:tcBorders>
              <w:top w:val="nil"/>
              <w:left w:val="nil"/>
              <w:bottom w:val="nil"/>
              <w:right w:val="nil"/>
            </w:tcBorders>
            <w:shd w:val="clear" w:color="auto" w:fill="auto"/>
            <w:noWrap/>
            <w:vAlign w:val="bottom"/>
            <w:hideMark/>
          </w:tcPr>
          <w:p w:rsidR="00CA65C9" w:rsidRPr="006017B2" w:rsidRDefault="00CA65C9" w:rsidP="00CA65C9">
            <w:pPr>
              <w:rPr>
                <w:bCs/>
                <w:color w:val="000000"/>
              </w:rPr>
            </w:pPr>
            <w:r w:rsidRPr="006017B2">
              <w:rPr>
                <w:bCs/>
                <w:color w:val="000000"/>
              </w:rPr>
              <w:t>Total</w:t>
            </w:r>
          </w:p>
        </w:tc>
        <w:tc>
          <w:tcPr>
            <w:tcW w:w="1116" w:type="dxa"/>
            <w:tcBorders>
              <w:top w:val="nil"/>
              <w:left w:val="nil"/>
              <w:bottom w:val="nil"/>
              <w:right w:val="nil"/>
            </w:tcBorders>
            <w:shd w:val="clear" w:color="auto" w:fill="auto"/>
            <w:noWrap/>
            <w:vAlign w:val="bottom"/>
            <w:hideMark/>
          </w:tcPr>
          <w:p w:rsidR="00CA65C9" w:rsidRPr="006017B2" w:rsidRDefault="00CA65C9" w:rsidP="00CA65C9">
            <w:pPr>
              <w:tabs>
                <w:tab w:val="decimal" w:pos="750"/>
              </w:tabs>
              <w:jc w:val="right"/>
              <w:rPr>
                <w:bCs/>
                <w:color w:val="000000"/>
              </w:rPr>
            </w:pPr>
            <w:r w:rsidRPr="006017B2">
              <w:rPr>
                <w:bCs/>
                <w:color w:val="000000"/>
                <w:u w:val="double"/>
              </w:rPr>
              <w:t>$72,512</w:t>
            </w:r>
          </w:p>
        </w:tc>
        <w:tc>
          <w:tcPr>
            <w:tcW w:w="1978" w:type="dxa"/>
            <w:tcBorders>
              <w:top w:val="nil"/>
              <w:left w:val="nil"/>
              <w:bottom w:val="nil"/>
            </w:tcBorders>
            <w:shd w:val="clear" w:color="auto" w:fill="auto"/>
            <w:noWrap/>
            <w:vAlign w:val="bottom"/>
            <w:hideMark/>
          </w:tcPr>
          <w:p w:rsidR="00CA65C9" w:rsidRPr="006017B2" w:rsidRDefault="00CA65C9" w:rsidP="00CA65C9">
            <w:pPr>
              <w:tabs>
                <w:tab w:val="decimal" w:pos="1592"/>
              </w:tabs>
              <w:rPr>
                <w:bCs/>
                <w:color w:val="000000"/>
              </w:rPr>
            </w:pPr>
            <w:r w:rsidRPr="006017B2">
              <w:rPr>
                <w:bCs/>
                <w:color w:val="000000"/>
                <w:u w:val="double"/>
              </w:rPr>
              <w:t xml:space="preserve">($72,512) </w:t>
            </w:r>
          </w:p>
        </w:tc>
      </w:tr>
    </w:tbl>
    <w:p w:rsidR="0093313C" w:rsidRDefault="0093313C" w:rsidP="00CA65C9">
      <w:pPr>
        <w:sectPr w:rsidR="0093313C" w:rsidSect="00CA65C9">
          <w:headerReference w:type="default" r:id="rId23"/>
          <w:pgSz w:w="12240" w:h="15840"/>
          <w:pgMar w:top="1440" w:right="1440" w:bottom="1440" w:left="1440" w:header="720" w:footer="720" w:gutter="0"/>
          <w:cols w:space="720"/>
          <w:docGrid w:linePitch="360"/>
        </w:sectPr>
      </w:pPr>
    </w:p>
    <w:p w:rsidR="005D3BEA" w:rsidRDefault="005D3BEA" w:rsidP="004D13F1">
      <w:pPr>
        <w:pStyle w:val="NoSpacing"/>
        <w:jc w:val="center"/>
        <w:rPr>
          <w:rFonts w:ascii="Arial" w:hAnsi="Arial" w:cs="Arial"/>
          <w:b/>
        </w:rPr>
      </w:pPr>
    </w:p>
    <w:p w:rsidR="004D13F1" w:rsidRPr="00C4661A" w:rsidRDefault="004D13F1" w:rsidP="004D13F1">
      <w:pPr>
        <w:pStyle w:val="NoSpacing"/>
        <w:jc w:val="center"/>
        <w:rPr>
          <w:rFonts w:ascii="Arial" w:hAnsi="Arial" w:cs="Arial"/>
          <w:b/>
          <w:caps/>
        </w:rPr>
      </w:pPr>
      <w:r>
        <w:rPr>
          <w:rFonts w:ascii="Arial" w:hAnsi="Arial" w:cs="Arial"/>
          <w:b/>
        </w:rPr>
        <w:t>Heather Hills Utilities, LLC</w:t>
      </w:r>
      <w:r w:rsidRPr="00C4661A">
        <w:rPr>
          <w:rFonts w:ascii="Arial" w:hAnsi="Arial" w:cs="Arial"/>
          <w:b/>
        </w:rPr>
        <w:br/>
      </w:r>
      <w:r>
        <w:rPr>
          <w:rFonts w:ascii="Arial" w:hAnsi="Arial" w:cs="Arial"/>
          <w:b/>
        </w:rPr>
        <w:t>Quarterly</w:t>
      </w:r>
      <w:r w:rsidRPr="00C4661A">
        <w:rPr>
          <w:rFonts w:ascii="Arial" w:hAnsi="Arial" w:cs="Arial"/>
          <w:b/>
        </w:rPr>
        <w:t xml:space="preserve"> </w:t>
      </w:r>
      <w:r>
        <w:rPr>
          <w:rFonts w:ascii="Arial" w:hAnsi="Arial" w:cs="Arial"/>
          <w:b/>
        </w:rPr>
        <w:t>W</w:t>
      </w:r>
      <w:r w:rsidRPr="00C4661A">
        <w:rPr>
          <w:rFonts w:ascii="Arial" w:hAnsi="Arial" w:cs="Arial"/>
          <w:b/>
        </w:rPr>
        <w:t>ater Rates</w:t>
      </w:r>
      <w:r>
        <w:br/>
      </w:r>
    </w:p>
    <w:p w:rsidR="004D13F1" w:rsidRPr="007474B9" w:rsidRDefault="004D13F1" w:rsidP="004D13F1">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4D13F1" w:rsidRPr="007474B9" w:rsidTr="004D13F1">
        <w:tc>
          <w:tcPr>
            <w:tcW w:w="6259" w:type="dxa"/>
            <w:shd w:val="clear" w:color="auto" w:fill="auto"/>
            <w:vAlign w:val="bottom"/>
          </w:tcPr>
          <w:p w:rsidR="004D13F1" w:rsidRPr="003221BD" w:rsidRDefault="004D13F1" w:rsidP="004D13F1">
            <w:pPr>
              <w:rPr>
                <w:rFonts w:ascii="Arial" w:hAnsi="Arial" w:cs="Arial"/>
                <w:b/>
                <w:spacing w:val="-5"/>
              </w:rPr>
            </w:pPr>
            <w:r>
              <w:rPr>
                <w:rFonts w:ascii="Arial" w:hAnsi="Arial" w:cs="Arial"/>
                <w:b/>
                <w:spacing w:val="-5"/>
              </w:rPr>
              <w:t xml:space="preserve">Residential &amp; </w:t>
            </w:r>
            <w:r w:rsidRPr="003221BD">
              <w:rPr>
                <w:rFonts w:ascii="Arial" w:hAnsi="Arial" w:cs="Arial"/>
                <w:b/>
                <w:spacing w:val="-5"/>
              </w:rPr>
              <w:t>General Service</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rPr>
          <w:trHeight w:val="180"/>
        </w:trPr>
        <w:tc>
          <w:tcPr>
            <w:tcW w:w="6259" w:type="dxa"/>
            <w:shd w:val="clear" w:color="auto" w:fill="auto"/>
          </w:tcPr>
          <w:p w:rsidR="004D13F1" w:rsidRPr="007474B9" w:rsidRDefault="004D13F1" w:rsidP="004D13F1">
            <w:pPr>
              <w:rPr>
                <w:spacing w:val="-5"/>
              </w:rPr>
            </w:pPr>
            <w:r w:rsidRPr="007474B9">
              <w:rPr>
                <w:spacing w:val="-5"/>
              </w:rPr>
              <w:t>Base Facility Charge by Meter Size</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tcPr>
          <w:p w:rsidR="004D13F1" w:rsidRPr="007474B9" w:rsidRDefault="004D13F1" w:rsidP="004D13F1">
            <w:pPr>
              <w:jc w:val="right"/>
              <w:rPr>
                <w:spacing w:val="-5"/>
              </w:rPr>
            </w:pPr>
          </w:p>
        </w:tc>
      </w:tr>
      <w:tr w:rsidR="004D13F1" w:rsidRPr="007474B9" w:rsidTr="004D13F1">
        <w:tc>
          <w:tcPr>
            <w:tcW w:w="6259" w:type="dxa"/>
            <w:shd w:val="clear" w:color="auto" w:fill="auto"/>
          </w:tcPr>
          <w:p w:rsidR="004D13F1" w:rsidRPr="007474B9" w:rsidRDefault="004D13F1" w:rsidP="004D13F1">
            <w:r w:rsidRPr="007474B9">
              <w:t>5/8” x 3/4"</w:t>
            </w:r>
          </w:p>
        </w:tc>
        <w:tc>
          <w:tcPr>
            <w:tcW w:w="1260" w:type="dxa"/>
            <w:shd w:val="clear" w:color="auto" w:fill="auto"/>
            <w:vAlign w:val="bottom"/>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$27.84</w:t>
            </w:r>
          </w:p>
        </w:tc>
      </w:tr>
      <w:tr w:rsidR="004D13F1" w:rsidRPr="007474B9" w:rsidTr="004D13F1">
        <w:tc>
          <w:tcPr>
            <w:tcW w:w="6259" w:type="dxa"/>
            <w:shd w:val="clear" w:color="auto" w:fill="auto"/>
          </w:tcPr>
          <w:p w:rsidR="004D13F1" w:rsidRPr="007474B9" w:rsidRDefault="004D13F1" w:rsidP="004D13F1">
            <w:r>
              <w:t>3/4</w:t>
            </w:r>
            <w:r w:rsidRPr="007474B9">
              <w:t>”</w:t>
            </w:r>
          </w:p>
        </w:tc>
        <w:tc>
          <w:tcPr>
            <w:tcW w:w="1260" w:type="dxa"/>
            <w:shd w:val="clear" w:color="auto" w:fill="auto"/>
            <w:vAlign w:val="bottom"/>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$41.77</w:t>
            </w:r>
          </w:p>
        </w:tc>
      </w:tr>
      <w:tr w:rsidR="004D13F1" w:rsidRPr="007474B9" w:rsidTr="004D13F1">
        <w:tc>
          <w:tcPr>
            <w:tcW w:w="6259" w:type="dxa"/>
            <w:shd w:val="clear" w:color="auto" w:fill="auto"/>
          </w:tcPr>
          <w:p w:rsidR="004D13F1" w:rsidRPr="007474B9" w:rsidRDefault="004D13F1" w:rsidP="004D13F1">
            <w:r>
              <w:t>1</w:t>
            </w:r>
            <w:r w:rsidRPr="007474B9">
              <w:t>"</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$69.61</w:t>
            </w:r>
          </w:p>
        </w:tc>
      </w:tr>
      <w:tr w:rsidR="004D13F1" w:rsidRPr="007474B9" w:rsidTr="004D13F1">
        <w:tc>
          <w:tcPr>
            <w:tcW w:w="6259" w:type="dxa"/>
            <w:shd w:val="clear" w:color="auto" w:fill="auto"/>
          </w:tcPr>
          <w:p w:rsidR="004D13F1" w:rsidRPr="007474B9" w:rsidRDefault="004D13F1" w:rsidP="004D13F1">
            <w:r>
              <w:t>1 1/</w:t>
            </w:r>
            <w:r w:rsidRPr="007474B9">
              <w:t>2”</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$139.22</w:t>
            </w:r>
          </w:p>
        </w:tc>
      </w:tr>
      <w:tr w:rsidR="004D13F1" w:rsidRPr="007474B9" w:rsidTr="004D13F1">
        <w:tc>
          <w:tcPr>
            <w:tcW w:w="6259" w:type="dxa"/>
            <w:shd w:val="clear" w:color="auto" w:fill="auto"/>
          </w:tcPr>
          <w:p w:rsidR="004D13F1" w:rsidRPr="007474B9" w:rsidRDefault="004D13F1" w:rsidP="004D13F1">
            <w:r>
              <w:t>2</w:t>
            </w:r>
            <w:r w:rsidRPr="007474B9">
              <w:t>”</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$222.75</w:t>
            </w:r>
          </w:p>
        </w:tc>
      </w:tr>
      <w:tr w:rsidR="004D13F1" w:rsidRPr="007474B9" w:rsidTr="004D13F1">
        <w:tc>
          <w:tcPr>
            <w:tcW w:w="6259" w:type="dxa"/>
            <w:shd w:val="clear" w:color="auto" w:fill="auto"/>
          </w:tcPr>
          <w:p w:rsidR="004D13F1" w:rsidRPr="007474B9" w:rsidRDefault="004D13F1" w:rsidP="004D13F1">
            <w:r>
              <w:t>3</w:t>
            </w:r>
            <w:r w:rsidRPr="007474B9">
              <w:t>”</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$445.51</w:t>
            </w:r>
          </w:p>
        </w:tc>
      </w:tr>
      <w:tr w:rsidR="004D13F1" w:rsidRPr="007474B9" w:rsidTr="004D13F1">
        <w:tc>
          <w:tcPr>
            <w:tcW w:w="6259" w:type="dxa"/>
            <w:shd w:val="clear" w:color="auto" w:fill="auto"/>
          </w:tcPr>
          <w:p w:rsidR="004D13F1" w:rsidRPr="007474B9" w:rsidRDefault="004D13F1" w:rsidP="004D13F1">
            <w:r>
              <w:t>4</w:t>
            </w:r>
            <w:r w:rsidRPr="007474B9">
              <w:t>”</w:t>
            </w:r>
          </w:p>
        </w:tc>
        <w:tc>
          <w:tcPr>
            <w:tcW w:w="1260" w:type="dxa"/>
            <w:shd w:val="clear" w:color="auto" w:fill="auto"/>
            <w:vAlign w:val="bottom"/>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$696.10</w:t>
            </w:r>
          </w:p>
        </w:tc>
      </w:tr>
      <w:tr w:rsidR="004D13F1" w:rsidRPr="007474B9" w:rsidTr="004D13F1">
        <w:tc>
          <w:tcPr>
            <w:tcW w:w="6259" w:type="dxa"/>
            <w:shd w:val="clear" w:color="auto" w:fill="auto"/>
          </w:tcPr>
          <w:p w:rsidR="004D13F1" w:rsidRPr="007474B9" w:rsidRDefault="004D13F1" w:rsidP="004D13F1">
            <w:r>
              <w:t>6</w:t>
            </w:r>
            <w:r w:rsidRPr="007474B9">
              <w:t>”</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r w:rsidRPr="007474B9">
              <w:rPr>
                <w:spacing w:val="-5"/>
              </w:rPr>
              <w:t>$1</w:t>
            </w:r>
            <w:r>
              <w:rPr>
                <w:spacing w:val="-5"/>
              </w:rPr>
              <w:t>,392.21</w:t>
            </w:r>
          </w:p>
        </w:tc>
      </w:tr>
      <w:tr w:rsidR="004D13F1" w:rsidRPr="007474B9" w:rsidTr="004D13F1">
        <w:tc>
          <w:tcPr>
            <w:tcW w:w="6259" w:type="dxa"/>
            <w:shd w:val="clear" w:color="auto" w:fill="auto"/>
            <w:vAlign w:val="bottom"/>
          </w:tcPr>
          <w:p w:rsidR="004D13F1" w:rsidRPr="007474B9" w:rsidRDefault="004D13F1" w:rsidP="004D13F1">
            <w:pPr>
              <w:rPr>
                <w:spacing w:val="-5"/>
              </w:rPr>
            </w:pP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c>
          <w:tcPr>
            <w:tcW w:w="6259" w:type="dxa"/>
            <w:shd w:val="clear" w:color="auto" w:fill="auto"/>
            <w:vAlign w:val="bottom"/>
          </w:tcPr>
          <w:p w:rsidR="004D13F1" w:rsidRPr="007474B9" w:rsidRDefault="004D13F1" w:rsidP="004D13F1">
            <w:pPr>
              <w:rPr>
                <w:spacing w:val="-5"/>
              </w:rPr>
            </w:pPr>
            <w:r w:rsidRPr="007474B9">
              <w:rPr>
                <w:spacing w:val="-5"/>
              </w:rPr>
              <w:t xml:space="preserve">Charge Per 1,000 gallons </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r>
              <w:rPr>
                <w:spacing w:val="-5"/>
              </w:rPr>
              <w:t>$3.19</w:t>
            </w:r>
          </w:p>
        </w:tc>
      </w:tr>
    </w:tbl>
    <w:p w:rsidR="004D13F1" w:rsidRDefault="004D13F1" w:rsidP="004D13F1"/>
    <w:tbl>
      <w:tblPr>
        <w:tblW w:w="5057" w:type="pct"/>
        <w:jc w:val="center"/>
        <w:tblLook w:val="0000" w:firstRow="0" w:lastRow="0" w:firstColumn="0" w:lastColumn="0" w:noHBand="0" w:noVBand="0"/>
      </w:tblPr>
      <w:tblGrid>
        <w:gridCol w:w="4842"/>
        <w:gridCol w:w="1115"/>
        <w:gridCol w:w="1438"/>
        <w:gridCol w:w="2253"/>
        <w:gridCol w:w="37"/>
      </w:tblGrid>
      <w:tr w:rsidR="004D13F1" w:rsidRPr="00141BA0" w:rsidTr="004D13F1">
        <w:trPr>
          <w:trHeight w:val="230"/>
          <w:jc w:val="center"/>
        </w:trPr>
        <w:tc>
          <w:tcPr>
            <w:tcW w:w="5000" w:type="pct"/>
            <w:gridSpan w:val="5"/>
          </w:tcPr>
          <w:p w:rsidR="004D13F1" w:rsidRPr="009138E4" w:rsidRDefault="004D13F1" w:rsidP="004D13F1">
            <w:pPr>
              <w:jc w:val="center"/>
              <w:rPr>
                <w:rFonts w:ascii="Arial" w:hAnsi="Arial" w:cs="Arial"/>
                <w:b/>
                <w:bCs/>
              </w:rPr>
            </w:pPr>
          </w:p>
          <w:p w:rsidR="004D13F1" w:rsidRPr="009138E4" w:rsidRDefault="004D13F1" w:rsidP="004D13F1">
            <w:pPr>
              <w:jc w:val="center"/>
              <w:rPr>
                <w:rFonts w:ascii="Arial" w:hAnsi="Arial" w:cs="Arial"/>
                <w:b/>
                <w:bCs/>
              </w:rPr>
            </w:pPr>
            <w:r w:rsidRPr="009138E4">
              <w:rPr>
                <w:rFonts w:ascii="Arial" w:hAnsi="Arial" w:cs="Arial"/>
                <w:b/>
                <w:bCs/>
              </w:rPr>
              <w:t>Miscellaneous Service Charges</w:t>
            </w:r>
          </w:p>
        </w:tc>
      </w:tr>
      <w:tr w:rsidR="004D13F1" w:rsidRPr="00141BA0" w:rsidTr="004D13F1">
        <w:trPr>
          <w:gridAfter w:val="1"/>
          <w:wAfter w:w="19" w:type="pct"/>
          <w:trHeight w:val="230"/>
          <w:jc w:val="center"/>
        </w:trPr>
        <w:tc>
          <w:tcPr>
            <w:tcW w:w="2499" w:type="pct"/>
            <w:shd w:val="clear" w:color="auto" w:fill="auto"/>
            <w:noWrap/>
            <w:vAlign w:val="bottom"/>
          </w:tcPr>
          <w:p w:rsidR="004D13F1" w:rsidRPr="00141BA0" w:rsidRDefault="004D13F1" w:rsidP="004D13F1">
            <w:pPr>
              <w:spacing w:before="120"/>
            </w:pPr>
          </w:p>
        </w:tc>
        <w:tc>
          <w:tcPr>
            <w:tcW w:w="576" w:type="pct"/>
            <w:vAlign w:val="bottom"/>
          </w:tcPr>
          <w:p w:rsidR="004D13F1" w:rsidRPr="00141BA0" w:rsidRDefault="004D13F1" w:rsidP="004D13F1">
            <w:pPr>
              <w:spacing w:before="120"/>
              <w:jc w:val="right"/>
            </w:pPr>
            <w:r>
              <w:t>Normal hours</w:t>
            </w:r>
          </w:p>
        </w:tc>
        <w:tc>
          <w:tcPr>
            <w:tcW w:w="743" w:type="pct"/>
          </w:tcPr>
          <w:p w:rsidR="004D13F1" w:rsidRDefault="004D13F1" w:rsidP="004D13F1">
            <w:pPr>
              <w:spacing w:before="120"/>
              <w:jc w:val="right"/>
            </w:pPr>
          </w:p>
        </w:tc>
        <w:tc>
          <w:tcPr>
            <w:tcW w:w="1163" w:type="pct"/>
            <w:shd w:val="clear" w:color="auto" w:fill="auto"/>
            <w:noWrap/>
            <w:vAlign w:val="bottom"/>
          </w:tcPr>
          <w:p w:rsidR="004D13F1" w:rsidRPr="00141BA0" w:rsidRDefault="004D13F1" w:rsidP="004D13F1">
            <w:pPr>
              <w:spacing w:before="120"/>
              <w:jc w:val="right"/>
            </w:pPr>
            <w:r>
              <w:t>After Hours</w:t>
            </w:r>
          </w:p>
        </w:tc>
      </w:tr>
      <w:tr w:rsidR="004D13F1" w:rsidRPr="00141BA0" w:rsidTr="004D13F1">
        <w:trPr>
          <w:gridAfter w:val="1"/>
          <w:wAfter w:w="19" w:type="pct"/>
          <w:trHeight w:val="230"/>
          <w:jc w:val="center"/>
        </w:trPr>
        <w:tc>
          <w:tcPr>
            <w:tcW w:w="2499" w:type="pct"/>
            <w:shd w:val="clear" w:color="auto" w:fill="auto"/>
            <w:noWrap/>
            <w:vAlign w:val="bottom"/>
          </w:tcPr>
          <w:p w:rsidR="004D13F1" w:rsidRPr="00141BA0" w:rsidRDefault="004D13F1" w:rsidP="004D13F1">
            <w:pPr>
              <w:spacing w:before="120"/>
            </w:pPr>
            <w:r w:rsidRPr="00141BA0">
              <w:t>Initial Connection Charge</w:t>
            </w:r>
          </w:p>
        </w:tc>
        <w:tc>
          <w:tcPr>
            <w:tcW w:w="576" w:type="pct"/>
            <w:vAlign w:val="bottom"/>
          </w:tcPr>
          <w:p w:rsidR="004D13F1" w:rsidRPr="00141BA0" w:rsidRDefault="004D13F1" w:rsidP="004D13F1">
            <w:pPr>
              <w:spacing w:before="120"/>
              <w:jc w:val="right"/>
            </w:pPr>
            <w:r>
              <w:t>$26.00</w:t>
            </w:r>
          </w:p>
        </w:tc>
        <w:tc>
          <w:tcPr>
            <w:tcW w:w="743" w:type="pct"/>
          </w:tcPr>
          <w:p w:rsidR="004D13F1" w:rsidRPr="00141BA0" w:rsidRDefault="004D13F1" w:rsidP="004D13F1">
            <w:pPr>
              <w:spacing w:before="120"/>
              <w:jc w:val="right"/>
            </w:pPr>
          </w:p>
        </w:tc>
        <w:tc>
          <w:tcPr>
            <w:tcW w:w="1163" w:type="pct"/>
            <w:shd w:val="clear" w:color="auto" w:fill="auto"/>
            <w:noWrap/>
            <w:vAlign w:val="bottom"/>
          </w:tcPr>
          <w:p w:rsidR="004D13F1" w:rsidRPr="00141BA0" w:rsidRDefault="004D13F1" w:rsidP="004D13F1">
            <w:pPr>
              <w:spacing w:before="120"/>
              <w:jc w:val="right"/>
            </w:pPr>
            <w:r w:rsidRPr="00141BA0">
              <w:t>$</w:t>
            </w:r>
            <w:r>
              <w:t>40</w:t>
            </w:r>
            <w:r w:rsidRPr="00141BA0">
              <w:t>.00</w:t>
            </w:r>
          </w:p>
        </w:tc>
      </w:tr>
      <w:tr w:rsidR="004D13F1" w:rsidRPr="00141BA0" w:rsidTr="004D13F1">
        <w:trPr>
          <w:gridAfter w:val="1"/>
          <w:wAfter w:w="19" w:type="pct"/>
          <w:trHeight w:val="230"/>
          <w:jc w:val="center"/>
        </w:trPr>
        <w:tc>
          <w:tcPr>
            <w:tcW w:w="2499" w:type="pct"/>
            <w:shd w:val="clear" w:color="auto" w:fill="auto"/>
            <w:noWrap/>
            <w:vAlign w:val="bottom"/>
          </w:tcPr>
          <w:p w:rsidR="004D13F1" w:rsidRPr="00141BA0" w:rsidRDefault="004D13F1" w:rsidP="004D13F1">
            <w:pPr>
              <w:rPr>
                <w:bCs/>
              </w:rPr>
            </w:pPr>
            <w:r w:rsidRPr="00141BA0">
              <w:t>Normal Reconnection Charge</w:t>
            </w:r>
          </w:p>
        </w:tc>
        <w:tc>
          <w:tcPr>
            <w:tcW w:w="576" w:type="pct"/>
            <w:vAlign w:val="bottom"/>
          </w:tcPr>
          <w:p w:rsidR="004D13F1" w:rsidRPr="00141BA0" w:rsidRDefault="004D13F1" w:rsidP="004D13F1">
            <w:pPr>
              <w:jc w:val="right"/>
            </w:pPr>
            <w:r>
              <w:t>$26.00</w:t>
            </w:r>
          </w:p>
        </w:tc>
        <w:tc>
          <w:tcPr>
            <w:tcW w:w="743" w:type="pct"/>
          </w:tcPr>
          <w:p w:rsidR="004D13F1" w:rsidRDefault="004D13F1" w:rsidP="004D13F1">
            <w:pPr>
              <w:jc w:val="right"/>
            </w:pPr>
          </w:p>
        </w:tc>
        <w:tc>
          <w:tcPr>
            <w:tcW w:w="1163" w:type="pct"/>
            <w:shd w:val="clear" w:color="auto" w:fill="auto"/>
            <w:noWrap/>
            <w:vAlign w:val="bottom"/>
          </w:tcPr>
          <w:p w:rsidR="004D13F1" w:rsidRPr="00141BA0" w:rsidRDefault="004D13F1" w:rsidP="004D13F1">
            <w:pPr>
              <w:jc w:val="right"/>
            </w:pPr>
            <w:r>
              <w:t xml:space="preserve"> $40</w:t>
            </w:r>
            <w:r w:rsidRPr="00141BA0">
              <w:t>.00</w:t>
            </w:r>
          </w:p>
        </w:tc>
      </w:tr>
      <w:tr w:rsidR="004D13F1" w:rsidRPr="00141BA0" w:rsidTr="004D13F1">
        <w:trPr>
          <w:gridAfter w:val="1"/>
          <w:wAfter w:w="19" w:type="pct"/>
          <w:trHeight w:val="230"/>
          <w:jc w:val="center"/>
        </w:trPr>
        <w:tc>
          <w:tcPr>
            <w:tcW w:w="2499" w:type="pct"/>
            <w:shd w:val="clear" w:color="auto" w:fill="auto"/>
            <w:noWrap/>
            <w:vAlign w:val="bottom"/>
          </w:tcPr>
          <w:p w:rsidR="004D13F1" w:rsidRPr="00141BA0" w:rsidRDefault="004D13F1" w:rsidP="004D13F1">
            <w:pPr>
              <w:rPr>
                <w:bCs/>
              </w:rPr>
            </w:pPr>
            <w:r w:rsidRPr="00141BA0">
              <w:t>Violation Reconnection Charge</w:t>
            </w:r>
          </w:p>
        </w:tc>
        <w:tc>
          <w:tcPr>
            <w:tcW w:w="576" w:type="pct"/>
            <w:vAlign w:val="bottom"/>
          </w:tcPr>
          <w:p w:rsidR="004D13F1" w:rsidRPr="00141BA0" w:rsidRDefault="004D13F1" w:rsidP="004D13F1">
            <w:pPr>
              <w:jc w:val="right"/>
            </w:pPr>
            <w:r>
              <w:t>$31.00</w:t>
            </w:r>
          </w:p>
        </w:tc>
        <w:tc>
          <w:tcPr>
            <w:tcW w:w="743" w:type="pct"/>
          </w:tcPr>
          <w:p w:rsidR="004D13F1" w:rsidRDefault="004D13F1" w:rsidP="004D13F1">
            <w:pPr>
              <w:jc w:val="right"/>
            </w:pPr>
          </w:p>
        </w:tc>
        <w:tc>
          <w:tcPr>
            <w:tcW w:w="1163" w:type="pct"/>
            <w:shd w:val="clear" w:color="auto" w:fill="auto"/>
            <w:noWrap/>
            <w:vAlign w:val="bottom"/>
          </w:tcPr>
          <w:p w:rsidR="004D13F1" w:rsidRPr="00141BA0" w:rsidRDefault="004D13F1" w:rsidP="004D13F1">
            <w:pPr>
              <w:jc w:val="right"/>
            </w:pPr>
            <w:r>
              <w:t>$42.00</w:t>
            </w:r>
          </w:p>
        </w:tc>
      </w:tr>
      <w:tr w:rsidR="004D13F1" w:rsidRPr="00141BA0" w:rsidTr="004D13F1">
        <w:trPr>
          <w:gridAfter w:val="1"/>
          <w:wAfter w:w="19" w:type="pct"/>
          <w:trHeight w:val="230"/>
          <w:jc w:val="center"/>
        </w:trPr>
        <w:tc>
          <w:tcPr>
            <w:tcW w:w="2499" w:type="pct"/>
            <w:shd w:val="clear" w:color="auto" w:fill="auto"/>
            <w:noWrap/>
            <w:vAlign w:val="bottom"/>
          </w:tcPr>
          <w:p w:rsidR="004D13F1" w:rsidRPr="00141BA0" w:rsidRDefault="004D13F1" w:rsidP="004D13F1">
            <w:r w:rsidRPr="00141BA0">
              <w:t>Premises Visit Charge (in lieu of disconnection)</w:t>
            </w:r>
          </w:p>
        </w:tc>
        <w:tc>
          <w:tcPr>
            <w:tcW w:w="576" w:type="pct"/>
          </w:tcPr>
          <w:p w:rsidR="004D13F1" w:rsidRPr="00141BA0" w:rsidRDefault="004D13F1" w:rsidP="004D13F1">
            <w:pPr>
              <w:jc w:val="right"/>
            </w:pPr>
            <w:r>
              <w:t>$14.00</w:t>
            </w:r>
          </w:p>
        </w:tc>
        <w:tc>
          <w:tcPr>
            <w:tcW w:w="743" w:type="pct"/>
          </w:tcPr>
          <w:p w:rsidR="004D13F1" w:rsidRDefault="004D13F1" w:rsidP="004D13F1">
            <w:pPr>
              <w:jc w:val="right"/>
            </w:pPr>
          </w:p>
        </w:tc>
        <w:tc>
          <w:tcPr>
            <w:tcW w:w="1163" w:type="pct"/>
            <w:shd w:val="clear" w:color="auto" w:fill="auto"/>
            <w:noWrap/>
          </w:tcPr>
          <w:p w:rsidR="004D13F1" w:rsidRPr="00141BA0" w:rsidRDefault="004D13F1" w:rsidP="004D13F1">
            <w:pPr>
              <w:jc w:val="right"/>
            </w:pPr>
            <w:r>
              <w:t>$27</w:t>
            </w:r>
            <w:r w:rsidRPr="00141BA0">
              <w:t>.00</w:t>
            </w:r>
          </w:p>
        </w:tc>
      </w:tr>
      <w:tr w:rsidR="004D13F1" w:rsidRPr="00141BA0" w:rsidTr="004D13F1">
        <w:trPr>
          <w:gridAfter w:val="1"/>
          <w:wAfter w:w="19" w:type="pct"/>
          <w:trHeight w:val="153"/>
          <w:jc w:val="center"/>
        </w:trPr>
        <w:tc>
          <w:tcPr>
            <w:tcW w:w="2499" w:type="pct"/>
            <w:shd w:val="clear" w:color="auto" w:fill="auto"/>
            <w:noWrap/>
          </w:tcPr>
          <w:p w:rsidR="004D13F1" w:rsidRDefault="004D13F1" w:rsidP="004D13F1"/>
        </w:tc>
        <w:tc>
          <w:tcPr>
            <w:tcW w:w="576" w:type="pct"/>
          </w:tcPr>
          <w:p w:rsidR="004D13F1" w:rsidRPr="00141BA0" w:rsidRDefault="004D13F1" w:rsidP="004D13F1">
            <w:pPr>
              <w:jc w:val="right"/>
            </w:pPr>
          </w:p>
        </w:tc>
        <w:tc>
          <w:tcPr>
            <w:tcW w:w="743" w:type="pct"/>
          </w:tcPr>
          <w:p w:rsidR="004D13F1" w:rsidRDefault="004D13F1" w:rsidP="004D13F1">
            <w:pPr>
              <w:jc w:val="right"/>
            </w:pPr>
          </w:p>
        </w:tc>
        <w:tc>
          <w:tcPr>
            <w:tcW w:w="1163" w:type="pct"/>
            <w:shd w:val="clear" w:color="auto" w:fill="auto"/>
            <w:noWrap/>
            <w:vAlign w:val="bottom"/>
          </w:tcPr>
          <w:p w:rsidR="004D13F1" w:rsidRPr="00141BA0" w:rsidRDefault="004D13F1" w:rsidP="004D13F1">
            <w:pPr>
              <w:jc w:val="right"/>
            </w:pPr>
          </w:p>
        </w:tc>
      </w:tr>
      <w:tr w:rsidR="004D13F1" w:rsidRPr="00141BA0" w:rsidTr="004D13F1">
        <w:trPr>
          <w:gridAfter w:val="1"/>
          <w:wAfter w:w="19" w:type="pct"/>
          <w:trHeight w:val="153"/>
          <w:jc w:val="center"/>
        </w:trPr>
        <w:tc>
          <w:tcPr>
            <w:tcW w:w="2499" w:type="pct"/>
            <w:shd w:val="clear" w:color="auto" w:fill="auto"/>
            <w:noWrap/>
          </w:tcPr>
          <w:p w:rsidR="004D13F1" w:rsidRPr="00CB79BF" w:rsidRDefault="004D13F1" w:rsidP="004D13F1">
            <w:r>
              <w:t>Late Payment Charge</w:t>
            </w:r>
          </w:p>
        </w:tc>
        <w:tc>
          <w:tcPr>
            <w:tcW w:w="576" w:type="pct"/>
          </w:tcPr>
          <w:p w:rsidR="004D13F1" w:rsidRPr="00141BA0" w:rsidRDefault="004D13F1" w:rsidP="004D13F1">
            <w:pPr>
              <w:jc w:val="right"/>
            </w:pPr>
          </w:p>
        </w:tc>
        <w:tc>
          <w:tcPr>
            <w:tcW w:w="743" w:type="pct"/>
          </w:tcPr>
          <w:p w:rsidR="004D13F1" w:rsidRDefault="004D13F1" w:rsidP="004D13F1">
            <w:pPr>
              <w:jc w:val="right"/>
            </w:pPr>
            <w:r>
              <w:t>$5.00</w:t>
            </w:r>
          </w:p>
        </w:tc>
        <w:tc>
          <w:tcPr>
            <w:tcW w:w="1163" w:type="pct"/>
            <w:shd w:val="clear" w:color="auto" w:fill="auto"/>
            <w:noWrap/>
            <w:vAlign w:val="bottom"/>
          </w:tcPr>
          <w:p w:rsidR="004D13F1" w:rsidRPr="00141BA0" w:rsidRDefault="004D13F1" w:rsidP="004D13F1">
            <w:pPr>
              <w:jc w:val="right"/>
            </w:pPr>
          </w:p>
        </w:tc>
      </w:tr>
    </w:tbl>
    <w:p w:rsidR="004D13F1" w:rsidRDefault="004D13F1" w:rsidP="004D13F1">
      <w:pPr>
        <w:pStyle w:val="NoSpacing"/>
        <w:jc w:val="center"/>
        <w:rPr>
          <w:rFonts w:ascii="Arial" w:hAnsi="Arial" w:cs="Arial"/>
          <w:b/>
        </w:rPr>
        <w:sectPr w:rsidR="004D13F1" w:rsidSect="0068481F">
          <w:headerReference w:type="default" r:id="rId24"/>
          <w:pgSz w:w="12240" w:h="15840" w:code="1"/>
          <w:pgMar w:top="1584" w:right="1440" w:bottom="1440" w:left="1440" w:header="720" w:footer="720" w:gutter="0"/>
          <w:cols w:space="720"/>
          <w:formProt w:val="0"/>
          <w:docGrid w:linePitch="360"/>
        </w:sectPr>
      </w:pPr>
    </w:p>
    <w:p w:rsidR="005D3BEA" w:rsidRDefault="005D3BEA" w:rsidP="005D3BEA">
      <w:pPr>
        <w:pStyle w:val="NoSpacing"/>
        <w:jc w:val="center"/>
        <w:rPr>
          <w:rFonts w:ascii="Arial" w:hAnsi="Arial" w:cs="Arial"/>
          <w:b/>
        </w:rPr>
      </w:pPr>
    </w:p>
    <w:p w:rsidR="004D13F1" w:rsidRPr="00C4661A" w:rsidRDefault="004D13F1" w:rsidP="005D3BEA">
      <w:pPr>
        <w:pStyle w:val="NoSpacing"/>
        <w:jc w:val="center"/>
        <w:rPr>
          <w:rFonts w:ascii="Arial" w:hAnsi="Arial" w:cs="Arial"/>
          <w:b/>
          <w:caps/>
        </w:rPr>
      </w:pPr>
      <w:r>
        <w:rPr>
          <w:rFonts w:ascii="Arial" w:hAnsi="Arial" w:cs="Arial"/>
          <w:b/>
        </w:rPr>
        <w:t>Heather Hills Utilities, LLC</w:t>
      </w:r>
      <w:r w:rsidRPr="00C4661A">
        <w:rPr>
          <w:rFonts w:ascii="Arial" w:hAnsi="Arial" w:cs="Arial"/>
          <w:b/>
        </w:rPr>
        <w:br/>
      </w:r>
      <w:r>
        <w:rPr>
          <w:rFonts w:ascii="Arial" w:hAnsi="Arial" w:cs="Arial"/>
          <w:b/>
        </w:rPr>
        <w:t>Quarterly</w:t>
      </w:r>
      <w:r w:rsidRPr="00C4661A">
        <w:rPr>
          <w:rFonts w:ascii="Arial" w:hAnsi="Arial" w:cs="Arial"/>
          <w:b/>
        </w:rPr>
        <w:t xml:space="preserve"> Wastewater Rates</w:t>
      </w:r>
      <w:r>
        <w:br/>
      </w:r>
    </w:p>
    <w:p w:rsidR="004D13F1" w:rsidRPr="005D3BEA" w:rsidRDefault="004D13F1" w:rsidP="005D3BEA">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4D13F1" w:rsidRPr="007474B9" w:rsidTr="004D13F1">
        <w:tc>
          <w:tcPr>
            <w:tcW w:w="6259" w:type="dxa"/>
            <w:shd w:val="clear" w:color="auto" w:fill="auto"/>
          </w:tcPr>
          <w:p w:rsidR="004D13F1" w:rsidRPr="003221BD" w:rsidRDefault="004D13F1" w:rsidP="004D13F1">
            <w:pPr>
              <w:rPr>
                <w:rFonts w:ascii="Arial" w:hAnsi="Arial" w:cs="Arial"/>
                <w:b/>
                <w:spacing w:val="-5"/>
              </w:rPr>
            </w:pPr>
            <w:r w:rsidRPr="003221BD">
              <w:rPr>
                <w:rFonts w:ascii="Arial" w:hAnsi="Arial" w:cs="Arial"/>
                <w:b/>
                <w:spacing w:val="-5"/>
              </w:rPr>
              <w:t>Residential Service</w:t>
            </w:r>
          </w:p>
        </w:tc>
        <w:tc>
          <w:tcPr>
            <w:tcW w:w="1260" w:type="dxa"/>
            <w:shd w:val="clear" w:color="auto" w:fill="auto"/>
          </w:tcPr>
          <w:p w:rsidR="004D13F1" w:rsidRPr="007474B9" w:rsidRDefault="004D13F1" w:rsidP="004D13F1">
            <w:pPr>
              <w:jc w:val="right"/>
              <w:rPr>
                <w:spacing w:val="-5"/>
              </w:rPr>
            </w:pPr>
          </w:p>
        </w:tc>
        <w:tc>
          <w:tcPr>
            <w:tcW w:w="2071" w:type="dxa"/>
            <w:shd w:val="clear" w:color="auto" w:fill="auto"/>
          </w:tcPr>
          <w:p w:rsidR="004D13F1" w:rsidRPr="007474B9" w:rsidRDefault="004D13F1" w:rsidP="004D13F1">
            <w:pPr>
              <w:jc w:val="right"/>
              <w:rPr>
                <w:spacing w:val="-5"/>
              </w:rPr>
            </w:pPr>
          </w:p>
        </w:tc>
      </w:tr>
      <w:tr w:rsidR="004D13F1" w:rsidRPr="007474B9" w:rsidTr="004D13F1">
        <w:tc>
          <w:tcPr>
            <w:tcW w:w="6259" w:type="dxa"/>
            <w:shd w:val="clear" w:color="auto" w:fill="auto"/>
          </w:tcPr>
          <w:p w:rsidR="004D13F1" w:rsidRPr="007474B9" w:rsidRDefault="004D13F1" w:rsidP="004D13F1">
            <w:pPr>
              <w:rPr>
                <w:spacing w:val="-5"/>
              </w:rPr>
            </w:pPr>
            <w:r w:rsidRPr="007474B9">
              <w:rPr>
                <w:spacing w:val="-5"/>
              </w:rPr>
              <w:t>Base Facility Charge – All Meter Sizes</w:t>
            </w:r>
          </w:p>
        </w:tc>
        <w:tc>
          <w:tcPr>
            <w:tcW w:w="1260" w:type="dxa"/>
            <w:shd w:val="clear" w:color="auto" w:fill="auto"/>
          </w:tcPr>
          <w:p w:rsidR="004D13F1" w:rsidRPr="007474B9" w:rsidRDefault="004D13F1" w:rsidP="004D13F1">
            <w:pPr>
              <w:jc w:val="right"/>
              <w:rPr>
                <w:spacing w:val="-5"/>
              </w:rPr>
            </w:pPr>
          </w:p>
        </w:tc>
        <w:tc>
          <w:tcPr>
            <w:tcW w:w="2071" w:type="dxa"/>
            <w:shd w:val="clear" w:color="auto" w:fill="auto"/>
          </w:tcPr>
          <w:p w:rsidR="004D13F1" w:rsidRPr="007474B9" w:rsidRDefault="004D13F1" w:rsidP="004D13F1">
            <w:pPr>
              <w:jc w:val="right"/>
              <w:rPr>
                <w:spacing w:val="-5"/>
              </w:rPr>
            </w:pPr>
            <w:r>
              <w:rPr>
                <w:spacing w:val="-5"/>
              </w:rPr>
              <w:t>$36.79</w:t>
            </w:r>
          </w:p>
        </w:tc>
      </w:tr>
      <w:tr w:rsidR="004D13F1" w:rsidRPr="007474B9" w:rsidTr="004D13F1">
        <w:tc>
          <w:tcPr>
            <w:tcW w:w="6259" w:type="dxa"/>
            <w:shd w:val="clear" w:color="auto" w:fill="auto"/>
            <w:vAlign w:val="bottom"/>
          </w:tcPr>
          <w:p w:rsidR="004D13F1" w:rsidRPr="007474B9" w:rsidRDefault="004D13F1" w:rsidP="004D13F1">
            <w:pPr>
              <w:rPr>
                <w:spacing w:val="-5"/>
              </w:rPr>
            </w:pP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c>
          <w:tcPr>
            <w:tcW w:w="6259" w:type="dxa"/>
            <w:shd w:val="clear" w:color="auto" w:fill="auto"/>
            <w:vAlign w:val="bottom"/>
          </w:tcPr>
          <w:p w:rsidR="004D13F1" w:rsidRPr="007474B9" w:rsidRDefault="004D13F1" w:rsidP="004D13F1">
            <w:pPr>
              <w:rPr>
                <w:spacing w:val="-5"/>
              </w:rPr>
            </w:pPr>
            <w:r w:rsidRPr="007474B9">
              <w:rPr>
                <w:spacing w:val="-5"/>
              </w:rPr>
              <w:t xml:space="preserve">Charge </w:t>
            </w:r>
            <w:r>
              <w:rPr>
                <w:spacing w:val="-5"/>
              </w:rPr>
              <w:t>Per 1,000 gallons</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r w:rsidRPr="007474B9">
              <w:rPr>
                <w:spacing w:val="-5"/>
              </w:rPr>
              <w:t>$</w:t>
            </w:r>
            <w:r>
              <w:rPr>
                <w:spacing w:val="-5"/>
              </w:rPr>
              <w:t>7.19</w:t>
            </w:r>
            <w:r w:rsidRPr="007474B9">
              <w:rPr>
                <w:spacing w:val="-5"/>
              </w:rPr>
              <w:t xml:space="preserve">            </w:t>
            </w:r>
          </w:p>
        </w:tc>
      </w:tr>
      <w:tr w:rsidR="004D13F1" w:rsidRPr="007474B9" w:rsidTr="004D13F1">
        <w:tc>
          <w:tcPr>
            <w:tcW w:w="6259" w:type="dxa"/>
            <w:shd w:val="clear" w:color="auto" w:fill="auto"/>
            <w:vAlign w:val="bottom"/>
          </w:tcPr>
          <w:p w:rsidR="004D13F1" w:rsidRPr="007474B9" w:rsidRDefault="004D13F1" w:rsidP="004D13F1">
            <w:pPr>
              <w:rPr>
                <w:spacing w:val="-5"/>
              </w:rPr>
            </w:pPr>
            <w:r w:rsidRPr="007474B9">
              <w:rPr>
                <w:spacing w:val="-5"/>
              </w:rPr>
              <w:t>6,000 gallon cap</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c>
          <w:tcPr>
            <w:tcW w:w="6259" w:type="dxa"/>
            <w:shd w:val="clear" w:color="auto" w:fill="auto"/>
            <w:vAlign w:val="bottom"/>
          </w:tcPr>
          <w:p w:rsidR="004D13F1" w:rsidRPr="007474B9" w:rsidRDefault="004D13F1" w:rsidP="004D13F1">
            <w:pPr>
              <w:rPr>
                <w:spacing w:val="-5"/>
              </w:rPr>
            </w:pP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c>
          <w:tcPr>
            <w:tcW w:w="6259" w:type="dxa"/>
            <w:shd w:val="clear" w:color="auto" w:fill="auto"/>
            <w:vAlign w:val="bottom"/>
          </w:tcPr>
          <w:p w:rsidR="004D13F1" w:rsidRPr="003221BD" w:rsidRDefault="004D13F1" w:rsidP="004D13F1">
            <w:pPr>
              <w:rPr>
                <w:rFonts w:ascii="Arial" w:hAnsi="Arial" w:cs="Arial"/>
                <w:b/>
                <w:spacing w:val="-5"/>
              </w:rPr>
            </w:pPr>
            <w:r w:rsidRPr="003221BD">
              <w:rPr>
                <w:rFonts w:ascii="Arial" w:hAnsi="Arial" w:cs="Arial"/>
                <w:b/>
                <w:spacing w:val="-5"/>
              </w:rPr>
              <w:t>General Service</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rPr>
          <w:trHeight w:val="180"/>
        </w:trPr>
        <w:tc>
          <w:tcPr>
            <w:tcW w:w="6259" w:type="dxa"/>
            <w:shd w:val="clear" w:color="auto" w:fill="auto"/>
          </w:tcPr>
          <w:p w:rsidR="004D13F1" w:rsidRPr="007474B9" w:rsidRDefault="004D13F1" w:rsidP="004D13F1">
            <w:pPr>
              <w:rPr>
                <w:spacing w:val="-5"/>
              </w:rPr>
            </w:pPr>
            <w:r w:rsidRPr="007474B9">
              <w:rPr>
                <w:spacing w:val="-5"/>
              </w:rPr>
              <w:t>Base Facility Charge by Meter Size</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tcPr>
          <w:p w:rsidR="004D13F1" w:rsidRPr="007474B9" w:rsidRDefault="004D13F1" w:rsidP="004D13F1">
            <w:pPr>
              <w:jc w:val="right"/>
              <w:rPr>
                <w:spacing w:val="-5"/>
              </w:rPr>
            </w:pPr>
          </w:p>
        </w:tc>
      </w:tr>
      <w:tr w:rsidR="004D13F1" w:rsidRPr="007474B9" w:rsidTr="004D13F1">
        <w:tc>
          <w:tcPr>
            <w:tcW w:w="6259" w:type="dxa"/>
            <w:shd w:val="clear" w:color="auto" w:fill="auto"/>
          </w:tcPr>
          <w:p w:rsidR="004D13F1" w:rsidRPr="007474B9" w:rsidRDefault="004D13F1" w:rsidP="004D13F1">
            <w:r w:rsidRPr="007474B9">
              <w:t>5/8” x 3/4"</w:t>
            </w:r>
          </w:p>
        </w:tc>
        <w:tc>
          <w:tcPr>
            <w:tcW w:w="1260" w:type="dxa"/>
            <w:shd w:val="clear" w:color="auto" w:fill="auto"/>
            <w:vAlign w:val="bottom"/>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$36.79</w:t>
            </w:r>
          </w:p>
        </w:tc>
      </w:tr>
      <w:tr w:rsidR="004D13F1" w:rsidRPr="007474B9" w:rsidTr="004D13F1">
        <w:tc>
          <w:tcPr>
            <w:tcW w:w="6259" w:type="dxa"/>
            <w:shd w:val="clear" w:color="auto" w:fill="auto"/>
          </w:tcPr>
          <w:p w:rsidR="004D13F1" w:rsidRPr="007474B9" w:rsidRDefault="004D13F1" w:rsidP="004D13F1">
            <w:r w:rsidRPr="007474B9">
              <w:t>1”</w:t>
            </w:r>
          </w:p>
        </w:tc>
        <w:tc>
          <w:tcPr>
            <w:tcW w:w="1260" w:type="dxa"/>
            <w:shd w:val="clear" w:color="auto" w:fill="auto"/>
            <w:vAlign w:val="bottom"/>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$55.18</w:t>
            </w:r>
          </w:p>
        </w:tc>
      </w:tr>
      <w:tr w:rsidR="004D13F1" w:rsidRPr="007474B9" w:rsidTr="004D13F1">
        <w:tc>
          <w:tcPr>
            <w:tcW w:w="6259" w:type="dxa"/>
            <w:shd w:val="clear" w:color="auto" w:fill="auto"/>
          </w:tcPr>
          <w:p w:rsidR="004D13F1" w:rsidRPr="007474B9" w:rsidRDefault="004D13F1" w:rsidP="004D13F1">
            <w:r w:rsidRPr="007474B9">
              <w:t>1 1/2"</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$91.97</w:t>
            </w:r>
          </w:p>
        </w:tc>
      </w:tr>
      <w:tr w:rsidR="004D13F1" w:rsidRPr="007474B9" w:rsidTr="004D13F1">
        <w:tc>
          <w:tcPr>
            <w:tcW w:w="6259" w:type="dxa"/>
            <w:shd w:val="clear" w:color="auto" w:fill="auto"/>
          </w:tcPr>
          <w:p w:rsidR="004D13F1" w:rsidRPr="007474B9" w:rsidRDefault="004D13F1" w:rsidP="004D13F1">
            <w:r w:rsidRPr="007474B9">
              <w:t>2”</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$183.94</w:t>
            </w:r>
          </w:p>
        </w:tc>
      </w:tr>
      <w:tr w:rsidR="004D13F1" w:rsidRPr="007474B9" w:rsidTr="004D13F1">
        <w:tc>
          <w:tcPr>
            <w:tcW w:w="6259" w:type="dxa"/>
            <w:shd w:val="clear" w:color="auto" w:fill="auto"/>
          </w:tcPr>
          <w:p w:rsidR="004D13F1" w:rsidRPr="007474B9" w:rsidRDefault="004D13F1" w:rsidP="004D13F1">
            <w:r w:rsidRPr="007474B9">
              <w:t>3”</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$294.30</w:t>
            </w:r>
          </w:p>
        </w:tc>
      </w:tr>
      <w:tr w:rsidR="004D13F1" w:rsidRPr="007474B9" w:rsidTr="004D13F1">
        <w:tc>
          <w:tcPr>
            <w:tcW w:w="6259" w:type="dxa"/>
            <w:shd w:val="clear" w:color="auto" w:fill="auto"/>
          </w:tcPr>
          <w:p w:rsidR="004D13F1" w:rsidRPr="007474B9" w:rsidRDefault="004D13F1" w:rsidP="004D13F1">
            <w:r w:rsidRPr="007474B9">
              <w:t>4”</w:t>
            </w:r>
          </w:p>
        </w:tc>
        <w:tc>
          <w:tcPr>
            <w:tcW w:w="1260" w:type="dxa"/>
            <w:shd w:val="clear" w:color="auto" w:fill="auto"/>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$588.60</w:t>
            </w:r>
          </w:p>
        </w:tc>
      </w:tr>
      <w:tr w:rsidR="004D13F1" w:rsidRPr="007474B9" w:rsidTr="004D13F1">
        <w:tc>
          <w:tcPr>
            <w:tcW w:w="6259" w:type="dxa"/>
            <w:shd w:val="clear" w:color="auto" w:fill="auto"/>
          </w:tcPr>
          <w:p w:rsidR="004D13F1" w:rsidRPr="007474B9" w:rsidRDefault="004D13F1" w:rsidP="004D13F1">
            <w:r w:rsidRPr="007474B9">
              <w:t>6”</w:t>
            </w:r>
          </w:p>
        </w:tc>
        <w:tc>
          <w:tcPr>
            <w:tcW w:w="1260" w:type="dxa"/>
            <w:shd w:val="clear" w:color="auto" w:fill="auto"/>
            <w:vAlign w:val="bottom"/>
          </w:tcPr>
          <w:p w:rsidR="004D13F1" w:rsidRPr="007474B9" w:rsidRDefault="004D13F1" w:rsidP="004D13F1">
            <w:pPr>
              <w:jc w:val="right"/>
            </w:pPr>
          </w:p>
        </w:tc>
        <w:tc>
          <w:tcPr>
            <w:tcW w:w="2071" w:type="dxa"/>
            <w:shd w:val="clear" w:color="auto" w:fill="auto"/>
          </w:tcPr>
          <w:p w:rsidR="004D13F1" w:rsidRPr="007474B9" w:rsidRDefault="004D13F1" w:rsidP="004D13F1">
            <w:pPr>
              <w:jc w:val="right"/>
            </w:pPr>
            <w:r>
              <w:t>$919.69</w:t>
            </w:r>
          </w:p>
        </w:tc>
      </w:tr>
      <w:tr w:rsidR="004D13F1" w:rsidRPr="007474B9" w:rsidTr="004D13F1">
        <w:tc>
          <w:tcPr>
            <w:tcW w:w="6259" w:type="dxa"/>
            <w:shd w:val="clear" w:color="auto" w:fill="auto"/>
          </w:tcPr>
          <w:p w:rsidR="004D13F1" w:rsidRPr="007474B9" w:rsidRDefault="004D13F1" w:rsidP="004D13F1">
            <w:r w:rsidRPr="007474B9">
              <w:t>8”</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r w:rsidRPr="007474B9">
              <w:rPr>
                <w:spacing w:val="-5"/>
              </w:rPr>
              <w:t>$1</w:t>
            </w:r>
            <w:r>
              <w:rPr>
                <w:spacing w:val="-5"/>
              </w:rPr>
              <w:t>,839.38</w:t>
            </w:r>
          </w:p>
        </w:tc>
      </w:tr>
      <w:tr w:rsidR="004D13F1" w:rsidRPr="007474B9" w:rsidTr="004D13F1">
        <w:tc>
          <w:tcPr>
            <w:tcW w:w="6259" w:type="dxa"/>
            <w:shd w:val="clear" w:color="auto" w:fill="auto"/>
            <w:vAlign w:val="bottom"/>
          </w:tcPr>
          <w:p w:rsidR="004D13F1" w:rsidRPr="007474B9" w:rsidRDefault="004D13F1" w:rsidP="004D13F1">
            <w:pPr>
              <w:rPr>
                <w:spacing w:val="-5"/>
              </w:rPr>
            </w:pP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p>
        </w:tc>
      </w:tr>
      <w:tr w:rsidR="004D13F1" w:rsidRPr="007474B9" w:rsidTr="004D13F1">
        <w:tc>
          <w:tcPr>
            <w:tcW w:w="6259" w:type="dxa"/>
            <w:shd w:val="clear" w:color="auto" w:fill="auto"/>
            <w:vAlign w:val="bottom"/>
          </w:tcPr>
          <w:p w:rsidR="004D13F1" w:rsidRPr="007474B9" w:rsidRDefault="004D13F1" w:rsidP="004D13F1">
            <w:pPr>
              <w:rPr>
                <w:spacing w:val="-5"/>
              </w:rPr>
            </w:pPr>
            <w:r w:rsidRPr="007474B9">
              <w:rPr>
                <w:spacing w:val="-5"/>
              </w:rPr>
              <w:t xml:space="preserve">Charge Per 1,000 gallons </w:t>
            </w:r>
          </w:p>
        </w:tc>
        <w:tc>
          <w:tcPr>
            <w:tcW w:w="1260" w:type="dxa"/>
            <w:shd w:val="clear" w:color="auto" w:fill="auto"/>
            <w:vAlign w:val="bottom"/>
          </w:tcPr>
          <w:p w:rsidR="004D13F1" w:rsidRPr="007474B9" w:rsidRDefault="004D13F1" w:rsidP="004D13F1">
            <w:pPr>
              <w:jc w:val="right"/>
              <w:rPr>
                <w:spacing w:val="-5"/>
              </w:rPr>
            </w:pPr>
          </w:p>
        </w:tc>
        <w:tc>
          <w:tcPr>
            <w:tcW w:w="2071" w:type="dxa"/>
            <w:shd w:val="clear" w:color="auto" w:fill="auto"/>
            <w:vAlign w:val="bottom"/>
          </w:tcPr>
          <w:p w:rsidR="004D13F1" w:rsidRPr="007474B9" w:rsidRDefault="004D13F1" w:rsidP="004D13F1">
            <w:pPr>
              <w:jc w:val="right"/>
              <w:rPr>
                <w:spacing w:val="-5"/>
              </w:rPr>
            </w:pPr>
            <w:r>
              <w:rPr>
                <w:spacing w:val="-5"/>
              </w:rPr>
              <w:t>$8.49</w:t>
            </w:r>
          </w:p>
        </w:tc>
      </w:tr>
    </w:tbl>
    <w:p w:rsidR="004D13F1" w:rsidRDefault="004D13F1" w:rsidP="005D3BEA"/>
    <w:tbl>
      <w:tblPr>
        <w:tblW w:w="5057" w:type="pct"/>
        <w:jc w:val="center"/>
        <w:tblLook w:val="0000" w:firstRow="0" w:lastRow="0" w:firstColumn="0" w:lastColumn="0" w:noHBand="0" w:noVBand="0"/>
      </w:tblPr>
      <w:tblGrid>
        <w:gridCol w:w="4842"/>
        <w:gridCol w:w="1584"/>
        <w:gridCol w:w="969"/>
        <w:gridCol w:w="2253"/>
        <w:gridCol w:w="37"/>
      </w:tblGrid>
      <w:tr w:rsidR="004D13F1" w:rsidRPr="00141BA0" w:rsidTr="004D13F1">
        <w:trPr>
          <w:trHeight w:val="230"/>
          <w:jc w:val="center"/>
        </w:trPr>
        <w:tc>
          <w:tcPr>
            <w:tcW w:w="5000" w:type="pct"/>
            <w:gridSpan w:val="5"/>
          </w:tcPr>
          <w:p w:rsidR="004D13F1" w:rsidRPr="009138E4" w:rsidRDefault="004D13F1" w:rsidP="004D13F1">
            <w:pPr>
              <w:jc w:val="center"/>
              <w:rPr>
                <w:rFonts w:ascii="Arial" w:hAnsi="Arial" w:cs="Arial"/>
                <w:b/>
                <w:bCs/>
              </w:rPr>
            </w:pPr>
          </w:p>
          <w:p w:rsidR="004D13F1" w:rsidRPr="009138E4" w:rsidRDefault="004D13F1" w:rsidP="004D13F1">
            <w:pPr>
              <w:jc w:val="center"/>
              <w:rPr>
                <w:rFonts w:ascii="Arial" w:hAnsi="Arial" w:cs="Arial"/>
                <w:b/>
                <w:bCs/>
              </w:rPr>
            </w:pPr>
            <w:r w:rsidRPr="009138E4">
              <w:rPr>
                <w:rFonts w:ascii="Arial" w:hAnsi="Arial" w:cs="Arial"/>
                <w:b/>
                <w:bCs/>
              </w:rPr>
              <w:t>Miscellaneous Service Charges</w:t>
            </w:r>
          </w:p>
        </w:tc>
      </w:tr>
      <w:tr w:rsidR="004D13F1" w:rsidRPr="00141BA0" w:rsidTr="004D13F1">
        <w:trPr>
          <w:gridAfter w:val="1"/>
          <w:wAfter w:w="19" w:type="pct"/>
          <w:trHeight w:val="230"/>
          <w:jc w:val="center"/>
        </w:trPr>
        <w:tc>
          <w:tcPr>
            <w:tcW w:w="2500" w:type="pct"/>
            <w:shd w:val="clear" w:color="auto" w:fill="auto"/>
            <w:noWrap/>
            <w:vAlign w:val="bottom"/>
          </w:tcPr>
          <w:p w:rsidR="004D13F1" w:rsidRPr="00141BA0" w:rsidRDefault="004D13F1" w:rsidP="004D13F1">
            <w:pPr>
              <w:spacing w:before="120"/>
            </w:pPr>
          </w:p>
        </w:tc>
        <w:tc>
          <w:tcPr>
            <w:tcW w:w="818" w:type="pct"/>
            <w:vAlign w:val="bottom"/>
          </w:tcPr>
          <w:p w:rsidR="004D13F1" w:rsidRPr="00141BA0" w:rsidRDefault="004D13F1" w:rsidP="004D13F1">
            <w:pPr>
              <w:spacing w:before="120"/>
              <w:jc w:val="right"/>
            </w:pPr>
            <w:r>
              <w:t>Normal hours</w:t>
            </w:r>
          </w:p>
        </w:tc>
        <w:tc>
          <w:tcPr>
            <w:tcW w:w="500" w:type="pct"/>
          </w:tcPr>
          <w:p w:rsidR="004D13F1" w:rsidRDefault="004D13F1" w:rsidP="004D13F1">
            <w:pPr>
              <w:spacing w:before="120"/>
              <w:jc w:val="right"/>
            </w:pPr>
          </w:p>
        </w:tc>
        <w:tc>
          <w:tcPr>
            <w:tcW w:w="1163" w:type="pct"/>
            <w:shd w:val="clear" w:color="auto" w:fill="auto"/>
            <w:noWrap/>
            <w:vAlign w:val="bottom"/>
          </w:tcPr>
          <w:p w:rsidR="004D13F1" w:rsidRPr="00141BA0" w:rsidRDefault="004D13F1" w:rsidP="004D13F1">
            <w:pPr>
              <w:spacing w:before="120"/>
              <w:jc w:val="right"/>
            </w:pPr>
            <w:r>
              <w:t>After Hours</w:t>
            </w:r>
          </w:p>
        </w:tc>
      </w:tr>
      <w:tr w:rsidR="004D13F1" w:rsidRPr="00141BA0" w:rsidTr="004D13F1">
        <w:trPr>
          <w:gridAfter w:val="1"/>
          <w:wAfter w:w="19" w:type="pct"/>
          <w:trHeight w:val="230"/>
          <w:jc w:val="center"/>
        </w:trPr>
        <w:tc>
          <w:tcPr>
            <w:tcW w:w="2500" w:type="pct"/>
            <w:shd w:val="clear" w:color="auto" w:fill="auto"/>
            <w:noWrap/>
            <w:vAlign w:val="bottom"/>
          </w:tcPr>
          <w:p w:rsidR="004D13F1" w:rsidRPr="00141BA0" w:rsidRDefault="004D13F1" w:rsidP="004D13F1">
            <w:pPr>
              <w:spacing w:before="120"/>
            </w:pPr>
            <w:r w:rsidRPr="00141BA0">
              <w:t>Initial Connection Charge</w:t>
            </w:r>
          </w:p>
        </w:tc>
        <w:tc>
          <w:tcPr>
            <w:tcW w:w="818" w:type="pct"/>
            <w:vAlign w:val="bottom"/>
          </w:tcPr>
          <w:p w:rsidR="004D13F1" w:rsidRPr="00141BA0" w:rsidRDefault="004D13F1" w:rsidP="004D13F1">
            <w:pPr>
              <w:spacing w:before="120"/>
              <w:jc w:val="right"/>
            </w:pPr>
            <w:r>
              <w:t>$26.00</w:t>
            </w:r>
          </w:p>
        </w:tc>
        <w:tc>
          <w:tcPr>
            <w:tcW w:w="500" w:type="pct"/>
          </w:tcPr>
          <w:p w:rsidR="004D13F1" w:rsidRPr="00141BA0" w:rsidRDefault="004D13F1" w:rsidP="004D13F1">
            <w:pPr>
              <w:spacing w:before="120"/>
              <w:jc w:val="right"/>
            </w:pPr>
          </w:p>
        </w:tc>
        <w:tc>
          <w:tcPr>
            <w:tcW w:w="1163" w:type="pct"/>
            <w:shd w:val="clear" w:color="auto" w:fill="auto"/>
            <w:noWrap/>
            <w:vAlign w:val="bottom"/>
          </w:tcPr>
          <w:p w:rsidR="004D13F1" w:rsidRPr="00141BA0" w:rsidRDefault="004D13F1" w:rsidP="004D13F1">
            <w:pPr>
              <w:spacing w:before="120"/>
              <w:jc w:val="right"/>
            </w:pPr>
            <w:r w:rsidRPr="00141BA0">
              <w:t>$</w:t>
            </w:r>
            <w:r>
              <w:t>40</w:t>
            </w:r>
            <w:r w:rsidRPr="00141BA0">
              <w:t>.00</w:t>
            </w:r>
          </w:p>
        </w:tc>
      </w:tr>
      <w:tr w:rsidR="004D13F1" w:rsidRPr="00141BA0" w:rsidTr="004D13F1">
        <w:trPr>
          <w:gridAfter w:val="1"/>
          <w:wAfter w:w="19" w:type="pct"/>
          <w:trHeight w:val="230"/>
          <w:jc w:val="center"/>
        </w:trPr>
        <w:tc>
          <w:tcPr>
            <w:tcW w:w="2500" w:type="pct"/>
            <w:shd w:val="clear" w:color="auto" w:fill="auto"/>
            <w:noWrap/>
            <w:vAlign w:val="bottom"/>
          </w:tcPr>
          <w:p w:rsidR="004D13F1" w:rsidRPr="00141BA0" w:rsidRDefault="004D13F1" w:rsidP="004D13F1">
            <w:pPr>
              <w:rPr>
                <w:bCs/>
              </w:rPr>
            </w:pPr>
            <w:r w:rsidRPr="00141BA0">
              <w:t>Normal Reconnection Charge</w:t>
            </w:r>
          </w:p>
        </w:tc>
        <w:tc>
          <w:tcPr>
            <w:tcW w:w="818" w:type="pct"/>
            <w:vAlign w:val="bottom"/>
          </w:tcPr>
          <w:p w:rsidR="004D13F1" w:rsidRPr="00141BA0" w:rsidRDefault="004D13F1" w:rsidP="004D13F1">
            <w:pPr>
              <w:jc w:val="right"/>
            </w:pPr>
            <w:r>
              <w:t>$26.00</w:t>
            </w:r>
          </w:p>
        </w:tc>
        <w:tc>
          <w:tcPr>
            <w:tcW w:w="500" w:type="pct"/>
          </w:tcPr>
          <w:p w:rsidR="004D13F1" w:rsidRDefault="004D13F1" w:rsidP="004D13F1">
            <w:pPr>
              <w:jc w:val="right"/>
            </w:pPr>
          </w:p>
        </w:tc>
        <w:tc>
          <w:tcPr>
            <w:tcW w:w="1163" w:type="pct"/>
            <w:shd w:val="clear" w:color="auto" w:fill="auto"/>
            <w:noWrap/>
            <w:vAlign w:val="bottom"/>
          </w:tcPr>
          <w:p w:rsidR="004D13F1" w:rsidRPr="00141BA0" w:rsidRDefault="004D13F1" w:rsidP="004D13F1">
            <w:pPr>
              <w:jc w:val="right"/>
            </w:pPr>
            <w:r>
              <w:t xml:space="preserve"> $40</w:t>
            </w:r>
            <w:r w:rsidRPr="00141BA0">
              <w:t>.00</w:t>
            </w:r>
          </w:p>
        </w:tc>
      </w:tr>
      <w:tr w:rsidR="004D13F1" w:rsidRPr="00141BA0" w:rsidTr="004D13F1">
        <w:trPr>
          <w:gridAfter w:val="1"/>
          <w:wAfter w:w="19" w:type="pct"/>
          <w:trHeight w:val="230"/>
          <w:jc w:val="center"/>
        </w:trPr>
        <w:tc>
          <w:tcPr>
            <w:tcW w:w="2500" w:type="pct"/>
            <w:shd w:val="clear" w:color="auto" w:fill="auto"/>
            <w:noWrap/>
            <w:vAlign w:val="bottom"/>
          </w:tcPr>
          <w:p w:rsidR="004D13F1" w:rsidRPr="00141BA0" w:rsidRDefault="004D13F1" w:rsidP="004D13F1">
            <w:pPr>
              <w:rPr>
                <w:bCs/>
              </w:rPr>
            </w:pPr>
            <w:r w:rsidRPr="00141BA0">
              <w:t>Violation Reconnection Charge</w:t>
            </w:r>
          </w:p>
        </w:tc>
        <w:tc>
          <w:tcPr>
            <w:tcW w:w="818" w:type="pct"/>
            <w:vAlign w:val="bottom"/>
          </w:tcPr>
          <w:p w:rsidR="004D13F1" w:rsidRPr="00141BA0" w:rsidRDefault="004D13F1" w:rsidP="004D13F1">
            <w:pPr>
              <w:jc w:val="right"/>
            </w:pPr>
            <w:r>
              <w:t>Actual Cost</w:t>
            </w:r>
          </w:p>
        </w:tc>
        <w:tc>
          <w:tcPr>
            <w:tcW w:w="500" w:type="pct"/>
          </w:tcPr>
          <w:p w:rsidR="004D13F1" w:rsidRDefault="004D13F1" w:rsidP="004D13F1">
            <w:pPr>
              <w:jc w:val="right"/>
            </w:pPr>
          </w:p>
        </w:tc>
        <w:tc>
          <w:tcPr>
            <w:tcW w:w="1163" w:type="pct"/>
            <w:shd w:val="clear" w:color="auto" w:fill="auto"/>
            <w:noWrap/>
            <w:vAlign w:val="bottom"/>
          </w:tcPr>
          <w:p w:rsidR="004D13F1" w:rsidRPr="00141BA0" w:rsidRDefault="004D13F1" w:rsidP="004D13F1">
            <w:pPr>
              <w:jc w:val="right"/>
            </w:pPr>
            <w:r>
              <w:t>Actual Cost</w:t>
            </w:r>
          </w:p>
        </w:tc>
      </w:tr>
      <w:tr w:rsidR="004D13F1" w:rsidRPr="00141BA0" w:rsidTr="004D13F1">
        <w:trPr>
          <w:gridAfter w:val="1"/>
          <w:wAfter w:w="19" w:type="pct"/>
          <w:trHeight w:val="230"/>
          <w:jc w:val="center"/>
        </w:trPr>
        <w:tc>
          <w:tcPr>
            <w:tcW w:w="2500" w:type="pct"/>
            <w:shd w:val="clear" w:color="auto" w:fill="auto"/>
            <w:noWrap/>
            <w:vAlign w:val="bottom"/>
          </w:tcPr>
          <w:p w:rsidR="004D13F1" w:rsidRPr="00141BA0" w:rsidRDefault="004D13F1" w:rsidP="004D13F1">
            <w:r w:rsidRPr="00141BA0">
              <w:t>Premises Visit Charge (in lieu of disconnection)</w:t>
            </w:r>
          </w:p>
        </w:tc>
        <w:tc>
          <w:tcPr>
            <w:tcW w:w="818" w:type="pct"/>
          </w:tcPr>
          <w:p w:rsidR="004D13F1" w:rsidRPr="00141BA0" w:rsidRDefault="004D13F1" w:rsidP="004D13F1">
            <w:pPr>
              <w:jc w:val="right"/>
            </w:pPr>
            <w:r>
              <w:t>$14.00</w:t>
            </w:r>
          </w:p>
        </w:tc>
        <w:tc>
          <w:tcPr>
            <w:tcW w:w="500" w:type="pct"/>
          </w:tcPr>
          <w:p w:rsidR="004D13F1" w:rsidRDefault="004D13F1" w:rsidP="004D13F1">
            <w:pPr>
              <w:jc w:val="right"/>
            </w:pPr>
          </w:p>
        </w:tc>
        <w:tc>
          <w:tcPr>
            <w:tcW w:w="1163" w:type="pct"/>
            <w:shd w:val="clear" w:color="auto" w:fill="auto"/>
            <w:noWrap/>
          </w:tcPr>
          <w:p w:rsidR="004D13F1" w:rsidRPr="00141BA0" w:rsidRDefault="004D13F1" w:rsidP="004D13F1">
            <w:pPr>
              <w:jc w:val="right"/>
            </w:pPr>
            <w:r>
              <w:t>$27</w:t>
            </w:r>
            <w:r w:rsidRPr="00141BA0">
              <w:t>.00</w:t>
            </w:r>
          </w:p>
        </w:tc>
      </w:tr>
      <w:tr w:rsidR="004D13F1" w:rsidRPr="00141BA0" w:rsidTr="004D13F1">
        <w:trPr>
          <w:gridAfter w:val="1"/>
          <w:wAfter w:w="19" w:type="pct"/>
          <w:trHeight w:val="153"/>
          <w:jc w:val="center"/>
        </w:trPr>
        <w:tc>
          <w:tcPr>
            <w:tcW w:w="2500" w:type="pct"/>
            <w:shd w:val="clear" w:color="auto" w:fill="auto"/>
            <w:noWrap/>
          </w:tcPr>
          <w:p w:rsidR="004D13F1" w:rsidRDefault="004D13F1" w:rsidP="004D13F1"/>
        </w:tc>
        <w:tc>
          <w:tcPr>
            <w:tcW w:w="818" w:type="pct"/>
          </w:tcPr>
          <w:p w:rsidR="004D13F1" w:rsidRPr="00141BA0" w:rsidRDefault="004D13F1" w:rsidP="004D13F1">
            <w:pPr>
              <w:jc w:val="right"/>
            </w:pPr>
          </w:p>
        </w:tc>
        <w:tc>
          <w:tcPr>
            <w:tcW w:w="500" w:type="pct"/>
          </w:tcPr>
          <w:p w:rsidR="004D13F1" w:rsidRDefault="004D13F1" w:rsidP="004D13F1">
            <w:pPr>
              <w:jc w:val="right"/>
            </w:pPr>
          </w:p>
        </w:tc>
        <w:tc>
          <w:tcPr>
            <w:tcW w:w="1163" w:type="pct"/>
            <w:shd w:val="clear" w:color="auto" w:fill="auto"/>
            <w:noWrap/>
            <w:vAlign w:val="bottom"/>
          </w:tcPr>
          <w:p w:rsidR="004D13F1" w:rsidRPr="00141BA0" w:rsidRDefault="004D13F1" w:rsidP="004D13F1">
            <w:pPr>
              <w:jc w:val="right"/>
            </w:pPr>
          </w:p>
        </w:tc>
      </w:tr>
      <w:tr w:rsidR="004D13F1" w:rsidRPr="00141BA0" w:rsidTr="004D13F1">
        <w:trPr>
          <w:gridAfter w:val="1"/>
          <w:wAfter w:w="19" w:type="pct"/>
          <w:trHeight w:val="153"/>
          <w:jc w:val="center"/>
        </w:trPr>
        <w:tc>
          <w:tcPr>
            <w:tcW w:w="2500" w:type="pct"/>
            <w:shd w:val="clear" w:color="auto" w:fill="auto"/>
            <w:noWrap/>
          </w:tcPr>
          <w:p w:rsidR="004D13F1" w:rsidRPr="00CB79BF" w:rsidRDefault="004D13F1" w:rsidP="004D13F1">
            <w:r>
              <w:t>Late Payment Charge</w:t>
            </w:r>
          </w:p>
        </w:tc>
        <w:tc>
          <w:tcPr>
            <w:tcW w:w="818" w:type="pct"/>
          </w:tcPr>
          <w:p w:rsidR="004D13F1" w:rsidRPr="00141BA0" w:rsidRDefault="004D13F1" w:rsidP="004D13F1">
            <w:pPr>
              <w:jc w:val="right"/>
            </w:pPr>
          </w:p>
        </w:tc>
        <w:tc>
          <w:tcPr>
            <w:tcW w:w="500" w:type="pct"/>
          </w:tcPr>
          <w:p w:rsidR="004D13F1" w:rsidRDefault="004D13F1" w:rsidP="004D13F1">
            <w:pPr>
              <w:jc w:val="right"/>
            </w:pPr>
            <w:r>
              <w:t>$5.00</w:t>
            </w:r>
          </w:p>
        </w:tc>
        <w:tc>
          <w:tcPr>
            <w:tcW w:w="1163" w:type="pct"/>
            <w:shd w:val="clear" w:color="auto" w:fill="auto"/>
            <w:noWrap/>
            <w:vAlign w:val="bottom"/>
          </w:tcPr>
          <w:p w:rsidR="004D13F1" w:rsidRPr="00141BA0" w:rsidRDefault="004D13F1" w:rsidP="004D13F1">
            <w:pPr>
              <w:jc w:val="right"/>
            </w:pPr>
          </w:p>
        </w:tc>
      </w:tr>
    </w:tbl>
    <w:p w:rsidR="00CA65C9" w:rsidRPr="006017B2" w:rsidRDefault="00CA65C9" w:rsidP="00CA65C9"/>
    <w:p w:rsidR="00E06484" w:rsidRDefault="00E06484" w:rsidP="00E275D8">
      <w:pPr>
        <w:pStyle w:val="BodyText"/>
      </w:pPr>
    </w:p>
    <w:sectPr w:rsidR="00E06484" w:rsidSect="00CA65C9">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54" w:rsidRDefault="00890D54">
      <w:r>
        <w:separator/>
      </w:r>
    </w:p>
  </w:endnote>
  <w:endnote w:type="continuationSeparator" w:id="0">
    <w:p w:rsidR="00890D54" w:rsidRDefault="0089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40A76">
      <w:rPr>
        <w:rStyle w:val="PageNumber"/>
        <w:noProof/>
      </w:rPr>
      <w:t>23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54" w:rsidRDefault="00890D54">
      <w:r>
        <w:separator/>
      </w:r>
    </w:p>
  </w:footnote>
  <w:footnote w:type="continuationSeparator" w:id="0">
    <w:p w:rsidR="00890D54" w:rsidRDefault="00890D54">
      <w:r>
        <w:continuationSeparator/>
      </w:r>
    </w:p>
  </w:footnote>
  <w:footnote w:id="1">
    <w:p w:rsidR="00890D54" w:rsidRPr="005268E1" w:rsidRDefault="00890D54" w:rsidP="008C24C7">
      <w:pPr>
        <w:pStyle w:val="FootnoteText"/>
        <w:rPr>
          <w:u w:val="single"/>
        </w:rPr>
      </w:pPr>
      <w:r>
        <w:rPr>
          <w:rStyle w:val="FootnoteReference"/>
        </w:rPr>
        <w:footnoteRef/>
      </w:r>
      <w:r>
        <w:t xml:space="preserve"> </w:t>
      </w:r>
      <w:proofErr w:type="gramStart"/>
      <w:r>
        <w:t>Order No.</w:t>
      </w:r>
      <w:proofErr w:type="gramEnd"/>
      <w:r>
        <w:t xml:space="preserve"> PSC-95-1393-FOF-WS, issued November 9, 1995, in Docket No.19951235-WS, </w:t>
      </w:r>
      <w:r>
        <w:rPr>
          <w:i/>
        </w:rPr>
        <w:t>In re:</w:t>
      </w:r>
      <w:r w:rsidRPr="007511F3">
        <w:rPr>
          <w:i/>
        </w:rPr>
        <w:t xml:space="preserve"> Resolution of the Board of County Commissioners of Manatee County declaring Manatee County subject to the provisions of Chapter 367, F.S.</w:t>
      </w:r>
    </w:p>
  </w:footnote>
  <w:footnote w:id="2">
    <w:p w:rsidR="00890D54" w:rsidRDefault="00890D54" w:rsidP="007511F3">
      <w:pPr>
        <w:pStyle w:val="FootnoteText"/>
      </w:pPr>
      <w:r>
        <w:rPr>
          <w:rStyle w:val="FootnoteReference"/>
        </w:rPr>
        <w:footnoteRef/>
      </w:r>
      <w:r>
        <w:t xml:space="preserve"> </w:t>
      </w:r>
      <w:proofErr w:type="gramStart"/>
      <w:r>
        <w:t>Order No.</w:t>
      </w:r>
      <w:proofErr w:type="gramEnd"/>
      <w:r>
        <w:t xml:space="preserve"> PSC-96-0434-FOF-WS, issued March 28, 1996, in Docket No.19951533-WS, </w:t>
      </w:r>
      <w:r>
        <w:rPr>
          <w:i/>
        </w:rPr>
        <w:t xml:space="preserve">In re: </w:t>
      </w:r>
      <w:r w:rsidRPr="007511F3">
        <w:rPr>
          <w:i/>
        </w:rPr>
        <w:t>Application for certificates to provide water and wastewater service in Manatee County by Keith &amp; Clara Starkey d/b/a Heather Hills Estates</w:t>
      </w:r>
      <w:r w:rsidRPr="0010216F">
        <w:t>.</w:t>
      </w:r>
    </w:p>
  </w:footnote>
  <w:footnote w:id="3">
    <w:p w:rsidR="00890D54" w:rsidRPr="005A0998" w:rsidRDefault="00890D54" w:rsidP="007511F3">
      <w:pPr>
        <w:pStyle w:val="FootnoteText"/>
      </w:pPr>
      <w:r>
        <w:rPr>
          <w:rStyle w:val="FootnoteReference"/>
        </w:rPr>
        <w:footnoteRef/>
      </w:r>
      <w:r>
        <w:t xml:space="preserve"> </w:t>
      </w:r>
      <w:proofErr w:type="gramStart"/>
      <w:r>
        <w:t>Order No.</w:t>
      </w:r>
      <w:proofErr w:type="gramEnd"/>
      <w:r>
        <w:t xml:space="preserve"> </w:t>
      </w:r>
      <w:r w:rsidRPr="009C620E">
        <w:t>PSC-10-0519-FOF-WS</w:t>
      </w:r>
      <w:r>
        <w:t xml:space="preserve">, issued </w:t>
      </w:r>
      <w:r w:rsidRPr="009C620E">
        <w:t>August 16, 2010</w:t>
      </w:r>
      <w:r>
        <w:t xml:space="preserve">, in Docket No. 20090093-WS, </w:t>
      </w:r>
      <w:r>
        <w:rPr>
          <w:i/>
        </w:rPr>
        <w:t xml:space="preserve">In re: </w:t>
      </w:r>
      <w:r w:rsidRPr="009C620E">
        <w:rPr>
          <w:i/>
        </w:rPr>
        <w:t>Application for approval of transfer of Keith &amp; Clara Starkey d/b/a Heather Hills Estates' water and wastewater utility, holder of Certificates 577-W and 498-S, to Heather Hills Estates Utilities, LLC, in Manatee County</w:t>
      </w:r>
      <w:r w:rsidRPr="0010216F">
        <w:t>.</w:t>
      </w:r>
    </w:p>
  </w:footnote>
  <w:footnote w:id="4">
    <w:p w:rsidR="00890D54" w:rsidRDefault="00890D54">
      <w:pPr>
        <w:pStyle w:val="FootnoteText"/>
      </w:pPr>
      <w:r>
        <w:rPr>
          <w:rStyle w:val="FootnoteReference"/>
        </w:rPr>
        <w:footnoteRef/>
      </w:r>
      <w:r>
        <w:t xml:space="preserve"> Document No. </w:t>
      </w:r>
      <w:r w:rsidRPr="00AB3197">
        <w:t>06167</w:t>
      </w:r>
      <w:r>
        <w:t xml:space="preserve">-2018, filed September 20, 2018, in Docket No. 20170151-WS, </w:t>
      </w:r>
      <w:r w:rsidRPr="00D9688C">
        <w:rPr>
          <w:i/>
        </w:rPr>
        <w:t>In re: Application for authority to transfer water and wastewater Certificate Nos. 577-W and 498-S in Manatee County, from Heather Hills Estates Utilities, LLC to Heather Hills Utilities, LLC</w:t>
      </w:r>
      <w:r w:rsidRPr="00D9688C">
        <w:t>.</w:t>
      </w:r>
    </w:p>
  </w:footnote>
  <w:footnote w:id="5">
    <w:p w:rsidR="00890D54" w:rsidRDefault="00890D54">
      <w:pPr>
        <w:pStyle w:val="FootnoteText"/>
      </w:pPr>
      <w:r>
        <w:rPr>
          <w:rStyle w:val="FootnoteReference"/>
        </w:rPr>
        <w:footnoteRef/>
      </w:r>
      <w:r>
        <w:t xml:space="preserve"> Document No. </w:t>
      </w:r>
      <w:r w:rsidRPr="00D9688C">
        <w:t>10298-2017</w:t>
      </w:r>
      <w:r>
        <w:t xml:space="preserve">, filed December 4, 2017, in Docket No. 20170151-WS, </w:t>
      </w:r>
      <w:r w:rsidRPr="00D9688C">
        <w:rPr>
          <w:i/>
        </w:rPr>
        <w:t>In re: Application for authority to transfer water and wastewater Certificate Nos. 577-W and 498-S in Manatee County, from Heather Hills Estates Utilities, LLC to Heather Hills Utilities, LLC</w:t>
      </w:r>
      <w:r w:rsidRPr="00D9688C">
        <w:t>.</w:t>
      </w:r>
    </w:p>
  </w:footnote>
  <w:footnote w:id="6">
    <w:p w:rsidR="00890D54" w:rsidRDefault="00890D54">
      <w:pPr>
        <w:pStyle w:val="FootnoteText"/>
      </w:pPr>
      <w:r>
        <w:rPr>
          <w:rStyle w:val="FootnoteReference"/>
        </w:rPr>
        <w:footnoteRef/>
      </w:r>
      <w:r>
        <w:t xml:space="preserve"> Document No. </w:t>
      </w:r>
      <w:r w:rsidRPr="009149E8">
        <w:t>01201-2018</w:t>
      </w:r>
      <w:r>
        <w:t xml:space="preserve">, filed February 14, 2018, in Docket No. 20170151-WS, </w:t>
      </w:r>
      <w:r w:rsidRPr="00D9688C">
        <w:rPr>
          <w:i/>
        </w:rPr>
        <w:t>In re: Application for authority to transfer water and wastewater Certificate Nos. 577-W and 498-S in Manatee County, from Heather Hills Estates Utilities, LLC to Heather Hills Utilities, LLC</w:t>
      </w:r>
      <w:r w:rsidRPr="00D9688C">
        <w:t>.</w:t>
      </w:r>
    </w:p>
  </w:footnote>
  <w:footnote w:id="7">
    <w:p w:rsidR="00890D54" w:rsidRDefault="00890D54">
      <w:pPr>
        <w:pStyle w:val="FootnoteText"/>
      </w:pPr>
      <w:r>
        <w:rPr>
          <w:rStyle w:val="FootnoteReference"/>
        </w:rPr>
        <w:footnoteRef/>
      </w:r>
      <w:r>
        <w:t xml:space="preserve"> Document No. </w:t>
      </w:r>
      <w:r w:rsidRPr="009149E8">
        <w:t>01091-2018</w:t>
      </w:r>
      <w:r>
        <w:t xml:space="preserve">, filed February 9, 2018, in Docket No. 20170151-WS, </w:t>
      </w:r>
      <w:r w:rsidRPr="00D9688C">
        <w:rPr>
          <w:i/>
        </w:rPr>
        <w:t>In re: Application for authority to transfer water and wastewater Certificate Nos. 577-W and 498-S in Manatee County, from Heather Hills Estates Utilities, LLC to Heather Hills Utilities, LLC</w:t>
      </w:r>
      <w:r w:rsidRPr="00D9688C">
        <w:t>.</w:t>
      </w:r>
    </w:p>
  </w:footnote>
  <w:footnote w:id="8">
    <w:p w:rsidR="00890D54" w:rsidRDefault="00890D54" w:rsidP="002B6306">
      <w:pPr>
        <w:pStyle w:val="FootnoteText"/>
      </w:pPr>
      <w:r>
        <w:rPr>
          <w:rStyle w:val="FootnoteReference"/>
        </w:rPr>
        <w:footnoteRef/>
      </w:r>
      <w:r>
        <w:t xml:space="preserve"> Document No. 08737-2017.</w:t>
      </w:r>
    </w:p>
  </w:footnote>
  <w:footnote w:id="9">
    <w:p w:rsidR="00890D54" w:rsidRPr="00C62D8A" w:rsidRDefault="00890D54" w:rsidP="004D13F1">
      <w:pPr>
        <w:pStyle w:val="FootnoteText"/>
        <w:rPr>
          <w:i/>
        </w:rPr>
      </w:pPr>
      <w:r w:rsidRPr="00D34324">
        <w:rPr>
          <w:rStyle w:val="FootnoteReference"/>
        </w:rPr>
        <w:footnoteRef/>
      </w:r>
      <w:r>
        <w:t xml:space="preserve"> </w:t>
      </w:r>
      <w:proofErr w:type="gramStart"/>
      <w:r w:rsidRPr="00D34324">
        <w:t>Order No.</w:t>
      </w:r>
      <w:proofErr w:type="gramEnd"/>
      <w:r w:rsidRPr="00D34324">
        <w:t xml:space="preserve"> PSC-11-0436-PAA-WS, issued August 29, 2011, in Docket No. 20100472-WS, </w:t>
      </w:r>
      <w:r w:rsidRPr="00C62D8A">
        <w:rPr>
          <w:i/>
        </w:rPr>
        <w:t>In re: Application for staff-assisted rate case in Manatee County by Heather Hills Estates Utilities LLC.</w:t>
      </w:r>
    </w:p>
  </w:footnote>
  <w:footnote w:id="10">
    <w:p w:rsidR="00890D54" w:rsidRPr="009F661B" w:rsidRDefault="00890D54" w:rsidP="004D13F1">
      <w:pPr>
        <w:pStyle w:val="FootnoteText"/>
      </w:pPr>
      <w:r w:rsidRPr="009F661B">
        <w:rPr>
          <w:rStyle w:val="FootnoteReference"/>
        </w:rPr>
        <w:footnoteRef/>
      </w:r>
      <w:r>
        <w:t xml:space="preserve"> </w:t>
      </w:r>
      <w:proofErr w:type="gramStart"/>
      <w:r w:rsidRPr="009F661B">
        <w:t>Order No.</w:t>
      </w:r>
      <w:proofErr w:type="gramEnd"/>
      <w:r w:rsidRPr="009F661B">
        <w:t xml:space="preserve"> PSC-10-0014-TRF-WS, issued January 4, 2010, in Docket No. 20090500-WS, </w:t>
      </w:r>
      <w:r w:rsidRPr="00C62D8A">
        <w:rPr>
          <w:i/>
        </w:rPr>
        <w:t xml:space="preserve">In re: Request for approval of late payment charge by Heather Hills Estates Utilities, LLC, in Manatee County. </w:t>
      </w:r>
    </w:p>
  </w:footnote>
  <w:footnote w:id="11">
    <w:p w:rsidR="00890D54" w:rsidRDefault="00890D54" w:rsidP="004D13F1">
      <w:pPr>
        <w:pStyle w:val="FootnoteText"/>
      </w:pPr>
      <w:r w:rsidRPr="009F661B">
        <w:rPr>
          <w:rStyle w:val="FootnoteReference"/>
        </w:rPr>
        <w:footnoteRef/>
      </w:r>
      <w:r>
        <w:t xml:space="preserve"> </w:t>
      </w:r>
      <w:proofErr w:type="gramStart"/>
      <w:r w:rsidRPr="009F661B">
        <w:t>Order No.</w:t>
      </w:r>
      <w:proofErr w:type="gramEnd"/>
      <w:r w:rsidRPr="009F661B">
        <w:t xml:space="preserve"> PSC-10-0699-TRF-WS, issued Novemb</w:t>
      </w:r>
      <w:r>
        <w:t>er 29, 2010, in Docket No. 2010</w:t>
      </w:r>
      <w:r w:rsidRPr="009F661B">
        <w:t xml:space="preserve">0396-WS, </w:t>
      </w:r>
      <w:r w:rsidRPr="00C62D8A">
        <w:rPr>
          <w:i/>
        </w:rPr>
        <w:t xml:space="preserve">In re: Request for approval of increase in miscellaneous service charges by Heather Hills Estates Utilities, LLC. </w:t>
      </w:r>
    </w:p>
  </w:footnote>
  <w:footnote w:id="12">
    <w:p w:rsidR="00890D54" w:rsidRPr="00AC2965" w:rsidRDefault="00890D54" w:rsidP="002B6306">
      <w:pPr>
        <w:pStyle w:val="FootnoteText"/>
        <w:rPr>
          <w:i/>
        </w:rPr>
      </w:pPr>
      <w:r>
        <w:rPr>
          <w:rStyle w:val="FootnoteReference"/>
        </w:rPr>
        <w:footnoteRef/>
      </w:r>
      <w:r>
        <w:t xml:space="preserve"> </w:t>
      </w:r>
      <w:proofErr w:type="gramStart"/>
      <w:r>
        <w:t>Order No.</w:t>
      </w:r>
      <w:proofErr w:type="gramEnd"/>
      <w:r>
        <w:t xml:space="preserve"> PSC-11-0436-PAA-WS, issued September 29, 2011, in Docket No. 20100472-WS, </w:t>
      </w:r>
      <w:r>
        <w:rPr>
          <w:i/>
        </w:rPr>
        <w:t>In re: Application for staff-assisted rate case in Manatee County by Heather Hills Estates Utilities LLC.</w:t>
      </w:r>
    </w:p>
  </w:footnote>
  <w:footnote w:id="13">
    <w:p w:rsidR="00890D54" w:rsidRDefault="00890D54">
      <w:pPr>
        <w:pStyle w:val="FootnoteText"/>
      </w:pPr>
      <w:r>
        <w:rPr>
          <w:rStyle w:val="FootnoteReference"/>
        </w:rPr>
        <w:footnoteRef/>
      </w:r>
      <w:r>
        <w:t xml:space="preserve"> </w:t>
      </w:r>
      <w:r w:rsidRPr="009238AF">
        <w:t xml:space="preserve">Order Nos. PSC-2017-0428-PAA-WS, issued November 7, 2017, in Docket No. 20160195-WS, </w:t>
      </w:r>
      <w:r w:rsidRPr="009238AF">
        <w:rPr>
          <w:i/>
        </w:rPr>
        <w:t>In re: Application for staff-assisted rate case in Lake County by Lakeside Waterworks, Inc.</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 w:id="14">
    <w:p w:rsidR="00890D54" w:rsidRPr="00964FDF" w:rsidRDefault="00890D54" w:rsidP="00964FDF">
      <w:pPr>
        <w:pStyle w:val="FootnoteText"/>
      </w:pPr>
      <w:r>
        <w:rPr>
          <w:rStyle w:val="FootnoteReference"/>
        </w:rPr>
        <w:footnoteRef/>
      </w:r>
      <w:r>
        <w:t xml:space="preserve"> </w:t>
      </w:r>
      <w:proofErr w:type="gramStart"/>
      <w:r w:rsidRPr="00964FDF">
        <w:t>Order No.</w:t>
      </w:r>
      <w:proofErr w:type="gramEnd"/>
      <w:r w:rsidRPr="00964FDF">
        <w:rPr>
          <w:rFonts w:eastAsiaTheme="minorEastAsia"/>
        </w:rPr>
        <w:t xml:space="preserve"> </w:t>
      </w:r>
      <w:r w:rsidRPr="00964FDF">
        <w:t xml:space="preserve">PSC-96-0434-FOF-WS, issued March 28, 1996, in Docket No. </w:t>
      </w:r>
      <w:r>
        <w:t>19</w:t>
      </w:r>
      <w:r w:rsidRPr="00964FDF">
        <w:t xml:space="preserve">951533-WS, </w:t>
      </w:r>
      <w:r w:rsidRPr="00964FDF">
        <w:rPr>
          <w:i/>
        </w:rPr>
        <w:t>In re: Application for certificates to provide water and wastewater service in Manatee County by Keith &amp; Clara Starkey d/b/a Heather Hills Estates</w:t>
      </w:r>
      <w:r w:rsidRPr="00964FDF">
        <w:t xml:space="preserve"> </w:t>
      </w:r>
    </w:p>
  </w:footnote>
  <w:footnote w:id="15">
    <w:p w:rsidR="00890D54" w:rsidRDefault="00890D54">
      <w:pPr>
        <w:pStyle w:val="FootnoteText"/>
      </w:pPr>
      <w:r w:rsidRPr="00964FDF">
        <w:rPr>
          <w:rStyle w:val="FootnoteReference"/>
        </w:rPr>
        <w:footnoteRef/>
      </w:r>
      <w:r>
        <w:t xml:space="preserve"> </w:t>
      </w:r>
      <w:proofErr w:type="gramStart"/>
      <w:r w:rsidRPr="00964FDF">
        <w:t>Order No.</w:t>
      </w:r>
      <w:proofErr w:type="gramEnd"/>
      <w:r w:rsidRPr="00964FDF">
        <w:t xml:space="preserve"> PSC-95-1393-FOF-WS, issued November 9, 1995, in Docket No. </w:t>
      </w:r>
      <w:r>
        <w:t>19</w:t>
      </w:r>
      <w:r w:rsidRPr="00964FDF">
        <w:t xml:space="preserve">951235-WS, </w:t>
      </w:r>
      <w:r>
        <w:rPr>
          <w:i/>
        </w:rPr>
        <w:t xml:space="preserve">In re: </w:t>
      </w:r>
      <w:r w:rsidRPr="00964FDF">
        <w:rPr>
          <w:i/>
        </w:rPr>
        <w:t>Resolution of the Board of County Commissioners of Manatee County Declaring Manatee County Subject to the Provisions of Chapter 367, F.S</w:t>
      </w:r>
      <w:r w:rsidRPr="00964FDF">
        <w:t>.</w:t>
      </w:r>
    </w:p>
  </w:footnote>
  <w:footnote w:id="16">
    <w:p w:rsidR="00890D54" w:rsidRDefault="00890D54">
      <w:pPr>
        <w:pStyle w:val="FootnoteText"/>
      </w:pPr>
      <w:r>
        <w:rPr>
          <w:rStyle w:val="FootnoteReference"/>
        </w:rPr>
        <w:footnoteRef/>
      </w:r>
      <w:r>
        <w:t xml:space="preserve"> </w:t>
      </w:r>
      <w:r w:rsidR="00803F8C">
        <w:t xml:space="preserve">Document No. </w:t>
      </w:r>
      <w:r w:rsidRPr="00AA26D7">
        <w:t xml:space="preserve">10823-2017, filed on December 21, 2017, in Docket No. 20170155-WS, </w:t>
      </w:r>
      <w:r w:rsidRPr="00AA26D7">
        <w:rPr>
          <w:i/>
        </w:rPr>
        <w:t>In re: Application for authority to transfer water and wastewater Certificate Nos. 577-W and 498-S in Manatee County, from Heather Hills Estates Utilities, LLC to Heather Hills Utilities,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20170151-WS</w:t>
    </w:r>
    <w:bookmarkEnd w:id="14"/>
  </w:p>
  <w:p w:rsidR="00890D54" w:rsidRDefault="00890D54">
    <w:pPr>
      <w:pStyle w:val="Header"/>
    </w:pPr>
    <w:r>
      <w:t>Date: September 28, 2018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No. 2</w:t>
    </w:r>
  </w:p>
  <w:p w:rsidR="00890D54" w:rsidRDefault="00890D54" w:rsidP="00CA65C9">
    <w:pPr>
      <w:pStyle w:val="Header"/>
      <w:tabs>
        <w:tab w:val="clear" w:pos="8640"/>
        <w:tab w:val="right" w:pos="9360"/>
      </w:tabs>
    </w:pPr>
    <w:r>
      <w:t>Date: September 28, 2018</w:t>
    </w:r>
    <w:r>
      <w:tab/>
    </w:r>
    <w:r>
      <w:tab/>
      <w:t>Page 1 of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No. 2</w:t>
    </w:r>
  </w:p>
  <w:p w:rsidR="00890D54" w:rsidRDefault="00890D54" w:rsidP="00CA65C9">
    <w:pPr>
      <w:pStyle w:val="Header"/>
      <w:tabs>
        <w:tab w:val="clear" w:pos="8640"/>
        <w:tab w:val="right" w:pos="9360"/>
      </w:tabs>
    </w:pPr>
    <w:r>
      <w:t>Date: September 28, 2018</w:t>
    </w:r>
    <w:r>
      <w:tab/>
    </w:r>
    <w:r>
      <w:tab/>
      <w:t>Page 2 of 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No. 2</w:t>
    </w:r>
  </w:p>
  <w:p w:rsidR="00890D54" w:rsidRDefault="00890D54" w:rsidP="00CA65C9">
    <w:pPr>
      <w:pStyle w:val="Header"/>
      <w:tabs>
        <w:tab w:val="clear" w:pos="8640"/>
        <w:tab w:val="right" w:pos="9360"/>
      </w:tabs>
    </w:pPr>
    <w:r>
      <w:t>Date: September 28, 2018</w:t>
    </w:r>
    <w:r>
      <w:tab/>
    </w:r>
    <w:r>
      <w:tab/>
      <w:t>Page 3 of 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4D13F1">
    <w:pPr>
      <w:pStyle w:val="Header"/>
      <w:tabs>
        <w:tab w:val="clear" w:pos="4320"/>
        <w:tab w:val="clear" w:pos="8640"/>
        <w:tab w:val="right" w:pos="9360"/>
      </w:tabs>
    </w:pPr>
    <w:r>
      <w:t>Docket No. 170151-WS</w:t>
    </w:r>
    <w:r>
      <w:tab/>
      <w:t xml:space="preserve"> Schedule No. 3</w:t>
    </w:r>
  </w:p>
  <w:p w:rsidR="00890D54" w:rsidRPr="00BE79AE" w:rsidRDefault="00890D54" w:rsidP="00AA744C">
    <w:pPr>
      <w:pStyle w:val="Header"/>
      <w:tabs>
        <w:tab w:val="clear" w:pos="8640"/>
        <w:tab w:val="right" w:pos="9360"/>
      </w:tabs>
    </w:pPr>
    <w:r>
      <w:t>Date: September 28, 2018</w:t>
    </w:r>
    <w:r>
      <w:tab/>
    </w:r>
    <w:r>
      <w:tab/>
      <w:t>Page 1 of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3</w:t>
    </w:r>
  </w:p>
  <w:p w:rsidR="00890D54" w:rsidRDefault="00890D54" w:rsidP="00CA65C9">
    <w:pPr>
      <w:pStyle w:val="Header"/>
      <w:tabs>
        <w:tab w:val="clear" w:pos="8640"/>
        <w:tab w:val="right" w:pos="9360"/>
      </w:tabs>
    </w:pPr>
    <w:r>
      <w:t>Date: September 28, 2018</w:t>
    </w:r>
    <w:r>
      <w:tab/>
    </w:r>
    <w:r>
      <w:tab/>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 xml:space="preserve">Issue </w:t>
    </w:r>
    <w:r w:rsidR="004441A9">
      <w:fldChar w:fldCharType="begin"/>
    </w:r>
    <w:r w:rsidR="004441A9">
      <w:instrText xml:space="preserve"> Seq Issue \c \* Arabic </w:instrText>
    </w:r>
    <w:r w:rsidR="004441A9">
      <w:fldChar w:fldCharType="separate"/>
    </w:r>
    <w:r w:rsidR="00E40A76">
      <w:rPr>
        <w:noProof/>
      </w:rPr>
      <w:t>5</w:t>
    </w:r>
    <w:r w:rsidR="004441A9">
      <w:rPr>
        <w:noProof/>
      </w:rPr>
      <w:fldChar w:fldCharType="end"/>
    </w:r>
  </w:p>
  <w:p w:rsidR="00890D54" w:rsidRDefault="00890D54">
    <w:pPr>
      <w:pStyle w:val="Header"/>
    </w:pPr>
    <w:r>
      <w:t>Date: September 28,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Attachment A</w:t>
    </w:r>
  </w:p>
  <w:p w:rsidR="00890D54" w:rsidRDefault="00890D54" w:rsidP="00CA65C9">
    <w:pPr>
      <w:pStyle w:val="Header"/>
      <w:tabs>
        <w:tab w:val="clear" w:pos="8640"/>
        <w:tab w:val="right" w:pos="9360"/>
      </w:tabs>
    </w:pPr>
    <w:r>
      <w:t>Date: September 28, 2018</w:t>
    </w:r>
    <w:r>
      <w:tab/>
    </w:r>
    <w:r>
      <w:tab/>
      <w:t>Page 1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Attachment A</w:t>
    </w:r>
  </w:p>
  <w:p w:rsidR="00890D54" w:rsidRDefault="00890D54" w:rsidP="00CA65C9">
    <w:pPr>
      <w:pStyle w:val="Header"/>
      <w:tabs>
        <w:tab w:val="clear" w:pos="8640"/>
        <w:tab w:val="right" w:pos="9360"/>
      </w:tabs>
    </w:pPr>
    <w:r>
      <w:t>Date: September 28, 2018</w:t>
    </w:r>
    <w:r>
      <w:tab/>
    </w:r>
    <w:r>
      <w:tab/>
      <w:t>Page 2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Attachment A</w:t>
    </w:r>
  </w:p>
  <w:p w:rsidR="00890D54" w:rsidRDefault="00890D54" w:rsidP="00CA65C9">
    <w:pPr>
      <w:pStyle w:val="Header"/>
      <w:tabs>
        <w:tab w:val="clear" w:pos="8640"/>
        <w:tab w:val="right" w:pos="9360"/>
      </w:tabs>
    </w:pPr>
    <w:r>
      <w:t>Date: September 28, 2018</w:t>
    </w:r>
    <w:r>
      <w:tab/>
    </w:r>
    <w:r>
      <w:tab/>
      <w:t>Page 3 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No. 1</w:t>
    </w:r>
  </w:p>
  <w:p w:rsidR="00890D54" w:rsidRDefault="00890D54" w:rsidP="00CA65C9">
    <w:pPr>
      <w:pStyle w:val="Header"/>
      <w:tabs>
        <w:tab w:val="clear" w:pos="8640"/>
        <w:tab w:val="right" w:pos="9360"/>
      </w:tabs>
    </w:pPr>
    <w:r>
      <w:t>Date: September 28, 2018</w:t>
    </w:r>
    <w:r>
      <w:tab/>
    </w:r>
    <w:r>
      <w:tab/>
      <w:t>Page 1 of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No. 1</w:t>
    </w:r>
  </w:p>
  <w:p w:rsidR="00890D54" w:rsidRDefault="00890D54" w:rsidP="00CA65C9">
    <w:pPr>
      <w:pStyle w:val="Header"/>
      <w:tabs>
        <w:tab w:val="clear" w:pos="8640"/>
        <w:tab w:val="right" w:pos="9360"/>
      </w:tabs>
    </w:pPr>
    <w:r>
      <w:t>Date: September 28, 2018</w:t>
    </w:r>
    <w:r>
      <w:tab/>
    </w:r>
    <w:r>
      <w:tab/>
      <w:t>Page 2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54" w:rsidRDefault="00890D54" w:rsidP="00220732">
    <w:pPr>
      <w:pStyle w:val="Header"/>
      <w:tabs>
        <w:tab w:val="clear" w:pos="4320"/>
        <w:tab w:val="clear" w:pos="8640"/>
        <w:tab w:val="right" w:pos="9360"/>
      </w:tabs>
    </w:pPr>
    <w:r>
      <w:fldChar w:fldCharType="begin"/>
    </w:r>
    <w:r>
      <w:instrText xml:space="preserve"> REF DocketLabel</w:instrText>
    </w:r>
    <w:r>
      <w:fldChar w:fldCharType="separate"/>
    </w:r>
    <w:r w:rsidR="00E40A76">
      <w:t>Docket No.</w:t>
    </w:r>
    <w:r>
      <w:fldChar w:fldCharType="end"/>
    </w:r>
    <w:r>
      <w:t xml:space="preserve"> </w:t>
    </w:r>
    <w:r>
      <w:fldChar w:fldCharType="begin"/>
    </w:r>
    <w:r>
      <w:instrText xml:space="preserve"> REF DocketList</w:instrText>
    </w:r>
    <w:r>
      <w:fldChar w:fldCharType="separate"/>
    </w:r>
    <w:r w:rsidR="00E40A76">
      <w:t>20170151-WS</w:t>
    </w:r>
    <w:r>
      <w:fldChar w:fldCharType="end"/>
    </w:r>
    <w:r>
      <w:tab/>
      <w:t>Schedule No. 1</w:t>
    </w:r>
  </w:p>
  <w:p w:rsidR="00890D54" w:rsidRDefault="00890D54" w:rsidP="00CA65C9">
    <w:pPr>
      <w:pStyle w:val="Header"/>
      <w:tabs>
        <w:tab w:val="clear" w:pos="8640"/>
        <w:tab w:val="right" w:pos="9360"/>
      </w:tabs>
    </w:pPr>
    <w:r>
      <w:t>Date: September 28, 2018</w:t>
    </w:r>
    <w:r>
      <w:tab/>
    </w:r>
    <w:r>
      <w:tab/>
      <w:t>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852578F"/>
    <w:multiLevelType w:val="hybridMultilevel"/>
    <w:tmpl w:val="BE2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B025D"/>
    <w:multiLevelType w:val="hybridMultilevel"/>
    <w:tmpl w:val="B4A4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259AF"/>
    <w:rsid w:val="000043D5"/>
    <w:rsid w:val="00006170"/>
    <w:rsid w:val="00010E37"/>
    <w:rsid w:val="000172DA"/>
    <w:rsid w:val="000247C5"/>
    <w:rsid w:val="000277C2"/>
    <w:rsid w:val="00035B48"/>
    <w:rsid w:val="00036CE2"/>
    <w:rsid w:val="000437FE"/>
    <w:rsid w:val="000513BE"/>
    <w:rsid w:val="00053A79"/>
    <w:rsid w:val="00065A06"/>
    <w:rsid w:val="000666F3"/>
    <w:rsid w:val="00070DCB"/>
    <w:rsid w:val="00073120"/>
    <w:rsid w:val="000764D0"/>
    <w:rsid w:val="000828D3"/>
    <w:rsid w:val="000A2113"/>
    <w:rsid w:val="000A2B57"/>
    <w:rsid w:val="000A418B"/>
    <w:rsid w:val="000B43DD"/>
    <w:rsid w:val="000C4431"/>
    <w:rsid w:val="000D1C06"/>
    <w:rsid w:val="000D1D6F"/>
    <w:rsid w:val="000D4319"/>
    <w:rsid w:val="000F19F4"/>
    <w:rsid w:val="000F374A"/>
    <w:rsid w:val="000F4232"/>
    <w:rsid w:val="001076AF"/>
    <w:rsid w:val="001165B3"/>
    <w:rsid w:val="00117C8C"/>
    <w:rsid w:val="00124C3C"/>
    <w:rsid w:val="00124E2E"/>
    <w:rsid w:val="001259AF"/>
    <w:rsid w:val="00125ED4"/>
    <w:rsid w:val="001305E9"/>
    <w:rsid w:val="001307AF"/>
    <w:rsid w:val="00135687"/>
    <w:rsid w:val="00151438"/>
    <w:rsid w:val="0015266D"/>
    <w:rsid w:val="0015506E"/>
    <w:rsid w:val="00163031"/>
    <w:rsid w:val="00171A90"/>
    <w:rsid w:val="00180254"/>
    <w:rsid w:val="00191E1F"/>
    <w:rsid w:val="00192943"/>
    <w:rsid w:val="001A7406"/>
    <w:rsid w:val="001B4FEE"/>
    <w:rsid w:val="001B51C5"/>
    <w:rsid w:val="001B6F3F"/>
    <w:rsid w:val="001C52B5"/>
    <w:rsid w:val="001D0D3E"/>
    <w:rsid w:val="001D0FF1"/>
    <w:rsid w:val="001D581A"/>
    <w:rsid w:val="001F2245"/>
    <w:rsid w:val="001F2C63"/>
    <w:rsid w:val="001F48C7"/>
    <w:rsid w:val="001F6DA1"/>
    <w:rsid w:val="002044E6"/>
    <w:rsid w:val="00205C82"/>
    <w:rsid w:val="00205DC2"/>
    <w:rsid w:val="00212B17"/>
    <w:rsid w:val="002163B6"/>
    <w:rsid w:val="00216500"/>
    <w:rsid w:val="00220732"/>
    <w:rsid w:val="00221D32"/>
    <w:rsid w:val="002238CA"/>
    <w:rsid w:val="00225C3F"/>
    <w:rsid w:val="00263D44"/>
    <w:rsid w:val="002702AD"/>
    <w:rsid w:val="00271BF5"/>
    <w:rsid w:val="00292D82"/>
    <w:rsid w:val="0029393F"/>
    <w:rsid w:val="002963CB"/>
    <w:rsid w:val="002A7290"/>
    <w:rsid w:val="002B2EE1"/>
    <w:rsid w:val="002B320A"/>
    <w:rsid w:val="002B5ECA"/>
    <w:rsid w:val="002B6306"/>
    <w:rsid w:val="002C20D6"/>
    <w:rsid w:val="002D226D"/>
    <w:rsid w:val="002F6030"/>
    <w:rsid w:val="003037E1"/>
    <w:rsid w:val="00307E51"/>
    <w:rsid w:val="003103EC"/>
    <w:rsid w:val="003144EF"/>
    <w:rsid w:val="00320D26"/>
    <w:rsid w:val="00322F74"/>
    <w:rsid w:val="003250B5"/>
    <w:rsid w:val="00330F48"/>
    <w:rsid w:val="00340073"/>
    <w:rsid w:val="00344788"/>
    <w:rsid w:val="003632FD"/>
    <w:rsid w:val="00372805"/>
    <w:rsid w:val="00373180"/>
    <w:rsid w:val="00375AB9"/>
    <w:rsid w:val="00375EF3"/>
    <w:rsid w:val="003821A0"/>
    <w:rsid w:val="00385B04"/>
    <w:rsid w:val="003864CF"/>
    <w:rsid w:val="003A22A6"/>
    <w:rsid w:val="003A5494"/>
    <w:rsid w:val="003B2510"/>
    <w:rsid w:val="003C04E5"/>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26F80"/>
    <w:rsid w:val="00431598"/>
    <w:rsid w:val="004319AD"/>
    <w:rsid w:val="004426B8"/>
    <w:rsid w:val="00444432"/>
    <w:rsid w:val="00453152"/>
    <w:rsid w:val="00453FF6"/>
    <w:rsid w:val="00463760"/>
    <w:rsid w:val="00471860"/>
    <w:rsid w:val="004A0A03"/>
    <w:rsid w:val="004A557A"/>
    <w:rsid w:val="004A744D"/>
    <w:rsid w:val="004B60BD"/>
    <w:rsid w:val="004B6C4D"/>
    <w:rsid w:val="004C1B66"/>
    <w:rsid w:val="004C3150"/>
    <w:rsid w:val="004C3641"/>
    <w:rsid w:val="004C4390"/>
    <w:rsid w:val="004C4AF7"/>
    <w:rsid w:val="004C4E6F"/>
    <w:rsid w:val="004D13F1"/>
    <w:rsid w:val="004D1D8D"/>
    <w:rsid w:val="004D2881"/>
    <w:rsid w:val="004D385F"/>
    <w:rsid w:val="004D5B39"/>
    <w:rsid w:val="004E330D"/>
    <w:rsid w:val="004E4682"/>
    <w:rsid w:val="004E5147"/>
    <w:rsid w:val="004F5C43"/>
    <w:rsid w:val="0050652D"/>
    <w:rsid w:val="00506C03"/>
    <w:rsid w:val="00511A11"/>
    <w:rsid w:val="00514DA7"/>
    <w:rsid w:val="00516496"/>
    <w:rsid w:val="005236DB"/>
    <w:rsid w:val="00523B11"/>
    <w:rsid w:val="0052572A"/>
    <w:rsid w:val="00531953"/>
    <w:rsid w:val="00536E8C"/>
    <w:rsid w:val="00541BB4"/>
    <w:rsid w:val="00543CB3"/>
    <w:rsid w:val="005442E4"/>
    <w:rsid w:val="00560719"/>
    <w:rsid w:val="00560FF0"/>
    <w:rsid w:val="005614BD"/>
    <w:rsid w:val="0057154F"/>
    <w:rsid w:val="00580F69"/>
    <w:rsid w:val="00581CA3"/>
    <w:rsid w:val="00587A44"/>
    <w:rsid w:val="00597730"/>
    <w:rsid w:val="005977EC"/>
    <w:rsid w:val="00597DE7"/>
    <w:rsid w:val="005A4AA2"/>
    <w:rsid w:val="005A616C"/>
    <w:rsid w:val="005A660B"/>
    <w:rsid w:val="005B34B6"/>
    <w:rsid w:val="005B6C8F"/>
    <w:rsid w:val="005B6EC3"/>
    <w:rsid w:val="005C4A4A"/>
    <w:rsid w:val="005D0F74"/>
    <w:rsid w:val="005D2E7D"/>
    <w:rsid w:val="005D3BEA"/>
    <w:rsid w:val="005D4A8F"/>
    <w:rsid w:val="005D561B"/>
    <w:rsid w:val="005D5ECF"/>
    <w:rsid w:val="005E62F9"/>
    <w:rsid w:val="005F468D"/>
    <w:rsid w:val="005F69A3"/>
    <w:rsid w:val="00604CC7"/>
    <w:rsid w:val="00615423"/>
    <w:rsid w:val="006155EC"/>
    <w:rsid w:val="006165B2"/>
    <w:rsid w:val="00617276"/>
    <w:rsid w:val="0062527B"/>
    <w:rsid w:val="00625D97"/>
    <w:rsid w:val="00625F1C"/>
    <w:rsid w:val="006279E1"/>
    <w:rsid w:val="00630CEB"/>
    <w:rsid w:val="00632264"/>
    <w:rsid w:val="00643062"/>
    <w:rsid w:val="006470BC"/>
    <w:rsid w:val="006554D3"/>
    <w:rsid w:val="00666D4A"/>
    <w:rsid w:val="00667036"/>
    <w:rsid w:val="00673BDB"/>
    <w:rsid w:val="00674341"/>
    <w:rsid w:val="006771B8"/>
    <w:rsid w:val="006843B6"/>
    <w:rsid w:val="0068481F"/>
    <w:rsid w:val="006935DC"/>
    <w:rsid w:val="00696F5D"/>
    <w:rsid w:val="00697249"/>
    <w:rsid w:val="006B3947"/>
    <w:rsid w:val="006B4293"/>
    <w:rsid w:val="006B624F"/>
    <w:rsid w:val="006C0C95"/>
    <w:rsid w:val="006C31E3"/>
    <w:rsid w:val="006D18D3"/>
    <w:rsid w:val="006D28D4"/>
    <w:rsid w:val="006E08CB"/>
    <w:rsid w:val="006E598D"/>
    <w:rsid w:val="0070437D"/>
    <w:rsid w:val="00704CF1"/>
    <w:rsid w:val="00705B04"/>
    <w:rsid w:val="00724992"/>
    <w:rsid w:val="00732B85"/>
    <w:rsid w:val="007341D1"/>
    <w:rsid w:val="0073421D"/>
    <w:rsid w:val="00734820"/>
    <w:rsid w:val="007349DC"/>
    <w:rsid w:val="00742F0B"/>
    <w:rsid w:val="0074365E"/>
    <w:rsid w:val="00744B55"/>
    <w:rsid w:val="007511F3"/>
    <w:rsid w:val="007515FD"/>
    <w:rsid w:val="0076007C"/>
    <w:rsid w:val="00760D80"/>
    <w:rsid w:val="00766DB0"/>
    <w:rsid w:val="00777026"/>
    <w:rsid w:val="00780C09"/>
    <w:rsid w:val="00780DDF"/>
    <w:rsid w:val="00783295"/>
    <w:rsid w:val="007834E9"/>
    <w:rsid w:val="00787DBC"/>
    <w:rsid w:val="0079019A"/>
    <w:rsid w:val="00792935"/>
    <w:rsid w:val="0079528D"/>
    <w:rsid w:val="007A04A1"/>
    <w:rsid w:val="007A1840"/>
    <w:rsid w:val="007A4727"/>
    <w:rsid w:val="007C0528"/>
    <w:rsid w:val="007C3D38"/>
    <w:rsid w:val="007D0F35"/>
    <w:rsid w:val="007D4FEB"/>
    <w:rsid w:val="007D6146"/>
    <w:rsid w:val="007E0CE7"/>
    <w:rsid w:val="007F1193"/>
    <w:rsid w:val="007F2D28"/>
    <w:rsid w:val="007F417F"/>
    <w:rsid w:val="007F7644"/>
    <w:rsid w:val="00803F8C"/>
    <w:rsid w:val="008042BD"/>
    <w:rsid w:val="00816624"/>
    <w:rsid w:val="00822427"/>
    <w:rsid w:val="00822562"/>
    <w:rsid w:val="00823663"/>
    <w:rsid w:val="00832650"/>
    <w:rsid w:val="00832DDC"/>
    <w:rsid w:val="00840286"/>
    <w:rsid w:val="0084583B"/>
    <w:rsid w:val="00850BAC"/>
    <w:rsid w:val="00854A3E"/>
    <w:rsid w:val="00855D08"/>
    <w:rsid w:val="00866FED"/>
    <w:rsid w:val="00874344"/>
    <w:rsid w:val="00882155"/>
    <w:rsid w:val="0088233B"/>
    <w:rsid w:val="0088599E"/>
    <w:rsid w:val="00886C37"/>
    <w:rsid w:val="00890D54"/>
    <w:rsid w:val="00892D99"/>
    <w:rsid w:val="00893315"/>
    <w:rsid w:val="008A4E3D"/>
    <w:rsid w:val="008B62AE"/>
    <w:rsid w:val="008C04B5"/>
    <w:rsid w:val="008C14FA"/>
    <w:rsid w:val="008C24C7"/>
    <w:rsid w:val="008C7B0B"/>
    <w:rsid w:val="008D4057"/>
    <w:rsid w:val="008E1F19"/>
    <w:rsid w:val="008F2262"/>
    <w:rsid w:val="008F4D2B"/>
    <w:rsid w:val="008F6EFE"/>
    <w:rsid w:val="008F7736"/>
    <w:rsid w:val="0090019E"/>
    <w:rsid w:val="00901086"/>
    <w:rsid w:val="00901C8A"/>
    <w:rsid w:val="00905886"/>
    <w:rsid w:val="009070D6"/>
    <w:rsid w:val="009076C6"/>
    <w:rsid w:val="0091019E"/>
    <w:rsid w:val="009106F1"/>
    <w:rsid w:val="00912404"/>
    <w:rsid w:val="009145D6"/>
    <w:rsid w:val="009149E8"/>
    <w:rsid w:val="0092036D"/>
    <w:rsid w:val="00920E64"/>
    <w:rsid w:val="00922002"/>
    <w:rsid w:val="00924020"/>
    <w:rsid w:val="009271A7"/>
    <w:rsid w:val="0093108A"/>
    <w:rsid w:val="0093313C"/>
    <w:rsid w:val="0093658B"/>
    <w:rsid w:val="009429FF"/>
    <w:rsid w:val="00945BD6"/>
    <w:rsid w:val="009479FB"/>
    <w:rsid w:val="00951C45"/>
    <w:rsid w:val="00960433"/>
    <w:rsid w:val="00964FDF"/>
    <w:rsid w:val="009656F2"/>
    <w:rsid w:val="00966A08"/>
    <w:rsid w:val="00971207"/>
    <w:rsid w:val="00975CB4"/>
    <w:rsid w:val="009863B0"/>
    <w:rsid w:val="00987DE1"/>
    <w:rsid w:val="00990571"/>
    <w:rsid w:val="0099673A"/>
    <w:rsid w:val="009A3330"/>
    <w:rsid w:val="009A7C96"/>
    <w:rsid w:val="009B623A"/>
    <w:rsid w:val="009C3DB9"/>
    <w:rsid w:val="009C620E"/>
    <w:rsid w:val="009D143C"/>
    <w:rsid w:val="009D46E5"/>
    <w:rsid w:val="009D568A"/>
    <w:rsid w:val="009E6DB2"/>
    <w:rsid w:val="009F04EC"/>
    <w:rsid w:val="009F2A7C"/>
    <w:rsid w:val="009F3B36"/>
    <w:rsid w:val="009F543B"/>
    <w:rsid w:val="00A019B9"/>
    <w:rsid w:val="00A12508"/>
    <w:rsid w:val="00A1282B"/>
    <w:rsid w:val="00A13A27"/>
    <w:rsid w:val="00A1648E"/>
    <w:rsid w:val="00A175B6"/>
    <w:rsid w:val="00A21835"/>
    <w:rsid w:val="00A2374B"/>
    <w:rsid w:val="00A27D6E"/>
    <w:rsid w:val="00A328EC"/>
    <w:rsid w:val="00A33A51"/>
    <w:rsid w:val="00A41CA6"/>
    <w:rsid w:val="00A47927"/>
    <w:rsid w:val="00A47FFC"/>
    <w:rsid w:val="00A5196B"/>
    <w:rsid w:val="00A5442F"/>
    <w:rsid w:val="00A54FF9"/>
    <w:rsid w:val="00A56765"/>
    <w:rsid w:val="00A675AC"/>
    <w:rsid w:val="00A7581F"/>
    <w:rsid w:val="00A8572A"/>
    <w:rsid w:val="00A92FB1"/>
    <w:rsid w:val="00A95A0C"/>
    <w:rsid w:val="00A95E7F"/>
    <w:rsid w:val="00AA26D7"/>
    <w:rsid w:val="00AA2765"/>
    <w:rsid w:val="00AA744C"/>
    <w:rsid w:val="00AA77B5"/>
    <w:rsid w:val="00AB3197"/>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602F"/>
    <w:rsid w:val="00B40505"/>
    <w:rsid w:val="00B516ED"/>
    <w:rsid w:val="00B54E3D"/>
    <w:rsid w:val="00B57A6A"/>
    <w:rsid w:val="00B71096"/>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22364"/>
    <w:rsid w:val="00C31BB3"/>
    <w:rsid w:val="00C36977"/>
    <w:rsid w:val="00C467DA"/>
    <w:rsid w:val="00C477D9"/>
    <w:rsid w:val="00C60BA3"/>
    <w:rsid w:val="00C621E9"/>
    <w:rsid w:val="00C623F7"/>
    <w:rsid w:val="00C75BC5"/>
    <w:rsid w:val="00C81670"/>
    <w:rsid w:val="00C81773"/>
    <w:rsid w:val="00C82861"/>
    <w:rsid w:val="00C83D32"/>
    <w:rsid w:val="00C86896"/>
    <w:rsid w:val="00C907A8"/>
    <w:rsid w:val="00C93211"/>
    <w:rsid w:val="00C942EC"/>
    <w:rsid w:val="00C96047"/>
    <w:rsid w:val="00C979D0"/>
    <w:rsid w:val="00CA0818"/>
    <w:rsid w:val="00CA15C8"/>
    <w:rsid w:val="00CA2C8F"/>
    <w:rsid w:val="00CA30DA"/>
    <w:rsid w:val="00CA3A24"/>
    <w:rsid w:val="00CA65C9"/>
    <w:rsid w:val="00CB1777"/>
    <w:rsid w:val="00CB33E9"/>
    <w:rsid w:val="00CC10A9"/>
    <w:rsid w:val="00CE2BF8"/>
    <w:rsid w:val="00CE484E"/>
    <w:rsid w:val="00CE656F"/>
    <w:rsid w:val="00CF0DA8"/>
    <w:rsid w:val="00CF2E25"/>
    <w:rsid w:val="00CF4453"/>
    <w:rsid w:val="00CF5D94"/>
    <w:rsid w:val="00CF7E0F"/>
    <w:rsid w:val="00D034D7"/>
    <w:rsid w:val="00D04BE4"/>
    <w:rsid w:val="00D05385"/>
    <w:rsid w:val="00D06FC7"/>
    <w:rsid w:val="00D12565"/>
    <w:rsid w:val="00D14127"/>
    <w:rsid w:val="00D2020A"/>
    <w:rsid w:val="00D22F13"/>
    <w:rsid w:val="00D25FB4"/>
    <w:rsid w:val="00D60B16"/>
    <w:rsid w:val="00D60F02"/>
    <w:rsid w:val="00D66E49"/>
    <w:rsid w:val="00D70D71"/>
    <w:rsid w:val="00D71D74"/>
    <w:rsid w:val="00D72038"/>
    <w:rsid w:val="00D72F74"/>
    <w:rsid w:val="00D81563"/>
    <w:rsid w:val="00D85907"/>
    <w:rsid w:val="00D9073E"/>
    <w:rsid w:val="00D918C7"/>
    <w:rsid w:val="00D9221D"/>
    <w:rsid w:val="00D958DF"/>
    <w:rsid w:val="00D9688C"/>
    <w:rsid w:val="00D96DA1"/>
    <w:rsid w:val="00DA51E7"/>
    <w:rsid w:val="00DB0260"/>
    <w:rsid w:val="00DB1C78"/>
    <w:rsid w:val="00DB7D96"/>
    <w:rsid w:val="00DC23FE"/>
    <w:rsid w:val="00DC59E6"/>
    <w:rsid w:val="00DD150B"/>
    <w:rsid w:val="00DD5025"/>
    <w:rsid w:val="00DE33F8"/>
    <w:rsid w:val="00DF0320"/>
    <w:rsid w:val="00DF1510"/>
    <w:rsid w:val="00E02F1F"/>
    <w:rsid w:val="00E06484"/>
    <w:rsid w:val="00E07E26"/>
    <w:rsid w:val="00E20A7D"/>
    <w:rsid w:val="00E275D8"/>
    <w:rsid w:val="00E30F6A"/>
    <w:rsid w:val="00E3117C"/>
    <w:rsid w:val="00E36103"/>
    <w:rsid w:val="00E374AA"/>
    <w:rsid w:val="00E375CA"/>
    <w:rsid w:val="00E40A76"/>
    <w:rsid w:val="00E47126"/>
    <w:rsid w:val="00E567E8"/>
    <w:rsid w:val="00E64679"/>
    <w:rsid w:val="00E650ED"/>
    <w:rsid w:val="00E65EBC"/>
    <w:rsid w:val="00E677FE"/>
    <w:rsid w:val="00E73432"/>
    <w:rsid w:val="00E77B0C"/>
    <w:rsid w:val="00E77FB8"/>
    <w:rsid w:val="00E838B0"/>
    <w:rsid w:val="00E86A7C"/>
    <w:rsid w:val="00E86CE7"/>
    <w:rsid w:val="00E878E1"/>
    <w:rsid w:val="00E87F2C"/>
    <w:rsid w:val="00E91D77"/>
    <w:rsid w:val="00E95278"/>
    <w:rsid w:val="00EA2273"/>
    <w:rsid w:val="00EA3723"/>
    <w:rsid w:val="00EA3C52"/>
    <w:rsid w:val="00EA589A"/>
    <w:rsid w:val="00EA7C3C"/>
    <w:rsid w:val="00EB2DB3"/>
    <w:rsid w:val="00EC03FB"/>
    <w:rsid w:val="00EC3FBB"/>
    <w:rsid w:val="00EC6B7A"/>
    <w:rsid w:val="00ED2CAD"/>
    <w:rsid w:val="00ED3A87"/>
    <w:rsid w:val="00ED5B67"/>
    <w:rsid w:val="00EF264C"/>
    <w:rsid w:val="00EF3FEE"/>
    <w:rsid w:val="00EF5A2C"/>
    <w:rsid w:val="00EF65AB"/>
    <w:rsid w:val="00F04B59"/>
    <w:rsid w:val="00F11741"/>
    <w:rsid w:val="00F12165"/>
    <w:rsid w:val="00F12B1C"/>
    <w:rsid w:val="00F13CF8"/>
    <w:rsid w:val="00F15855"/>
    <w:rsid w:val="00F15A44"/>
    <w:rsid w:val="00F31FB1"/>
    <w:rsid w:val="00F32978"/>
    <w:rsid w:val="00F45CB2"/>
    <w:rsid w:val="00F544C0"/>
    <w:rsid w:val="00F55332"/>
    <w:rsid w:val="00F55786"/>
    <w:rsid w:val="00F6504A"/>
    <w:rsid w:val="00F65519"/>
    <w:rsid w:val="00F713C0"/>
    <w:rsid w:val="00F75DDC"/>
    <w:rsid w:val="00F7792F"/>
    <w:rsid w:val="00F842AA"/>
    <w:rsid w:val="00F8476F"/>
    <w:rsid w:val="00F853E1"/>
    <w:rsid w:val="00F85604"/>
    <w:rsid w:val="00F93FEF"/>
    <w:rsid w:val="00F94B7A"/>
    <w:rsid w:val="00FA17AC"/>
    <w:rsid w:val="00FA32DE"/>
    <w:rsid w:val="00FA3382"/>
    <w:rsid w:val="00FA59CD"/>
    <w:rsid w:val="00FB1740"/>
    <w:rsid w:val="00FB5575"/>
    <w:rsid w:val="00FC22F3"/>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D13F1"/>
    <w:rPr>
      <w:vertAlign w:val="superscript"/>
    </w:rPr>
  </w:style>
  <w:style w:type="character" w:customStyle="1" w:styleId="FootnoteTextChar">
    <w:name w:val="Footnote Text Char"/>
    <w:basedOn w:val="DefaultParagraphFont"/>
    <w:link w:val="FootnoteText"/>
    <w:rsid w:val="004D13F1"/>
  </w:style>
  <w:style w:type="character" w:customStyle="1" w:styleId="CharChar">
    <w:name w:val="Char Char"/>
    <w:locked/>
    <w:rsid w:val="004D13F1"/>
    <w:rPr>
      <w:sz w:val="24"/>
      <w:szCs w:val="24"/>
      <w:lang w:val="en-US" w:eastAsia="en-US" w:bidi="ar-SA"/>
    </w:rPr>
  </w:style>
  <w:style w:type="paragraph" w:styleId="NoSpacing">
    <w:name w:val="No Spacing"/>
    <w:uiPriority w:val="1"/>
    <w:qFormat/>
    <w:rsid w:val="004D13F1"/>
    <w:rPr>
      <w:sz w:val="24"/>
      <w:szCs w:val="24"/>
    </w:rPr>
  </w:style>
  <w:style w:type="character" w:customStyle="1" w:styleId="HeaderChar">
    <w:name w:val="Header Char"/>
    <w:basedOn w:val="DefaultParagraphFont"/>
    <w:link w:val="Header"/>
    <w:rsid w:val="004D13F1"/>
    <w:rPr>
      <w:sz w:val="24"/>
      <w:szCs w:val="24"/>
    </w:rPr>
  </w:style>
  <w:style w:type="paragraph" w:styleId="ListParagraph">
    <w:name w:val="List Paragraph"/>
    <w:basedOn w:val="Normal"/>
    <w:uiPriority w:val="34"/>
    <w:qFormat/>
    <w:rsid w:val="004D13F1"/>
    <w:pPr>
      <w:ind w:left="720"/>
      <w:contextualSpacing/>
    </w:pPr>
  </w:style>
  <w:style w:type="character" w:styleId="EndnoteReference">
    <w:name w:val="endnote reference"/>
    <w:basedOn w:val="DefaultParagraphFont"/>
    <w:rsid w:val="009D14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D13F1"/>
    <w:rPr>
      <w:vertAlign w:val="superscript"/>
    </w:rPr>
  </w:style>
  <w:style w:type="character" w:customStyle="1" w:styleId="FootnoteTextChar">
    <w:name w:val="Footnote Text Char"/>
    <w:basedOn w:val="DefaultParagraphFont"/>
    <w:link w:val="FootnoteText"/>
    <w:rsid w:val="004D13F1"/>
  </w:style>
  <w:style w:type="character" w:customStyle="1" w:styleId="CharChar">
    <w:name w:val="Char Char"/>
    <w:locked/>
    <w:rsid w:val="004D13F1"/>
    <w:rPr>
      <w:sz w:val="24"/>
      <w:szCs w:val="24"/>
      <w:lang w:val="en-US" w:eastAsia="en-US" w:bidi="ar-SA"/>
    </w:rPr>
  </w:style>
  <w:style w:type="paragraph" w:styleId="NoSpacing">
    <w:name w:val="No Spacing"/>
    <w:uiPriority w:val="1"/>
    <w:qFormat/>
    <w:rsid w:val="004D13F1"/>
    <w:rPr>
      <w:sz w:val="24"/>
      <w:szCs w:val="24"/>
    </w:rPr>
  </w:style>
  <w:style w:type="character" w:customStyle="1" w:styleId="HeaderChar">
    <w:name w:val="Header Char"/>
    <w:basedOn w:val="DefaultParagraphFont"/>
    <w:link w:val="Header"/>
    <w:rsid w:val="004D13F1"/>
    <w:rPr>
      <w:sz w:val="24"/>
      <w:szCs w:val="24"/>
    </w:rPr>
  </w:style>
  <w:style w:type="paragraph" w:styleId="ListParagraph">
    <w:name w:val="List Paragraph"/>
    <w:basedOn w:val="Normal"/>
    <w:uiPriority w:val="34"/>
    <w:qFormat/>
    <w:rsid w:val="004D13F1"/>
    <w:pPr>
      <w:ind w:left="720"/>
      <w:contextualSpacing/>
    </w:pPr>
  </w:style>
  <w:style w:type="character" w:styleId="EndnoteReference">
    <w:name w:val="endnote reference"/>
    <w:basedOn w:val="DefaultParagraphFont"/>
    <w:rsid w:val="009D14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0927-99DB-41C5-A656-5DD5BCB1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23</Pages>
  <Words>5307</Words>
  <Characters>30254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2018-09-28T13:26:00Z</cp:lastPrinted>
  <dcterms:created xsi:type="dcterms:W3CDTF">2018-09-28T13:26:00Z</dcterms:created>
  <dcterms:modified xsi:type="dcterms:W3CDTF">2018-09-28T13:26:00Z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20170151-WS</vt:lpwstr>
  </property>
  <property fmtid="{D5CDD505-2E9C-101B-9397-08002B2CF9AE}" pid="3" name="MasterDocument">
    <vt:bool>false</vt:bool>
  </property>
</Properties>
</file>