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254"/>
        <w:gridCol w:w="948"/>
        <w:gridCol w:w="1488"/>
        <w:gridCol w:w="5785"/>
      </w:tblGrid>
      <w:tr w:rsidR="007C0528">
        <w:tc>
          <w:tcPr>
            <w:tcW w:w="2202" w:type="dxa"/>
            <w:gridSpan w:val="2"/>
            <w:tcBorders>
              <w:top w:val="nil"/>
              <w:left w:val="nil"/>
              <w:bottom w:val="single" w:sz="24" w:space="0" w:color="auto"/>
              <w:right w:val="nil"/>
            </w:tcBorders>
            <w:shd w:val="clear" w:color="auto" w:fill="auto"/>
            <w:tcMar>
              <w:top w:w="0" w:type="dxa"/>
              <w:left w:w="0" w:type="dxa"/>
              <w:bottom w:w="0" w:type="dxa"/>
              <w:right w:w="0" w:type="dxa"/>
            </w:tcMar>
          </w:tcPr>
          <w:p w:rsidR="007C0528" w:rsidRDefault="007C0528" w:rsidP="006E08CB">
            <w:pPr>
              <w:pStyle w:val="MastHeadState"/>
              <w:jc w:val="right"/>
            </w:pPr>
            <w:bookmarkStart w:id="0" w:name="_GoBack"/>
            <w:bookmarkEnd w:id="0"/>
            <w:r>
              <w:t>State of Florida</w:t>
            </w:r>
          </w:p>
          <w:p w:rsidR="007C0528" w:rsidRDefault="006A4C30">
            <w:pPr>
              <w:jc w:val="center"/>
            </w:pPr>
            <w:r>
              <w:rPr>
                <w:noProof/>
              </w:rPr>
              <w:drawing>
                <wp:inline distT="0" distB="0" distL="0" distR="0">
                  <wp:extent cx="923925" cy="914400"/>
                  <wp:effectExtent l="0" t="0" r="9525" b="0"/>
                  <wp:docPr id="1" name="Picture 1" descr="psc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scSEAL"/>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23925" cy="914400"/>
                          </a:xfrm>
                          <a:prstGeom prst="rect">
                            <a:avLst/>
                          </a:prstGeom>
                          <a:noFill/>
                          <a:ln>
                            <a:noFill/>
                          </a:ln>
                        </pic:spPr>
                      </pic:pic>
                    </a:graphicData>
                  </a:graphic>
                </wp:inline>
              </w:drawing>
            </w:r>
          </w:p>
          <w:p w:rsidR="007C0528" w:rsidRDefault="007C0528"/>
        </w:tc>
        <w:tc>
          <w:tcPr>
            <w:tcW w:w="7273" w:type="dxa"/>
            <w:gridSpan w:val="2"/>
            <w:tcBorders>
              <w:top w:val="nil"/>
              <w:left w:val="nil"/>
              <w:bottom w:val="single" w:sz="24" w:space="0" w:color="auto"/>
              <w:right w:val="nil"/>
            </w:tcBorders>
            <w:shd w:val="clear" w:color="auto" w:fill="auto"/>
            <w:vAlign w:val="bottom"/>
          </w:tcPr>
          <w:p w:rsidR="007C0528" w:rsidRDefault="007C0528">
            <w:pPr>
              <w:pStyle w:val="MastHeadPSC"/>
            </w:pPr>
            <w:r>
              <w:t>Public Service Commission</w:t>
            </w:r>
          </w:p>
          <w:p w:rsidR="007C0528" w:rsidRDefault="007C0528">
            <w:pPr>
              <w:pStyle w:val="MastHeadAddress"/>
            </w:pPr>
            <w:r>
              <w:t>Capital Circle Office Center ● 2540 Shumard Oak Boulevard</w:t>
            </w:r>
            <w:r>
              <w:br/>
              <w:t>Tallahassee, Florida 32399-0850</w:t>
            </w:r>
          </w:p>
          <w:p w:rsidR="007C0528" w:rsidRDefault="007C0528">
            <w:pPr>
              <w:pStyle w:val="MastHeadMemorandum"/>
            </w:pPr>
            <w:r>
              <w:t>-M-E-M-O-R-A-N-D-U-M-</w:t>
            </w:r>
          </w:p>
          <w:p w:rsidR="007C0528" w:rsidRDefault="007C0528">
            <w:pPr>
              <w:pStyle w:val="MemoHeading"/>
            </w:pPr>
          </w:p>
        </w:tc>
      </w:tr>
      <w:tr w:rsidR="007C0528">
        <w:tc>
          <w:tcPr>
            <w:tcW w:w="1254" w:type="dxa"/>
            <w:tcBorders>
              <w:top w:val="single" w:sz="24" w:space="0" w:color="auto"/>
              <w:left w:val="nil"/>
              <w:bottom w:val="nil"/>
              <w:right w:val="nil"/>
            </w:tcBorders>
            <w:shd w:val="clear" w:color="auto" w:fill="auto"/>
            <w:tcMar>
              <w:top w:w="288" w:type="dxa"/>
              <w:bottom w:w="0" w:type="dxa"/>
              <w:right w:w="0" w:type="dxa"/>
            </w:tcMar>
          </w:tcPr>
          <w:p w:rsidR="007C0528" w:rsidRDefault="007C0528" w:rsidP="00506C03">
            <w:pPr>
              <w:pStyle w:val="MemoHeadingLabel"/>
            </w:pPr>
            <w:r>
              <w:t>DATE:</w:t>
            </w:r>
          </w:p>
        </w:tc>
        <w:tc>
          <w:tcPr>
            <w:tcW w:w="8221" w:type="dxa"/>
            <w:gridSpan w:val="3"/>
            <w:tcBorders>
              <w:top w:val="single" w:sz="24" w:space="0" w:color="auto"/>
              <w:left w:val="nil"/>
              <w:bottom w:val="nil"/>
              <w:right w:val="nil"/>
            </w:tcBorders>
            <w:shd w:val="clear" w:color="auto" w:fill="auto"/>
            <w:tcMar>
              <w:bottom w:w="0" w:type="dxa"/>
            </w:tcMar>
          </w:tcPr>
          <w:p w:rsidR="007C0528" w:rsidRDefault="003A7046">
            <w:pPr>
              <w:pStyle w:val="MemoHeading"/>
            </w:pPr>
            <w:bookmarkStart w:id="1" w:name="FilingDate"/>
            <w:r>
              <w:t>October 18, 2018</w:t>
            </w:r>
            <w:bookmarkEnd w:id="1"/>
          </w:p>
        </w:tc>
      </w:tr>
      <w:tr w:rsidR="007C0528">
        <w:tc>
          <w:tcPr>
            <w:tcW w:w="1254" w:type="dxa"/>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TO:</w:t>
            </w:r>
          </w:p>
        </w:tc>
        <w:tc>
          <w:tcPr>
            <w:tcW w:w="8221" w:type="dxa"/>
            <w:gridSpan w:val="3"/>
            <w:tcBorders>
              <w:top w:val="nil"/>
              <w:left w:val="nil"/>
              <w:bottom w:val="nil"/>
              <w:right w:val="nil"/>
            </w:tcBorders>
            <w:shd w:val="clear" w:color="auto" w:fill="auto"/>
            <w:tcMar>
              <w:top w:w="288" w:type="dxa"/>
              <w:bottom w:w="0" w:type="dxa"/>
            </w:tcMar>
          </w:tcPr>
          <w:p w:rsidR="007C0528" w:rsidRDefault="007C0528" w:rsidP="0093658B">
            <w:pPr>
              <w:pStyle w:val="MemoHeading"/>
            </w:pPr>
            <w:r>
              <w:t>Office of Commission Clerk (</w:t>
            </w:r>
            <w:r w:rsidR="0093658B">
              <w:t>Stauffer</w:t>
            </w:r>
            <w:r>
              <w:t>)</w:t>
            </w:r>
          </w:p>
        </w:tc>
      </w:tr>
      <w:tr w:rsidR="007C0528">
        <w:tc>
          <w:tcPr>
            <w:tcW w:w="1254" w:type="dxa"/>
            <w:tcBorders>
              <w:top w:val="nil"/>
              <w:left w:val="nil"/>
              <w:bottom w:val="nil"/>
              <w:right w:val="nil"/>
            </w:tcBorders>
            <w:shd w:val="clear" w:color="auto" w:fill="auto"/>
            <w:tcMar>
              <w:top w:w="288" w:type="dxa"/>
              <w:right w:w="0" w:type="dxa"/>
            </w:tcMar>
          </w:tcPr>
          <w:p w:rsidR="007C0528" w:rsidRDefault="007C0528" w:rsidP="00506C03">
            <w:pPr>
              <w:pStyle w:val="MemoHeadingLabel"/>
            </w:pPr>
            <w:r>
              <w:t>FROM:</w:t>
            </w:r>
          </w:p>
        </w:tc>
        <w:tc>
          <w:tcPr>
            <w:tcW w:w="8221" w:type="dxa"/>
            <w:gridSpan w:val="3"/>
            <w:tcBorders>
              <w:top w:val="nil"/>
              <w:left w:val="nil"/>
              <w:bottom w:val="nil"/>
              <w:right w:val="nil"/>
            </w:tcBorders>
            <w:shd w:val="clear" w:color="auto" w:fill="auto"/>
            <w:tcMar>
              <w:top w:w="288" w:type="dxa"/>
              <w:bottom w:w="0" w:type="dxa"/>
            </w:tcMar>
          </w:tcPr>
          <w:p w:rsidR="003A7046" w:rsidRDefault="003A7046">
            <w:pPr>
              <w:pStyle w:val="MemoHeading"/>
            </w:pPr>
            <w:bookmarkStart w:id="2" w:name="From"/>
            <w:r>
              <w:t>Division of Economics (Doherty)</w:t>
            </w:r>
          </w:p>
          <w:p w:rsidR="007C0528" w:rsidRDefault="003A7046">
            <w:pPr>
              <w:pStyle w:val="MemoHeading"/>
            </w:pPr>
            <w:r>
              <w:t>Office of the General Counsel (Nieves)</w:t>
            </w:r>
            <w:bookmarkEnd w:id="2"/>
          </w:p>
        </w:tc>
      </w:tr>
      <w:tr w:rsidR="007C0528">
        <w:tc>
          <w:tcPr>
            <w:tcW w:w="1254" w:type="dxa"/>
            <w:tcBorders>
              <w:top w:val="nil"/>
              <w:left w:val="nil"/>
              <w:bottom w:val="nil"/>
              <w:right w:val="nil"/>
            </w:tcBorders>
            <w:shd w:val="clear" w:color="auto" w:fill="auto"/>
            <w:tcMar>
              <w:top w:w="288" w:type="dxa"/>
              <w:right w:w="0" w:type="dxa"/>
            </w:tcMar>
          </w:tcPr>
          <w:p w:rsidR="007C0528" w:rsidRDefault="007C0528" w:rsidP="00506C03">
            <w:pPr>
              <w:pStyle w:val="MemoHeadingLabel"/>
            </w:pPr>
            <w:r>
              <w:t>RE:</w:t>
            </w:r>
          </w:p>
        </w:tc>
        <w:tc>
          <w:tcPr>
            <w:tcW w:w="8221" w:type="dxa"/>
            <w:gridSpan w:val="3"/>
            <w:tcBorders>
              <w:top w:val="nil"/>
              <w:left w:val="nil"/>
              <w:bottom w:val="nil"/>
              <w:right w:val="nil"/>
            </w:tcBorders>
            <w:shd w:val="clear" w:color="auto" w:fill="auto"/>
            <w:tcMar>
              <w:top w:w="288" w:type="dxa"/>
            </w:tcMar>
          </w:tcPr>
          <w:p w:rsidR="007C0528" w:rsidRDefault="003A7046">
            <w:pPr>
              <w:pStyle w:val="MemoHeadingRe"/>
            </w:pPr>
            <w:bookmarkStart w:id="3" w:name="Re"/>
            <w:r>
              <w:t>Docket No. 20180158-GU – Joint petition for approval of swing service rider, by Florida Public Utilities Company, Florida Public Utilities Company-Indiantown Division, Florida Public Utilities Company-Fort Meade, and Florida Division of Chesapeake Utilities Corporation.</w:t>
            </w:r>
            <w:bookmarkEnd w:id="3"/>
          </w:p>
        </w:tc>
      </w:tr>
      <w:tr w:rsidR="007C0528">
        <w:tc>
          <w:tcPr>
            <w:tcW w:w="1254" w:type="dxa"/>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AGENDA:</w:t>
            </w:r>
          </w:p>
        </w:tc>
        <w:tc>
          <w:tcPr>
            <w:tcW w:w="8221" w:type="dxa"/>
            <w:gridSpan w:val="3"/>
            <w:tcBorders>
              <w:top w:val="nil"/>
              <w:left w:val="nil"/>
              <w:bottom w:val="nil"/>
              <w:right w:val="nil"/>
            </w:tcBorders>
            <w:shd w:val="clear" w:color="auto" w:fill="auto"/>
            <w:tcMar>
              <w:top w:w="288" w:type="dxa"/>
            </w:tcMar>
          </w:tcPr>
          <w:p w:rsidR="007C0528" w:rsidRDefault="003A7046">
            <w:pPr>
              <w:pStyle w:val="MemoHeading"/>
            </w:pPr>
            <w:bookmarkStart w:id="4" w:name="AgendaDate"/>
            <w:r>
              <w:t>10/30/18</w:t>
            </w:r>
            <w:bookmarkEnd w:id="4"/>
            <w:r w:rsidR="007C0528">
              <w:t xml:space="preserve"> – </w:t>
            </w:r>
            <w:bookmarkStart w:id="5" w:name="PermittedStatus"/>
            <w:r>
              <w:t>Regular Agenda – Tariff Filing – Interested Persons May Participate</w:t>
            </w:r>
            <w:bookmarkEnd w:id="5"/>
          </w:p>
        </w:tc>
      </w:tr>
      <w:tr w:rsidR="007C0528">
        <w:tc>
          <w:tcPr>
            <w:tcW w:w="3690" w:type="dxa"/>
            <w:gridSpan w:val="3"/>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COMMISSIONERS ASSIGNED:</w:t>
            </w:r>
          </w:p>
        </w:tc>
        <w:tc>
          <w:tcPr>
            <w:tcW w:w="5785" w:type="dxa"/>
            <w:tcBorders>
              <w:top w:val="nil"/>
              <w:left w:val="nil"/>
              <w:bottom w:val="nil"/>
              <w:right w:val="nil"/>
            </w:tcBorders>
            <w:shd w:val="clear" w:color="auto" w:fill="auto"/>
          </w:tcPr>
          <w:p w:rsidR="007C0528" w:rsidRDefault="00A37B09">
            <w:pPr>
              <w:pStyle w:val="MemoHeading"/>
            </w:pPr>
            <w:bookmarkStart w:id="6" w:name="CommissionersAssigned"/>
            <w:bookmarkEnd w:id="6"/>
            <w:r>
              <w:t>All Commissioners</w:t>
            </w:r>
          </w:p>
        </w:tc>
      </w:tr>
      <w:tr w:rsidR="007C0528">
        <w:tc>
          <w:tcPr>
            <w:tcW w:w="3690" w:type="dxa"/>
            <w:gridSpan w:val="3"/>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PREHEARING OFFICER:</w:t>
            </w:r>
          </w:p>
        </w:tc>
        <w:tc>
          <w:tcPr>
            <w:tcW w:w="5785" w:type="dxa"/>
            <w:tcBorders>
              <w:top w:val="nil"/>
              <w:left w:val="nil"/>
              <w:bottom w:val="nil"/>
              <w:right w:val="nil"/>
            </w:tcBorders>
            <w:shd w:val="clear" w:color="auto" w:fill="auto"/>
          </w:tcPr>
          <w:p w:rsidR="007C0528" w:rsidRDefault="00736A2E">
            <w:pPr>
              <w:pStyle w:val="MemoHeading"/>
            </w:pPr>
            <w:bookmarkStart w:id="7" w:name="PrehearingOfficer"/>
            <w:r>
              <w:t>Administrative</w:t>
            </w:r>
            <w:bookmarkEnd w:id="7"/>
          </w:p>
        </w:tc>
      </w:tr>
      <w:tr w:rsidR="007C0528" w:rsidTr="0093658B">
        <w:tc>
          <w:tcPr>
            <w:tcW w:w="3690" w:type="dxa"/>
            <w:gridSpan w:val="3"/>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bookmarkStart w:id="8" w:name="CriticalDatesLabel"/>
            <w:r>
              <w:t>CRITICAL DATES:</w:t>
            </w:r>
            <w:bookmarkEnd w:id="8"/>
          </w:p>
        </w:tc>
        <w:tc>
          <w:tcPr>
            <w:tcW w:w="5785" w:type="dxa"/>
            <w:tcBorders>
              <w:top w:val="nil"/>
              <w:left w:val="nil"/>
              <w:bottom w:val="nil"/>
              <w:right w:val="nil"/>
            </w:tcBorders>
            <w:shd w:val="clear" w:color="auto" w:fill="auto"/>
          </w:tcPr>
          <w:p w:rsidR="007C0528" w:rsidRDefault="001B1FB1">
            <w:pPr>
              <w:pStyle w:val="MemoHeading"/>
            </w:pPr>
            <w:bookmarkStart w:id="9" w:name="CriticalDates"/>
            <w:r>
              <w:t>10</w:t>
            </w:r>
            <w:r w:rsidR="00A37B09">
              <w:t>/30/18 (60-Day Suspension Date)</w:t>
            </w:r>
            <w:bookmarkEnd w:id="9"/>
          </w:p>
        </w:tc>
      </w:tr>
      <w:tr w:rsidR="007C0528" w:rsidTr="0093658B">
        <w:tc>
          <w:tcPr>
            <w:tcW w:w="3690" w:type="dxa"/>
            <w:gridSpan w:val="3"/>
            <w:tcBorders>
              <w:top w:val="nil"/>
              <w:left w:val="nil"/>
              <w:bottom w:val="single" w:sz="24" w:space="0" w:color="auto"/>
              <w:right w:val="nil"/>
            </w:tcBorders>
            <w:shd w:val="clear" w:color="auto" w:fill="auto"/>
            <w:tcMar>
              <w:top w:w="288" w:type="dxa"/>
              <w:bottom w:w="216" w:type="dxa"/>
              <w:right w:w="0" w:type="dxa"/>
            </w:tcMar>
          </w:tcPr>
          <w:p w:rsidR="007C0528" w:rsidRDefault="007C0528" w:rsidP="00506C03">
            <w:pPr>
              <w:pStyle w:val="MemoHeadingLabel"/>
            </w:pPr>
            <w:r>
              <w:t>SPECIAL INSTRUCTIONS:</w:t>
            </w:r>
          </w:p>
        </w:tc>
        <w:tc>
          <w:tcPr>
            <w:tcW w:w="5785" w:type="dxa"/>
            <w:tcBorders>
              <w:top w:val="nil"/>
              <w:left w:val="nil"/>
              <w:bottom w:val="single" w:sz="24" w:space="0" w:color="auto"/>
              <w:right w:val="nil"/>
            </w:tcBorders>
            <w:shd w:val="clear" w:color="auto" w:fill="auto"/>
            <w:tcMar>
              <w:bottom w:w="216" w:type="dxa"/>
            </w:tcMar>
          </w:tcPr>
          <w:p w:rsidR="007C0528" w:rsidRDefault="003A7046">
            <w:pPr>
              <w:pStyle w:val="MemoHeading"/>
            </w:pPr>
            <w:bookmarkStart w:id="10" w:name="SpecialInstructions"/>
            <w:r>
              <w:t>None</w:t>
            </w:r>
            <w:bookmarkEnd w:id="10"/>
          </w:p>
        </w:tc>
      </w:tr>
    </w:tbl>
    <w:p w:rsidR="007C0528" w:rsidRDefault="007C0528">
      <w:pPr>
        <w:pStyle w:val="BodyText"/>
      </w:pPr>
    </w:p>
    <w:p w:rsidR="007C0528" w:rsidRDefault="007C0528">
      <w:pPr>
        <w:pStyle w:val="RecommendationMajorSectionHeading"/>
      </w:pPr>
      <w:bookmarkStart w:id="11" w:name="RecToC"/>
      <w:bookmarkEnd w:id="11"/>
      <w:r>
        <w:t xml:space="preserve"> </w:t>
      </w:r>
      <w:bookmarkStart w:id="12" w:name="CaseBackground"/>
      <w:r>
        <w:t>Case Background</w:t>
      </w:r>
      <w:r>
        <w:fldChar w:fldCharType="begin"/>
      </w:r>
      <w:r>
        <w:instrText xml:space="preserve"> TC  "</w:instrText>
      </w:r>
      <w:r>
        <w:tab/>
      </w:r>
      <w:bookmarkStart w:id="13" w:name="_Toc94516455"/>
      <w:r>
        <w:instrText>Case Background</w:instrText>
      </w:r>
      <w:bookmarkEnd w:id="13"/>
      <w:r>
        <w:instrText xml:space="preserve">" \l 1 </w:instrText>
      </w:r>
      <w:r>
        <w:fldChar w:fldCharType="end"/>
      </w:r>
    </w:p>
    <w:p w:rsidR="007C0528" w:rsidRDefault="003A7046" w:rsidP="003A7046">
      <w:pPr>
        <w:pStyle w:val="BodyText"/>
      </w:pPr>
      <w:r>
        <w:t xml:space="preserve">On August 31, 2018, Florida Public Utilities Company, Florida Public Utilities Company – Indiantown Division, and Florida Public Utilities Company – Fort Meade (jointly, FPUC), as well as the Florida Division of Chesapeake Utilities Corporation (Chesapeake) (jointly, </w:t>
      </w:r>
      <w:r w:rsidR="001B1FB1">
        <w:t>c</w:t>
      </w:r>
      <w:r>
        <w:t>ompanies), filed a petition for approval of a revised swing service rider tariff for the period January through December 2019. FPUC is a local distribution company (LDC) subject to the regulatory jurisdiction of the Commission pursuant to Chapter 366, Florida Statu</w:t>
      </w:r>
      <w:r w:rsidR="00B635A9">
        <w:t>t</w:t>
      </w:r>
      <w:r>
        <w:t xml:space="preserve">es (F.S.). </w:t>
      </w:r>
      <w:r w:rsidR="00B635A9">
        <w:t>FPUC</w:t>
      </w:r>
      <w:r>
        <w:t xml:space="preserve"> is a wholly-owned subsidiary of Chesapeake Utilities Corporation</w:t>
      </w:r>
      <w:r w:rsidR="00B635A9">
        <w:t>,</w:t>
      </w:r>
      <w:r>
        <w:t xml:space="preserve"> which is headquartered in Dover, Delaware. Chesapeake is also an LDC subject to the Commission’s jurisdiction under Chapter 366, F.S.</w:t>
      </w:r>
      <w:r w:rsidR="00B635A9">
        <w:t>,</w:t>
      </w:r>
      <w:r>
        <w:t xml:space="preserve"> </w:t>
      </w:r>
      <w:r w:rsidR="00B635A9">
        <w:t>and</w:t>
      </w:r>
      <w:r>
        <w:t xml:space="preserve"> is an operating division of Chesapeake Utilities Corporation. </w:t>
      </w:r>
    </w:p>
    <w:p w:rsidR="003A7046" w:rsidRDefault="003A7046" w:rsidP="003A7046">
      <w:pPr>
        <w:pStyle w:val="BodyText"/>
      </w:pPr>
      <w:r>
        <w:lastRenderedPageBreak/>
        <w:t xml:space="preserve">The Commission first </w:t>
      </w:r>
      <w:r w:rsidR="000B36B0">
        <w:t>approved</w:t>
      </w:r>
      <w:r>
        <w:t xml:space="preserve"> the </w:t>
      </w:r>
      <w:r w:rsidR="0067318E">
        <w:t>c</w:t>
      </w:r>
      <w:r w:rsidR="000B36B0">
        <w:t>ompanies</w:t>
      </w:r>
      <w:r>
        <w:t>’ swing service rider tariff in Order No. PSC-16-0422-TRF-GU (swing service order) and the initial swing service rider rates were in effect for the period March through December 2017.</w:t>
      </w:r>
      <w:r>
        <w:rPr>
          <w:rStyle w:val="FootnoteReference"/>
        </w:rPr>
        <w:footnoteReference w:id="1"/>
      </w:r>
      <w:r w:rsidR="000B36B0">
        <w:t xml:space="preserve"> As required i</w:t>
      </w:r>
      <w:r w:rsidR="0067318E">
        <w:t>n the swing service order, the c</w:t>
      </w:r>
      <w:r w:rsidR="000B36B0">
        <w:t>ompanies submitted the instant petition with revised 201</w:t>
      </w:r>
      <w:r w:rsidR="006150AC">
        <w:t>9</w:t>
      </w:r>
      <w:r w:rsidR="000B36B0">
        <w:t xml:space="preserve"> swing service rider rates for Commission approval by September 1, 201</w:t>
      </w:r>
      <w:r w:rsidR="006150AC">
        <w:t>8</w:t>
      </w:r>
      <w:r w:rsidR="000B36B0">
        <w:t xml:space="preserve">. The swing service rider is a </w:t>
      </w:r>
      <w:proofErr w:type="gramStart"/>
      <w:r w:rsidR="000B36B0">
        <w:t>cents</w:t>
      </w:r>
      <w:proofErr w:type="gramEnd"/>
      <w:r w:rsidR="002C0315">
        <w:t xml:space="preserve"> </w:t>
      </w:r>
      <w:r w:rsidR="000B36B0">
        <w:t>per</w:t>
      </w:r>
      <w:r w:rsidR="002C0315">
        <w:t xml:space="preserve"> </w:t>
      </w:r>
      <w:r w:rsidR="000B36B0">
        <w:t xml:space="preserve">therm charge that is included in the monthly gas bill of transportation customers. This is staff’s recommendation on the 2019 swing service rider rates. </w:t>
      </w:r>
    </w:p>
    <w:p w:rsidR="000B36B0" w:rsidRDefault="000B36B0" w:rsidP="003A7046">
      <w:pPr>
        <w:pStyle w:val="BodyText"/>
      </w:pPr>
      <w:r>
        <w:t xml:space="preserve">During its evaluation of the petition, staff issued </w:t>
      </w:r>
      <w:r w:rsidR="00786400">
        <w:t xml:space="preserve">two </w:t>
      </w:r>
      <w:r>
        <w:t>data request</w:t>
      </w:r>
      <w:r w:rsidR="00786400">
        <w:t>s</w:t>
      </w:r>
      <w:r w:rsidR="0067318E">
        <w:t xml:space="preserve"> to the c</w:t>
      </w:r>
      <w:r>
        <w:t>ompanies for which response</w:t>
      </w:r>
      <w:r w:rsidR="00786400">
        <w:t>s</w:t>
      </w:r>
      <w:r>
        <w:t xml:space="preserve"> </w:t>
      </w:r>
      <w:r w:rsidR="00786400">
        <w:t xml:space="preserve">were </w:t>
      </w:r>
      <w:r>
        <w:t xml:space="preserve">received on </w:t>
      </w:r>
      <w:r w:rsidR="006837D8">
        <w:t>September 24, 2018</w:t>
      </w:r>
      <w:r w:rsidR="00786400">
        <w:t xml:space="preserve"> and </w:t>
      </w:r>
      <w:r w:rsidR="00786400" w:rsidRPr="0068313F">
        <w:t>October 4, 2018</w:t>
      </w:r>
      <w:r w:rsidR="006837D8">
        <w:t>.</w:t>
      </w:r>
      <w:r>
        <w:t xml:space="preserve"> The proposed revised tariff sheets are shown in </w:t>
      </w:r>
      <w:r w:rsidR="00EA5CD5">
        <w:t>Attachment</w:t>
      </w:r>
      <w:r w:rsidR="008279FB">
        <w:t xml:space="preserve"> A </w:t>
      </w:r>
      <w:r>
        <w:t>to the recommendation. The Commission has jurisdiction over this matter pursuant to Sections 366.0</w:t>
      </w:r>
      <w:r w:rsidR="00A37B09">
        <w:t>4</w:t>
      </w:r>
      <w:r>
        <w:t>, 366.0</w:t>
      </w:r>
      <w:r w:rsidR="00A37B09">
        <w:t>5</w:t>
      </w:r>
      <w:r>
        <w:t>, and 366.06, F.S.</w:t>
      </w:r>
    </w:p>
    <w:bookmarkEnd w:id="12"/>
    <w:p w:rsidR="000B36B0" w:rsidRDefault="000B36B0" w:rsidP="000B36B0">
      <w:pPr>
        <w:pStyle w:val="BodyText"/>
      </w:pPr>
    </w:p>
    <w:p w:rsidR="00EA5CD5" w:rsidRPr="000B36B0" w:rsidRDefault="00EA5CD5" w:rsidP="000B36B0">
      <w:pPr>
        <w:pStyle w:val="BodyText"/>
        <w:sectPr w:rsidR="00EA5CD5" w:rsidRPr="000B36B0">
          <w:headerReference w:type="default" r:id="rId10"/>
          <w:footerReference w:type="default" r:id="rId11"/>
          <w:type w:val="continuous"/>
          <w:pgSz w:w="12240" w:h="15840" w:code="1"/>
          <w:pgMar w:top="1584" w:right="1440" w:bottom="1440" w:left="1440" w:header="720" w:footer="720" w:gutter="0"/>
          <w:cols w:space="720"/>
          <w:formProt w:val="0"/>
          <w:titlePg/>
          <w:docGrid w:linePitch="360"/>
        </w:sectPr>
      </w:pPr>
    </w:p>
    <w:p w:rsidR="007C0528" w:rsidRDefault="007C0528">
      <w:pPr>
        <w:pStyle w:val="RecommendationMajorSectionHeading"/>
      </w:pPr>
      <w:bookmarkStart w:id="16" w:name="DiscussionOfIssues"/>
      <w:r>
        <w:lastRenderedPageBreak/>
        <w:t>Discussion of Issues</w:t>
      </w:r>
    </w:p>
    <w:bookmarkEnd w:id="16"/>
    <w:p w:rsidR="00EA5CD5" w:rsidRDefault="00EA5CD5">
      <w:pPr>
        <w:pStyle w:val="IssueHeading"/>
        <w:rPr>
          <w:vanish/>
          <w:specVanish/>
        </w:rPr>
      </w:pPr>
      <w:r w:rsidRPr="004C3641">
        <w:t xml:space="preserve">Issue </w:t>
      </w:r>
      <w:fldSimple w:instr=" SEQ Issue \* MERGEFORMAT ">
        <w:r w:rsidR="001B3522">
          <w:rPr>
            <w:noProof/>
          </w:rPr>
          <w:t>1</w:t>
        </w:r>
      </w:fldSimple>
      <w:r w:rsidRPr="004C3641">
        <w:t>:</w:t>
      </w:r>
      <w:r>
        <w:fldChar w:fldCharType="begin"/>
      </w:r>
      <w:r>
        <w:instrText xml:space="preserve"> TC "</w:instrText>
      </w:r>
      <w:r>
        <w:fldChar w:fldCharType="begin"/>
      </w:r>
      <w:r>
        <w:instrText xml:space="preserve"> SEQ issue \c </w:instrText>
      </w:r>
      <w:r>
        <w:fldChar w:fldCharType="separate"/>
      </w:r>
      <w:r w:rsidR="001B3522">
        <w:rPr>
          <w:noProof/>
        </w:rPr>
        <w:instrText>1</w:instrText>
      </w:r>
      <w:r>
        <w:fldChar w:fldCharType="end"/>
      </w:r>
      <w:r>
        <w:tab/>
        <w:instrText xml:space="preserve">(Doherty)" \l 1 </w:instrText>
      </w:r>
      <w:r>
        <w:fldChar w:fldCharType="end"/>
      </w:r>
      <w:r>
        <w:t> </w:t>
      </w:r>
    </w:p>
    <w:p w:rsidR="00EA5CD5" w:rsidRDefault="00EA5CD5">
      <w:pPr>
        <w:pStyle w:val="BodyText"/>
      </w:pPr>
      <w:r>
        <w:t> Sho</w:t>
      </w:r>
      <w:r w:rsidR="00B635A9">
        <w:t>uld the Commission approve FPUC</w:t>
      </w:r>
      <w:r>
        <w:t>'</w:t>
      </w:r>
      <w:r w:rsidR="00B635A9">
        <w:t>s and Chesapeake’s</w:t>
      </w:r>
      <w:r>
        <w:t xml:space="preserve"> revised swing service rider rates for the period January through December 2019?</w:t>
      </w:r>
    </w:p>
    <w:p w:rsidR="00EA5CD5" w:rsidRPr="004C3641" w:rsidRDefault="00EA5CD5">
      <w:pPr>
        <w:pStyle w:val="IssueSubsectionHeading"/>
        <w:rPr>
          <w:vanish/>
          <w:specVanish/>
        </w:rPr>
      </w:pPr>
      <w:r w:rsidRPr="004C3641">
        <w:t>Recommendation: </w:t>
      </w:r>
    </w:p>
    <w:p w:rsidR="00EA5CD5" w:rsidRDefault="00EA5CD5">
      <w:pPr>
        <w:pStyle w:val="BodyText"/>
      </w:pPr>
      <w:r>
        <w:t xml:space="preserve"> Yes. The Commission should approve </w:t>
      </w:r>
      <w:r w:rsidR="00D506A0">
        <w:t>FPUC's and Chesapeake’s</w:t>
      </w:r>
      <w:r>
        <w:t xml:space="preserve"> swing ser</w:t>
      </w:r>
      <w:r w:rsidR="006A4C30">
        <w:t>vice rider rates for the period January through December 2019.</w:t>
      </w:r>
      <w:r>
        <w:t xml:space="preserve"> </w:t>
      </w:r>
      <w:r w:rsidR="00B635A9">
        <w:t xml:space="preserve">The costs included are appropriate and the methodology for calculating the swing service rider rates is consistent with the swing service order. </w:t>
      </w:r>
      <w:r>
        <w:t>(Doherty)</w:t>
      </w:r>
    </w:p>
    <w:p w:rsidR="00EA5CD5" w:rsidRPr="004C3641" w:rsidRDefault="00EA5CD5">
      <w:pPr>
        <w:pStyle w:val="IssueSubsectionHeading"/>
        <w:rPr>
          <w:vanish/>
          <w:specVanish/>
        </w:rPr>
      </w:pPr>
      <w:r w:rsidRPr="004C3641">
        <w:t>Staff Analysis: </w:t>
      </w:r>
    </w:p>
    <w:p w:rsidR="00EA5CD5" w:rsidRDefault="00EA5CD5">
      <w:pPr>
        <w:pStyle w:val="BodyText"/>
      </w:pPr>
      <w:r>
        <w:t> </w:t>
      </w:r>
      <w:r w:rsidR="0067318E">
        <w:t>The c</w:t>
      </w:r>
      <w:r w:rsidR="00050476">
        <w:t xml:space="preserve">ompanies incur intrastate capacity </w:t>
      </w:r>
      <w:r w:rsidR="008A0445">
        <w:t xml:space="preserve">costs when they transport </w:t>
      </w:r>
      <w:r w:rsidR="00A37B09">
        <w:t xml:space="preserve">natural </w:t>
      </w:r>
      <w:r w:rsidR="008A0445">
        <w:t xml:space="preserve">gas on intrastate pipelines (i.e., pipelines operating within Florida only). </w:t>
      </w:r>
      <w:r w:rsidR="002C0315">
        <w:t xml:space="preserve">The companies have two types of natural gas customers: sales and transportation customers. </w:t>
      </w:r>
      <w:r w:rsidR="008A0445">
        <w:t xml:space="preserve">The </w:t>
      </w:r>
      <w:r w:rsidR="0067318E">
        <w:t>swing service rider allows the c</w:t>
      </w:r>
      <w:r w:rsidR="008A0445">
        <w:t>ompanies to recover the intrastate capacity costs</w:t>
      </w:r>
      <w:r w:rsidR="002C0315">
        <w:t xml:space="preserve"> directly</w:t>
      </w:r>
      <w:r w:rsidR="008A0445">
        <w:t xml:space="preserve"> from </w:t>
      </w:r>
      <w:r w:rsidR="002C0315">
        <w:t>all</w:t>
      </w:r>
      <w:r w:rsidR="008A0445">
        <w:t xml:space="preserve"> transportation customers as intrastate pipeline proje</w:t>
      </w:r>
      <w:r w:rsidR="0067318E">
        <w:t>cts benefit all customers.</w:t>
      </w:r>
      <w:r w:rsidR="008A0445">
        <w:t xml:space="preserve"> </w:t>
      </w:r>
      <w:r w:rsidR="002C0315">
        <w:t xml:space="preserve"> </w:t>
      </w:r>
    </w:p>
    <w:p w:rsidR="008A0445" w:rsidRDefault="008A0445">
      <w:pPr>
        <w:pStyle w:val="BodyText"/>
      </w:pPr>
      <w:r>
        <w:t xml:space="preserve">Sales customers are primarily residential and small commercial customers that purchase </w:t>
      </w:r>
      <w:r w:rsidR="0067318E">
        <w:t xml:space="preserve">natural </w:t>
      </w:r>
      <w:r>
        <w:t>gas from an LDC and receive allocations of intrastate capacity costs through the Purchased Gas Adjustment (PGA)</w:t>
      </w:r>
      <w:r>
        <w:rPr>
          <w:rStyle w:val="FootnoteReference"/>
        </w:rPr>
        <w:footnoteReference w:id="2"/>
      </w:r>
      <w:r>
        <w:t xml:space="preserve"> charge. Only Florida Public Utilities Company and Florida Public Utilities Company – Fort Meade have sales customers. </w:t>
      </w:r>
    </w:p>
    <w:p w:rsidR="008A0445" w:rsidRDefault="008A0445">
      <w:pPr>
        <w:pStyle w:val="BodyText"/>
      </w:pPr>
      <w:r>
        <w:t xml:space="preserve">Transportation customers receive </w:t>
      </w:r>
      <w:r w:rsidR="0067318E">
        <w:t xml:space="preserve">natural </w:t>
      </w:r>
      <w:r>
        <w:t>gas from third party marketers or shippers</w:t>
      </w:r>
      <w:r>
        <w:rPr>
          <w:rStyle w:val="FootnoteReference"/>
        </w:rPr>
        <w:footnoteReference w:id="3"/>
      </w:r>
      <w:r>
        <w:t xml:space="preserve"> and, therefore, do not pay the PGA charge to the LDC. The </w:t>
      </w:r>
      <w:r w:rsidR="0067318E">
        <w:t>c</w:t>
      </w:r>
      <w:r>
        <w:t xml:space="preserve">ompanies’ transportation customers can be categorized as TTS (Transitional Transportation Service) or non-TTS. TTS program shippers purchase gas for residential and small commercial customers, in aggregated customer pools, who do not contract directly with a shipper for their gas supply. Only Florida Public Utilities Company – Indiantown Division </w:t>
      </w:r>
      <w:r w:rsidR="0067318E">
        <w:t xml:space="preserve">(Indiantown) </w:t>
      </w:r>
      <w:r>
        <w:t xml:space="preserve">and Chesapeake have TTS customers. </w:t>
      </w:r>
    </w:p>
    <w:p w:rsidR="00E06484" w:rsidRDefault="00E32C3A" w:rsidP="00E275D8">
      <w:pPr>
        <w:pStyle w:val="BodyText"/>
      </w:pPr>
      <w:r>
        <w:t>TTS customers receive allocations of intrastate capacity costs through the swing service rider. Prior to the approval of the swing service rider, TTS customers received allocations of intrastate capacity cost through the Operational Balancing Account (OBA) mechanism. The OBA mechanism allowed Indiantown and Chesapeake to assign intrastate capacity costs to TTS shippers, who then passed the costs on to the TTS customers for whom they purchase gas. With the approval of the swing service rider, TTS customers are now charged directly their allocated portion of the intrastate capacity costs (rather than Indiantown and Chesapeake charging the shippers who then passed the costs on to the TTS customers).</w:t>
      </w:r>
    </w:p>
    <w:p w:rsidR="00E32C3A" w:rsidRDefault="00E32C3A" w:rsidP="00E275D8">
      <w:pPr>
        <w:pStyle w:val="BodyText"/>
      </w:pPr>
      <w:r>
        <w:t xml:space="preserve">Non-TTS customers are primarily large commercial or industrial customers who contract directly with a shipper for their </w:t>
      </w:r>
      <w:r w:rsidR="00A37B09">
        <w:t xml:space="preserve">natural </w:t>
      </w:r>
      <w:r>
        <w:t>gas supply. Prior to the approval of the s</w:t>
      </w:r>
      <w:r w:rsidR="00D117FB">
        <w:t>w</w:t>
      </w:r>
      <w:r>
        <w:t xml:space="preserve">ing service rider, non-TTS customers were not paying a share of the intrastate capacity costs. The Commission approved a stepped implementation process for the swing service rider for non-TTS customers because the implementation of the swing service rider could have a significant financial impact on those customers who previously had not been allocated any portion of the intrastate capacity costs. </w:t>
      </w:r>
    </w:p>
    <w:p w:rsidR="00E32C3A" w:rsidRDefault="000D3CD6" w:rsidP="00E275D8">
      <w:pPr>
        <w:pStyle w:val="BodyText"/>
      </w:pPr>
      <w:r>
        <w:lastRenderedPageBreak/>
        <w:t>Specifically, the swing service order approved a five-year implementation period for non-TTS</w:t>
      </w:r>
      <w:r w:rsidR="009922EB">
        <w:t xml:space="preserve"> customers with a 20 per</w:t>
      </w:r>
      <w:r w:rsidR="00C403F3">
        <w:t>cent per year stepped allocation. Accordingly, the 2018 swing service charges included a 40 percent allocation of intrastate capacity costs to the non-TTS customers; the instant petition includes a 60 percent allocation of intrastate capacity costs to the non-TTS customers.</w:t>
      </w:r>
      <w:r w:rsidR="002B63C7">
        <w:t xml:space="preserve"> Therefore, the proposed 2019 swing service rider rates for the non-TTS transportation customers increased.</w:t>
      </w:r>
      <w:r w:rsidR="001B1FB1">
        <w:rPr>
          <w:rStyle w:val="FootnoteReference"/>
        </w:rPr>
        <w:footnoteReference w:id="4"/>
      </w:r>
      <w:r w:rsidR="002B63C7">
        <w:t xml:space="preserve"> The proposed 2019 swing service rider rates for TTS transportation customers, on the other hand, decreased as a result of the increased allocation of costs to the non-TTS customers.</w:t>
      </w:r>
    </w:p>
    <w:p w:rsidR="007415AF" w:rsidRDefault="007415AF" w:rsidP="007415AF">
      <w:pPr>
        <w:pStyle w:val="First-LevelSubheading"/>
      </w:pPr>
      <w:r>
        <w:t>Proposed Swing Service Rider Rates</w:t>
      </w:r>
    </w:p>
    <w:p w:rsidR="00B6774A" w:rsidRDefault="007415AF" w:rsidP="00E275D8">
      <w:pPr>
        <w:pStyle w:val="BodyText"/>
      </w:pPr>
      <w:r>
        <w:t>The proposed 201</w:t>
      </w:r>
      <w:r w:rsidR="002E0718">
        <w:t>9</w:t>
      </w:r>
      <w:r>
        <w:t xml:space="preserve"> swing service rider rates were calculated based on the same methodology approved in the swing service order. As shown in the </w:t>
      </w:r>
      <w:r w:rsidR="001B1FB1">
        <w:t>c</w:t>
      </w:r>
      <w:r>
        <w:t xml:space="preserve">ompanies’ petition, the total intrastate capacity costs for the period July 2017 through June 2018 are $7,396,034. </w:t>
      </w:r>
      <w:r w:rsidR="00B6774A">
        <w:t>The total intrastate capacity costs reflect payments by FPUC to intrastate pipelines for the transportation of natural gas pursuant to Commission approved transportation agreements.</w:t>
      </w:r>
      <w:r w:rsidR="005F1A2A">
        <w:t xml:space="preserve"> In addition, the intrastate capacity costs include payments for </w:t>
      </w:r>
      <w:r w:rsidR="00B635A9">
        <w:t>outside contractors</w:t>
      </w:r>
      <w:r w:rsidR="005F1A2A">
        <w:t xml:space="preserve"> FPUC hired to provide experti</w:t>
      </w:r>
      <w:r w:rsidR="00B635A9">
        <w:t>s</w:t>
      </w:r>
      <w:r w:rsidR="005F1A2A">
        <w:t xml:space="preserve">e on the purchase of commodity and capacity. </w:t>
      </w:r>
    </w:p>
    <w:p w:rsidR="007415AF" w:rsidRDefault="007415AF" w:rsidP="00E275D8">
      <w:pPr>
        <w:pStyle w:val="BodyText"/>
      </w:pPr>
      <w:r>
        <w:t xml:space="preserve">Some of these costs ($3,620,456) will be billed directly to certain large special contract customers. The remaining costs, $3,775,578 ($7,396,034 - $3,620,456), are allocated between sales and transportation customers. </w:t>
      </w:r>
    </w:p>
    <w:p w:rsidR="007415AF" w:rsidRDefault="0067318E" w:rsidP="00E275D8">
      <w:pPr>
        <w:pStyle w:val="BodyText"/>
      </w:pPr>
      <w:r>
        <w:t>The c</w:t>
      </w:r>
      <w:r w:rsidR="007415AF">
        <w:t>ompanies used actual therm usage data for the period July 2017 through June 2018 to allocate the intrastate capacity costs. Based on the usage data, the appropriate split for allocating the cost is 70.16 percent (</w:t>
      </w:r>
      <w:r w:rsidR="000558E0">
        <w:t xml:space="preserve">$2,648,874) to transportation customers and 29.84 percent ($1,126,704) to sales customers. The sales customers’ share of the cost is embedded in the PGA. </w:t>
      </w:r>
    </w:p>
    <w:p w:rsidR="000558E0" w:rsidRDefault="000558E0" w:rsidP="00E275D8">
      <w:pPr>
        <w:pStyle w:val="BodyText"/>
      </w:pPr>
      <w:r>
        <w:t xml:space="preserve">The transportation customers’ share is allocated to the various transportation rate schedules in proportion with each rate schedule’s share of the </w:t>
      </w:r>
      <w:r w:rsidR="0067318E">
        <w:t>c</w:t>
      </w:r>
      <w:r>
        <w:t xml:space="preserve">ompanies’ total throughput. The cost allocated to each rate schedule is then divided by the rate schedule’s number of therms to calculate the swing service rider rates. </w:t>
      </w:r>
    </w:p>
    <w:p w:rsidR="000558E0" w:rsidRDefault="000558E0" w:rsidP="00E275D8">
      <w:pPr>
        <w:pStyle w:val="BodyText"/>
      </w:pPr>
      <w:r>
        <w:t xml:space="preserve">As stated earlier, TTS customers are charged their allocated portion of the intrastate capacity costs, while non-TTS customers are subject to a phased implementation. Since non-TTS customers are only allocated 60 percent of the total intrastate capacity costs, the 2019 swing service revenues the </w:t>
      </w:r>
      <w:r w:rsidR="0067318E">
        <w:t>c</w:t>
      </w:r>
      <w:r>
        <w:t xml:space="preserve">ompanies will receive will total </w:t>
      </w:r>
      <w:r w:rsidR="002144B7">
        <w:t xml:space="preserve">$1,702,175; </w:t>
      </w:r>
      <w:r>
        <w:t xml:space="preserve">the remaining </w:t>
      </w:r>
      <w:r w:rsidR="009D3E87" w:rsidRPr="00805CDA">
        <w:t>$946,699</w:t>
      </w:r>
      <w:r w:rsidR="009D3E87">
        <w:t xml:space="preserve"> ($2,648,874 - $1,702,175) of intrastate capacity costs allocated to transportation customers will be recovered through the PGA</w:t>
      </w:r>
      <w:r w:rsidR="00B635A9">
        <w:t xml:space="preserve"> cost recovery clause</w:t>
      </w:r>
      <w:r w:rsidR="009D3E87">
        <w:t xml:space="preserve"> from sales customers. </w:t>
      </w:r>
    </w:p>
    <w:p w:rsidR="009D3E87" w:rsidRPr="009D3E87" w:rsidRDefault="009D3E87" w:rsidP="009D3E87">
      <w:pPr>
        <w:pStyle w:val="Second-LevelSubheading"/>
      </w:pPr>
      <w:r w:rsidRPr="009D3E87">
        <w:t>Credit to the PGA</w:t>
      </w:r>
    </w:p>
    <w:p w:rsidR="009D3E87" w:rsidRDefault="009D3E87" w:rsidP="00E275D8">
      <w:pPr>
        <w:pStyle w:val="BodyText"/>
      </w:pPr>
      <w:r>
        <w:t xml:space="preserve">The total intrastate capacity costs are embedded in the PGA with the projected 2019 swing service rider revenues incorporated as a credit in the calculation </w:t>
      </w:r>
      <w:r w:rsidR="002F0D31">
        <w:t xml:space="preserve">of the 2019 PGA. The amount credited to the 2019 PGA is $1,702,175, plus $3,620,456 received from special contract </w:t>
      </w:r>
      <w:r w:rsidR="002F0D31">
        <w:lastRenderedPageBreak/>
        <w:t>customers, for a total of $5,322,631.</w:t>
      </w:r>
      <w:r w:rsidR="00A37B09">
        <w:rPr>
          <w:rStyle w:val="FootnoteReference"/>
        </w:rPr>
        <w:footnoteReference w:id="5"/>
      </w:r>
      <w:r w:rsidR="002F0D31">
        <w:t xml:space="preserve"> At the end of the stepped implementation period in year five, non-TTS customers will no longer receive a reduced allocation of the intrastate capacity cost, the credit to the PGA will increase accordingly, and sales customers will no longer absorb a portion of the non-TTS intrastate capacity costs. </w:t>
      </w:r>
    </w:p>
    <w:p w:rsidR="002F0D31" w:rsidRDefault="002F0D31" w:rsidP="002F0D31">
      <w:pPr>
        <w:pStyle w:val="First-LevelSubheading"/>
      </w:pPr>
      <w:r>
        <w:t>Conclusion</w:t>
      </w:r>
    </w:p>
    <w:p w:rsidR="0038121C" w:rsidRDefault="002F0D31" w:rsidP="00B635A9">
      <w:pPr>
        <w:pStyle w:val="BodyText"/>
        <w:rPr>
          <w:vanish/>
          <w:specVanish/>
        </w:rPr>
      </w:pPr>
      <w:r>
        <w:t>Based on its review of the information provided in the petition and in response to staff’s data request</w:t>
      </w:r>
      <w:r w:rsidR="00A37B09">
        <w:t>s</w:t>
      </w:r>
      <w:r>
        <w:t xml:space="preserve">, staff </w:t>
      </w:r>
      <w:r w:rsidR="009067C6">
        <w:t>recommends</w:t>
      </w:r>
      <w:r>
        <w:t xml:space="preserve"> that the </w:t>
      </w:r>
      <w:r w:rsidR="0067318E">
        <w:t>c</w:t>
      </w:r>
      <w:r>
        <w:t xml:space="preserve">ompanies’ proposed swing service rider is reasonable. </w:t>
      </w:r>
      <w:r w:rsidR="005F1A2A">
        <w:t xml:space="preserve">Staff reviewed the total projected intrastate capacity costs and verified that the costs included are appropriate. </w:t>
      </w:r>
      <w:r w:rsidR="00B635A9">
        <w:t xml:space="preserve">The Commission should approve the proposed swing service rider rates for the period January through December 2019. The costs included are appropriate and the methodology for calculating the swing service rider rates is consistent with the swing service order. </w:t>
      </w:r>
      <w:r w:rsidR="0038121C" w:rsidRPr="004C3641">
        <w:br w:type="page"/>
      </w:r>
      <w:r w:rsidR="0038121C" w:rsidRPr="004C3641">
        <w:lastRenderedPageBreak/>
        <w:t xml:space="preserve">Issue </w:t>
      </w:r>
      <w:fldSimple w:instr=" SEQ Issue \* MERGEFORMAT ">
        <w:r w:rsidR="001B3522">
          <w:rPr>
            <w:noProof/>
          </w:rPr>
          <w:t>2</w:t>
        </w:r>
      </w:fldSimple>
      <w:r w:rsidR="0038121C" w:rsidRPr="004C3641">
        <w:t>:</w:t>
      </w:r>
      <w:r w:rsidR="0038121C">
        <w:fldChar w:fldCharType="begin"/>
      </w:r>
      <w:r w:rsidR="0038121C">
        <w:instrText xml:space="preserve"> TC "</w:instrText>
      </w:r>
      <w:r w:rsidR="0038121C">
        <w:fldChar w:fldCharType="begin"/>
      </w:r>
      <w:r w:rsidR="0038121C">
        <w:instrText xml:space="preserve"> SEQ issue \c </w:instrText>
      </w:r>
      <w:r w:rsidR="0038121C">
        <w:fldChar w:fldCharType="separate"/>
      </w:r>
      <w:r w:rsidR="001B3522">
        <w:rPr>
          <w:noProof/>
        </w:rPr>
        <w:instrText>2</w:instrText>
      </w:r>
      <w:r w:rsidR="0038121C">
        <w:fldChar w:fldCharType="end"/>
      </w:r>
      <w:r w:rsidR="0038121C">
        <w:tab/>
        <w:instrText xml:space="preserve">(Neives)" \l 1 </w:instrText>
      </w:r>
      <w:r w:rsidR="0038121C">
        <w:fldChar w:fldCharType="end"/>
      </w:r>
      <w:r w:rsidR="0038121C">
        <w:t> </w:t>
      </w:r>
    </w:p>
    <w:p w:rsidR="0038121C" w:rsidRDefault="0038121C">
      <w:pPr>
        <w:pStyle w:val="BodyText"/>
      </w:pPr>
      <w:r>
        <w:t> Should this docket be closed?</w:t>
      </w:r>
    </w:p>
    <w:p w:rsidR="0038121C" w:rsidRPr="004C3641" w:rsidRDefault="0038121C">
      <w:pPr>
        <w:pStyle w:val="IssueSubsectionHeading"/>
        <w:rPr>
          <w:vanish/>
          <w:specVanish/>
        </w:rPr>
      </w:pPr>
      <w:r w:rsidRPr="004C3641">
        <w:t>Recommendation: </w:t>
      </w:r>
    </w:p>
    <w:p w:rsidR="0038121C" w:rsidRDefault="0038121C">
      <w:pPr>
        <w:pStyle w:val="BodyText"/>
      </w:pPr>
      <w:r>
        <w:t> </w:t>
      </w:r>
      <w:r w:rsidR="00840341">
        <w:t xml:space="preserve">Yes. </w:t>
      </w:r>
      <w:r>
        <w:t>If Issue 1 is approved and a protest is filed within 21 days of the issuance of the order, the tariff should remain in effect, with any revenues held subject to refund, pending resolution of the protest. If no timely protest is filed, this docket should be closed upon the issuance of a consummating order. (Nieves)</w:t>
      </w:r>
    </w:p>
    <w:p w:rsidR="0038121C" w:rsidRPr="004C3641" w:rsidRDefault="0038121C">
      <w:pPr>
        <w:pStyle w:val="IssueSubsectionHeading"/>
        <w:rPr>
          <w:vanish/>
          <w:specVanish/>
        </w:rPr>
      </w:pPr>
      <w:r w:rsidRPr="004C3641">
        <w:t>Staff Analysis: </w:t>
      </w:r>
    </w:p>
    <w:p w:rsidR="0038121C" w:rsidRDefault="0038121C">
      <w:pPr>
        <w:pStyle w:val="BodyText"/>
      </w:pPr>
      <w:r>
        <w:t> If Issue 1 is approved and a protest is filed within 21 days of the issuance of the order, the tariff should remain in effect, with an</w:t>
      </w:r>
      <w:r w:rsidR="004137FD">
        <w:t>y revenues held subject to refund, pending resolution of the protest. If no timely protest is filed, this docket should be closed upon the issuance of a consummating order.</w:t>
      </w:r>
    </w:p>
    <w:p w:rsidR="003C0CA2" w:rsidRDefault="003C0CA2" w:rsidP="00E275D8">
      <w:pPr>
        <w:pStyle w:val="BodyText"/>
        <w:sectPr w:rsidR="003C0CA2" w:rsidSect="0068481F">
          <w:headerReference w:type="default" r:id="rId12"/>
          <w:headerReference w:type="first" r:id="rId13"/>
          <w:footerReference w:type="first" r:id="rId14"/>
          <w:pgSz w:w="12240" w:h="15840" w:code="1"/>
          <w:pgMar w:top="1584" w:right="1440" w:bottom="1440" w:left="1440" w:header="720" w:footer="720" w:gutter="0"/>
          <w:cols w:space="720"/>
          <w:formProt w:val="0"/>
          <w:docGrid w:linePitch="360"/>
        </w:sectPr>
      </w:pPr>
    </w:p>
    <w:p w:rsidR="000558E0" w:rsidRDefault="000558E0" w:rsidP="00E275D8">
      <w:pPr>
        <w:pStyle w:val="BodyText"/>
      </w:pPr>
    </w:p>
    <w:p w:rsidR="003C0CA2" w:rsidRDefault="003C0CA2" w:rsidP="00E275D8">
      <w:pPr>
        <w:pStyle w:val="BodyText"/>
      </w:pPr>
      <w:r>
        <w:rPr>
          <w:noProof/>
        </w:rPr>
        <w:drawing>
          <wp:inline distT="0" distB="0" distL="0" distR="0">
            <wp:extent cx="5943600" cy="7691755"/>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gislative sheets_Page_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3C0CA2" w:rsidRDefault="003C0CA2" w:rsidP="00E275D8">
      <w:pPr>
        <w:pStyle w:val="BodyText"/>
      </w:pPr>
    </w:p>
    <w:p w:rsidR="003C0CA2" w:rsidRDefault="003C0CA2" w:rsidP="00E275D8">
      <w:pPr>
        <w:pStyle w:val="BodyText"/>
      </w:pPr>
      <w:r>
        <w:rPr>
          <w:noProof/>
        </w:rPr>
        <w:drawing>
          <wp:inline distT="0" distB="0" distL="0" distR="0">
            <wp:extent cx="5943600" cy="7691755"/>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gislative sheets_Page_2.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3C0CA2" w:rsidRDefault="003C0CA2" w:rsidP="00E275D8">
      <w:pPr>
        <w:pStyle w:val="BodyText"/>
      </w:pPr>
    </w:p>
    <w:p w:rsidR="003C0CA2" w:rsidRDefault="003C0CA2" w:rsidP="00E275D8">
      <w:pPr>
        <w:pStyle w:val="BodyText"/>
      </w:pPr>
      <w:r>
        <w:rPr>
          <w:noProof/>
        </w:rPr>
        <w:drawing>
          <wp:inline distT="0" distB="0" distL="0" distR="0">
            <wp:extent cx="5943600" cy="7691755"/>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gislative sheets_Page_3.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3C0CA2" w:rsidRDefault="003C0CA2" w:rsidP="00E275D8">
      <w:pPr>
        <w:pStyle w:val="BodyText"/>
      </w:pPr>
      <w:r>
        <w:rPr>
          <w:noProof/>
        </w:rPr>
        <w:lastRenderedPageBreak/>
        <w:drawing>
          <wp:inline distT="0" distB="0" distL="0" distR="0">
            <wp:extent cx="5943600" cy="7691755"/>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gislative sheets_Page_4.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sectPr w:rsidR="003C0CA2" w:rsidSect="0068481F">
      <w:headerReference w:type="default" r:id="rId19"/>
      <w:pgSz w:w="12240" w:h="15840" w:code="1"/>
      <w:pgMar w:top="1584" w:right="1440" w:bottom="1440" w:left="1440" w:header="720" w:footer="720" w:gutter="0"/>
      <w:cols w:space="720"/>
      <w:formProt w:val="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A7046" w:rsidRDefault="003A7046">
      <w:r>
        <w:separator/>
      </w:r>
    </w:p>
  </w:endnote>
  <w:endnote w:type="continuationSeparator" w:id="0">
    <w:p w:rsidR="003A7046" w:rsidRDefault="003A70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402E" w:rsidRDefault="00BC402E">
    <w:pPr>
      <w:pStyle w:val="Footer"/>
      <w:tabs>
        <w:tab w:val="clear" w:pos="4320"/>
        <w:tab w:val="clear" w:pos="8640"/>
        <w:tab w:val="center" w:pos="4674"/>
        <w:tab w:val="right" w:pos="9360"/>
      </w:tabs>
    </w:pPr>
    <w:r>
      <w:tab/>
      <w:t xml:space="preserve">- </w:t>
    </w:r>
    <w:r>
      <w:rPr>
        <w:rStyle w:val="PageNumber"/>
      </w:rPr>
      <w:fldChar w:fldCharType="begin"/>
    </w:r>
    <w:r>
      <w:rPr>
        <w:rStyle w:val="PageNumber"/>
      </w:rPr>
      <w:instrText xml:space="preserve"> PAGE </w:instrText>
    </w:r>
    <w:r>
      <w:rPr>
        <w:rStyle w:val="PageNumber"/>
      </w:rPr>
      <w:fldChar w:fldCharType="separate"/>
    </w:r>
    <w:r w:rsidR="005649B8">
      <w:rPr>
        <w:rStyle w:val="PageNumber"/>
        <w:noProof/>
      </w:rPr>
      <w:t>10</w:t>
    </w:r>
    <w:r>
      <w:rPr>
        <w:rStyle w:val="PageNumber"/>
      </w:rPr>
      <w:fldChar w:fldCharType="end"/>
    </w:r>
    <w:r>
      <w:rPr>
        <w:rStyle w:val="PageNumber"/>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402E" w:rsidRDefault="00BC402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A7046" w:rsidRDefault="003A7046">
      <w:r>
        <w:separator/>
      </w:r>
    </w:p>
  </w:footnote>
  <w:footnote w:type="continuationSeparator" w:id="0">
    <w:p w:rsidR="003A7046" w:rsidRDefault="003A7046">
      <w:r>
        <w:continuationSeparator/>
      </w:r>
    </w:p>
  </w:footnote>
  <w:footnote w:id="1">
    <w:p w:rsidR="003A7046" w:rsidRPr="003A7046" w:rsidRDefault="003A7046">
      <w:pPr>
        <w:pStyle w:val="FootnoteText"/>
        <w:rPr>
          <w:i/>
        </w:rPr>
      </w:pPr>
      <w:r>
        <w:rPr>
          <w:rStyle w:val="FootnoteReference"/>
        </w:rPr>
        <w:footnoteRef/>
      </w:r>
      <w:r>
        <w:t xml:space="preserve"> </w:t>
      </w:r>
      <w:proofErr w:type="gramStart"/>
      <w:r>
        <w:t>Order No.</w:t>
      </w:r>
      <w:proofErr w:type="gramEnd"/>
      <w:r>
        <w:t xml:space="preserve"> PSC-16-0422-TRF-GU, issued October 3, 2016, Docket No. 160085-GU, </w:t>
      </w:r>
      <w:r>
        <w:rPr>
          <w:i/>
        </w:rPr>
        <w:t xml:space="preserve">In re: Joint petition for approval of swing service rider, by Florida Public Utilities Company, Florida Public Utilities Company-Indiantown Division, Florida Public Utilities Company-Fort Meade, and Florida Division of Chesapeake Utilities Corporation. </w:t>
      </w:r>
    </w:p>
  </w:footnote>
  <w:footnote w:id="2">
    <w:p w:rsidR="008A0445" w:rsidRDefault="008A0445">
      <w:pPr>
        <w:pStyle w:val="FootnoteText"/>
      </w:pPr>
      <w:r>
        <w:rPr>
          <w:rStyle w:val="FootnoteReference"/>
        </w:rPr>
        <w:footnoteRef/>
      </w:r>
      <w:r>
        <w:t xml:space="preserve"> The PGA charge is set by the Commission in the annual PGA proceeding.</w:t>
      </w:r>
    </w:p>
  </w:footnote>
  <w:footnote w:id="3">
    <w:p w:rsidR="008A0445" w:rsidRDefault="008A0445">
      <w:pPr>
        <w:pStyle w:val="FootnoteText"/>
      </w:pPr>
      <w:r>
        <w:rPr>
          <w:rStyle w:val="FootnoteReference"/>
        </w:rPr>
        <w:footnoteRef/>
      </w:r>
      <w:r>
        <w:t xml:space="preserve"> The Commission does not regulate the shippers and their charges for the gas commodity.</w:t>
      </w:r>
    </w:p>
  </w:footnote>
  <w:footnote w:id="4">
    <w:p w:rsidR="001B1FB1" w:rsidRDefault="001B1FB1">
      <w:pPr>
        <w:pStyle w:val="FootnoteText"/>
      </w:pPr>
      <w:r>
        <w:rPr>
          <w:rStyle w:val="FootnoteReference"/>
        </w:rPr>
        <w:footnoteRef/>
      </w:r>
      <w:r>
        <w:t xml:space="preserve"> The proposed swing service rider rates for Chesapeake’s</w:t>
      </w:r>
      <w:r w:rsidR="0067318E">
        <w:t xml:space="preserve"> n</w:t>
      </w:r>
      <w:r>
        <w:t>on-TTS rate schedule</w:t>
      </w:r>
      <w:r w:rsidR="0067318E">
        <w:t>s</w:t>
      </w:r>
      <w:r>
        <w:t xml:space="preserve"> FTS-10 and FTS-11</w:t>
      </w:r>
      <w:r w:rsidR="002C0315">
        <w:t xml:space="preserve"> </w:t>
      </w:r>
      <w:r>
        <w:t>decreased due to a decline in volumes and allocated costs</w:t>
      </w:r>
      <w:r w:rsidR="0067318E">
        <w:t xml:space="preserve"> to those two rate classes</w:t>
      </w:r>
      <w:r>
        <w:t xml:space="preserve">.  </w:t>
      </w:r>
    </w:p>
  </w:footnote>
  <w:footnote w:id="5">
    <w:p w:rsidR="00A37B09" w:rsidRDefault="00A37B09">
      <w:pPr>
        <w:pStyle w:val="FootnoteText"/>
      </w:pPr>
      <w:r>
        <w:rPr>
          <w:rStyle w:val="FootnoteReference"/>
        </w:rPr>
        <w:footnoteRef/>
      </w:r>
      <w:r>
        <w:t xml:space="preserve"> See</w:t>
      </w:r>
      <w:r w:rsidR="003114CA">
        <w:t xml:space="preserve"> the</w:t>
      </w:r>
      <w:r w:rsidR="003114CA" w:rsidRPr="003114CA">
        <w:t xml:space="preserve"> </w:t>
      </w:r>
      <w:r w:rsidR="003114CA">
        <w:t>Direct Testimony of Geoffrey Wight on behalf of FPUC, filed on August 20, 2018,</w:t>
      </w:r>
      <w:r w:rsidR="000E4D2B">
        <w:t xml:space="preserve"> Document No. 05422-2018,</w:t>
      </w:r>
      <w:r>
        <w:t xml:space="preserve"> </w:t>
      </w:r>
      <w:r w:rsidR="003114CA">
        <w:t xml:space="preserve">in Docket No. 20180003-GU, Exhibit No. GAW-2, page 1 of 6.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402E" w:rsidRDefault="003A7046" w:rsidP="00220732">
    <w:pPr>
      <w:pStyle w:val="Header"/>
      <w:tabs>
        <w:tab w:val="clear" w:pos="4320"/>
        <w:tab w:val="clear" w:pos="8640"/>
        <w:tab w:val="right" w:pos="9360"/>
      </w:tabs>
    </w:pPr>
    <w:bookmarkStart w:id="14" w:name="DocketLabel"/>
    <w:r>
      <w:t>Docket No.</w:t>
    </w:r>
    <w:bookmarkEnd w:id="14"/>
    <w:r w:rsidR="00BC402E">
      <w:t xml:space="preserve"> </w:t>
    </w:r>
    <w:bookmarkStart w:id="15" w:name="DocketList"/>
    <w:r>
      <w:t>20180158-GU</w:t>
    </w:r>
    <w:bookmarkEnd w:id="15"/>
  </w:p>
  <w:p w:rsidR="00BC402E" w:rsidRDefault="00BC402E">
    <w:pPr>
      <w:pStyle w:val="Header"/>
    </w:pPr>
    <w:r>
      <w:t xml:space="preserve">Date: </w:t>
    </w:r>
    <w:fldSimple w:instr=" REF FilingDate ">
      <w:r w:rsidR="001B3522">
        <w:t>October 18, 2018</w:t>
      </w:r>
    </w:fldSimple>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402E" w:rsidRDefault="00BC402E" w:rsidP="00220732">
    <w:pPr>
      <w:pStyle w:val="Header"/>
      <w:tabs>
        <w:tab w:val="clear" w:pos="4320"/>
        <w:tab w:val="clear" w:pos="8640"/>
        <w:tab w:val="right" w:pos="9360"/>
      </w:tabs>
    </w:pPr>
    <w:r>
      <w:fldChar w:fldCharType="begin"/>
    </w:r>
    <w:r>
      <w:instrText xml:space="preserve"> REF DocketLabel</w:instrText>
    </w:r>
    <w:r>
      <w:fldChar w:fldCharType="separate"/>
    </w:r>
    <w:r w:rsidR="001B3522">
      <w:t>Docket No.</w:t>
    </w:r>
    <w:r>
      <w:fldChar w:fldCharType="end"/>
    </w:r>
    <w:r>
      <w:t xml:space="preserve"> </w:t>
    </w:r>
    <w:r>
      <w:fldChar w:fldCharType="begin"/>
    </w:r>
    <w:r>
      <w:instrText xml:space="preserve"> REF DocketList</w:instrText>
    </w:r>
    <w:r>
      <w:fldChar w:fldCharType="separate"/>
    </w:r>
    <w:r w:rsidR="001B3522">
      <w:t>20180158-GU</w:t>
    </w:r>
    <w:r>
      <w:fldChar w:fldCharType="end"/>
    </w:r>
    <w:r>
      <w:tab/>
      <w:t xml:space="preserve">Issue </w:t>
    </w:r>
    <w:fldSimple w:instr=" Seq Issue \c \* Arabic ">
      <w:r w:rsidR="005649B8">
        <w:rPr>
          <w:noProof/>
        </w:rPr>
        <w:t>2</w:t>
      </w:r>
    </w:fldSimple>
  </w:p>
  <w:p w:rsidR="00BC402E" w:rsidRDefault="00BC402E">
    <w:pPr>
      <w:pStyle w:val="Header"/>
    </w:pPr>
    <w:r>
      <w:t xml:space="preserve">Date: </w:t>
    </w:r>
    <w:fldSimple w:instr=" REF FilingDate ">
      <w:r w:rsidR="001B3522">
        <w:t>October 18, 2018</w:t>
      </w:r>
    </w:fldSimple>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402E" w:rsidRDefault="00BC402E">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0CA2" w:rsidRDefault="003C0CA2" w:rsidP="00220732">
    <w:pPr>
      <w:pStyle w:val="Header"/>
      <w:tabs>
        <w:tab w:val="clear" w:pos="4320"/>
        <w:tab w:val="clear" w:pos="8640"/>
        <w:tab w:val="right" w:pos="9360"/>
      </w:tabs>
    </w:pPr>
    <w:r>
      <w:fldChar w:fldCharType="begin"/>
    </w:r>
    <w:r>
      <w:instrText xml:space="preserve"> REF DocketLabel</w:instrText>
    </w:r>
    <w:r>
      <w:fldChar w:fldCharType="separate"/>
    </w:r>
    <w:r w:rsidR="001B3522">
      <w:t>Docket No.</w:t>
    </w:r>
    <w:r>
      <w:fldChar w:fldCharType="end"/>
    </w:r>
    <w:r>
      <w:t xml:space="preserve"> </w:t>
    </w:r>
    <w:r>
      <w:fldChar w:fldCharType="begin"/>
    </w:r>
    <w:r>
      <w:instrText xml:space="preserve"> REF DocketList</w:instrText>
    </w:r>
    <w:r>
      <w:fldChar w:fldCharType="separate"/>
    </w:r>
    <w:r w:rsidR="001B3522">
      <w:t>20180158-GU</w:t>
    </w:r>
    <w:r>
      <w:fldChar w:fldCharType="end"/>
    </w:r>
    <w:r>
      <w:tab/>
      <w:t>Attachment A</w:t>
    </w:r>
  </w:p>
  <w:p w:rsidR="003C0CA2" w:rsidRDefault="003C0CA2">
    <w:pPr>
      <w:pStyle w:val="Header"/>
    </w:pPr>
    <w:r>
      <w:t xml:space="preserve">Date: </w:t>
    </w:r>
    <w:fldSimple w:instr=" REF FilingDate ">
      <w:r w:rsidR="001B3522">
        <w:t>October 18, 2018</w:t>
      </w:r>
    </w:fldSimple>
    <w:r>
      <w:t xml:space="preserve">     </w:t>
    </w:r>
    <w:r>
      <w:tab/>
    </w:r>
    <w:r>
      <w:tab/>
    </w:r>
    <w:r w:rsidR="008D2EAA">
      <w:t xml:space="preserve">                                                             Page </w:t>
    </w:r>
    <w:r w:rsidR="0067318E">
      <w:fldChar w:fldCharType="begin"/>
    </w:r>
    <w:r w:rsidR="0067318E">
      <w:instrText>=</w:instrText>
    </w:r>
    <w:r w:rsidR="0067318E">
      <w:fldChar w:fldCharType="begin"/>
    </w:r>
    <w:r w:rsidR="0067318E">
      <w:instrText>page</w:instrText>
    </w:r>
    <w:r w:rsidR="0067318E">
      <w:fldChar w:fldCharType="separate"/>
    </w:r>
    <w:r w:rsidR="005649B8">
      <w:rPr>
        <w:noProof/>
      </w:rPr>
      <w:instrText>10</w:instrText>
    </w:r>
    <w:r w:rsidR="0067318E">
      <w:fldChar w:fldCharType="end"/>
    </w:r>
    <w:r w:rsidR="0067318E">
      <w:instrText>-6</w:instrText>
    </w:r>
    <w:r w:rsidR="0067318E">
      <w:fldChar w:fldCharType="separate"/>
    </w:r>
    <w:r w:rsidR="005649B8">
      <w:rPr>
        <w:noProof/>
      </w:rPr>
      <w:t>4</w:t>
    </w:r>
    <w:r w:rsidR="0067318E">
      <w:fldChar w:fldCharType="end"/>
    </w:r>
    <w:r w:rsidR="0067318E">
      <w:t xml:space="preserve"> of 4</w:t>
    </w:r>
    <w: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BEFC6C16"/>
    <w:lvl w:ilvl="0">
      <w:start w:val="1"/>
      <w:numFmt w:val="decimal"/>
      <w:lvlText w:val="%1."/>
      <w:lvlJc w:val="left"/>
      <w:pPr>
        <w:tabs>
          <w:tab w:val="num" w:pos="1800"/>
        </w:tabs>
        <w:ind w:left="1800" w:hanging="360"/>
      </w:pPr>
    </w:lvl>
  </w:abstractNum>
  <w:abstractNum w:abstractNumId="1">
    <w:nsid w:val="FFFFFF7D"/>
    <w:multiLevelType w:val="singleLevel"/>
    <w:tmpl w:val="40AA0D90"/>
    <w:lvl w:ilvl="0">
      <w:start w:val="1"/>
      <w:numFmt w:val="decimal"/>
      <w:lvlText w:val="%1."/>
      <w:lvlJc w:val="left"/>
      <w:pPr>
        <w:tabs>
          <w:tab w:val="num" w:pos="1440"/>
        </w:tabs>
        <w:ind w:left="1440" w:hanging="360"/>
      </w:pPr>
    </w:lvl>
  </w:abstractNum>
  <w:abstractNum w:abstractNumId="2">
    <w:nsid w:val="FFFFFF7E"/>
    <w:multiLevelType w:val="singleLevel"/>
    <w:tmpl w:val="E7762B08"/>
    <w:lvl w:ilvl="0">
      <w:start w:val="1"/>
      <w:numFmt w:val="decimal"/>
      <w:lvlText w:val="%1."/>
      <w:lvlJc w:val="left"/>
      <w:pPr>
        <w:tabs>
          <w:tab w:val="num" w:pos="1080"/>
        </w:tabs>
        <w:ind w:left="1080" w:hanging="360"/>
      </w:pPr>
    </w:lvl>
  </w:abstractNum>
  <w:abstractNum w:abstractNumId="3">
    <w:nsid w:val="FFFFFF7F"/>
    <w:multiLevelType w:val="singleLevel"/>
    <w:tmpl w:val="C8FE44F6"/>
    <w:lvl w:ilvl="0">
      <w:start w:val="1"/>
      <w:numFmt w:val="decimal"/>
      <w:lvlText w:val="%1."/>
      <w:lvlJc w:val="left"/>
      <w:pPr>
        <w:tabs>
          <w:tab w:val="num" w:pos="720"/>
        </w:tabs>
        <w:ind w:left="720" w:hanging="360"/>
      </w:pPr>
    </w:lvl>
  </w:abstractNum>
  <w:abstractNum w:abstractNumId="4">
    <w:nsid w:val="FFFFFF80"/>
    <w:multiLevelType w:val="singleLevel"/>
    <w:tmpl w:val="3320B406"/>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E60CFDA4"/>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F63058F4"/>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55F8770E"/>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D0D63E3A"/>
    <w:lvl w:ilvl="0">
      <w:start w:val="1"/>
      <w:numFmt w:val="decimal"/>
      <w:lvlText w:val="%1."/>
      <w:lvlJc w:val="left"/>
      <w:pPr>
        <w:tabs>
          <w:tab w:val="num" w:pos="360"/>
        </w:tabs>
        <w:ind w:left="360" w:hanging="360"/>
      </w:pPr>
    </w:lvl>
  </w:abstractNum>
  <w:abstractNum w:abstractNumId="9">
    <w:nsid w:val="FFFFFF89"/>
    <w:multiLevelType w:val="singleLevel"/>
    <w:tmpl w:val="1024AEA4"/>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1"/>
  <w:activeWritingStyle w:appName="MSWord" w:lang="es-MX" w:vendorID="64" w:dllVersion="131078" w:nlCheck="1" w:checkStyle="1"/>
  <w:proofState w:spelling="clean" w:grammar="clean"/>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57"/>
  <w:noPunctuationKerning/>
  <w:characterSpacingControl w:val="doNotCompress"/>
  <w:hdrShapeDefaults>
    <o:shapedefaults v:ext="edit" spidmax="38913"/>
  </w:hdrShapeDefaults>
  <w:footnotePr>
    <w:footnote w:id="-1"/>
    <w:footnote w:id="0"/>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32DC39D9-B7F2-4F33-8079-DE13EA01171C}"/>
    <w:docVar w:name="dgnword-eventsink" w:val="337566896"/>
    <w:docVar w:name="NumberOfIssues" w:val="0"/>
    <w:docVar w:name="StaffInToC" w:val="True"/>
  </w:docVars>
  <w:rsids>
    <w:rsidRoot w:val="003A7046"/>
    <w:rsid w:val="000043D5"/>
    <w:rsid w:val="00006170"/>
    <w:rsid w:val="00010E37"/>
    <w:rsid w:val="000172DA"/>
    <w:rsid w:val="000247C5"/>
    <w:rsid w:val="000277C2"/>
    <w:rsid w:val="00035B48"/>
    <w:rsid w:val="00036CE2"/>
    <w:rsid w:val="00037E40"/>
    <w:rsid w:val="000437FE"/>
    <w:rsid w:val="00050476"/>
    <w:rsid w:val="000513BE"/>
    <w:rsid w:val="00053C39"/>
    <w:rsid w:val="00054F20"/>
    <w:rsid w:val="000558E0"/>
    <w:rsid w:val="00065A06"/>
    <w:rsid w:val="000666F3"/>
    <w:rsid w:val="00070DCB"/>
    <w:rsid w:val="00073120"/>
    <w:rsid w:val="000764D0"/>
    <w:rsid w:val="000828D3"/>
    <w:rsid w:val="000A2B57"/>
    <w:rsid w:val="000A418B"/>
    <w:rsid w:val="000B36B0"/>
    <w:rsid w:val="000C4431"/>
    <w:rsid w:val="000D1C06"/>
    <w:rsid w:val="000D3CD6"/>
    <w:rsid w:val="000D4319"/>
    <w:rsid w:val="000E4D2B"/>
    <w:rsid w:val="000F374A"/>
    <w:rsid w:val="001076AF"/>
    <w:rsid w:val="00117C8C"/>
    <w:rsid w:val="00124E2E"/>
    <w:rsid w:val="00125ED4"/>
    <w:rsid w:val="001305E9"/>
    <w:rsid w:val="001307AF"/>
    <w:rsid w:val="00135687"/>
    <w:rsid w:val="0015506E"/>
    <w:rsid w:val="00163031"/>
    <w:rsid w:val="00171A90"/>
    <w:rsid w:val="00180254"/>
    <w:rsid w:val="00191E1F"/>
    <w:rsid w:val="00192943"/>
    <w:rsid w:val="001A7406"/>
    <w:rsid w:val="001B1FB1"/>
    <w:rsid w:val="001B3522"/>
    <w:rsid w:val="001B4FEE"/>
    <w:rsid w:val="001B51C5"/>
    <w:rsid w:val="001B6F3F"/>
    <w:rsid w:val="001C52B5"/>
    <w:rsid w:val="001D0D3E"/>
    <w:rsid w:val="001F2245"/>
    <w:rsid w:val="001F2C63"/>
    <w:rsid w:val="001F48C7"/>
    <w:rsid w:val="001F6DA1"/>
    <w:rsid w:val="002044E6"/>
    <w:rsid w:val="00205C82"/>
    <w:rsid w:val="00205DC2"/>
    <w:rsid w:val="00212B17"/>
    <w:rsid w:val="002144B7"/>
    <w:rsid w:val="002163B6"/>
    <w:rsid w:val="00220732"/>
    <w:rsid w:val="00221D32"/>
    <w:rsid w:val="00225C3F"/>
    <w:rsid w:val="00263D44"/>
    <w:rsid w:val="002702AD"/>
    <w:rsid w:val="00292D82"/>
    <w:rsid w:val="002963CB"/>
    <w:rsid w:val="002B63C7"/>
    <w:rsid w:val="002C0315"/>
    <w:rsid w:val="002D226D"/>
    <w:rsid w:val="002E0718"/>
    <w:rsid w:val="002F0D31"/>
    <w:rsid w:val="002F6030"/>
    <w:rsid w:val="003037E1"/>
    <w:rsid w:val="00307E51"/>
    <w:rsid w:val="003103EC"/>
    <w:rsid w:val="003114CA"/>
    <w:rsid w:val="003144EF"/>
    <w:rsid w:val="00322F74"/>
    <w:rsid w:val="00340073"/>
    <w:rsid w:val="003632FD"/>
    <w:rsid w:val="00372805"/>
    <w:rsid w:val="00373180"/>
    <w:rsid w:val="00375AB9"/>
    <w:rsid w:val="0038121C"/>
    <w:rsid w:val="003821A0"/>
    <w:rsid w:val="00385B04"/>
    <w:rsid w:val="003864CF"/>
    <w:rsid w:val="003A22A6"/>
    <w:rsid w:val="003A5494"/>
    <w:rsid w:val="003A7046"/>
    <w:rsid w:val="003B2510"/>
    <w:rsid w:val="003C0CA2"/>
    <w:rsid w:val="003C2CC4"/>
    <w:rsid w:val="003C3710"/>
    <w:rsid w:val="003E0EFC"/>
    <w:rsid w:val="003E4A2B"/>
    <w:rsid w:val="003E76C2"/>
    <w:rsid w:val="003F1679"/>
    <w:rsid w:val="003F21EB"/>
    <w:rsid w:val="003F4A35"/>
    <w:rsid w:val="003F7FDD"/>
    <w:rsid w:val="00402481"/>
    <w:rsid w:val="004042B4"/>
    <w:rsid w:val="00410DC4"/>
    <w:rsid w:val="00412DAE"/>
    <w:rsid w:val="004137FD"/>
    <w:rsid w:val="004242E6"/>
    <w:rsid w:val="00431598"/>
    <w:rsid w:val="004319AD"/>
    <w:rsid w:val="004426B8"/>
    <w:rsid w:val="00444432"/>
    <w:rsid w:val="00471860"/>
    <w:rsid w:val="004A744D"/>
    <w:rsid w:val="004B0C61"/>
    <w:rsid w:val="004B60BD"/>
    <w:rsid w:val="004C3150"/>
    <w:rsid w:val="004C3641"/>
    <w:rsid w:val="004C4390"/>
    <w:rsid w:val="004C4AF7"/>
    <w:rsid w:val="004D2881"/>
    <w:rsid w:val="004D385F"/>
    <w:rsid w:val="004D5B39"/>
    <w:rsid w:val="004E330D"/>
    <w:rsid w:val="004E5147"/>
    <w:rsid w:val="004F5C43"/>
    <w:rsid w:val="0050652D"/>
    <w:rsid w:val="00506C03"/>
    <w:rsid w:val="00511A11"/>
    <w:rsid w:val="00516496"/>
    <w:rsid w:val="00523B11"/>
    <w:rsid w:val="0052572A"/>
    <w:rsid w:val="00543CB3"/>
    <w:rsid w:val="005442E4"/>
    <w:rsid w:val="00560FF0"/>
    <w:rsid w:val="005614BD"/>
    <w:rsid w:val="005649B8"/>
    <w:rsid w:val="0057154F"/>
    <w:rsid w:val="00580F69"/>
    <w:rsid w:val="00581CA3"/>
    <w:rsid w:val="00587A44"/>
    <w:rsid w:val="00597730"/>
    <w:rsid w:val="005977EC"/>
    <w:rsid w:val="00597DE7"/>
    <w:rsid w:val="005A03A4"/>
    <w:rsid w:val="005A4AA2"/>
    <w:rsid w:val="005B34B6"/>
    <w:rsid w:val="005B6C8F"/>
    <w:rsid w:val="005B6EC3"/>
    <w:rsid w:val="005D0F74"/>
    <w:rsid w:val="005D2E7D"/>
    <w:rsid w:val="005D4A8F"/>
    <w:rsid w:val="005D561B"/>
    <w:rsid w:val="005D5ECF"/>
    <w:rsid w:val="005F1A2A"/>
    <w:rsid w:val="005F468D"/>
    <w:rsid w:val="005F69A3"/>
    <w:rsid w:val="00604CC7"/>
    <w:rsid w:val="006150AC"/>
    <w:rsid w:val="00615423"/>
    <w:rsid w:val="006165B2"/>
    <w:rsid w:val="00617276"/>
    <w:rsid w:val="0062527B"/>
    <w:rsid w:val="00625D97"/>
    <w:rsid w:val="00625F1C"/>
    <w:rsid w:val="006279E1"/>
    <w:rsid w:val="00630CEB"/>
    <w:rsid w:val="00632264"/>
    <w:rsid w:val="006470BC"/>
    <w:rsid w:val="00655183"/>
    <w:rsid w:val="006554D3"/>
    <w:rsid w:val="00667036"/>
    <w:rsid w:val="0067318E"/>
    <w:rsid w:val="00673BDB"/>
    <w:rsid w:val="00674341"/>
    <w:rsid w:val="006771B8"/>
    <w:rsid w:val="0068313F"/>
    <w:rsid w:val="006837D8"/>
    <w:rsid w:val="006843B6"/>
    <w:rsid w:val="0068481F"/>
    <w:rsid w:val="00696F5D"/>
    <w:rsid w:val="00697249"/>
    <w:rsid w:val="006A4C30"/>
    <w:rsid w:val="006B3947"/>
    <w:rsid w:val="006B4293"/>
    <w:rsid w:val="006B624F"/>
    <w:rsid w:val="006C0C95"/>
    <w:rsid w:val="006C31E3"/>
    <w:rsid w:val="006D18D3"/>
    <w:rsid w:val="006D72AB"/>
    <w:rsid w:val="006E08CB"/>
    <w:rsid w:val="006E598D"/>
    <w:rsid w:val="0070437D"/>
    <w:rsid w:val="00704CF1"/>
    <w:rsid w:val="00705B04"/>
    <w:rsid w:val="00724992"/>
    <w:rsid w:val="00734820"/>
    <w:rsid w:val="007349DC"/>
    <w:rsid w:val="00736A2E"/>
    <w:rsid w:val="007415AF"/>
    <w:rsid w:val="0074365E"/>
    <w:rsid w:val="00744B55"/>
    <w:rsid w:val="007515FD"/>
    <w:rsid w:val="00760D80"/>
    <w:rsid w:val="00780C09"/>
    <w:rsid w:val="00780DDF"/>
    <w:rsid w:val="007834E9"/>
    <w:rsid w:val="00786400"/>
    <w:rsid w:val="00787DBC"/>
    <w:rsid w:val="0079019A"/>
    <w:rsid w:val="00792935"/>
    <w:rsid w:val="0079476B"/>
    <w:rsid w:val="007A04A1"/>
    <w:rsid w:val="007A1840"/>
    <w:rsid w:val="007C0528"/>
    <w:rsid w:val="007C3D38"/>
    <w:rsid w:val="007D0F35"/>
    <w:rsid w:val="007D4FEB"/>
    <w:rsid w:val="007D6146"/>
    <w:rsid w:val="007E0CE7"/>
    <w:rsid w:val="007F1193"/>
    <w:rsid w:val="007F417F"/>
    <w:rsid w:val="007F7644"/>
    <w:rsid w:val="008042BD"/>
    <w:rsid w:val="00805CDA"/>
    <w:rsid w:val="00816624"/>
    <w:rsid w:val="00822427"/>
    <w:rsid w:val="00822562"/>
    <w:rsid w:val="00823663"/>
    <w:rsid w:val="008279FB"/>
    <w:rsid w:val="00832DDC"/>
    <w:rsid w:val="00840341"/>
    <w:rsid w:val="00850BAC"/>
    <w:rsid w:val="00854A3E"/>
    <w:rsid w:val="00855D08"/>
    <w:rsid w:val="00874344"/>
    <w:rsid w:val="00882155"/>
    <w:rsid w:val="0088233B"/>
    <w:rsid w:val="0088599E"/>
    <w:rsid w:val="00886C37"/>
    <w:rsid w:val="00892D99"/>
    <w:rsid w:val="00893315"/>
    <w:rsid w:val="008A0445"/>
    <w:rsid w:val="008B62AE"/>
    <w:rsid w:val="008C04B5"/>
    <w:rsid w:val="008C14FA"/>
    <w:rsid w:val="008C7B0B"/>
    <w:rsid w:val="008D1683"/>
    <w:rsid w:val="008D2EAA"/>
    <w:rsid w:val="008D4057"/>
    <w:rsid w:val="008E1F19"/>
    <w:rsid w:val="008F2262"/>
    <w:rsid w:val="008F4D2B"/>
    <w:rsid w:val="008F7736"/>
    <w:rsid w:val="0090019E"/>
    <w:rsid w:val="00901086"/>
    <w:rsid w:val="00901C8A"/>
    <w:rsid w:val="00905886"/>
    <w:rsid w:val="009067C6"/>
    <w:rsid w:val="009070D6"/>
    <w:rsid w:val="009076C6"/>
    <w:rsid w:val="0091019E"/>
    <w:rsid w:val="009106F1"/>
    <w:rsid w:val="00912404"/>
    <w:rsid w:val="009145D6"/>
    <w:rsid w:val="00920E64"/>
    <w:rsid w:val="00922002"/>
    <w:rsid w:val="00924020"/>
    <w:rsid w:val="009271A7"/>
    <w:rsid w:val="0093658B"/>
    <w:rsid w:val="009429FF"/>
    <w:rsid w:val="00945BD6"/>
    <w:rsid w:val="009479FB"/>
    <w:rsid w:val="00951C45"/>
    <w:rsid w:val="009656F2"/>
    <w:rsid w:val="00966A08"/>
    <w:rsid w:val="00971207"/>
    <w:rsid w:val="00975CB4"/>
    <w:rsid w:val="009863B0"/>
    <w:rsid w:val="00987DE1"/>
    <w:rsid w:val="00990571"/>
    <w:rsid w:val="009922EB"/>
    <w:rsid w:val="0099673A"/>
    <w:rsid w:val="009A3330"/>
    <w:rsid w:val="009A7C96"/>
    <w:rsid w:val="009C3DB9"/>
    <w:rsid w:val="009D3E87"/>
    <w:rsid w:val="009D46E5"/>
    <w:rsid w:val="009D568A"/>
    <w:rsid w:val="009F04EC"/>
    <w:rsid w:val="009F2A7C"/>
    <w:rsid w:val="009F3B36"/>
    <w:rsid w:val="00A019B9"/>
    <w:rsid w:val="00A10ED2"/>
    <w:rsid w:val="00A12508"/>
    <w:rsid w:val="00A1282B"/>
    <w:rsid w:val="00A13A27"/>
    <w:rsid w:val="00A175B6"/>
    <w:rsid w:val="00A21835"/>
    <w:rsid w:val="00A2374B"/>
    <w:rsid w:val="00A27D6E"/>
    <w:rsid w:val="00A328EC"/>
    <w:rsid w:val="00A33A51"/>
    <w:rsid w:val="00A37B09"/>
    <w:rsid w:val="00A41CA6"/>
    <w:rsid w:val="00A47927"/>
    <w:rsid w:val="00A47FFC"/>
    <w:rsid w:val="00A5442F"/>
    <w:rsid w:val="00A54FF9"/>
    <w:rsid w:val="00A56765"/>
    <w:rsid w:val="00A675AC"/>
    <w:rsid w:val="00A7581F"/>
    <w:rsid w:val="00A92FB1"/>
    <w:rsid w:val="00A95A0C"/>
    <w:rsid w:val="00AA2765"/>
    <w:rsid w:val="00AA77B5"/>
    <w:rsid w:val="00AB3827"/>
    <w:rsid w:val="00AB6C5D"/>
    <w:rsid w:val="00AC3401"/>
    <w:rsid w:val="00AC51A7"/>
    <w:rsid w:val="00AD444B"/>
    <w:rsid w:val="00AD6C78"/>
    <w:rsid w:val="00AE2EAB"/>
    <w:rsid w:val="00AE4C80"/>
    <w:rsid w:val="00AF5F89"/>
    <w:rsid w:val="00AF73CB"/>
    <w:rsid w:val="00B002D6"/>
    <w:rsid w:val="00B03379"/>
    <w:rsid w:val="00B05B51"/>
    <w:rsid w:val="00B14E5A"/>
    <w:rsid w:val="00B15370"/>
    <w:rsid w:val="00B16DA4"/>
    <w:rsid w:val="00B17BEB"/>
    <w:rsid w:val="00B21A3C"/>
    <w:rsid w:val="00B223C0"/>
    <w:rsid w:val="00B234ED"/>
    <w:rsid w:val="00B249B2"/>
    <w:rsid w:val="00B25CA3"/>
    <w:rsid w:val="00B2765A"/>
    <w:rsid w:val="00B3109A"/>
    <w:rsid w:val="00B516ED"/>
    <w:rsid w:val="00B57A6A"/>
    <w:rsid w:val="00B635A9"/>
    <w:rsid w:val="00B6774A"/>
    <w:rsid w:val="00B760F1"/>
    <w:rsid w:val="00B7669E"/>
    <w:rsid w:val="00B77DA1"/>
    <w:rsid w:val="00B822A0"/>
    <w:rsid w:val="00B858AE"/>
    <w:rsid w:val="00B85964"/>
    <w:rsid w:val="00B85D0A"/>
    <w:rsid w:val="00B96250"/>
    <w:rsid w:val="00BA0D55"/>
    <w:rsid w:val="00BA37B3"/>
    <w:rsid w:val="00BA4CC6"/>
    <w:rsid w:val="00BB3493"/>
    <w:rsid w:val="00BB7468"/>
    <w:rsid w:val="00BC188A"/>
    <w:rsid w:val="00BC402E"/>
    <w:rsid w:val="00BD0F48"/>
    <w:rsid w:val="00BE3267"/>
    <w:rsid w:val="00BF5010"/>
    <w:rsid w:val="00C03D5F"/>
    <w:rsid w:val="00C13791"/>
    <w:rsid w:val="00C31BB3"/>
    <w:rsid w:val="00C36977"/>
    <w:rsid w:val="00C403F3"/>
    <w:rsid w:val="00C467DA"/>
    <w:rsid w:val="00C477D9"/>
    <w:rsid w:val="00C60BA3"/>
    <w:rsid w:val="00C623F7"/>
    <w:rsid w:val="00C75BC5"/>
    <w:rsid w:val="00C81670"/>
    <w:rsid w:val="00C81773"/>
    <w:rsid w:val="00C82861"/>
    <w:rsid w:val="00C86896"/>
    <w:rsid w:val="00C907A8"/>
    <w:rsid w:val="00C93211"/>
    <w:rsid w:val="00C942EC"/>
    <w:rsid w:val="00C96047"/>
    <w:rsid w:val="00C979D0"/>
    <w:rsid w:val="00CA0818"/>
    <w:rsid w:val="00CA15C8"/>
    <w:rsid w:val="00CA2C8F"/>
    <w:rsid w:val="00CA30DA"/>
    <w:rsid w:val="00CA3A24"/>
    <w:rsid w:val="00CB1777"/>
    <w:rsid w:val="00CB33E9"/>
    <w:rsid w:val="00CC10A9"/>
    <w:rsid w:val="00CE2BF8"/>
    <w:rsid w:val="00CE484E"/>
    <w:rsid w:val="00CE656F"/>
    <w:rsid w:val="00CF0DA8"/>
    <w:rsid w:val="00CF2E25"/>
    <w:rsid w:val="00CF4453"/>
    <w:rsid w:val="00CF5D94"/>
    <w:rsid w:val="00CF7E0F"/>
    <w:rsid w:val="00D034D7"/>
    <w:rsid w:val="00D04BE4"/>
    <w:rsid w:val="00D06FC7"/>
    <w:rsid w:val="00D117FB"/>
    <w:rsid w:val="00D12565"/>
    <w:rsid w:val="00D14127"/>
    <w:rsid w:val="00D506A0"/>
    <w:rsid w:val="00D60B16"/>
    <w:rsid w:val="00D60F02"/>
    <w:rsid w:val="00D66E49"/>
    <w:rsid w:val="00D70D71"/>
    <w:rsid w:val="00D72F74"/>
    <w:rsid w:val="00D81563"/>
    <w:rsid w:val="00D85907"/>
    <w:rsid w:val="00D9073E"/>
    <w:rsid w:val="00D9221D"/>
    <w:rsid w:val="00D958DF"/>
    <w:rsid w:val="00D96DA1"/>
    <w:rsid w:val="00DA51E7"/>
    <w:rsid w:val="00DB0260"/>
    <w:rsid w:val="00DB1C78"/>
    <w:rsid w:val="00DB7D96"/>
    <w:rsid w:val="00DC23FE"/>
    <w:rsid w:val="00DC59E6"/>
    <w:rsid w:val="00DD150B"/>
    <w:rsid w:val="00DD5025"/>
    <w:rsid w:val="00DF1510"/>
    <w:rsid w:val="00E02F1F"/>
    <w:rsid w:val="00E06484"/>
    <w:rsid w:val="00E13BE2"/>
    <w:rsid w:val="00E20A7D"/>
    <w:rsid w:val="00E275D8"/>
    <w:rsid w:val="00E30F6A"/>
    <w:rsid w:val="00E3117C"/>
    <w:rsid w:val="00E32C3A"/>
    <w:rsid w:val="00E375CA"/>
    <w:rsid w:val="00E567E8"/>
    <w:rsid w:val="00E64679"/>
    <w:rsid w:val="00E65EBC"/>
    <w:rsid w:val="00E677FE"/>
    <w:rsid w:val="00E73432"/>
    <w:rsid w:val="00E77B0C"/>
    <w:rsid w:val="00E77FB8"/>
    <w:rsid w:val="00E838B0"/>
    <w:rsid w:val="00E86A7C"/>
    <w:rsid w:val="00E878E1"/>
    <w:rsid w:val="00E87F2C"/>
    <w:rsid w:val="00E95278"/>
    <w:rsid w:val="00EA2273"/>
    <w:rsid w:val="00EA5CD5"/>
    <w:rsid w:val="00EA7C3C"/>
    <w:rsid w:val="00EB2DB3"/>
    <w:rsid w:val="00EC3FBB"/>
    <w:rsid w:val="00EC6B7A"/>
    <w:rsid w:val="00ED3A87"/>
    <w:rsid w:val="00ED5B67"/>
    <w:rsid w:val="00EF264C"/>
    <w:rsid w:val="00EF3FEE"/>
    <w:rsid w:val="00F04B59"/>
    <w:rsid w:val="00F116E2"/>
    <w:rsid w:val="00F11741"/>
    <w:rsid w:val="00F12B1C"/>
    <w:rsid w:val="00F13CF8"/>
    <w:rsid w:val="00F15855"/>
    <w:rsid w:val="00F32978"/>
    <w:rsid w:val="00F45CB2"/>
    <w:rsid w:val="00F544C0"/>
    <w:rsid w:val="00F55332"/>
    <w:rsid w:val="00F6504A"/>
    <w:rsid w:val="00F65519"/>
    <w:rsid w:val="00F713C0"/>
    <w:rsid w:val="00F75DDC"/>
    <w:rsid w:val="00F7792F"/>
    <w:rsid w:val="00F8114D"/>
    <w:rsid w:val="00F842AA"/>
    <w:rsid w:val="00F8476F"/>
    <w:rsid w:val="00F853E1"/>
    <w:rsid w:val="00F85604"/>
    <w:rsid w:val="00F94B7A"/>
    <w:rsid w:val="00FA17AC"/>
    <w:rsid w:val="00FA32DE"/>
    <w:rsid w:val="00FA3382"/>
    <w:rsid w:val="00FA59CD"/>
    <w:rsid w:val="00FB1740"/>
    <w:rsid w:val="00FC5469"/>
    <w:rsid w:val="00FC6D7D"/>
    <w:rsid w:val="00FD16B0"/>
    <w:rsid w:val="00FD4FED"/>
    <w:rsid w:val="00FE0577"/>
    <w:rsid w:val="00FE59EC"/>
    <w:rsid w:val="00FE5B67"/>
    <w:rsid w:val="00FE60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891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BodyText"/>
    <w:link w:val="Heading1Char"/>
    <w:qFormat/>
    <w:pPr>
      <w:keepNext/>
      <w:spacing w:after="240"/>
      <w:jc w:val="both"/>
      <w:outlineLvl w:val="0"/>
    </w:pPr>
    <w:rPr>
      <w:rFonts w:cs="Arial"/>
      <w:bCs/>
      <w:kern w:val="32"/>
      <w:szCs w:val="32"/>
    </w:rPr>
  </w:style>
  <w:style w:type="paragraph" w:styleId="Heading2">
    <w:name w:val="heading 2"/>
    <w:basedOn w:val="Normal"/>
    <w:next w:val="BodyText"/>
    <w:link w:val="Heading2Char"/>
    <w:qFormat/>
    <w:pPr>
      <w:keepNext/>
      <w:spacing w:after="240"/>
      <w:jc w:val="both"/>
      <w:outlineLvl w:val="1"/>
    </w:pPr>
    <w:rPr>
      <w:rFonts w:cs="Arial"/>
      <w:bCs/>
      <w:iCs/>
      <w:szCs w:val="28"/>
    </w:rPr>
  </w:style>
  <w:style w:type="paragraph" w:styleId="Heading3">
    <w:name w:val="heading 3"/>
    <w:basedOn w:val="BodyText"/>
    <w:next w:val="BodyText"/>
    <w:qFormat/>
    <w:pPr>
      <w:outlineLvl w:val="2"/>
    </w:pPr>
  </w:style>
  <w:style w:type="paragraph" w:styleId="Heading4">
    <w:name w:val="heading 4"/>
    <w:basedOn w:val="Normal"/>
    <w:next w:val="Normal"/>
    <w:qFormat/>
    <w:pPr>
      <w:keepNext/>
      <w:spacing w:before="240" w:after="60"/>
      <w:outlineLvl w:val="3"/>
    </w:pPr>
    <w:rPr>
      <w:b/>
      <w:bCs/>
      <w:sz w:val="28"/>
      <w:szCs w:val="28"/>
    </w:rPr>
  </w:style>
  <w:style w:type="paragraph" w:styleId="Heading5">
    <w:name w:val="heading 5"/>
    <w:basedOn w:val="Normal"/>
    <w:next w:val="Normal"/>
    <w:qFormat/>
    <w:pPr>
      <w:spacing w:before="240" w:after="60"/>
      <w:outlineLvl w:val="4"/>
    </w:pPr>
    <w:rPr>
      <w:b/>
      <w:bCs/>
      <w:i/>
      <w:iCs/>
      <w:sz w:val="26"/>
      <w:szCs w:val="26"/>
    </w:rPr>
  </w:style>
  <w:style w:type="paragraph" w:styleId="Heading6">
    <w:name w:val="heading 6"/>
    <w:basedOn w:val="Normal"/>
    <w:next w:val="Normal"/>
    <w:qFormat/>
    <w:pPr>
      <w:spacing w:before="240" w:after="60"/>
      <w:outlineLvl w:val="5"/>
    </w:pPr>
    <w:rPr>
      <w:b/>
      <w:bCs/>
      <w:sz w:val="22"/>
      <w:szCs w:val="22"/>
    </w:rPr>
  </w:style>
  <w:style w:type="paragraph" w:styleId="Heading7">
    <w:name w:val="heading 7"/>
    <w:basedOn w:val="Normal"/>
    <w:next w:val="Normal"/>
    <w:qFormat/>
    <w:pPr>
      <w:spacing w:before="240" w:after="60"/>
      <w:outlineLvl w:val="6"/>
    </w:pPr>
  </w:style>
  <w:style w:type="paragraph" w:styleId="Heading8">
    <w:name w:val="heading 8"/>
    <w:basedOn w:val="Normal"/>
    <w:next w:val="Normal"/>
    <w:qFormat/>
    <w:pPr>
      <w:spacing w:before="240" w:after="60"/>
      <w:outlineLvl w:val="7"/>
    </w:pPr>
    <w:rPr>
      <w:i/>
      <w:iCs/>
    </w:rPr>
  </w:style>
  <w:style w:type="paragraph" w:styleId="Heading9">
    <w:name w:val="heading 9"/>
    <w:basedOn w:val="Normal"/>
    <w:next w:val="Normal"/>
    <w:qFormat/>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036CE2"/>
    <w:pPr>
      <w:spacing w:after="240"/>
      <w:jc w:val="both"/>
    </w:pPr>
  </w:style>
  <w:style w:type="character" w:customStyle="1" w:styleId="BodyTextChar">
    <w:name w:val="Body Text Char"/>
    <w:link w:val="BodyText"/>
    <w:rsid w:val="00036CE2"/>
    <w:rPr>
      <w:sz w:val="24"/>
      <w:szCs w:val="24"/>
    </w:rPr>
  </w:style>
  <w:style w:type="character" w:customStyle="1" w:styleId="Heading1Char">
    <w:name w:val="Heading 1 Char"/>
    <w:link w:val="Heading1"/>
    <w:rPr>
      <w:rFonts w:cs="Arial"/>
      <w:bCs/>
      <w:kern w:val="32"/>
      <w:sz w:val="24"/>
      <w:szCs w:val="32"/>
      <w:lang w:val="en-US" w:eastAsia="en-US" w:bidi="ar-SA"/>
    </w:rPr>
  </w:style>
  <w:style w:type="character" w:customStyle="1" w:styleId="Heading2Char">
    <w:name w:val="Heading 2 Char"/>
    <w:link w:val="Heading2"/>
    <w:rPr>
      <w:rFonts w:cs="Arial"/>
      <w:bCs/>
      <w:iCs/>
      <w:sz w:val="24"/>
      <w:szCs w:val="28"/>
      <w:lang w:val="en-US" w:eastAsia="en-US" w:bidi="ar-SA"/>
    </w:rPr>
  </w:style>
  <w:style w:type="paragraph" w:styleId="Header">
    <w:name w:val="header"/>
    <w:basedOn w:val="Normal"/>
    <w:pPr>
      <w:tabs>
        <w:tab w:val="center" w:pos="4320"/>
        <w:tab w:val="right" w:pos="8640"/>
      </w:tabs>
      <w:jc w:val="both"/>
    </w:pPr>
  </w:style>
  <w:style w:type="paragraph" w:styleId="Footer">
    <w:name w:val="footer"/>
    <w:basedOn w:val="Normal"/>
    <w:pPr>
      <w:tabs>
        <w:tab w:val="center" w:pos="4320"/>
        <w:tab w:val="right" w:pos="8640"/>
      </w:tabs>
    </w:pPr>
  </w:style>
  <w:style w:type="paragraph" w:customStyle="1" w:styleId="MemoAddresses">
    <w:name w:val="Memo Addresses"/>
    <w:basedOn w:val="Normal"/>
    <w:next w:val="Normal"/>
    <w:pPr>
      <w:spacing w:before="120"/>
      <w:ind w:left="1008" w:hanging="1008"/>
      <w:jc w:val="both"/>
    </w:pPr>
  </w:style>
  <w:style w:type="paragraph" w:customStyle="1" w:styleId="MastHeadPSC">
    <w:name w:val="MastHead PSC"/>
    <w:basedOn w:val="Normal"/>
    <w:next w:val="Normal"/>
    <w:rsid w:val="00E567E8"/>
    <w:pPr>
      <w:jc w:val="center"/>
    </w:pPr>
    <w:rPr>
      <w:b/>
      <w:sz w:val="48"/>
      <w:szCs w:val="48"/>
    </w:rPr>
  </w:style>
  <w:style w:type="paragraph" w:customStyle="1" w:styleId="MastHeadMemorandum">
    <w:name w:val="MastHead Memorandum"/>
    <w:basedOn w:val="Normal"/>
    <w:next w:val="Normal"/>
    <w:pPr>
      <w:jc w:val="center"/>
    </w:pPr>
    <w:rPr>
      <w:b/>
      <w:sz w:val="28"/>
      <w:szCs w:val="28"/>
    </w:rPr>
  </w:style>
  <w:style w:type="paragraph" w:customStyle="1" w:styleId="MastHeadAddress">
    <w:name w:val="MastHead Address"/>
    <w:basedOn w:val="Normal"/>
    <w:next w:val="Normal"/>
    <w:pPr>
      <w:spacing w:after="200"/>
      <w:jc w:val="center"/>
    </w:pPr>
    <w:rPr>
      <w:b/>
      <w:smallCaps/>
      <w:sz w:val="20"/>
      <w:szCs w:val="20"/>
    </w:rPr>
  </w:style>
  <w:style w:type="paragraph" w:customStyle="1" w:styleId="MastHeadState">
    <w:name w:val="MastHead State"/>
    <w:basedOn w:val="Normal"/>
    <w:next w:val="Normal"/>
    <w:pPr>
      <w:jc w:val="center"/>
    </w:pPr>
    <w:rPr>
      <w:b/>
      <w:sz w:val="28"/>
      <w:szCs w:val="28"/>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moHeading">
    <w:name w:val="Memo Heading"/>
    <w:basedOn w:val="Normal"/>
    <w:next w:val="Normal"/>
    <w:pPr>
      <w:jc w:val="both"/>
    </w:pPr>
  </w:style>
  <w:style w:type="paragraph" w:customStyle="1" w:styleId="BlockText5">
    <w:name w:val="Block Text .5&quot;"/>
    <w:basedOn w:val="Normal"/>
    <w:pPr>
      <w:spacing w:after="120"/>
      <w:ind w:left="720" w:right="720"/>
    </w:pPr>
  </w:style>
  <w:style w:type="paragraph" w:customStyle="1" w:styleId="BlockText1">
    <w:name w:val="Block Text 1&quot;"/>
    <w:basedOn w:val="Normal"/>
    <w:pPr>
      <w:spacing w:after="120"/>
      <w:ind w:left="1440" w:right="1440"/>
    </w:pPr>
  </w:style>
  <w:style w:type="paragraph" w:customStyle="1" w:styleId="BlockText15">
    <w:name w:val="Block Text 1.5&quot;"/>
    <w:basedOn w:val="Normal"/>
    <w:pPr>
      <w:spacing w:after="120"/>
      <w:ind w:left="2160" w:right="2160"/>
    </w:pPr>
  </w:style>
  <w:style w:type="paragraph" w:customStyle="1" w:styleId="IssueHeading">
    <w:name w:val="Issue Heading"/>
    <w:basedOn w:val="Heading1"/>
    <w:next w:val="BodyText"/>
    <w:link w:val="IssueHeadingChar"/>
    <w:qFormat/>
    <w:rsid w:val="00920E64"/>
    <w:pPr>
      <w:keepNext w:val="0"/>
    </w:pPr>
    <w:rPr>
      <w:rFonts w:ascii="Arial" w:hAnsi="Arial"/>
      <w:b/>
      <w:i/>
    </w:rPr>
  </w:style>
  <w:style w:type="character" w:customStyle="1" w:styleId="IssueHeadingChar">
    <w:name w:val="Issue Heading Char"/>
    <w:link w:val="IssueHeading"/>
    <w:rsid w:val="00920E64"/>
    <w:rPr>
      <w:rFonts w:ascii="Arial" w:hAnsi="Arial" w:cs="Arial"/>
      <w:b/>
      <w:bCs/>
      <w:i/>
      <w:kern w:val="32"/>
      <w:sz w:val="24"/>
      <w:szCs w:val="32"/>
    </w:rPr>
  </w:style>
  <w:style w:type="paragraph" w:customStyle="1" w:styleId="MemoHeadingRe">
    <w:name w:val="Memo Heading Re"/>
    <w:basedOn w:val="MemoHeading"/>
    <w:pPr>
      <w:tabs>
        <w:tab w:val="left" w:pos="2520"/>
        <w:tab w:val="left" w:pos="2736"/>
      </w:tabs>
    </w:pPr>
  </w:style>
  <w:style w:type="paragraph" w:styleId="TOC1">
    <w:name w:val="toc 1"/>
    <w:basedOn w:val="Normal"/>
    <w:next w:val="Normal"/>
    <w:pPr>
      <w:tabs>
        <w:tab w:val="left" w:pos="864"/>
        <w:tab w:val="right" w:leader="dot" w:pos="9360"/>
      </w:tabs>
      <w:ind w:left="864" w:right="360" w:hanging="864"/>
    </w:pPr>
  </w:style>
  <w:style w:type="character" w:styleId="Hyperlink">
    <w:name w:val="Hyperlink"/>
    <w:rPr>
      <w:color w:val="0000FF"/>
      <w:u w:val="single"/>
    </w:rPr>
  </w:style>
  <w:style w:type="paragraph" w:customStyle="1" w:styleId="RecommendationMajorSectionHeading">
    <w:name w:val="Recommendation Major Section Heading"/>
    <w:basedOn w:val="Heading1"/>
    <w:next w:val="BodyText"/>
    <w:rsid w:val="00F55332"/>
    <w:pPr>
      <w:jc w:val="center"/>
    </w:pPr>
    <w:rPr>
      <w:rFonts w:ascii="Arial" w:hAnsi="Arial"/>
      <w:b/>
    </w:rPr>
  </w:style>
  <w:style w:type="paragraph" w:customStyle="1" w:styleId="IssueSubsectionHeading">
    <w:name w:val="Issue Subsection Heading"/>
    <w:basedOn w:val="Heading2"/>
    <w:next w:val="BodyText"/>
    <w:link w:val="IssueSubsectionHeadingChar"/>
    <w:qFormat/>
    <w:rsid w:val="00920E64"/>
    <w:pPr>
      <w:keepNext w:val="0"/>
    </w:pPr>
    <w:rPr>
      <w:rFonts w:ascii="Arial" w:hAnsi="Arial"/>
      <w:b/>
      <w:i/>
    </w:rPr>
  </w:style>
  <w:style w:type="character" w:customStyle="1" w:styleId="IssueSubsectionHeadingChar">
    <w:name w:val="Issue Subsection Heading Char"/>
    <w:link w:val="IssueSubsectionHeading"/>
    <w:rsid w:val="00920E64"/>
    <w:rPr>
      <w:rFonts w:ascii="Arial" w:hAnsi="Arial" w:cs="Arial"/>
      <w:b/>
      <w:bCs/>
      <w:i/>
      <w:iCs/>
      <w:sz w:val="24"/>
      <w:szCs w:val="28"/>
    </w:rPr>
  </w:style>
  <w:style w:type="paragraph" w:customStyle="1" w:styleId="RecommendationHeading">
    <w:name w:val="Recommendation Heading"/>
    <w:basedOn w:val="Heading1"/>
    <w:next w:val="BodyText"/>
    <w:pPr>
      <w:keepNext w:val="0"/>
      <w:jc w:val="center"/>
    </w:pPr>
    <w:rPr>
      <w:b/>
      <w:u w:val="single"/>
    </w:rPr>
  </w:style>
  <w:style w:type="paragraph" w:customStyle="1" w:styleId="DiscussionofIssues">
    <w:name w:val="Discussion of Issues"/>
    <w:basedOn w:val="RecommendationMajorSectionHeading"/>
    <w:next w:val="BodyText"/>
    <w:pPr>
      <w:spacing w:after="0"/>
    </w:pPr>
  </w:style>
  <w:style w:type="character" w:styleId="PageNumber">
    <w:name w:val="page number"/>
    <w:basedOn w:val="DefaultParagraphFont"/>
  </w:style>
  <w:style w:type="paragraph" w:customStyle="1" w:styleId="TOCColumnHeadings">
    <w:name w:val="TOC Column Headings"/>
    <w:basedOn w:val="Normal"/>
    <w:rsid w:val="003864CF"/>
    <w:pPr>
      <w:tabs>
        <w:tab w:val="left" w:pos="864"/>
        <w:tab w:val="right" w:pos="9360"/>
      </w:tabs>
    </w:pPr>
    <w:rPr>
      <w:rFonts w:ascii="Arial" w:hAnsi="Arial"/>
      <w:b/>
      <w:i/>
    </w:rPr>
  </w:style>
  <w:style w:type="table" w:customStyle="1" w:styleId="TableMasthead">
    <w:name w:val="Table Masthead"/>
    <w:basedOn w:val="TableGrid"/>
    <w:tblPr/>
  </w:style>
  <w:style w:type="paragraph" w:customStyle="1" w:styleId="StyleHeading1BoldUnderline">
    <w:name w:val="Style Heading 1 + Bold Underline"/>
    <w:basedOn w:val="Heading1"/>
    <w:link w:val="StyleHeading1BoldUnderlineChar"/>
    <w:pPr>
      <w:keepNext w:val="0"/>
      <w:spacing w:before="240"/>
    </w:pPr>
    <w:rPr>
      <w:b/>
      <w:u w:val="single"/>
    </w:rPr>
  </w:style>
  <w:style w:type="character" w:customStyle="1" w:styleId="StyleHeading1BoldUnderlineChar">
    <w:name w:val="Style Heading 1 + Bold Underline Char"/>
    <w:link w:val="StyleHeading1BoldUnderline"/>
    <w:rPr>
      <w:rFonts w:cs="Arial"/>
      <w:b/>
      <w:bCs/>
      <w:kern w:val="32"/>
      <w:sz w:val="24"/>
      <w:szCs w:val="32"/>
      <w:u w:val="single"/>
      <w:lang w:val="en-US" w:eastAsia="en-US" w:bidi="ar-SA"/>
    </w:rPr>
  </w:style>
  <w:style w:type="paragraph" w:customStyle="1" w:styleId="RecommendationIssueGroupingSection">
    <w:name w:val="Recommendation Issue Grouping Section"/>
    <w:basedOn w:val="RecommendationMajorSectionHeading"/>
    <w:next w:val="IssueHeading"/>
    <w:pPr>
      <w:jc w:val="left"/>
    </w:pPr>
  </w:style>
  <w:style w:type="paragraph" w:styleId="FootnoteText">
    <w:name w:val="footnote text"/>
    <w:basedOn w:val="Normal"/>
    <w:pPr>
      <w:jc w:val="both"/>
    </w:pPr>
    <w:rPr>
      <w:sz w:val="20"/>
      <w:szCs w:val="20"/>
    </w:rPr>
  </w:style>
  <w:style w:type="paragraph" w:styleId="TOC3">
    <w:name w:val="toc 3"/>
    <w:basedOn w:val="TOC2"/>
    <w:next w:val="Normal"/>
    <w:pPr>
      <w:tabs>
        <w:tab w:val="clear" w:pos="1152"/>
        <w:tab w:val="left" w:pos="1584"/>
      </w:tabs>
      <w:ind w:left="1584" w:hanging="432"/>
    </w:pPr>
  </w:style>
  <w:style w:type="paragraph" w:styleId="TOC2">
    <w:name w:val="toc 2"/>
    <w:basedOn w:val="TOC1"/>
    <w:next w:val="Normal"/>
    <w:pPr>
      <w:tabs>
        <w:tab w:val="clear" w:pos="864"/>
        <w:tab w:val="left" w:pos="1152"/>
      </w:tabs>
      <w:ind w:left="1152" w:hanging="288"/>
    </w:pPr>
  </w:style>
  <w:style w:type="paragraph" w:styleId="DocumentMap">
    <w:name w:val="Document Map"/>
    <w:basedOn w:val="Normal"/>
    <w:semiHidden/>
    <w:pPr>
      <w:shd w:val="clear" w:color="auto" w:fill="000080"/>
    </w:pPr>
    <w:rPr>
      <w:rFonts w:ascii="Tahoma" w:hAnsi="Tahoma" w:cs="Tahoma"/>
    </w:rPr>
  </w:style>
  <w:style w:type="paragraph" w:styleId="BalloonText">
    <w:name w:val="Balloon Text"/>
    <w:basedOn w:val="Normal"/>
    <w:semiHidden/>
    <w:rPr>
      <w:rFonts w:ascii="Tahoma" w:hAnsi="Tahoma" w:cs="Tahoma"/>
      <w:sz w:val="16"/>
      <w:szCs w:val="16"/>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szCs w:val="16"/>
    </w:rPr>
  </w:style>
  <w:style w:type="paragraph" w:styleId="BodyTextFirstIndent">
    <w:name w:val="Body Text First Indent"/>
    <w:basedOn w:val="BodyText"/>
    <w:pPr>
      <w:spacing w:after="120"/>
      <w:ind w:firstLine="210"/>
      <w:jc w:val="left"/>
    </w:pPr>
  </w:style>
  <w:style w:type="paragraph" w:styleId="BodyTextIndent">
    <w:name w:val="Body Text Indent"/>
    <w:basedOn w:val="Normal"/>
    <w:pPr>
      <w:spacing w:after="120"/>
      <w:ind w:left="360"/>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360"/>
    </w:pPr>
  </w:style>
  <w:style w:type="paragraph" w:styleId="BodyTextIndent3">
    <w:name w:val="Body Text Indent 3"/>
    <w:basedOn w:val="Normal"/>
    <w:pPr>
      <w:spacing w:after="120"/>
      <w:ind w:left="360"/>
    </w:pPr>
    <w:rPr>
      <w:sz w:val="16"/>
      <w:szCs w:val="16"/>
    </w:rPr>
  </w:style>
  <w:style w:type="paragraph" w:styleId="Caption">
    <w:name w:val="caption"/>
    <w:basedOn w:val="Normal"/>
    <w:next w:val="Normal"/>
    <w:qFormat/>
    <w:pPr>
      <w:spacing w:before="120" w:after="120"/>
    </w:pPr>
    <w:rPr>
      <w:b/>
      <w:bCs/>
      <w:sz w:val="20"/>
      <w:szCs w:val="20"/>
    </w:rPr>
  </w:style>
  <w:style w:type="paragraph" w:styleId="Closing">
    <w:name w:val="Closing"/>
    <w:basedOn w:val="Normal"/>
    <w:pPr>
      <w:ind w:left="4320"/>
    </w:pPr>
  </w:style>
  <w:style w:type="paragraph" w:styleId="CommentText">
    <w:name w:val="annotation text"/>
    <w:basedOn w:val="Normal"/>
    <w:semiHidden/>
    <w:rPr>
      <w:sz w:val="20"/>
      <w:szCs w:val="20"/>
    </w:rPr>
  </w:style>
  <w:style w:type="paragraph" w:styleId="CommentSubject">
    <w:name w:val="annotation subject"/>
    <w:basedOn w:val="CommentText"/>
    <w:next w:val="CommentText"/>
    <w:semiHidden/>
    <w:rPr>
      <w:b/>
      <w:bCs/>
    </w:rPr>
  </w:style>
  <w:style w:type="paragraph" w:styleId="Date">
    <w:name w:val="Date"/>
    <w:basedOn w:val="Normal"/>
    <w:next w:val="Normal"/>
  </w:style>
  <w:style w:type="paragraph" w:styleId="E-mailSignature">
    <w:name w:val="E-mail Signature"/>
    <w:basedOn w:val="Normal"/>
  </w:style>
  <w:style w:type="paragraph" w:styleId="EndnoteText">
    <w:name w:val="endnote text"/>
    <w:basedOn w:val="Normal"/>
    <w:semiHidden/>
    <w:rPr>
      <w:sz w:val="20"/>
      <w:szCs w:val="20"/>
    </w:rPr>
  </w:style>
  <w:style w:type="paragraph" w:styleId="EnvelopeAddress">
    <w:name w:val="envelope address"/>
    <w:basedOn w:val="Normal"/>
    <w:pPr>
      <w:framePr w:w="7920" w:h="1980" w:hRule="exact" w:hSpace="180" w:wrap="auto" w:hAnchor="page" w:xAlign="center" w:yAlign="bottom"/>
      <w:ind w:left="2880"/>
    </w:pPr>
    <w:rPr>
      <w:rFonts w:ascii="Arial" w:hAnsi="Arial" w:cs="Arial"/>
    </w:rPr>
  </w:style>
  <w:style w:type="paragraph" w:styleId="EnvelopeReturn">
    <w:name w:val="envelope return"/>
    <w:basedOn w:val="Normal"/>
    <w:rPr>
      <w:rFonts w:ascii="Arial" w:hAnsi="Arial" w:cs="Arial"/>
      <w:sz w:val="20"/>
      <w:szCs w:val="20"/>
    </w:rPr>
  </w:style>
  <w:style w:type="paragraph" w:styleId="HTMLAddress">
    <w:name w:val="HTML Address"/>
    <w:basedOn w:val="Normal"/>
    <w:rPr>
      <w:i/>
      <w:iCs/>
    </w:rPr>
  </w:style>
  <w:style w:type="paragraph" w:styleId="HTMLPreformatted">
    <w:name w:val="HTML Preformatted"/>
    <w:basedOn w:val="Normal"/>
    <w:rPr>
      <w:rFonts w:ascii="Courier New" w:hAnsi="Courier New" w:cs="Courier New"/>
      <w:sz w:val="20"/>
      <w:szCs w:val="20"/>
    </w:r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cs="Arial"/>
      <w:b/>
      <w:bCs/>
    </w:rPr>
  </w:style>
  <w:style w:type="paragraph" w:styleId="List">
    <w:name w:val="List"/>
    <w:basedOn w:val="Normal"/>
    <w:pPr>
      <w:ind w:left="360" w:hanging="360"/>
    </w:pPr>
  </w:style>
  <w:style w:type="paragraph" w:styleId="List2">
    <w:name w:val="List 2"/>
    <w:basedOn w:val="Normal"/>
    <w:pPr>
      <w:ind w:left="720" w:hanging="360"/>
    </w:pPr>
  </w:style>
  <w:style w:type="paragraph" w:styleId="List3">
    <w:name w:val="List 3"/>
    <w:basedOn w:val="Normal"/>
    <w:pPr>
      <w:ind w:left="1080" w:hanging="360"/>
    </w:pPr>
  </w:style>
  <w:style w:type="paragraph" w:styleId="List4">
    <w:name w:val="List 4"/>
    <w:basedOn w:val="Normal"/>
    <w:pPr>
      <w:ind w:left="1440" w:hanging="360"/>
    </w:pPr>
  </w:style>
  <w:style w:type="paragraph" w:styleId="List5">
    <w:name w:val="List 5"/>
    <w:basedOn w:val="Normal"/>
    <w:pPr>
      <w:ind w:left="1800" w:hanging="360"/>
    </w:pPr>
  </w:style>
  <w:style w:type="paragraph" w:styleId="ListBullet">
    <w:name w:val="List Bullet"/>
    <w:basedOn w:val="Normal"/>
    <w:autoRedefine/>
    <w:pPr>
      <w:tabs>
        <w:tab w:val="num" w:pos="360"/>
      </w:tabs>
      <w:ind w:left="360" w:hanging="360"/>
    </w:pPr>
  </w:style>
  <w:style w:type="paragraph" w:styleId="ListBullet2">
    <w:name w:val="List Bullet 2"/>
    <w:basedOn w:val="Normal"/>
    <w:autoRedefine/>
    <w:pPr>
      <w:tabs>
        <w:tab w:val="num" w:pos="720"/>
      </w:tabs>
      <w:ind w:left="720" w:hanging="360"/>
    </w:pPr>
  </w:style>
  <w:style w:type="paragraph" w:styleId="ListBullet3">
    <w:name w:val="List Bullet 3"/>
    <w:basedOn w:val="Normal"/>
    <w:autoRedefine/>
    <w:pPr>
      <w:tabs>
        <w:tab w:val="num" w:pos="1080"/>
      </w:tabs>
      <w:ind w:left="1080" w:hanging="360"/>
    </w:pPr>
  </w:style>
  <w:style w:type="paragraph" w:styleId="ListBullet4">
    <w:name w:val="List Bullet 4"/>
    <w:basedOn w:val="Normal"/>
    <w:autoRedefine/>
    <w:pPr>
      <w:tabs>
        <w:tab w:val="num" w:pos="1440"/>
      </w:tabs>
      <w:ind w:left="1440" w:hanging="360"/>
    </w:pPr>
  </w:style>
  <w:style w:type="paragraph" w:styleId="ListBullet5">
    <w:name w:val="List Bullet 5"/>
    <w:basedOn w:val="Normal"/>
    <w:autoRedefine/>
    <w:pPr>
      <w:tabs>
        <w:tab w:val="num" w:pos="1800"/>
      </w:tabs>
      <w:ind w:left="1800" w:hanging="360"/>
    </w:pPr>
  </w:style>
  <w:style w:type="paragraph" w:styleId="ListContinue">
    <w:name w:val="List Continue"/>
    <w:basedOn w:val="Normal"/>
    <w:pPr>
      <w:spacing w:after="120"/>
      <w:ind w:left="360"/>
    </w:pPr>
  </w:style>
  <w:style w:type="paragraph" w:styleId="ListContinue2">
    <w:name w:val="List Continue 2"/>
    <w:basedOn w:val="Normal"/>
    <w:pPr>
      <w:spacing w:after="120"/>
      <w:ind w:left="720"/>
    </w:pPr>
  </w:style>
  <w:style w:type="paragraph" w:styleId="ListContinue3">
    <w:name w:val="List Continue 3"/>
    <w:basedOn w:val="Normal"/>
    <w:pPr>
      <w:spacing w:after="120"/>
      <w:ind w:left="1080"/>
    </w:pPr>
  </w:style>
  <w:style w:type="paragraph" w:styleId="ListContinue4">
    <w:name w:val="List Continue 4"/>
    <w:basedOn w:val="Normal"/>
    <w:pPr>
      <w:spacing w:after="120"/>
      <w:ind w:left="1440"/>
    </w:pPr>
  </w:style>
  <w:style w:type="paragraph" w:styleId="ListContinue5">
    <w:name w:val="List Continue 5"/>
    <w:basedOn w:val="Normal"/>
    <w:pPr>
      <w:spacing w:after="120"/>
      <w:ind w:left="1800"/>
    </w:pPr>
  </w:style>
  <w:style w:type="paragraph" w:styleId="ListNumber">
    <w:name w:val="List Number"/>
    <w:basedOn w:val="Normal"/>
    <w:pPr>
      <w:tabs>
        <w:tab w:val="num" w:pos="360"/>
      </w:tabs>
      <w:ind w:left="360" w:hanging="360"/>
    </w:pPr>
  </w:style>
  <w:style w:type="paragraph" w:styleId="ListNumber2">
    <w:name w:val="List Number 2"/>
    <w:basedOn w:val="Normal"/>
    <w:pPr>
      <w:tabs>
        <w:tab w:val="num" w:pos="720"/>
      </w:tabs>
      <w:ind w:left="720" w:hanging="360"/>
    </w:pPr>
  </w:style>
  <w:style w:type="paragraph" w:styleId="ListNumber3">
    <w:name w:val="List Number 3"/>
    <w:basedOn w:val="Normal"/>
    <w:pPr>
      <w:tabs>
        <w:tab w:val="num" w:pos="1080"/>
      </w:tabs>
      <w:ind w:left="1080" w:hanging="360"/>
    </w:pPr>
  </w:style>
  <w:style w:type="paragraph" w:styleId="ListNumber4">
    <w:name w:val="List Number 4"/>
    <w:basedOn w:val="Normal"/>
    <w:pPr>
      <w:tabs>
        <w:tab w:val="num" w:pos="1440"/>
      </w:tabs>
      <w:ind w:left="1440" w:hanging="360"/>
    </w:pPr>
  </w:style>
  <w:style w:type="paragraph" w:styleId="ListNumber5">
    <w:name w:val="List Number 5"/>
    <w:basedOn w:val="Normal"/>
    <w:pPr>
      <w:tabs>
        <w:tab w:val="num" w:pos="1800"/>
      </w:tabs>
      <w:ind w:left="1800" w:hanging="360"/>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style>
  <w:style w:type="paragraph" w:styleId="NormalIndent">
    <w:name w:val="Normal Indent"/>
    <w:basedOn w:val="Normal"/>
    <w:pPr>
      <w:ind w:left="720"/>
    </w:pPr>
  </w:style>
  <w:style w:type="paragraph" w:styleId="NoteHeading">
    <w:name w:val="Note Heading"/>
    <w:basedOn w:val="Normal"/>
    <w:next w:val="Normal"/>
  </w:style>
  <w:style w:type="paragraph" w:styleId="PlainText">
    <w:name w:val="Plain Text"/>
    <w:basedOn w:val="Normal"/>
    <w:rPr>
      <w:rFonts w:ascii="Courier New" w:hAnsi="Courier New" w:cs="Courier New"/>
      <w:sz w:val="20"/>
      <w:szCs w:val="20"/>
    </w:rPr>
  </w:style>
  <w:style w:type="paragraph" w:styleId="Salutation">
    <w:name w:val="Salutation"/>
    <w:basedOn w:val="Normal"/>
    <w:next w:val="Normal"/>
  </w:style>
  <w:style w:type="paragraph" w:styleId="Signature">
    <w:name w:val="Signature"/>
    <w:basedOn w:val="Normal"/>
    <w:pPr>
      <w:ind w:left="4320"/>
    </w:pPr>
  </w:style>
  <w:style w:type="paragraph" w:styleId="Subtitle">
    <w:name w:val="Subtitle"/>
    <w:basedOn w:val="Normal"/>
    <w:qFormat/>
    <w:pPr>
      <w:spacing w:after="60"/>
      <w:jc w:val="center"/>
      <w:outlineLvl w:val="1"/>
    </w:pPr>
    <w:rPr>
      <w:rFonts w:ascii="Arial" w:hAnsi="Arial" w:cs="Arial"/>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itle">
    <w:name w:val="Title"/>
    <w:basedOn w:val="Normal"/>
    <w:qFormat/>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pPr>
      <w:spacing w:before="120"/>
    </w:pPr>
    <w:rPr>
      <w:rFonts w:ascii="Arial" w:hAnsi="Arial" w:cs="Arial"/>
      <w:b/>
      <w:bCs/>
    </w:r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9">
    <w:name w:val="toc 9"/>
    <w:basedOn w:val="TOC1"/>
    <w:next w:val="Normal"/>
    <w:autoRedefine/>
    <w:pPr>
      <w:ind w:left="1728"/>
    </w:pPr>
    <w:rPr>
      <w:u w:val="single"/>
    </w:rPr>
  </w:style>
  <w:style w:type="paragraph" w:customStyle="1" w:styleId="MemoHeadingLabel">
    <w:name w:val="Memo Heading Label"/>
    <w:basedOn w:val="MemoHeading"/>
    <w:qFormat/>
    <w:rsid w:val="00506C03"/>
    <w:rPr>
      <w:rFonts w:ascii="Arial" w:hAnsi="Arial"/>
      <w:b/>
    </w:rPr>
  </w:style>
  <w:style w:type="paragraph" w:customStyle="1" w:styleId="First-LevelSubheading">
    <w:name w:val="First-Level Subheading"/>
    <w:basedOn w:val="IssueSubsectionHeading"/>
    <w:next w:val="BodyText"/>
    <w:qFormat/>
    <w:rsid w:val="00B57A6A"/>
    <w:pPr>
      <w:spacing w:after="0"/>
      <w:outlineLvl w:val="2"/>
    </w:pPr>
    <w:rPr>
      <w:i w:val="0"/>
    </w:rPr>
  </w:style>
  <w:style w:type="paragraph" w:customStyle="1" w:styleId="Second-LevelSubheading">
    <w:name w:val="Second-Level Subheading"/>
    <w:basedOn w:val="First-LevelSubheading"/>
    <w:next w:val="BodyText"/>
    <w:qFormat/>
    <w:rsid w:val="009070D6"/>
    <w:pPr>
      <w:ind w:left="720"/>
      <w:outlineLvl w:val="3"/>
    </w:pPr>
    <w:rPr>
      <w:i/>
    </w:rPr>
  </w:style>
  <w:style w:type="paragraph" w:customStyle="1" w:styleId="TableNumber">
    <w:name w:val="Table Number"/>
    <w:basedOn w:val="BodyText"/>
    <w:next w:val="BodyText"/>
    <w:qFormat/>
    <w:rsid w:val="00CA2C8F"/>
    <w:pPr>
      <w:spacing w:before="480" w:after="0"/>
      <w:jc w:val="center"/>
    </w:pPr>
    <w:rPr>
      <w:rFonts w:ascii="Arial" w:hAnsi="Arial"/>
      <w:b/>
    </w:rPr>
  </w:style>
  <w:style w:type="paragraph" w:customStyle="1" w:styleId="TableTitle">
    <w:name w:val="Table Title"/>
    <w:basedOn w:val="BodyText"/>
    <w:next w:val="BodyText"/>
    <w:qFormat/>
    <w:rsid w:val="00CA2C8F"/>
    <w:pPr>
      <w:spacing w:after="0"/>
      <w:jc w:val="center"/>
    </w:pPr>
    <w:rPr>
      <w:rFonts w:ascii="Arial" w:hAnsi="Arial"/>
      <w:b/>
    </w:rPr>
  </w:style>
  <w:style w:type="paragraph" w:customStyle="1" w:styleId="TableSource">
    <w:name w:val="Table Source"/>
    <w:basedOn w:val="BodyText"/>
    <w:next w:val="BodyText"/>
    <w:qFormat/>
    <w:rsid w:val="00CA2C8F"/>
    <w:pPr>
      <w:spacing w:after="480"/>
    </w:pPr>
  </w:style>
  <w:style w:type="paragraph" w:customStyle="1" w:styleId="PartyName">
    <w:name w:val="Party Name"/>
    <w:basedOn w:val="IssueSubsectionHeading"/>
    <w:next w:val="BodyText"/>
    <w:qFormat/>
    <w:rsid w:val="00920E64"/>
    <w:rPr>
      <w:i w:val="0"/>
    </w:rPr>
  </w:style>
  <w:style w:type="paragraph" w:customStyle="1" w:styleId="Third-LevelSubheading">
    <w:name w:val="Third-Level Subheading"/>
    <w:basedOn w:val="Second-LevelSubheading"/>
    <w:next w:val="BodyText"/>
    <w:qFormat/>
    <w:rsid w:val="00E275D8"/>
    <w:pPr>
      <w:ind w:left="1440"/>
      <w:outlineLvl w:val="4"/>
    </w:pPr>
  </w:style>
  <w:style w:type="character" w:styleId="FootnoteReference">
    <w:name w:val="footnote reference"/>
    <w:basedOn w:val="DefaultParagraphFont"/>
    <w:rsid w:val="003A7046"/>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BodyText"/>
    <w:link w:val="Heading1Char"/>
    <w:qFormat/>
    <w:pPr>
      <w:keepNext/>
      <w:spacing w:after="240"/>
      <w:jc w:val="both"/>
      <w:outlineLvl w:val="0"/>
    </w:pPr>
    <w:rPr>
      <w:rFonts w:cs="Arial"/>
      <w:bCs/>
      <w:kern w:val="32"/>
      <w:szCs w:val="32"/>
    </w:rPr>
  </w:style>
  <w:style w:type="paragraph" w:styleId="Heading2">
    <w:name w:val="heading 2"/>
    <w:basedOn w:val="Normal"/>
    <w:next w:val="BodyText"/>
    <w:link w:val="Heading2Char"/>
    <w:qFormat/>
    <w:pPr>
      <w:keepNext/>
      <w:spacing w:after="240"/>
      <w:jc w:val="both"/>
      <w:outlineLvl w:val="1"/>
    </w:pPr>
    <w:rPr>
      <w:rFonts w:cs="Arial"/>
      <w:bCs/>
      <w:iCs/>
      <w:szCs w:val="28"/>
    </w:rPr>
  </w:style>
  <w:style w:type="paragraph" w:styleId="Heading3">
    <w:name w:val="heading 3"/>
    <w:basedOn w:val="BodyText"/>
    <w:next w:val="BodyText"/>
    <w:qFormat/>
    <w:pPr>
      <w:outlineLvl w:val="2"/>
    </w:pPr>
  </w:style>
  <w:style w:type="paragraph" w:styleId="Heading4">
    <w:name w:val="heading 4"/>
    <w:basedOn w:val="Normal"/>
    <w:next w:val="Normal"/>
    <w:qFormat/>
    <w:pPr>
      <w:keepNext/>
      <w:spacing w:before="240" w:after="60"/>
      <w:outlineLvl w:val="3"/>
    </w:pPr>
    <w:rPr>
      <w:b/>
      <w:bCs/>
      <w:sz w:val="28"/>
      <w:szCs w:val="28"/>
    </w:rPr>
  </w:style>
  <w:style w:type="paragraph" w:styleId="Heading5">
    <w:name w:val="heading 5"/>
    <w:basedOn w:val="Normal"/>
    <w:next w:val="Normal"/>
    <w:qFormat/>
    <w:pPr>
      <w:spacing w:before="240" w:after="60"/>
      <w:outlineLvl w:val="4"/>
    </w:pPr>
    <w:rPr>
      <w:b/>
      <w:bCs/>
      <w:i/>
      <w:iCs/>
      <w:sz w:val="26"/>
      <w:szCs w:val="26"/>
    </w:rPr>
  </w:style>
  <w:style w:type="paragraph" w:styleId="Heading6">
    <w:name w:val="heading 6"/>
    <w:basedOn w:val="Normal"/>
    <w:next w:val="Normal"/>
    <w:qFormat/>
    <w:pPr>
      <w:spacing w:before="240" w:after="60"/>
      <w:outlineLvl w:val="5"/>
    </w:pPr>
    <w:rPr>
      <w:b/>
      <w:bCs/>
      <w:sz w:val="22"/>
      <w:szCs w:val="22"/>
    </w:rPr>
  </w:style>
  <w:style w:type="paragraph" w:styleId="Heading7">
    <w:name w:val="heading 7"/>
    <w:basedOn w:val="Normal"/>
    <w:next w:val="Normal"/>
    <w:qFormat/>
    <w:pPr>
      <w:spacing w:before="240" w:after="60"/>
      <w:outlineLvl w:val="6"/>
    </w:pPr>
  </w:style>
  <w:style w:type="paragraph" w:styleId="Heading8">
    <w:name w:val="heading 8"/>
    <w:basedOn w:val="Normal"/>
    <w:next w:val="Normal"/>
    <w:qFormat/>
    <w:pPr>
      <w:spacing w:before="240" w:after="60"/>
      <w:outlineLvl w:val="7"/>
    </w:pPr>
    <w:rPr>
      <w:i/>
      <w:iCs/>
    </w:rPr>
  </w:style>
  <w:style w:type="paragraph" w:styleId="Heading9">
    <w:name w:val="heading 9"/>
    <w:basedOn w:val="Normal"/>
    <w:next w:val="Normal"/>
    <w:qFormat/>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036CE2"/>
    <w:pPr>
      <w:spacing w:after="240"/>
      <w:jc w:val="both"/>
    </w:pPr>
  </w:style>
  <w:style w:type="character" w:customStyle="1" w:styleId="BodyTextChar">
    <w:name w:val="Body Text Char"/>
    <w:link w:val="BodyText"/>
    <w:rsid w:val="00036CE2"/>
    <w:rPr>
      <w:sz w:val="24"/>
      <w:szCs w:val="24"/>
    </w:rPr>
  </w:style>
  <w:style w:type="character" w:customStyle="1" w:styleId="Heading1Char">
    <w:name w:val="Heading 1 Char"/>
    <w:link w:val="Heading1"/>
    <w:rPr>
      <w:rFonts w:cs="Arial"/>
      <w:bCs/>
      <w:kern w:val="32"/>
      <w:sz w:val="24"/>
      <w:szCs w:val="32"/>
      <w:lang w:val="en-US" w:eastAsia="en-US" w:bidi="ar-SA"/>
    </w:rPr>
  </w:style>
  <w:style w:type="character" w:customStyle="1" w:styleId="Heading2Char">
    <w:name w:val="Heading 2 Char"/>
    <w:link w:val="Heading2"/>
    <w:rPr>
      <w:rFonts w:cs="Arial"/>
      <w:bCs/>
      <w:iCs/>
      <w:sz w:val="24"/>
      <w:szCs w:val="28"/>
      <w:lang w:val="en-US" w:eastAsia="en-US" w:bidi="ar-SA"/>
    </w:rPr>
  </w:style>
  <w:style w:type="paragraph" w:styleId="Header">
    <w:name w:val="header"/>
    <w:basedOn w:val="Normal"/>
    <w:pPr>
      <w:tabs>
        <w:tab w:val="center" w:pos="4320"/>
        <w:tab w:val="right" w:pos="8640"/>
      </w:tabs>
      <w:jc w:val="both"/>
    </w:pPr>
  </w:style>
  <w:style w:type="paragraph" w:styleId="Footer">
    <w:name w:val="footer"/>
    <w:basedOn w:val="Normal"/>
    <w:pPr>
      <w:tabs>
        <w:tab w:val="center" w:pos="4320"/>
        <w:tab w:val="right" w:pos="8640"/>
      </w:tabs>
    </w:pPr>
  </w:style>
  <w:style w:type="paragraph" w:customStyle="1" w:styleId="MemoAddresses">
    <w:name w:val="Memo Addresses"/>
    <w:basedOn w:val="Normal"/>
    <w:next w:val="Normal"/>
    <w:pPr>
      <w:spacing w:before="120"/>
      <w:ind w:left="1008" w:hanging="1008"/>
      <w:jc w:val="both"/>
    </w:pPr>
  </w:style>
  <w:style w:type="paragraph" w:customStyle="1" w:styleId="MastHeadPSC">
    <w:name w:val="MastHead PSC"/>
    <w:basedOn w:val="Normal"/>
    <w:next w:val="Normal"/>
    <w:rsid w:val="00E567E8"/>
    <w:pPr>
      <w:jc w:val="center"/>
    </w:pPr>
    <w:rPr>
      <w:b/>
      <w:sz w:val="48"/>
      <w:szCs w:val="48"/>
    </w:rPr>
  </w:style>
  <w:style w:type="paragraph" w:customStyle="1" w:styleId="MastHeadMemorandum">
    <w:name w:val="MastHead Memorandum"/>
    <w:basedOn w:val="Normal"/>
    <w:next w:val="Normal"/>
    <w:pPr>
      <w:jc w:val="center"/>
    </w:pPr>
    <w:rPr>
      <w:b/>
      <w:sz w:val="28"/>
      <w:szCs w:val="28"/>
    </w:rPr>
  </w:style>
  <w:style w:type="paragraph" w:customStyle="1" w:styleId="MastHeadAddress">
    <w:name w:val="MastHead Address"/>
    <w:basedOn w:val="Normal"/>
    <w:next w:val="Normal"/>
    <w:pPr>
      <w:spacing w:after="200"/>
      <w:jc w:val="center"/>
    </w:pPr>
    <w:rPr>
      <w:b/>
      <w:smallCaps/>
      <w:sz w:val="20"/>
      <w:szCs w:val="20"/>
    </w:rPr>
  </w:style>
  <w:style w:type="paragraph" w:customStyle="1" w:styleId="MastHeadState">
    <w:name w:val="MastHead State"/>
    <w:basedOn w:val="Normal"/>
    <w:next w:val="Normal"/>
    <w:pPr>
      <w:jc w:val="center"/>
    </w:pPr>
    <w:rPr>
      <w:b/>
      <w:sz w:val="28"/>
      <w:szCs w:val="28"/>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moHeading">
    <w:name w:val="Memo Heading"/>
    <w:basedOn w:val="Normal"/>
    <w:next w:val="Normal"/>
    <w:pPr>
      <w:jc w:val="both"/>
    </w:pPr>
  </w:style>
  <w:style w:type="paragraph" w:customStyle="1" w:styleId="BlockText5">
    <w:name w:val="Block Text .5&quot;"/>
    <w:basedOn w:val="Normal"/>
    <w:pPr>
      <w:spacing w:after="120"/>
      <w:ind w:left="720" w:right="720"/>
    </w:pPr>
  </w:style>
  <w:style w:type="paragraph" w:customStyle="1" w:styleId="BlockText1">
    <w:name w:val="Block Text 1&quot;"/>
    <w:basedOn w:val="Normal"/>
    <w:pPr>
      <w:spacing w:after="120"/>
      <w:ind w:left="1440" w:right="1440"/>
    </w:pPr>
  </w:style>
  <w:style w:type="paragraph" w:customStyle="1" w:styleId="BlockText15">
    <w:name w:val="Block Text 1.5&quot;"/>
    <w:basedOn w:val="Normal"/>
    <w:pPr>
      <w:spacing w:after="120"/>
      <w:ind w:left="2160" w:right="2160"/>
    </w:pPr>
  </w:style>
  <w:style w:type="paragraph" w:customStyle="1" w:styleId="IssueHeading">
    <w:name w:val="Issue Heading"/>
    <w:basedOn w:val="Heading1"/>
    <w:next w:val="BodyText"/>
    <w:link w:val="IssueHeadingChar"/>
    <w:qFormat/>
    <w:rsid w:val="00920E64"/>
    <w:pPr>
      <w:keepNext w:val="0"/>
    </w:pPr>
    <w:rPr>
      <w:rFonts w:ascii="Arial" w:hAnsi="Arial"/>
      <w:b/>
      <w:i/>
    </w:rPr>
  </w:style>
  <w:style w:type="character" w:customStyle="1" w:styleId="IssueHeadingChar">
    <w:name w:val="Issue Heading Char"/>
    <w:link w:val="IssueHeading"/>
    <w:rsid w:val="00920E64"/>
    <w:rPr>
      <w:rFonts w:ascii="Arial" w:hAnsi="Arial" w:cs="Arial"/>
      <w:b/>
      <w:bCs/>
      <w:i/>
      <w:kern w:val="32"/>
      <w:sz w:val="24"/>
      <w:szCs w:val="32"/>
    </w:rPr>
  </w:style>
  <w:style w:type="paragraph" w:customStyle="1" w:styleId="MemoHeadingRe">
    <w:name w:val="Memo Heading Re"/>
    <w:basedOn w:val="MemoHeading"/>
    <w:pPr>
      <w:tabs>
        <w:tab w:val="left" w:pos="2520"/>
        <w:tab w:val="left" w:pos="2736"/>
      </w:tabs>
    </w:pPr>
  </w:style>
  <w:style w:type="paragraph" w:styleId="TOC1">
    <w:name w:val="toc 1"/>
    <w:basedOn w:val="Normal"/>
    <w:next w:val="Normal"/>
    <w:pPr>
      <w:tabs>
        <w:tab w:val="left" w:pos="864"/>
        <w:tab w:val="right" w:leader="dot" w:pos="9360"/>
      </w:tabs>
      <w:ind w:left="864" w:right="360" w:hanging="864"/>
    </w:pPr>
  </w:style>
  <w:style w:type="character" w:styleId="Hyperlink">
    <w:name w:val="Hyperlink"/>
    <w:rPr>
      <w:color w:val="0000FF"/>
      <w:u w:val="single"/>
    </w:rPr>
  </w:style>
  <w:style w:type="paragraph" w:customStyle="1" w:styleId="RecommendationMajorSectionHeading">
    <w:name w:val="Recommendation Major Section Heading"/>
    <w:basedOn w:val="Heading1"/>
    <w:next w:val="BodyText"/>
    <w:rsid w:val="00F55332"/>
    <w:pPr>
      <w:jc w:val="center"/>
    </w:pPr>
    <w:rPr>
      <w:rFonts w:ascii="Arial" w:hAnsi="Arial"/>
      <w:b/>
    </w:rPr>
  </w:style>
  <w:style w:type="paragraph" w:customStyle="1" w:styleId="IssueSubsectionHeading">
    <w:name w:val="Issue Subsection Heading"/>
    <w:basedOn w:val="Heading2"/>
    <w:next w:val="BodyText"/>
    <w:link w:val="IssueSubsectionHeadingChar"/>
    <w:qFormat/>
    <w:rsid w:val="00920E64"/>
    <w:pPr>
      <w:keepNext w:val="0"/>
    </w:pPr>
    <w:rPr>
      <w:rFonts w:ascii="Arial" w:hAnsi="Arial"/>
      <w:b/>
      <w:i/>
    </w:rPr>
  </w:style>
  <w:style w:type="character" w:customStyle="1" w:styleId="IssueSubsectionHeadingChar">
    <w:name w:val="Issue Subsection Heading Char"/>
    <w:link w:val="IssueSubsectionHeading"/>
    <w:rsid w:val="00920E64"/>
    <w:rPr>
      <w:rFonts w:ascii="Arial" w:hAnsi="Arial" w:cs="Arial"/>
      <w:b/>
      <w:bCs/>
      <w:i/>
      <w:iCs/>
      <w:sz w:val="24"/>
      <w:szCs w:val="28"/>
    </w:rPr>
  </w:style>
  <w:style w:type="paragraph" w:customStyle="1" w:styleId="RecommendationHeading">
    <w:name w:val="Recommendation Heading"/>
    <w:basedOn w:val="Heading1"/>
    <w:next w:val="BodyText"/>
    <w:pPr>
      <w:keepNext w:val="0"/>
      <w:jc w:val="center"/>
    </w:pPr>
    <w:rPr>
      <w:b/>
      <w:u w:val="single"/>
    </w:rPr>
  </w:style>
  <w:style w:type="paragraph" w:customStyle="1" w:styleId="DiscussionofIssues">
    <w:name w:val="Discussion of Issues"/>
    <w:basedOn w:val="RecommendationMajorSectionHeading"/>
    <w:next w:val="BodyText"/>
    <w:pPr>
      <w:spacing w:after="0"/>
    </w:pPr>
  </w:style>
  <w:style w:type="character" w:styleId="PageNumber">
    <w:name w:val="page number"/>
    <w:basedOn w:val="DefaultParagraphFont"/>
  </w:style>
  <w:style w:type="paragraph" w:customStyle="1" w:styleId="TOCColumnHeadings">
    <w:name w:val="TOC Column Headings"/>
    <w:basedOn w:val="Normal"/>
    <w:rsid w:val="003864CF"/>
    <w:pPr>
      <w:tabs>
        <w:tab w:val="left" w:pos="864"/>
        <w:tab w:val="right" w:pos="9360"/>
      </w:tabs>
    </w:pPr>
    <w:rPr>
      <w:rFonts w:ascii="Arial" w:hAnsi="Arial"/>
      <w:b/>
      <w:i/>
    </w:rPr>
  </w:style>
  <w:style w:type="table" w:customStyle="1" w:styleId="TableMasthead">
    <w:name w:val="Table Masthead"/>
    <w:basedOn w:val="TableGrid"/>
    <w:tblPr/>
  </w:style>
  <w:style w:type="paragraph" w:customStyle="1" w:styleId="StyleHeading1BoldUnderline">
    <w:name w:val="Style Heading 1 + Bold Underline"/>
    <w:basedOn w:val="Heading1"/>
    <w:link w:val="StyleHeading1BoldUnderlineChar"/>
    <w:pPr>
      <w:keepNext w:val="0"/>
      <w:spacing w:before="240"/>
    </w:pPr>
    <w:rPr>
      <w:b/>
      <w:u w:val="single"/>
    </w:rPr>
  </w:style>
  <w:style w:type="character" w:customStyle="1" w:styleId="StyleHeading1BoldUnderlineChar">
    <w:name w:val="Style Heading 1 + Bold Underline Char"/>
    <w:link w:val="StyleHeading1BoldUnderline"/>
    <w:rPr>
      <w:rFonts w:cs="Arial"/>
      <w:b/>
      <w:bCs/>
      <w:kern w:val="32"/>
      <w:sz w:val="24"/>
      <w:szCs w:val="32"/>
      <w:u w:val="single"/>
      <w:lang w:val="en-US" w:eastAsia="en-US" w:bidi="ar-SA"/>
    </w:rPr>
  </w:style>
  <w:style w:type="paragraph" w:customStyle="1" w:styleId="RecommendationIssueGroupingSection">
    <w:name w:val="Recommendation Issue Grouping Section"/>
    <w:basedOn w:val="RecommendationMajorSectionHeading"/>
    <w:next w:val="IssueHeading"/>
    <w:pPr>
      <w:jc w:val="left"/>
    </w:pPr>
  </w:style>
  <w:style w:type="paragraph" w:styleId="FootnoteText">
    <w:name w:val="footnote text"/>
    <w:basedOn w:val="Normal"/>
    <w:pPr>
      <w:jc w:val="both"/>
    </w:pPr>
    <w:rPr>
      <w:sz w:val="20"/>
      <w:szCs w:val="20"/>
    </w:rPr>
  </w:style>
  <w:style w:type="paragraph" w:styleId="TOC3">
    <w:name w:val="toc 3"/>
    <w:basedOn w:val="TOC2"/>
    <w:next w:val="Normal"/>
    <w:pPr>
      <w:tabs>
        <w:tab w:val="clear" w:pos="1152"/>
        <w:tab w:val="left" w:pos="1584"/>
      </w:tabs>
      <w:ind w:left="1584" w:hanging="432"/>
    </w:pPr>
  </w:style>
  <w:style w:type="paragraph" w:styleId="TOC2">
    <w:name w:val="toc 2"/>
    <w:basedOn w:val="TOC1"/>
    <w:next w:val="Normal"/>
    <w:pPr>
      <w:tabs>
        <w:tab w:val="clear" w:pos="864"/>
        <w:tab w:val="left" w:pos="1152"/>
      </w:tabs>
      <w:ind w:left="1152" w:hanging="288"/>
    </w:pPr>
  </w:style>
  <w:style w:type="paragraph" w:styleId="DocumentMap">
    <w:name w:val="Document Map"/>
    <w:basedOn w:val="Normal"/>
    <w:semiHidden/>
    <w:pPr>
      <w:shd w:val="clear" w:color="auto" w:fill="000080"/>
    </w:pPr>
    <w:rPr>
      <w:rFonts w:ascii="Tahoma" w:hAnsi="Tahoma" w:cs="Tahoma"/>
    </w:rPr>
  </w:style>
  <w:style w:type="paragraph" w:styleId="BalloonText">
    <w:name w:val="Balloon Text"/>
    <w:basedOn w:val="Normal"/>
    <w:semiHidden/>
    <w:rPr>
      <w:rFonts w:ascii="Tahoma" w:hAnsi="Tahoma" w:cs="Tahoma"/>
      <w:sz w:val="16"/>
      <w:szCs w:val="16"/>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szCs w:val="16"/>
    </w:rPr>
  </w:style>
  <w:style w:type="paragraph" w:styleId="BodyTextFirstIndent">
    <w:name w:val="Body Text First Indent"/>
    <w:basedOn w:val="BodyText"/>
    <w:pPr>
      <w:spacing w:after="120"/>
      <w:ind w:firstLine="210"/>
      <w:jc w:val="left"/>
    </w:pPr>
  </w:style>
  <w:style w:type="paragraph" w:styleId="BodyTextIndent">
    <w:name w:val="Body Text Indent"/>
    <w:basedOn w:val="Normal"/>
    <w:pPr>
      <w:spacing w:after="120"/>
      <w:ind w:left="360"/>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360"/>
    </w:pPr>
  </w:style>
  <w:style w:type="paragraph" w:styleId="BodyTextIndent3">
    <w:name w:val="Body Text Indent 3"/>
    <w:basedOn w:val="Normal"/>
    <w:pPr>
      <w:spacing w:after="120"/>
      <w:ind w:left="360"/>
    </w:pPr>
    <w:rPr>
      <w:sz w:val="16"/>
      <w:szCs w:val="16"/>
    </w:rPr>
  </w:style>
  <w:style w:type="paragraph" w:styleId="Caption">
    <w:name w:val="caption"/>
    <w:basedOn w:val="Normal"/>
    <w:next w:val="Normal"/>
    <w:qFormat/>
    <w:pPr>
      <w:spacing w:before="120" w:after="120"/>
    </w:pPr>
    <w:rPr>
      <w:b/>
      <w:bCs/>
      <w:sz w:val="20"/>
      <w:szCs w:val="20"/>
    </w:rPr>
  </w:style>
  <w:style w:type="paragraph" w:styleId="Closing">
    <w:name w:val="Closing"/>
    <w:basedOn w:val="Normal"/>
    <w:pPr>
      <w:ind w:left="4320"/>
    </w:pPr>
  </w:style>
  <w:style w:type="paragraph" w:styleId="CommentText">
    <w:name w:val="annotation text"/>
    <w:basedOn w:val="Normal"/>
    <w:semiHidden/>
    <w:rPr>
      <w:sz w:val="20"/>
      <w:szCs w:val="20"/>
    </w:rPr>
  </w:style>
  <w:style w:type="paragraph" w:styleId="CommentSubject">
    <w:name w:val="annotation subject"/>
    <w:basedOn w:val="CommentText"/>
    <w:next w:val="CommentText"/>
    <w:semiHidden/>
    <w:rPr>
      <w:b/>
      <w:bCs/>
    </w:rPr>
  </w:style>
  <w:style w:type="paragraph" w:styleId="Date">
    <w:name w:val="Date"/>
    <w:basedOn w:val="Normal"/>
    <w:next w:val="Normal"/>
  </w:style>
  <w:style w:type="paragraph" w:styleId="E-mailSignature">
    <w:name w:val="E-mail Signature"/>
    <w:basedOn w:val="Normal"/>
  </w:style>
  <w:style w:type="paragraph" w:styleId="EndnoteText">
    <w:name w:val="endnote text"/>
    <w:basedOn w:val="Normal"/>
    <w:semiHidden/>
    <w:rPr>
      <w:sz w:val="20"/>
      <w:szCs w:val="20"/>
    </w:rPr>
  </w:style>
  <w:style w:type="paragraph" w:styleId="EnvelopeAddress">
    <w:name w:val="envelope address"/>
    <w:basedOn w:val="Normal"/>
    <w:pPr>
      <w:framePr w:w="7920" w:h="1980" w:hRule="exact" w:hSpace="180" w:wrap="auto" w:hAnchor="page" w:xAlign="center" w:yAlign="bottom"/>
      <w:ind w:left="2880"/>
    </w:pPr>
    <w:rPr>
      <w:rFonts w:ascii="Arial" w:hAnsi="Arial" w:cs="Arial"/>
    </w:rPr>
  </w:style>
  <w:style w:type="paragraph" w:styleId="EnvelopeReturn">
    <w:name w:val="envelope return"/>
    <w:basedOn w:val="Normal"/>
    <w:rPr>
      <w:rFonts w:ascii="Arial" w:hAnsi="Arial" w:cs="Arial"/>
      <w:sz w:val="20"/>
      <w:szCs w:val="20"/>
    </w:rPr>
  </w:style>
  <w:style w:type="paragraph" w:styleId="HTMLAddress">
    <w:name w:val="HTML Address"/>
    <w:basedOn w:val="Normal"/>
    <w:rPr>
      <w:i/>
      <w:iCs/>
    </w:rPr>
  </w:style>
  <w:style w:type="paragraph" w:styleId="HTMLPreformatted">
    <w:name w:val="HTML Preformatted"/>
    <w:basedOn w:val="Normal"/>
    <w:rPr>
      <w:rFonts w:ascii="Courier New" w:hAnsi="Courier New" w:cs="Courier New"/>
      <w:sz w:val="20"/>
      <w:szCs w:val="20"/>
    </w:r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cs="Arial"/>
      <w:b/>
      <w:bCs/>
    </w:rPr>
  </w:style>
  <w:style w:type="paragraph" w:styleId="List">
    <w:name w:val="List"/>
    <w:basedOn w:val="Normal"/>
    <w:pPr>
      <w:ind w:left="360" w:hanging="360"/>
    </w:pPr>
  </w:style>
  <w:style w:type="paragraph" w:styleId="List2">
    <w:name w:val="List 2"/>
    <w:basedOn w:val="Normal"/>
    <w:pPr>
      <w:ind w:left="720" w:hanging="360"/>
    </w:pPr>
  </w:style>
  <w:style w:type="paragraph" w:styleId="List3">
    <w:name w:val="List 3"/>
    <w:basedOn w:val="Normal"/>
    <w:pPr>
      <w:ind w:left="1080" w:hanging="360"/>
    </w:pPr>
  </w:style>
  <w:style w:type="paragraph" w:styleId="List4">
    <w:name w:val="List 4"/>
    <w:basedOn w:val="Normal"/>
    <w:pPr>
      <w:ind w:left="1440" w:hanging="360"/>
    </w:pPr>
  </w:style>
  <w:style w:type="paragraph" w:styleId="List5">
    <w:name w:val="List 5"/>
    <w:basedOn w:val="Normal"/>
    <w:pPr>
      <w:ind w:left="1800" w:hanging="360"/>
    </w:pPr>
  </w:style>
  <w:style w:type="paragraph" w:styleId="ListBullet">
    <w:name w:val="List Bullet"/>
    <w:basedOn w:val="Normal"/>
    <w:autoRedefine/>
    <w:pPr>
      <w:tabs>
        <w:tab w:val="num" w:pos="360"/>
      </w:tabs>
      <w:ind w:left="360" w:hanging="360"/>
    </w:pPr>
  </w:style>
  <w:style w:type="paragraph" w:styleId="ListBullet2">
    <w:name w:val="List Bullet 2"/>
    <w:basedOn w:val="Normal"/>
    <w:autoRedefine/>
    <w:pPr>
      <w:tabs>
        <w:tab w:val="num" w:pos="720"/>
      </w:tabs>
      <w:ind w:left="720" w:hanging="360"/>
    </w:pPr>
  </w:style>
  <w:style w:type="paragraph" w:styleId="ListBullet3">
    <w:name w:val="List Bullet 3"/>
    <w:basedOn w:val="Normal"/>
    <w:autoRedefine/>
    <w:pPr>
      <w:tabs>
        <w:tab w:val="num" w:pos="1080"/>
      </w:tabs>
      <w:ind w:left="1080" w:hanging="360"/>
    </w:pPr>
  </w:style>
  <w:style w:type="paragraph" w:styleId="ListBullet4">
    <w:name w:val="List Bullet 4"/>
    <w:basedOn w:val="Normal"/>
    <w:autoRedefine/>
    <w:pPr>
      <w:tabs>
        <w:tab w:val="num" w:pos="1440"/>
      </w:tabs>
      <w:ind w:left="1440" w:hanging="360"/>
    </w:pPr>
  </w:style>
  <w:style w:type="paragraph" w:styleId="ListBullet5">
    <w:name w:val="List Bullet 5"/>
    <w:basedOn w:val="Normal"/>
    <w:autoRedefine/>
    <w:pPr>
      <w:tabs>
        <w:tab w:val="num" w:pos="1800"/>
      </w:tabs>
      <w:ind w:left="1800" w:hanging="360"/>
    </w:pPr>
  </w:style>
  <w:style w:type="paragraph" w:styleId="ListContinue">
    <w:name w:val="List Continue"/>
    <w:basedOn w:val="Normal"/>
    <w:pPr>
      <w:spacing w:after="120"/>
      <w:ind w:left="360"/>
    </w:pPr>
  </w:style>
  <w:style w:type="paragraph" w:styleId="ListContinue2">
    <w:name w:val="List Continue 2"/>
    <w:basedOn w:val="Normal"/>
    <w:pPr>
      <w:spacing w:after="120"/>
      <w:ind w:left="720"/>
    </w:pPr>
  </w:style>
  <w:style w:type="paragraph" w:styleId="ListContinue3">
    <w:name w:val="List Continue 3"/>
    <w:basedOn w:val="Normal"/>
    <w:pPr>
      <w:spacing w:after="120"/>
      <w:ind w:left="1080"/>
    </w:pPr>
  </w:style>
  <w:style w:type="paragraph" w:styleId="ListContinue4">
    <w:name w:val="List Continue 4"/>
    <w:basedOn w:val="Normal"/>
    <w:pPr>
      <w:spacing w:after="120"/>
      <w:ind w:left="1440"/>
    </w:pPr>
  </w:style>
  <w:style w:type="paragraph" w:styleId="ListContinue5">
    <w:name w:val="List Continue 5"/>
    <w:basedOn w:val="Normal"/>
    <w:pPr>
      <w:spacing w:after="120"/>
      <w:ind w:left="1800"/>
    </w:pPr>
  </w:style>
  <w:style w:type="paragraph" w:styleId="ListNumber">
    <w:name w:val="List Number"/>
    <w:basedOn w:val="Normal"/>
    <w:pPr>
      <w:tabs>
        <w:tab w:val="num" w:pos="360"/>
      </w:tabs>
      <w:ind w:left="360" w:hanging="360"/>
    </w:pPr>
  </w:style>
  <w:style w:type="paragraph" w:styleId="ListNumber2">
    <w:name w:val="List Number 2"/>
    <w:basedOn w:val="Normal"/>
    <w:pPr>
      <w:tabs>
        <w:tab w:val="num" w:pos="720"/>
      </w:tabs>
      <w:ind w:left="720" w:hanging="360"/>
    </w:pPr>
  </w:style>
  <w:style w:type="paragraph" w:styleId="ListNumber3">
    <w:name w:val="List Number 3"/>
    <w:basedOn w:val="Normal"/>
    <w:pPr>
      <w:tabs>
        <w:tab w:val="num" w:pos="1080"/>
      </w:tabs>
      <w:ind w:left="1080" w:hanging="360"/>
    </w:pPr>
  </w:style>
  <w:style w:type="paragraph" w:styleId="ListNumber4">
    <w:name w:val="List Number 4"/>
    <w:basedOn w:val="Normal"/>
    <w:pPr>
      <w:tabs>
        <w:tab w:val="num" w:pos="1440"/>
      </w:tabs>
      <w:ind w:left="1440" w:hanging="360"/>
    </w:pPr>
  </w:style>
  <w:style w:type="paragraph" w:styleId="ListNumber5">
    <w:name w:val="List Number 5"/>
    <w:basedOn w:val="Normal"/>
    <w:pPr>
      <w:tabs>
        <w:tab w:val="num" w:pos="1800"/>
      </w:tabs>
      <w:ind w:left="1800" w:hanging="360"/>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style>
  <w:style w:type="paragraph" w:styleId="NormalIndent">
    <w:name w:val="Normal Indent"/>
    <w:basedOn w:val="Normal"/>
    <w:pPr>
      <w:ind w:left="720"/>
    </w:pPr>
  </w:style>
  <w:style w:type="paragraph" w:styleId="NoteHeading">
    <w:name w:val="Note Heading"/>
    <w:basedOn w:val="Normal"/>
    <w:next w:val="Normal"/>
  </w:style>
  <w:style w:type="paragraph" w:styleId="PlainText">
    <w:name w:val="Plain Text"/>
    <w:basedOn w:val="Normal"/>
    <w:rPr>
      <w:rFonts w:ascii="Courier New" w:hAnsi="Courier New" w:cs="Courier New"/>
      <w:sz w:val="20"/>
      <w:szCs w:val="20"/>
    </w:rPr>
  </w:style>
  <w:style w:type="paragraph" w:styleId="Salutation">
    <w:name w:val="Salutation"/>
    <w:basedOn w:val="Normal"/>
    <w:next w:val="Normal"/>
  </w:style>
  <w:style w:type="paragraph" w:styleId="Signature">
    <w:name w:val="Signature"/>
    <w:basedOn w:val="Normal"/>
    <w:pPr>
      <w:ind w:left="4320"/>
    </w:pPr>
  </w:style>
  <w:style w:type="paragraph" w:styleId="Subtitle">
    <w:name w:val="Subtitle"/>
    <w:basedOn w:val="Normal"/>
    <w:qFormat/>
    <w:pPr>
      <w:spacing w:after="60"/>
      <w:jc w:val="center"/>
      <w:outlineLvl w:val="1"/>
    </w:pPr>
    <w:rPr>
      <w:rFonts w:ascii="Arial" w:hAnsi="Arial" w:cs="Arial"/>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itle">
    <w:name w:val="Title"/>
    <w:basedOn w:val="Normal"/>
    <w:qFormat/>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pPr>
      <w:spacing w:before="120"/>
    </w:pPr>
    <w:rPr>
      <w:rFonts w:ascii="Arial" w:hAnsi="Arial" w:cs="Arial"/>
      <w:b/>
      <w:bCs/>
    </w:r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9">
    <w:name w:val="toc 9"/>
    <w:basedOn w:val="TOC1"/>
    <w:next w:val="Normal"/>
    <w:autoRedefine/>
    <w:pPr>
      <w:ind w:left="1728"/>
    </w:pPr>
    <w:rPr>
      <w:u w:val="single"/>
    </w:rPr>
  </w:style>
  <w:style w:type="paragraph" w:customStyle="1" w:styleId="MemoHeadingLabel">
    <w:name w:val="Memo Heading Label"/>
    <w:basedOn w:val="MemoHeading"/>
    <w:qFormat/>
    <w:rsid w:val="00506C03"/>
    <w:rPr>
      <w:rFonts w:ascii="Arial" w:hAnsi="Arial"/>
      <w:b/>
    </w:rPr>
  </w:style>
  <w:style w:type="paragraph" w:customStyle="1" w:styleId="First-LevelSubheading">
    <w:name w:val="First-Level Subheading"/>
    <w:basedOn w:val="IssueSubsectionHeading"/>
    <w:next w:val="BodyText"/>
    <w:qFormat/>
    <w:rsid w:val="00B57A6A"/>
    <w:pPr>
      <w:spacing w:after="0"/>
      <w:outlineLvl w:val="2"/>
    </w:pPr>
    <w:rPr>
      <w:i w:val="0"/>
    </w:rPr>
  </w:style>
  <w:style w:type="paragraph" w:customStyle="1" w:styleId="Second-LevelSubheading">
    <w:name w:val="Second-Level Subheading"/>
    <w:basedOn w:val="First-LevelSubheading"/>
    <w:next w:val="BodyText"/>
    <w:qFormat/>
    <w:rsid w:val="009070D6"/>
    <w:pPr>
      <w:ind w:left="720"/>
      <w:outlineLvl w:val="3"/>
    </w:pPr>
    <w:rPr>
      <w:i/>
    </w:rPr>
  </w:style>
  <w:style w:type="paragraph" w:customStyle="1" w:styleId="TableNumber">
    <w:name w:val="Table Number"/>
    <w:basedOn w:val="BodyText"/>
    <w:next w:val="BodyText"/>
    <w:qFormat/>
    <w:rsid w:val="00CA2C8F"/>
    <w:pPr>
      <w:spacing w:before="480" w:after="0"/>
      <w:jc w:val="center"/>
    </w:pPr>
    <w:rPr>
      <w:rFonts w:ascii="Arial" w:hAnsi="Arial"/>
      <w:b/>
    </w:rPr>
  </w:style>
  <w:style w:type="paragraph" w:customStyle="1" w:styleId="TableTitle">
    <w:name w:val="Table Title"/>
    <w:basedOn w:val="BodyText"/>
    <w:next w:val="BodyText"/>
    <w:qFormat/>
    <w:rsid w:val="00CA2C8F"/>
    <w:pPr>
      <w:spacing w:after="0"/>
      <w:jc w:val="center"/>
    </w:pPr>
    <w:rPr>
      <w:rFonts w:ascii="Arial" w:hAnsi="Arial"/>
      <w:b/>
    </w:rPr>
  </w:style>
  <w:style w:type="paragraph" w:customStyle="1" w:styleId="TableSource">
    <w:name w:val="Table Source"/>
    <w:basedOn w:val="BodyText"/>
    <w:next w:val="BodyText"/>
    <w:qFormat/>
    <w:rsid w:val="00CA2C8F"/>
    <w:pPr>
      <w:spacing w:after="480"/>
    </w:pPr>
  </w:style>
  <w:style w:type="paragraph" w:customStyle="1" w:styleId="PartyName">
    <w:name w:val="Party Name"/>
    <w:basedOn w:val="IssueSubsectionHeading"/>
    <w:next w:val="BodyText"/>
    <w:qFormat/>
    <w:rsid w:val="00920E64"/>
    <w:rPr>
      <w:i w:val="0"/>
    </w:rPr>
  </w:style>
  <w:style w:type="paragraph" w:customStyle="1" w:styleId="Third-LevelSubheading">
    <w:name w:val="Third-Level Subheading"/>
    <w:basedOn w:val="Second-LevelSubheading"/>
    <w:next w:val="BodyText"/>
    <w:qFormat/>
    <w:rsid w:val="00E275D8"/>
    <w:pPr>
      <w:ind w:left="1440"/>
      <w:outlineLvl w:val="4"/>
    </w:pPr>
  </w:style>
  <w:style w:type="character" w:styleId="FootnoteReference">
    <w:name w:val="footnote reference"/>
    <w:basedOn w:val="DefaultParagraphFont"/>
    <w:rsid w:val="003A704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5.jp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4.jpg"/><Relationship Id="rId2" Type="http://schemas.openxmlformats.org/officeDocument/2006/relationships/numbering" Target="numbering.xml"/><Relationship Id="rId16" Type="http://schemas.openxmlformats.org/officeDocument/2006/relationships/image" Target="media/image3.jp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2.jpg"/><Relationship Id="rId10" Type="http://schemas.openxmlformats.org/officeDocument/2006/relationships/header" Target="header1.xml"/><Relationship Id="rId19" Type="http://schemas.openxmlformats.org/officeDocument/2006/relationships/header" Target="header4.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s:\apps\msword2002\templates\PSC\Recommendation%20(Regular).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32B3F1-9EF7-49EE-97C5-EBE001B1E3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Recommendation (Regular).dot</Template>
  <TotalTime>0</TotalTime>
  <Pages>10</Pages>
  <Words>1519</Words>
  <Characters>9016</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Recommendation</vt:lpstr>
    </vt:vector>
  </TitlesOfParts>
  <Company>FPSC</Company>
  <LinksUpToDate>false</LinksUpToDate>
  <CharactersWithSpaces>10514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dc:title>
  <dc:creator>Riley Doherty</dc:creator>
  <cp:lastModifiedBy>Jackie Colson</cp:lastModifiedBy>
  <cp:revision>2</cp:revision>
  <cp:lastPrinted>2018-10-17T19:04:00Z</cp:lastPrinted>
  <dcterms:created xsi:type="dcterms:W3CDTF">2018-10-18T13:45:00Z</dcterms:created>
  <dcterms:modified xsi:type="dcterms:W3CDTF">2018-10-18T13:45:00Z</dcterms:modified>
  <cp:category>recommendation</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ketList">
    <vt:lpwstr>20180158-GU</vt:lpwstr>
  </property>
  <property fmtid="{D5CDD505-2E9C-101B-9397-08002B2CF9AE}" pid="3" name="MasterDocument">
    <vt:bool>false</vt:bool>
  </property>
</Properties>
</file>