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55E5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55E58">
            <w:pPr>
              <w:pStyle w:val="MemoHeading"/>
            </w:pPr>
            <w:bookmarkStart w:id="1" w:name="FilingDate"/>
            <w:r>
              <w:t>November 29,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55E58" w:rsidRDefault="00855E58">
            <w:pPr>
              <w:pStyle w:val="MemoHeading"/>
            </w:pPr>
            <w:bookmarkStart w:id="2" w:name="From"/>
            <w:r>
              <w:t>Division of Engineering (</w:t>
            </w:r>
            <w:r w:rsidR="00177026">
              <w:t>Ellis</w:t>
            </w:r>
            <w:r>
              <w:t>)</w:t>
            </w:r>
          </w:p>
          <w:p w:rsidR="007C0528" w:rsidRDefault="00855E58">
            <w:pPr>
              <w:pStyle w:val="MemoHeading"/>
            </w:pPr>
            <w:r>
              <w:t xml:space="preserve">Office of the General Counsel (Murphy, </w:t>
            </w:r>
            <w:proofErr w:type="spellStart"/>
            <w:r>
              <w:t>Weisenfeld</w:t>
            </w:r>
            <w:proofErr w:type="spellEnd"/>
            <w:r>
              <w:t>)</w:t>
            </w:r>
            <w:bookmarkEnd w:id="2"/>
          </w:p>
        </w:tc>
      </w:tr>
      <w:tr w:rsidR="007C0528" w:rsidTr="00F87652">
        <w:trPr>
          <w:trHeight w:val="495"/>
        </w:trPr>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55E58">
            <w:pPr>
              <w:pStyle w:val="MemoHeadingRe"/>
            </w:pPr>
            <w:bookmarkStart w:id="3" w:name="Re"/>
            <w:r>
              <w:t>Docket No. 20180007-EI – Environmental cost recovery clause.</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55E58">
            <w:pPr>
              <w:pStyle w:val="MemoHeading"/>
            </w:pPr>
            <w:bookmarkStart w:id="4" w:name="AgendaDate"/>
            <w:r>
              <w:t>12/11/18</w:t>
            </w:r>
            <w:bookmarkEnd w:id="4"/>
            <w:r w:rsidR="007C0528">
              <w:t xml:space="preserve"> – </w:t>
            </w:r>
            <w:bookmarkStart w:id="5" w:name="PermittedStatus"/>
            <w:r>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55E5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55E58">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577FE">
            <w:pPr>
              <w:pStyle w:val="MemoHeading"/>
            </w:pPr>
            <w:r>
              <w:t>Decision must be rendered by 12/11/18 in order to implement new environmental factors with the first billing cycle in 2019.</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55E58">
            <w:pPr>
              <w:pStyle w:val="MemoHeading"/>
            </w:pPr>
            <w:bookmarkStart w:id="9" w:name="SpecialInstructions"/>
            <w:r>
              <w:t>None</w:t>
            </w:r>
            <w:bookmarkEnd w:id="9"/>
          </w:p>
        </w:tc>
      </w:tr>
    </w:tbl>
    <w:p w:rsidR="007C0528" w:rsidRDefault="007C0528" w:rsidP="00ED11B1">
      <w:pPr>
        <w:pStyle w:val="BodyText"/>
        <w:spacing w:after="0"/>
      </w:pPr>
    </w:p>
    <w:p w:rsidR="007C0528" w:rsidRDefault="007C0528" w:rsidP="00ED11B1">
      <w:pPr>
        <w:pStyle w:val="RecommendationMajorSectionHeading"/>
        <w:spacing w:after="0"/>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D11B1" w:rsidRPr="00ED11B1" w:rsidRDefault="00ED11B1" w:rsidP="00ED11B1">
      <w:pPr>
        <w:pStyle w:val="BodyText"/>
        <w:spacing w:after="0"/>
      </w:pPr>
    </w:p>
    <w:p w:rsidR="00BC210D" w:rsidRDefault="00855E58" w:rsidP="00ED11B1">
      <w:pPr>
        <w:pStyle w:val="BodyText"/>
        <w:spacing w:after="0"/>
      </w:pPr>
      <w:r>
        <w:t xml:space="preserve">As part of the Florida Public Service Commission’s (Commission) continuing environmental cost recovery clause (ECRC) proceedings, the Commission conducted a hearing in this docket on November 5, 2018. The parties resolved all issues by stipulation, except for the Commission’s review of Florida Power &amp; Light Company’s (FPL or Company) </w:t>
      </w:r>
      <w:r w:rsidR="00CE1D0A">
        <w:t>I</w:t>
      </w:r>
      <w:r>
        <w:t>ssues</w:t>
      </w:r>
      <w:r w:rsidR="00C621E5">
        <w:t xml:space="preserve"> 1 through 4, 7, 10A, and 10B</w:t>
      </w:r>
      <w:r>
        <w:t xml:space="preserve"> detailed within this recommendation</w:t>
      </w:r>
      <w:r w:rsidR="00BC210D">
        <w:t>. Issues 1 through 4 and 7</w:t>
      </w:r>
      <w:r w:rsidR="00CE1D0A">
        <w:t xml:space="preserve"> </w:t>
      </w:r>
      <w:r w:rsidR="00BC210D">
        <w:t>relate to</w:t>
      </w:r>
      <w:r w:rsidR="00CE1D0A">
        <w:t xml:space="preserve"> the Turkey Point Cooling Canal Monitoring Plan </w:t>
      </w:r>
      <w:r w:rsidR="00BC210D">
        <w:t>project</w:t>
      </w:r>
      <w:r w:rsidR="003358FC">
        <w:t xml:space="preserve"> (TPCCMP Project)</w:t>
      </w:r>
      <w:r w:rsidR="00CE1D0A">
        <w:t>,</w:t>
      </w:r>
      <w:r w:rsidR="00BC210D">
        <w:t xml:space="preserve"> Issue 10A to </w:t>
      </w:r>
      <w:r w:rsidR="003358FC">
        <w:t>proposed modifications to the</w:t>
      </w:r>
      <w:r w:rsidR="00CE1D0A">
        <w:t xml:space="preserve"> Manatee Temporary Heating System</w:t>
      </w:r>
      <w:r w:rsidR="007D15D8">
        <w:t xml:space="preserve"> </w:t>
      </w:r>
      <w:r w:rsidR="00BC210D">
        <w:t>project</w:t>
      </w:r>
      <w:r w:rsidR="003358FC">
        <w:t xml:space="preserve"> (MTHS Project)</w:t>
      </w:r>
      <w:r w:rsidR="00CE1D0A">
        <w:t xml:space="preserve">, </w:t>
      </w:r>
      <w:r w:rsidR="00BC210D">
        <w:t xml:space="preserve">and 10B to </w:t>
      </w:r>
      <w:r w:rsidR="003358FC">
        <w:t xml:space="preserve">proposed modifications to </w:t>
      </w:r>
      <w:r w:rsidR="00BC210D">
        <w:t xml:space="preserve">the </w:t>
      </w:r>
      <w:r w:rsidR="00CE1D0A">
        <w:t xml:space="preserve">National Pollutant </w:t>
      </w:r>
      <w:r w:rsidR="00177026">
        <w:t>Discharge</w:t>
      </w:r>
      <w:r w:rsidR="003358FC">
        <w:t xml:space="preserve"> Elimination System</w:t>
      </w:r>
      <w:r w:rsidR="007D15D8">
        <w:t xml:space="preserve"> </w:t>
      </w:r>
      <w:r w:rsidR="00CE1D0A">
        <w:t>Permit Renewal Requirements project</w:t>
      </w:r>
      <w:r w:rsidR="003358FC">
        <w:t xml:space="preserve"> (NPDES Project)</w:t>
      </w:r>
      <w:r w:rsidR="00BC210D">
        <w:t>.</w:t>
      </w:r>
    </w:p>
    <w:p w:rsidR="00ED11B1" w:rsidRDefault="00ED11B1" w:rsidP="00ED11B1">
      <w:pPr>
        <w:pStyle w:val="BodyText"/>
        <w:spacing w:after="0"/>
      </w:pPr>
    </w:p>
    <w:p w:rsidR="00ED11B1" w:rsidRDefault="00ED11B1" w:rsidP="00ED11B1">
      <w:pPr>
        <w:pStyle w:val="BodyText"/>
        <w:spacing w:after="0"/>
      </w:pPr>
    </w:p>
    <w:p w:rsidR="00ED11B1" w:rsidRDefault="00C621E5" w:rsidP="00ED11B1">
      <w:pPr>
        <w:pStyle w:val="BodyText"/>
        <w:spacing w:after="0"/>
      </w:pPr>
      <w:r>
        <w:lastRenderedPageBreak/>
        <w:t>Testimony on these issues was heard at the November 5, 2018</w:t>
      </w:r>
      <w:r w:rsidR="00544376">
        <w:t>,</w:t>
      </w:r>
      <w:r>
        <w:t xml:space="preserve"> hearing. On </w:t>
      </w:r>
      <w:r w:rsidR="00EB3121">
        <w:t>November 16, 2018</w:t>
      </w:r>
      <w:r>
        <w:t xml:space="preserve">, FPL, </w:t>
      </w:r>
      <w:r w:rsidR="00CE1D0A">
        <w:t xml:space="preserve">the </w:t>
      </w:r>
      <w:r w:rsidR="00A2032A">
        <w:t>Office of Public Counsel (OPC)</w:t>
      </w:r>
      <w:r>
        <w:t>, and Southern Alliance for Clean Energy (</w:t>
      </w:r>
      <w:r w:rsidR="003358FC">
        <w:t>SACE) filed post-hearing briefs.</w:t>
      </w:r>
    </w:p>
    <w:p w:rsidR="00ED11B1" w:rsidRDefault="00ED11B1" w:rsidP="00ED11B1">
      <w:pPr>
        <w:pStyle w:val="BodyText"/>
        <w:spacing w:after="0"/>
      </w:pPr>
    </w:p>
    <w:p w:rsidR="00C621E5" w:rsidRDefault="00855E58" w:rsidP="00ED11B1">
      <w:pPr>
        <w:pStyle w:val="BodyText"/>
        <w:spacing w:after="0"/>
      </w:pPr>
      <w:r>
        <w:t>The Commission has jurisdiction in this matter pursuant to Section 366.8255, Florida Statutes (F.S.).</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ED11B1" w:rsidRDefault="007C0528" w:rsidP="00ED11B1">
      <w:pPr>
        <w:pStyle w:val="RecommendationMajorSectionHeading"/>
        <w:spacing w:after="0"/>
      </w:pPr>
      <w:bookmarkStart w:id="15" w:name="DiscussionOfIssues"/>
      <w:r>
        <w:lastRenderedPageBreak/>
        <w:t>Discussion of Issues</w:t>
      </w:r>
    </w:p>
    <w:p w:rsidR="00ED11B1" w:rsidRPr="00ED11B1" w:rsidRDefault="00ED11B1" w:rsidP="00ED11B1">
      <w:pPr>
        <w:pStyle w:val="BodyText"/>
        <w:spacing w:after="0"/>
      </w:pPr>
    </w:p>
    <w:bookmarkEnd w:id="15"/>
    <w:p w:rsidR="00392807" w:rsidRDefault="00392807" w:rsidP="00ED11B1">
      <w:pPr>
        <w:pStyle w:val="IssueHeading"/>
        <w:spacing w:after="0"/>
        <w:rPr>
          <w:vanish/>
          <w:specVanish/>
        </w:rPr>
      </w:pPr>
      <w:r w:rsidRPr="004C3641">
        <w:t xml:space="preserve">Issue </w:t>
      </w:r>
      <w:r w:rsidR="007E3D49">
        <w:fldChar w:fldCharType="begin"/>
      </w:r>
      <w:r w:rsidR="007E3D49">
        <w:instrText xml:space="preserve"> SEQ Issue \* MERGEFORMAT </w:instrText>
      </w:r>
      <w:r w:rsidR="007E3D49">
        <w:fldChar w:fldCharType="separate"/>
      </w:r>
      <w:r w:rsidR="001A5B02">
        <w:rPr>
          <w:noProof/>
        </w:rPr>
        <w:t>1</w:t>
      </w:r>
      <w:r w:rsidR="007E3D4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A5B02">
        <w:rPr>
          <w:noProof/>
        </w:rPr>
        <w:instrText>1</w:instrText>
      </w:r>
      <w:r>
        <w:fldChar w:fldCharType="end"/>
      </w:r>
      <w:r>
        <w:tab/>
        <w:instrText xml:space="preserve">(Ellis)" \l 1 </w:instrText>
      </w:r>
      <w:r>
        <w:fldChar w:fldCharType="end"/>
      </w:r>
      <w:r>
        <w:t> </w:t>
      </w:r>
    </w:p>
    <w:p w:rsidR="00392807" w:rsidRDefault="00392807" w:rsidP="00ED11B1">
      <w:pPr>
        <w:pStyle w:val="BodyText"/>
        <w:spacing w:after="0"/>
      </w:pPr>
      <w:r>
        <w:t> What are the final environmental cost recovery true-up amounts for the period January 2017 through December 2017?</w:t>
      </w:r>
    </w:p>
    <w:p w:rsidR="00ED11B1" w:rsidRDefault="00ED11B1" w:rsidP="00ED11B1">
      <w:pPr>
        <w:pStyle w:val="BodyText"/>
        <w:spacing w:after="0"/>
      </w:pPr>
    </w:p>
    <w:p w:rsidR="00392807" w:rsidRPr="004C3641" w:rsidRDefault="00392807" w:rsidP="00ED11B1">
      <w:pPr>
        <w:pStyle w:val="IssueSubsectionHeading"/>
        <w:spacing w:after="0"/>
        <w:rPr>
          <w:vanish/>
          <w:specVanish/>
        </w:rPr>
      </w:pPr>
      <w:r w:rsidRPr="004C3641">
        <w:t>Recommendation: </w:t>
      </w:r>
    </w:p>
    <w:p w:rsidR="00392807" w:rsidRDefault="00392807" w:rsidP="00ED11B1">
      <w:pPr>
        <w:pStyle w:val="BodyText"/>
        <w:spacing w:after="0"/>
      </w:pPr>
      <w:r>
        <w:t> </w:t>
      </w:r>
      <w:r w:rsidR="00127647">
        <w:t xml:space="preserve">The final true-up amount for the period January 2017 through December 2017 for FPL is an over recovery of $31,560,081. </w:t>
      </w:r>
      <w:r w:rsidR="00202E43">
        <w:t>There should be no adjustment to this amount associated with the</w:t>
      </w:r>
      <w:r w:rsidR="00127647">
        <w:t xml:space="preserve"> TPCCMP </w:t>
      </w:r>
      <w:r w:rsidR="003358FC">
        <w:t>P</w:t>
      </w:r>
      <w:r w:rsidR="00127647">
        <w:t>roject.</w:t>
      </w:r>
      <w:r>
        <w:t xml:space="preserve"> (Ellis)</w:t>
      </w:r>
    </w:p>
    <w:p w:rsidR="00ED11B1" w:rsidRDefault="00ED11B1" w:rsidP="00ED11B1">
      <w:pPr>
        <w:pStyle w:val="BodyText"/>
        <w:spacing w:after="0"/>
      </w:pPr>
    </w:p>
    <w:p w:rsidR="00392807" w:rsidRDefault="00392807" w:rsidP="00ED11B1">
      <w:pPr>
        <w:pStyle w:val="IssueSubsectionHeading"/>
        <w:keepNext/>
        <w:spacing w:after="0"/>
        <w:rPr>
          <w:iCs w:val="0"/>
        </w:rPr>
      </w:pPr>
      <w:r w:rsidRPr="004C3641">
        <w:rPr>
          <w:iCs w:val="0"/>
        </w:rPr>
        <w:t>Position of the Parties</w:t>
      </w:r>
    </w:p>
    <w:p w:rsidR="00ED11B1" w:rsidRPr="00ED11B1" w:rsidRDefault="00ED11B1" w:rsidP="00ED11B1">
      <w:pPr>
        <w:pStyle w:val="BodyText"/>
        <w:spacing w:after="0"/>
      </w:pPr>
    </w:p>
    <w:p w:rsidR="00392807" w:rsidRDefault="00392807" w:rsidP="00ED11B1">
      <w:pPr>
        <w:pStyle w:val="PartyName"/>
        <w:spacing w:after="0"/>
        <w:ind w:left="1080" w:hanging="1080"/>
        <w:rPr>
          <w:vanish/>
          <w:specVanish/>
        </w:rPr>
      </w:pPr>
      <w:bookmarkStart w:id="16" w:name="Parties"/>
      <w:r>
        <w:t>FPL: </w:t>
      </w:r>
    </w:p>
    <w:p w:rsidR="00392807" w:rsidRDefault="00392807" w:rsidP="00ED11B1">
      <w:pPr>
        <w:pStyle w:val="BodyText"/>
        <w:spacing w:after="0"/>
        <w:ind w:left="1080" w:hanging="1080"/>
      </w:pPr>
      <w:r>
        <w:t> </w:t>
      </w:r>
      <w:r w:rsidR="00CF66A2">
        <w:tab/>
      </w:r>
      <w:proofErr w:type="gramStart"/>
      <w:r w:rsidR="00F67E54" w:rsidRPr="00807C17">
        <w:t>$31,560,081 over-recovery.</w:t>
      </w:r>
      <w:proofErr w:type="gramEnd"/>
    </w:p>
    <w:p w:rsidR="00ED11B1" w:rsidRDefault="00ED11B1" w:rsidP="00ED11B1">
      <w:pPr>
        <w:pStyle w:val="BodyText"/>
        <w:spacing w:after="0"/>
        <w:ind w:left="1080" w:hanging="1080"/>
      </w:pPr>
    </w:p>
    <w:p w:rsidR="00392807" w:rsidRDefault="00392807" w:rsidP="00ED11B1">
      <w:pPr>
        <w:pStyle w:val="PartyName"/>
        <w:spacing w:after="0"/>
        <w:ind w:left="1080" w:hanging="1080"/>
        <w:rPr>
          <w:vanish/>
          <w:specVanish/>
        </w:rPr>
      </w:pPr>
      <w:r>
        <w:t>OPC: </w:t>
      </w:r>
    </w:p>
    <w:p w:rsidR="00392807" w:rsidRDefault="00392807" w:rsidP="00ED11B1">
      <w:pPr>
        <w:pStyle w:val="BodyText"/>
        <w:spacing w:after="0"/>
        <w:ind w:left="1080" w:hanging="1080"/>
      </w:pPr>
      <w:r>
        <w:t> </w:t>
      </w:r>
      <w:r w:rsidR="00CF66A2">
        <w:tab/>
      </w:r>
      <w:r w:rsidR="00A2032A">
        <w:t>No position.</w:t>
      </w:r>
    </w:p>
    <w:p w:rsidR="00ED11B1" w:rsidRDefault="00ED11B1" w:rsidP="00ED11B1">
      <w:pPr>
        <w:pStyle w:val="BodyText"/>
        <w:spacing w:after="0"/>
        <w:ind w:left="1080" w:hanging="1080"/>
      </w:pPr>
    </w:p>
    <w:p w:rsidR="00392807" w:rsidRPr="00F67E54" w:rsidRDefault="00392807" w:rsidP="00ED11B1">
      <w:pPr>
        <w:pStyle w:val="PartyName"/>
        <w:spacing w:after="0"/>
        <w:ind w:left="1080" w:hanging="1080"/>
        <w:rPr>
          <w:b w:val="0"/>
          <w:vanish/>
          <w:specVanish/>
        </w:rPr>
      </w:pPr>
      <w:r>
        <w:t>SACE: </w:t>
      </w:r>
    </w:p>
    <w:p w:rsidR="00392807" w:rsidRDefault="00392807" w:rsidP="00ED11B1">
      <w:pPr>
        <w:pStyle w:val="BodyText"/>
        <w:spacing w:after="0"/>
        <w:ind w:left="1080" w:hanging="1080"/>
        <w:rPr>
          <w:bCs/>
        </w:rPr>
      </w:pPr>
      <w:r w:rsidRPr="00F67E54">
        <w:t> </w:t>
      </w:r>
      <w:r w:rsidR="00CF66A2">
        <w:tab/>
      </w:r>
      <w:r w:rsidR="00F67E54" w:rsidRPr="00F67E54">
        <w:rPr>
          <w:bCs/>
          <w:color w:val="000000"/>
        </w:rPr>
        <w:t>T</w:t>
      </w:r>
      <w:r w:rsidR="00F67E54" w:rsidRPr="00F67E54">
        <w:rPr>
          <w:bCs/>
        </w:rPr>
        <w:t>he Commission should not approve FPL’s request for cost recovery of TPCCMP remediation activities. FPL’s negligence in the operation of the CCS led to violations of law and compliance requirements being placed on it.  Additionally, FPL is not making timely progress in meeting its compliance requirements. See Issue 3.</w:t>
      </w:r>
    </w:p>
    <w:p w:rsidR="00ED11B1" w:rsidRPr="00F67E54" w:rsidRDefault="00ED11B1" w:rsidP="00ED11B1">
      <w:pPr>
        <w:pStyle w:val="BodyText"/>
        <w:spacing w:after="0"/>
        <w:ind w:left="1080" w:hanging="1080"/>
      </w:pPr>
    </w:p>
    <w:bookmarkEnd w:id="16"/>
    <w:p w:rsidR="00392807" w:rsidRPr="004C3641" w:rsidRDefault="00392807" w:rsidP="007D08B5">
      <w:pPr>
        <w:pStyle w:val="IssueSubsectionHeading"/>
        <w:spacing w:after="0"/>
        <w:rPr>
          <w:vanish/>
          <w:specVanish/>
        </w:rPr>
      </w:pPr>
      <w:r w:rsidRPr="004C3641">
        <w:t>Staff Analysis: </w:t>
      </w:r>
    </w:p>
    <w:p w:rsidR="00B36799" w:rsidRDefault="00B36799" w:rsidP="007D08B5">
      <w:pPr>
        <w:pStyle w:val="BodyText"/>
        <w:spacing w:after="0"/>
      </w:pPr>
    </w:p>
    <w:p w:rsidR="00A13788" w:rsidRDefault="00A13788" w:rsidP="007D08B5">
      <w:pPr>
        <w:pStyle w:val="BodyText"/>
        <w:spacing w:after="0"/>
      </w:pPr>
    </w:p>
    <w:p w:rsidR="00473269" w:rsidRDefault="007A4A2A" w:rsidP="007D08B5">
      <w:pPr>
        <w:pStyle w:val="BodyText"/>
        <w:spacing w:after="0"/>
        <w:jc w:val="center"/>
        <w:rPr>
          <w:rFonts w:ascii="Arial" w:hAnsi="Arial" w:cs="Arial"/>
          <w:b/>
        </w:rPr>
      </w:pPr>
      <w:r w:rsidRPr="007A4A2A">
        <w:rPr>
          <w:rFonts w:ascii="Arial" w:hAnsi="Arial" w:cs="Arial"/>
          <w:b/>
        </w:rPr>
        <w:t>Parties’ Arguments</w:t>
      </w:r>
    </w:p>
    <w:p w:rsidR="007D08B5" w:rsidRPr="007A4A2A" w:rsidRDefault="007D08B5" w:rsidP="007D08B5">
      <w:pPr>
        <w:pStyle w:val="BodyText"/>
        <w:spacing w:after="0"/>
        <w:rPr>
          <w:rFonts w:ascii="Arial" w:hAnsi="Arial" w:cs="Arial"/>
          <w:b/>
        </w:rPr>
      </w:pPr>
    </w:p>
    <w:p w:rsidR="00473269" w:rsidRDefault="00473269" w:rsidP="007D08B5">
      <w:pPr>
        <w:pStyle w:val="Second-LevelSubheading"/>
      </w:pPr>
      <w:r>
        <w:t>FPL</w:t>
      </w:r>
    </w:p>
    <w:p w:rsidR="00473269" w:rsidRDefault="00B36799" w:rsidP="007D08B5">
      <w:pPr>
        <w:pStyle w:val="BodyText"/>
        <w:spacing w:after="0"/>
      </w:pPr>
      <w:r>
        <w:t xml:space="preserve">FPL contends that the Company </w:t>
      </w:r>
      <w:r w:rsidR="00BC210D">
        <w:t xml:space="preserve">is eligible for cost recovery for </w:t>
      </w:r>
      <w:r w:rsidR="008A0215">
        <w:t xml:space="preserve">the </w:t>
      </w:r>
      <w:r w:rsidR="00BC210D">
        <w:t xml:space="preserve">TPCCMP </w:t>
      </w:r>
      <w:r w:rsidR="003358FC">
        <w:t>P</w:t>
      </w:r>
      <w:r w:rsidR="00BC210D">
        <w:t xml:space="preserve">roject expenditures associated </w:t>
      </w:r>
      <w:r w:rsidR="00611E61">
        <w:t>compliance activities for</w:t>
      </w:r>
      <w:r w:rsidR="00BC210D">
        <w:t xml:space="preserve"> the </w:t>
      </w:r>
      <w:r w:rsidR="00BC210D" w:rsidRPr="0082221B">
        <w:t xml:space="preserve">2015 Consent Agreement (CA) and 2016 Consent Agreement Addendum (CAA) with the Miami-Dade Department of Environmental Resource Management (DERM) and </w:t>
      </w:r>
      <w:r w:rsidR="00611E61">
        <w:t>for the</w:t>
      </w:r>
      <w:r w:rsidR="00BC210D" w:rsidRPr="0082221B">
        <w:t xml:space="preserve"> 2016 Consent Order (CO) with the Florida Department of Environmental Protection (FDEP)</w:t>
      </w:r>
      <w:r w:rsidR="009572F0">
        <w:t xml:space="preserve">, as they were approved in the Commission’s Order </w:t>
      </w:r>
      <w:r w:rsidR="00EE0777">
        <w:t xml:space="preserve">No. </w:t>
      </w:r>
      <w:r w:rsidR="009572F0">
        <w:t>PSC-2018-0014-FOF-EI during the 2017 ECRC proceeding</w:t>
      </w:r>
      <w:r w:rsidR="00BC210D">
        <w:t>.</w:t>
      </w:r>
      <w:r w:rsidR="009572F0" w:rsidRPr="0082221B">
        <w:rPr>
          <w:rStyle w:val="FootnoteReference"/>
        </w:rPr>
        <w:footnoteReference w:id="1"/>
      </w:r>
      <w:r w:rsidR="00BC210D">
        <w:t xml:space="preserve"> (FPL BR 1-2, 5-6)</w:t>
      </w:r>
      <w:r w:rsidR="009572F0">
        <w:t xml:space="preserve"> FPL argues that the Commission is not the appropriate regulator to determine if remediation objectives are being met in a timely manner, but rather FDEP and DERM are. (FPL BR 6) FPL asserts that the activities for which it seeks recovery are pursuant to the requirements of the CA, CAA, and/or CO and are therefore prudent and reasonable. (FPL BR 7-9) FPL states it is in compliance with the DERM</w:t>
      </w:r>
      <w:r w:rsidR="008A0215">
        <w:t xml:space="preserve"> CAA</w:t>
      </w:r>
      <w:r w:rsidR="009572F0">
        <w:t>. (FPL BR 9-10)</w:t>
      </w:r>
    </w:p>
    <w:p w:rsidR="007A4A2A" w:rsidRDefault="007A4A2A" w:rsidP="00ED11B1">
      <w:pPr>
        <w:pStyle w:val="BodyText"/>
        <w:spacing w:after="0"/>
      </w:pPr>
    </w:p>
    <w:p w:rsidR="00473269" w:rsidRDefault="00473269" w:rsidP="00ED11B1">
      <w:pPr>
        <w:pStyle w:val="Second-LevelSubheading"/>
      </w:pPr>
      <w:r>
        <w:t>SACE</w:t>
      </w:r>
    </w:p>
    <w:p w:rsidR="00927495" w:rsidRDefault="00927495" w:rsidP="00ED11B1">
      <w:pPr>
        <w:pStyle w:val="BodyText"/>
        <w:spacing w:after="0"/>
      </w:pPr>
      <w:r>
        <w:t xml:space="preserve">SACE contests FPL’s recovery of TPCCMP </w:t>
      </w:r>
      <w:r w:rsidR="003358FC">
        <w:t>P</w:t>
      </w:r>
      <w:r>
        <w:t xml:space="preserve">roject expenditures as </w:t>
      </w:r>
      <w:r w:rsidR="00B36799">
        <w:t>SACE claims that the</w:t>
      </w:r>
      <w:r>
        <w:t xml:space="preserve"> Company knew or should have known prior to 1993 that its Turkey Point Plant was causing an underground hypersaline plume. (SACE BR 1, 3) SACE argues that FPL ratepayers should not be responsible for FPL’s remediation costs due to the Company’s imprudent operation of the Turkey Point Plant. (SACE BR 1, </w:t>
      </w:r>
      <w:r w:rsidR="00B36799">
        <w:t xml:space="preserve">3-4) SACE contends that FPL has not met its burden of proof </w:t>
      </w:r>
      <w:r w:rsidR="00B36799">
        <w:lastRenderedPageBreak/>
        <w:t>to demonstrate projected costs are reasonable. (SACE BR 2, 4) Specifically, SACE argues that FPL is not timely complying with its requirements under the CAA and therefore these costs are not reasonable. (SACE BR 5-7)</w:t>
      </w:r>
    </w:p>
    <w:p w:rsidR="00A13788" w:rsidRDefault="00A13788" w:rsidP="00ED11B1">
      <w:pPr>
        <w:pStyle w:val="BodyText"/>
        <w:spacing w:after="0"/>
      </w:pPr>
    </w:p>
    <w:p w:rsidR="00473269" w:rsidRDefault="007D08B5" w:rsidP="007D08B5">
      <w:pPr>
        <w:pStyle w:val="BodyText"/>
        <w:spacing w:after="0"/>
        <w:jc w:val="center"/>
        <w:rPr>
          <w:rFonts w:ascii="Arial" w:hAnsi="Arial" w:cs="Arial"/>
          <w:b/>
        </w:rPr>
      </w:pPr>
      <w:r>
        <w:rPr>
          <w:rFonts w:ascii="Arial" w:hAnsi="Arial" w:cs="Arial"/>
          <w:b/>
        </w:rPr>
        <w:t>Analysis</w:t>
      </w:r>
    </w:p>
    <w:p w:rsidR="007D08B5" w:rsidRPr="007D08B5" w:rsidRDefault="007D08B5" w:rsidP="007D08B5">
      <w:pPr>
        <w:pStyle w:val="BodyText"/>
        <w:spacing w:after="0"/>
        <w:rPr>
          <w:rFonts w:ascii="Arial" w:hAnsi="Arial" w:cs="Arial"/>
          <w:b/>
        </w:rPr>
      </w:pPr>
    </w:p>
    <w:p w:rsidR="0082221B" w:rsidRPr="007D08B5" w:rsidRDefault="0082221B" w:rsidP="007D08B5">
      <w:pPr>
        <w:pStyle w:val="First-LevelSubheading"/>
        <w:ind w:firstLine="720"/>
        <w:rPr>
          <w:i/>
        </w:rPr>
      </w:pPr>
      <w:r w:rsidRPr="007D08B5">
        <w:rPr>
          <w:i/>
        </w:rPr>
        <w:t>Final ECRC True-Up Amount</w:t>
      </w:r>
    </w:p>
    <w:p w:rsidR="0082221B" w:rsidRDefault="0082221B" w:rsidP="00F124FC">
      <w:pPr>
        <w:pStyle w:val="BodyText"/>
        <w:spacing w:after="0"/>
      </w:pPr>
      <w:r>
        <w:t xml:space="preserve">Based on the testimony and exhibits of FPL witness Deaton, FPL’s environmental </w:t>
      </w:r>
      <w:r w:rsidR="008A0215">
        <w:t xml:space="preserve">cost </w:t>
      </w:r>
      <w:r>
        <w:t>recovery true-up amount for 2017</w:t>
      </w:r>
      <w:r w:rsidR="00467E0B">
        <w:t xml:space="preserve"> for all programs</w:t>
      </w:r>
      <w:r>
        <w:t xml:space="preserve"> is $31,560,081. (TR 22; EXH 13</w:t>
      </w:r>
      <w:r w:rsidR="00065E4B">
        <w:t>, p.</w:t>
      </w:r>
      <w:r w:rsidR="0038023E">
        <w:t xml:space="preserve"> </w:t>
      </w:r>
      <w:r w:rsidR="00065E4B">
        <w:t>1</w:t>
      </w:r>
      <w:r>
        <w:t>)</w:t>
      </w:r>
      <w:r w:rsidR="00065E4B">
        <w:t xml:space="preserve"> FPL’s final total for 2017 expenditures for the TPCCMP </w:t>
      </w:r>
      <w:r w:rsidR="003358FC">
        <w:t>P</w:t>
      </w:r>
      <w:r w:rsidR="00065E4B">
        <w:t>roject is approximately $14.2 million.</w:t>
      </w:r>
      <w:r w:rsidR="00065E4B">
        <w:rPr>
          <w:rStyle w:val="FootnoteReference"/>
        </w:rPr>
        <w:footnoteReference w:id="2"/>
      </w:r>
      <w:r w:rsidR="00065E4B">
        <w:t xml:space="preserve"> (EXH 13, p.</w:t>
      </w:r>
      <w:r w:rsidR="0038023E">
        <w:t xml:space="preserve"> </w:t>
      </w:r>
      <w:r w:rsidR="00065E4B">
        <w:t>4,</w:t>
      </w:r>
      <w:r w:rsidR="00E96D76">
        <w:t xml:space="preserve"> </w:t>
      </w:r>
      <w:r w:rsidR="00065E4B">
        <w:t>9)</w:t>
      </w:r>
    </w:p>
    <w:p w:rsidR="00F124FC" w:rsidRDefault="00F124FC" w:rsidP="00F124FC">
      <w:pPr>
        <w:pStyle w:val="BodyText"/>
        <w:spacing w:after="0"/>
      </w:pPr>
    </w:p>
    <w:p w:rsidR="00CE1D0A" w:rsidRDefault="00CE1D0A" w:rsidP="00CE1D0A">
      <w:pPr>
        <w:pStyle w:val="Second-LevelSubheading"/>
      </w:pPr>
      <w:r>
        <w:t>TPCCMP</w:t>
      </w:r>
      <w:r w:rsidR="003C19AB">
        <w:t xml:space="preserve"> Project</w:t>
      </w:r>
      <w:r>
        <w:t xml:space="preserve"> Eligibility</w:t>
      </w:r>
    </w:p>
    <w:p w:rsidR="00BE38AD" w:rsidRDefault="00BC1074" w:rsidP="007E350A">
      <w:pPr>
        <w:pStyle w:val="BodyText"/>
        <w:spacing w:after="0"/>
      </w:pPr>
      <w:r w:rsidRPr="00E7504A">
        <w:t xml:space="preserve">The Commission </w:t>
      </w:r>
      <w:r w:rsidRPr="0082221B">
        <w:t xml:space="preserve">initially approved recovery through the ECRC of FPL’s </w:t>
      </w:r>
      <w:r w:rsidR="007C0C83">
        <w:t>TPCCMP Project</w:t>
      </w:r>
      <w:r w:rsidRPr="0082221B">
        <w:t xml:space="preserve"> in the 2009 ECRC Proceeding.</w:t>
      </w:r>
      <w:r w:rsidRPr="0082221B">
        <w:rPr>
          <w:rStyle w:val="FootnoteReference"/>
        </w:rPr>
        <w:footnoteReference w:id="3"/>
      </w:r>
      <w:r w:rsidRPr="0082221B">
        <w:t xml:space="preserve"> Subsequently, the Commission approved recovery of </w:t>
      </w:r>
      <w:r w:rsidR="00C91BDA">
        <w:t xml:space="preserve">additional </w:t>
      </w:r>
      <w:r w:rsidRPr="0082221B">
        <w:t xml:space="preserve">costs associated with remediation and mitigation activities </w:t>
      </w:r>
      <w:r w:rsidR="00C91BDA">
        <w:t xml:space="preserve">as required by </w:t>
      </w:r>
      <w:r w:rsidR="00BC4148">
        <w:t>various</w:t>
      </w:r>
      <w:r w:rsidRPr="0082221B">
        <w:t xml:space="preserve"> environmental regulators</w:t>
      </w:r>
      <w:r w:rsidR="009C2156" w:rsidRPr="0082221B">
        <w:t>.</w:t>
      </w:r>
      <w:r w:rsidR="009572F0" w:rsidRPr="0082221B">
        <w:rPr>
          <w:rStyle w:val="FootnoteReference"/>
        </w:rPr>
        <w:footnoteReference w:id="4"/>
      </w:r>
      <w:r w:rsidRPr="0082221B">
        <w:t xml:space="preserve"> </w:t>
      </w:r>
      <w:r w:rsidR="009C2156">
        <w:t>As a result, SACE’s argument that FPL</w:t>
      </w:r>
      <w:r w:rsidR="005B0512">
        <w:t>’s</w:t>
      </w:r>
      <w:r w:rsidR="009C2156">
        <w:t xml:space="preserve"> ratepayer</w:t>
      </w:r>
      <w:r w:rsidR="005B0512">
        <w:t>s</w:t>
      </w:r>
      <w:r w:rsidR="009C2156">
        <w:t xml:space="preserve"> should not be responsible for </w:t>
      </w:r>
      <w:r w:rsidR="00441CC8">
        <w:t xml:space="preserve">any </w:t>
      </w:r>
      <w:r w:rsidR="001714DE">
        <w:t>past or projected</w:t>
      </w:r>
      <w:r w:rsidR="00441CC8">
        <w:t xml:space="preserve"> </w:t>
      </w:r>
      <w:r w:rsidR="009C2156">
        <w:t>expenses</w:t>
      </w:r>
      <w:r w:rsidR="00127647">
        <w:t xml:space="preserve"> associated with these activities</w:t>
      </w:r>
      <w:r w:rsidR="009C2156">
        <w:t xml:space="preserve"> ignores the Commission’s prior decision</w:t>
      </w:r>
      <w:r w:rsidR="003358FC">
        <w:t xml:space="preserve"> </w:t>
      </w:r>
      <w:r w:rsidR="001714DE">
        <w:t>a</w:t>
      </w:r>
      <w:r w:rsidR="00202E43" w:rsidRPr="00AC71D6">
        <w:t>llowing recovery of reasonable costs for the TPCCMP Project</w:t>
      </w:r>
      <w:r w:rsidR="009C2156" w:rsidRPr="00AC71D6">
        <w:t>.</w:t>
      </w:r>
      <w:r w:rsidR="00202E43" w:rsidRPr="00AC71D6">
        <w:t xml:space="preserve"> </w:t>
      </w:r>
      <w:r w:rsidR="00441CC8" w:rsidRPr="00AC71D6">
        <w:t xml:space="preserve">FPL’s actual, estimated, and projected expenditures for the TPCCMP project are tied to remediation and mitigation activities required by its environmental regulators. (TR 285; EXH 14, p. 112; EXH 38, p. 37; EXH 52) </w:t>
      </w:r>
      <w:r w:rsidR="00BE38AD" w:rsidRPr="00AC71D6">
        <w:t xml:space="preserve">While </w:t>
      </w:r>
      <w:r w:rsidR="00202E43" w:rsidRPr="00AC71D6">
        <w:t xml:space="preserve">SACE </w:t>
      </w:r>
      <w:r w:rsidR="00094A60">
        <w:t>also</w:t>
      </w:r>
      <w:r w:rsidR="00362A91" w:rsidRPr="00AC71D6">
        <w:t xml:space="preserve"> </w:t>
      </w:r>
      <w:r w:rsidR="00202E43" w:rsidRPr="00AC71D6">
        <w:t>argu</w:t>
      </w:r>
      <w:r w:rsidR="00BE38AD" w:rsidRPr="00AC71D6">
        <w:t>es</w:t>
      </w:r>
      <w:r w:rsidR="00202E43" w:rsidRPr="00AC71D6">
        <w:t xml:space="preserve"> that </w:t>
      </w:r>
      <w:r w:rsidR="00BE38AD" w:rsidRPr="00AC71D6">
        <w:t xml:space="preserve">TPCCMP Project </w:t>
      </w:r>
      <w:r w:rsidR="00202E43" w:rsidRPr="00AC71D6">
        <w:t>costs are unreasonable based upon the allegation that FPL is not timely complying with</w:t>
      </w:r>
      <w:r w:rsidR="00BE38AD" w:rsidRPr="00AC71D6">
        <w:t xml:space="preserve"> its</w:t>
      </w:r>
      <w:r w:rsidR="00202E43" w:rsidRPr="00AC71D6">
        <w:t xml:space="preserve"> environmental requirements</w:t>
      </w:r>
      <w:r w:rsidR="00BE38AD" w:rsidRPr="00AC71D6">
        <w:t xml:space="preserve">, </w:t>
      </w:r>
      <w:r w:rsidR="0087618B" w:rsidRPr="00AC71D6">
        <w:t>s</w:t>
      </w:r>
      <w:r w:rsidR="00AA2DD8" w:rsidRPr="00AC71D6">
        <w:t xml:space="preserve">taff </w:t>
      </w:r>
      <w:r w:rsidR="00362A91" w:rsidRPr="00AC71D6">
        <w:t>observes</w:t>
      </w:r>
      <w:r w:rsidR="00AA2DD8" w:rsidRPr="00AC71D6">
        <w:t xml:space="preserve"> that it is not within the Commission</w:t>
      </w:r>
      <w:r w:rsidR="003577FE" w:rsidRPr="00AC71D6">
        <w:t>’s</w:t>
      </w:r>
      <w:r w:rsidR="00AA2DD8" w:rsidRPr="00AC71D6">
        <w:t xml:space="preserve"> jurisdiction to determine whether or not FPL is</w:t>
      </w:r>
      <w:r w:rsidR="00202E43" w:rsidRPr="00AC71D6">
        <w:t xml:space="preserve"> in compliance</w:t>
      </w:r>
      <w:r w:rsidR="00AA2DD8" w:rsidRPr="00AC71D6">
        <w:t xml:space="preserve"> meeting its environmental requirements, but rather that is the role of the environmental regulators.</w:t>
      </w:r>
      <w:r w:rsidR="00CF321E" w:rsidRPr="00AC71D6">
        <w:t xml:space="preserve"> </w:t>
      </w:r>
      <w:r w:rsidR="00362A91" w:rsidRPr="00AC71D6">
        <w:t>Moreover</w:t>
      </w:r>
      <w:r w:rsidR="008A0215">
        <w:t xml:space="preserve">, staff notes that </w:t>
      </w:r>
      <w:r w:rsidR="00CF321E">
        <w:t>FPL witness Sole</w:t>
      </w:r>
      <w:r w:rsidR="008A0215">
        <w:t xml:space="preserve"> testified that</w:t>
      </w:r>
      <w:r w:rsidR="00CF321E">
        <w:t xml:space="preserve"> FPL is currently in compliance with the CA, CAA, and CO. (TR </w:t>
      </w:r>
      <w:r w:rsidR="00B14BB4">
        <w:t>366)</w:t>
      </w:r>
      <w:r w:rsidR="00AC71D6">
        <w:t xml:space="preserve"> Therefore, staff recommends that</w:t>
      </w:r>
      <w:r w:rsidR="00AC71D6" w:rsidRPr="000446E6">
        <w:t xml:space="preserve"> FPL has demonstrated its </w:t>
      </w:r>
      <w:r w:rsidR="00000BBC">
        <w:t xml:space="preserve">actual, estimated, and projected </w:t>
      </w:r>
      <w:r w:rsidR="00EC3827">
        <w:t xml:space="preserve">costs, including </w:t>
      </w:r>
      <w:r w:rsidR="00000BBC">
        <w:t>TPCCMP Project costs</w:t>
      </w:r>
      <w:r w:rsidR="00EC3827">
        <w:t>,</w:t>
      </w:r>
      <w:r w:rsidR="00AC71D6" w:rsidRPr="000446E6">
        <w:t xml:space="preserve"> are </w:t>
      </w:r>
      <w:r w:rsidR="00000BBC">
        <w:t>reasonable</w:t>
      </w:r>
      <w:r w:rsidR="00AC71D6" w:rsidRPr="000446E6">
        <w:t xml:space="preserve"> </w:t>
      </w:r>
      <w:r w:rsidR="00AC71D6">
        <w:t>and</w:t>
      </w:r>
      <w:r w:rsidR="00AC71D6" w:rsidRPr="000446E6">
        <w:t xml:space="preserve"> should be allowed for cost</w:t>
      </w:r>
      <w:r w:rsidR="00AC71D6">
        <w:t xml:space="preserve"> recovery.</w:t>
      </w:r>
    </w:p>
    <w:p w:rsidR="007E350A" w:rsidRPr="0082221B" w:rsidRDefault="007E350A" w:rsidP="007E350A">
      <w:pPr>
        <w:pStyle w:val="BodyText"/>
        <w:spacing w:after="0"/>
      </w:pPr>
    </w:p>
    <w:p w:rsidR="00473269" w:rsidRDefault="00473269" w:rsidP="007E350A">
      <w:pPr>
        <w:pStyle w:val="First-LevelSubheading"/>
      </w:pPr>
      <w:r>
        <w:t>Conclusion</w:t>
      </w:r>
    </w:p>
    <w:p w:rsidR="00473269" w:rsidRPr="00473269" w:rsidRDefault="00127647" w:rsidP="007E350A">
      <w:pPr>
        <w:pStyle w:val="BodyText"/>
        <w:spacing w:after="0"/>
      </w:pPr>
      <w:r>
        <w:t>The final true-up amount for the period January 2017 through December 2017 for FPL is an over</w:t>
      </w:r>
      <w:r w:rsidR="00725842">
        <w:t>-</w:t>
      </w:r>
      <w:r>
        <w:t xml:space="preserve">recovery of $31,560,081. </w:t>
      </w:r>
      <w:r w:rsidR="00202E43">
        <w:t>There should be no adjustment to this amount associated with the TPCCMP Project</w:t>
      </w:r>
      <w:r>
        <w:t>.</w:t>
      </w:r>
    </w:p>
    <w:p w:rsidR="00F62FE3" w:rsidRDefault="00F62FE3" w:rsidP="006139FE">
      <w:pPr>
        <w:pStyle w:val="IssueHeading"/>
        <w:spacing w:after="0"/>
        <w:rPr>
          <w:vanish/>
          <w:specVanish/>
        </w:rPr>
      </w:pPr>
      <w:r w:rsidRPr="004C3641">
        <w:rPr>
          <w:b w:val="0"/>
          <w:i w:val="0"/>
        </w:rPr>
        <w:br w:type="page"/>
      </w:r>
      <w:r w:rsidRPr="004C3641">
        <w:lastRenderedPageBreak/>
        <w:t xml:space="preserve">Issue </w:t>
      </w:r>
      <w:r w:rsidR="007E3D49">
        <w:fldChar w:fldCharType="begin"/>
      </w:r>
      <w:r w:rsidR="007E3D49">
        <w:instrText xml:space="preserve"> SEQ Issue \* MERGEFORMAT </w:instrText>
      </w:r>
      <w:r w:rsidR="007E3D49">
        <w:fldChar w:fldCharType="separate"/>
      </w:r>
      <w:r w:rsidR="001A5B02">
        <w:rPr>
          <w:noProof/>
        </w:rPr>
        <w:t>2</w:t>
      </w:r>
      <w:r w:rsidR="007E3D4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A5B02">
        <w:rPr>
          <w:noProof/>
        </w:rPr>
        <w:instrText>2</w:instrText>
      </w:r>
      <w:r>
        <w:fldChar w:fldCharType="end"/>
      </w:r>
      <w:r>
        <w:tab/>
        <w:instrText xml:space="preserve">(Ellis)" \l 1 </w:instrText>
      </w:r>
      <w:r>
        <w:fldChar w:fldCharType="end"/>
      </w:r>
      <w:r>
        <w:t> </w:t>
      </w:r>
    </w:p>
    <w:p w:rsidR="00F62FE3" w:rsidRDefault="00F62FE3" w:rsidP="006139FE">
      <w:pPr>
        <w:pStyle w:val="BodyText"/>
        <w:spacing w:after="0"/>
      </w:pPr>
      <w:r>
        <w:t> What are the estimated/actual environmental cost recovery true-up amounts for the period January 2018 through December 2018?</w:t>
      </w:r>
    </w:p>
    <w:p w:rsidR="006139FE" w:rsidRDefault="006139FE" w:rsidP="006139FE">
      <w:pPr>
        <w:pStyle w:val="BodyText"/>
        <w:spacing w:after="0"/>
      </w:pPr>
    </w:p>
    <w:p w:rsidR="00F62FE3" w:rsidRPr="004C3641" w:rsidRDefault="00F62FE3" w:rsidP="006139FE">
      <w:pPr>
        <w:pStyle w:val="IssueSubsectionHeading"/>
        <w:spacing w:after="0"/>
        <w:rPr>
          <w:vanish/>
          <w:specVanish/>
        </w:rPr>
      </w:pPr>
      <w:r w:rsidRPr="004C3641">
        <w:t>Recommendation: </w:t>
      </w:r>
    </w:p>
    <w:p w:rsidR="00F62FE3" w:rsidRDefault="00F62FE3" w:rsidP="006139FE">
      <w:pPr>
        <w:pStyle w:val="BodyText"/>
        <w:spacing w:after="0"/>
      </w:pPr>
      <w:r>
        <w:t> </w:t>
      </w:r>
      <w:r w:rsidR="000446E6">
        <w:t>The actual/estimated true-up amount for the period January 2018 through December 2018 for FPL is an under</w:t>
      </w:r>
      <w:r w:rsidR="00725842">
        <w:t>-</w:t>
      </w:r>
      <w:r w:rsidR="000446E6">
        <w:t>recovery of $</w:t>
      </w:r>
      <w:r w:rsidR="000446E6" w:rsidRPr="00807C17">
        <w:t>5,614,420</w:t>
      </w:r>
      <w:r w:rsidR="000446E6">
        <w:t xml:space="preserve">. </w:t>
      </w:r>
      <w:r w:rsidR="00202E43">
        <w:t>There should be no adjustment to this amount associated with the TPCCMP Project</w:t>
      </w:r>
      <w:r w:rsidR="000446E6">
        <w:t>.</w:t>
      </w:r>
      <w:r>
        <w:t xml:space="preserve"> (Ellis)</w:t>
      </w:r>
    </w:p>
    <w:p w:rsidR="006139FE" w:rsidRDefault="006139FE" w:rsidP="006139FE">
      <w:pPr>
        <w:pStyle w:val="BodyText"/>
        <w:spacing w:after="0"/>
      </w:pPr>
    </w:p>
    <w:p w:rsidR="00F62FE3" w:rsidRDefault="00F62FE3" w:rsidP="006139FE">
      <w:pPr>
        <w:pStyle w:val="IssueSubsectionHeading"/>
        <w:keepNext/>
        <w:spacing w:after="0"/>
        <w:rPr>
          <w:iCs w:val="0"/>
        </w:rPr>
      </w:pPr>
      <w:r w:rsidRPr="004C3641">
        <w:rPr>
          <w:iCs w:val="0"/>
        </w:rPr>
        <w:t>Position of the Parties</w:t>
      </w:r>
    </w:p>
    <w:p w:rsidR="006139FE" w:rsidRPr="006139FE" w:rsidRDefault="006139FE" w:rsidP="006139FE">
      <w:pPr>
        <w:pStyle w:val="BodyText"/>
        <w:spacing w:after="0"/>
      </w:pPr>
    </w:p>
    <w:p w:rsidR="00F62FE3" w:rsidRDefault="00F62FE3" w:rsidP="006139FE">
      <w:pPr>
        <w:pStyle w:val="PartyName"/>
        <w:spacing w:after="0"/>
        <w:ind w:left="1080" w:hanging="1080"/>
        <w:rPr>
          <w:vanish/>
          <w:specVanish/>
        </w:rPr>
      </w:pPr>
      <w:r>
        <w:t>FPL: </w:t>
      </w:r>
    </w:p>
    <w:p w:rsidR="00F62FE3" w:rsidRDefault="00F62FE3" w:rsidP="006139FE">
      <w:pPr>
        <w:pStyle w:val="BodyText"/>
        <w:spacing w:after="0"/>
        <w:ind w:left="1080" w:hanging="1080"/>
      </w:pPr>
      <w:r>
        <w:t>  </w:t>
      </w:r>
      <w:r w:rsidR="00CF66A2">
        <w:tab/>
      </w:r>
      <w:proofErr w:type="gramStart"/>
      <w:r w:rsidR="00F67E54" w:rsidRPr="00807C17">
        <w:t>$5,614,420 under-recovery.</w:t>
      </w:r>
      <w:proofErr w:type="gramEnd"/>
    </w:p>
    <w:p w:rsidR="006139FE" w:rsidRDefault="006139FE" w:rsidP="006139FE">
      <w:pPr>
        <w:pStyle w:val="BodyText"/>
        <w:spacing w:after="0"/>
        <w:ind w:left="1080" w:hanging="1080"/>
      </w:pPr>
    </w:p>
    <w:p w:rsidR="00F62FE3" w:rsidRDefault="00F62FE3" w:rsidP="006139FE">
      <w:pPr>
        <w:pStyle w:val="PartyName"/>
        <w:spacing w:after="0"/>
        <w:ind w:left="1080" w:hanging="1080"/>
        <w:rPr>
          <w:vanish/>
          <w:specVanish/>
        </w:rPr>
      </w:pPr>
      <w:r>
        <w:t>OPC: </w:t>
      </w:r>
    </w:p>
    <w:p w:rsidR="00F62FE3" w:rsidRDefault="00F62FE3" w:rsidP="006139FE">
      <w:pPr>
        <w:pStyle w:val="BodyText"/>
        <w:spacing w:after="0"/>
        <w:ind w:left="1080" w:hanging="1080"/>
      </w:pPr>
      <w:r>
        <w:t>  </w:t>
      </w:r>
      <w:r w:rsidR="00CF66A2">
        <w:tab/>
      </w:r>
      <w:r w:rsidR="00A2032A">
        <w:t>No position.</w:t>
      </w:r>
    </w:p>
    <w:p w:rsidR="006139FE" w:rsidRDefault="006139FE" w:rsidP="006139FE">
      <w:pPr>
        <w:pStyle w:val="BodyText"/>
        <w:spacing w:after="0"/>
        <w:ind w:left="1080" w:hanging="1080"/>
      </w:pPr>
    </w:p>
    <w:p w:rsidR="00F62FE3" w:rsidRDefault="00F62FE3" w:rsidP="006139FE">
      <w:pPr>
        <w:pStyle w:val="PartyName"/>
        <w:spacing w:after="0"/>
        <w:ind w:left="1080" w:hanging="1080"/>
        <w:rPr>
          <w:vanish/>
          <w:specVanish/>
        </w:rPr>
      </w:pPr>
      <w:r>
        <w:t>SACE: </w:t>
      </w:r>
    </w:p>
    <w:p w:rsidR="00F62FE3" w:rsidRDefault="000F37B4" w:rsidP="000F37B4">
      <w:pPr>
        <w:pStyle w:val="BodyText"/>
        <w:spacing w:after="0"/>
        <w:ind w:left="1080" w:hanging="1080"/>
        <w:rPr>
          <w:bCs/>
        </w:rPr>
      </w:pPr>
      <w:r w:rsidRPr="00F67E54">
        <w:t> </w:t>
      </w:r>
      <w:r>
        <w:tab/>
      </w:r>
      <w:r w:rsidR="00F67E54" w:rsidRPr="00F67E54">
        <w:rPr>
          <w:bCs/>
          <w:color w:val="000000"/>
        </w:rPr>
        <w:t>T</w:t>
      </w:r>
      <w:r w:rsidR="00F67E54" w:rsidRPr="00F67E54">
        <w:rPr>
          <w:bCs/>
        </w:rPr>
        <w:t>he Commission should not approve FPL’s requ</w:t>
      </w:r>
      <w:r>
        <w:rPr>
          <w:bCs/>
        </w:rPr>
        <w:t xml:space="preserve">est for cost recovery of TPCCMP </w:t>
      </w:r>
      <w:r w:rsidR="00F67E54" w:rsidRPr="00F67E54">
        <w:rPr>
          <w:bCs/>
        </w:rPr>
        <w:t>remediation activities. FPL’s negligence in the operation of the CCS led to violations of law and compliance requirements being placed on it.  Additionally, FPL is not making timely progress in meeting its compli</w:t>
      </w:r>
      <w:r w:rsidR="00CF66A2">
        <w:rPr>
          <w:bCs/>
        </w:rPr>
        <w:t>ance requirements. See Issue 3.</w:t>
      </w:r>
    </w:p>
    <w:p w:rsidR="006139FE" w:rsidRPr="00F67E54" w:rsidRDefault="006139FE" w:rsidP="006139FE">
      <w:pPr>
        <w:pStyle w:val="BodyText"/>
        <w:spacing w:after="0"/>
        <w:ind w:left="1080" w:hanging="1080"/>
      </w:pPr>
    </w:p>
    <w:p w:rsidR="00F62FE3" w:rsidRPr="004C3641" w:rsidRDefault="00F62FE3" w:rsidP="006139FE">
      <w:pPr>
        <w:pStyle w:val="IssueSubsectionHeading"/>
        <w:spacing w:after="0"/>
        <w:rPr>
          <w:vanish/>
          <w:specVanish/>
        </w:rPr>
      </w:pPr>
      <w:r w:rsidRPr="004C3641">
        <w:t>Staff Analysis: </w:t>
      </w:r>
    </w:p>
    <w:p w:rsidR="00473269" w:rsidRDefault="00F62FE3" w:rsidP="006139FE">
      <w:pPr>
        <w:pStyle w:val="BodyText"/>
        <w:spacing w:after="0"/>
      </w:pPr>
      <w:r>
        <w:t> </w:t>
      </w:r>
    </w:p>
    <w:p w:rsidR="000C446B" w:rsidRDefault="000C446B" w:rsidP="006139FE">
      <w:pPr>
        <w:pStyle w:val="BodyText"/>
        <w:spacing w:after="0"/>
      </w:pPr>
    </w:p>
    <w:p w:rsidR="00473269" w:rsidRDefault="006139FE" w:rsidP="000C446B">
      <w:pPr>
        <w:pStyle w:val="BodyText"/>
        <w:spacing w:after="0"/>
        <w:jc w:val="center"/>
        <w:rPr>
          <w:rFonts w:ascii="Arial" w:hAnsi="Arial" w:cs="Arial"/>
          <w:b/>
        </w:rPr>
      </w:pPr>
      <w:r>
        <w:rPr>
          <w:rFonts w:ascii="Arial" w:hAnsi="Arial" w:cs="Arial"/>
          <w:b/>
        </w:rPr>
        <w:t>Parties’ Arguments</w:t>
      </w:r>
    </w:p>
    <w:p w:rsidR="008847EB" w:rsidRPr="006139FE" w:rsidRDefault="008847EB" w:rsidP="008847EB">
      <w:pPr>
        <w:pStyle w:val="BodyText"/>
        <w:spacing w:after="0"/>
        <w:rPr>
          <w:rFonts w:ascii="Arial" w:hAnsi="Arial" w:cs="Arial"/>
          <w:b/>
        </w:rPr>
      </w:pPr>
    </w:p>
    <w:p w:rsidR="00473269" w:rsidRDefault="00473269" w:rsidP="00473269">
      <w:pPr>
        <w:pStyle w:val="Second-LevelSubheading"/>
      </w:pPr>
      <w:r>
        <w:t>FPL</w:t>
      </w:r>
    </w:p>
    <w:p w:rsidR="00473269" w:rsidRDefault="00B14BB4" w:rsidP="00550664">
      <w:pPr>
        <w:pStyle w:val="BodyText"/>
      </w:pPr>
      <w:r>
        <w:t xml:space="preserve">As discussed in Issue 1, </w:t>
      </w:r>
      <w:r w:rsidR="00550664">
        <w:t xml:space="preserve">FPL argues it is eligible for cost recovery for costs associated with the </w:t>
      </w:r>
      <w:r w:rsidR="003358FC">
        <w:t>TPCCMP Project</w:t>
      </w:r>
      <w:r w:rsidR="007D15D8">
        <w:t>.</w:t>
      </w:r>
    </w:p>
    <w:p w:rsidR="00473269" w:rsidRDefault="00473269" w:rsidP="00473269">
      <w:pPr>
        <w:pStyle w:val="Second-LevelSubheading"/>
      </w:pPr>
      <w:r>
        <w:t>SACE</w:t>
      </w:r>
    </w:p>
    <w:p w:rsidR="00473269" w:rsidRDefault="00550664" w:rsidP="00E372C0">
      <w:pPr>
        <w:pStyle w:val="BodyText"/>
        <w:spacing w:after="0"/>
      </w:pPr>
      <w:r>
        <w:t xml:space="preserve">As discussed in Issue 1, SACE argues that FPL should not be allowed to recover costs for the </w:t>
      </w:r>
      <w:r w:rsidR="003358FC">
        <w:t>TPCCMP Project</w:t>
      </w:r>
      <w:r>
        <w:t xml:space="preserve"> as it engaged in imprudent activity and its projected costs are unreasonable due to the Company being out of compliance with the CAA.</w:t>
      </w:r>
    </w:p>
    <w:p w:rsidR="00E372C0" w:rsidRDefault="00E372C0" w:rsidP="00E372C0">
      <w:pPr>
        <w:pStyle w:val="BodyText"/>
        <w:spacing w:after="0"/>
      </w:pPr>
    </w:p>
    <w:p w:rsidR="00473269" w:rsidRDefault="00752845" w:rsidP="00E372C0">
      <w:pPr>
        <w:pStyle w:val="BodyText"/>
        <w:spacing w:after="0"/>
        <w:jc w:val="center"/>
        <w:rPr>
          <w:rFonts w:ascii="Arial" w:hAnsi="Arial" w:cs="Arial"/>
          <w:b/>
        </w:rPr>
      </w:pPr>
      <w:r w:rsidRPr="00752845">
        <w:rPr>
          <w:rFonts w:ascii="Arial" w:hAnsi="Arial" w:cs="Arial"/>
          <w:b/>
        </w:rPr>
        <w:t>Analysis</w:t>
      </w:r>
    </w:p>
    <w:p w:rsidR="00E372C0" w:rsidRPr="00752845" w:rsidRDefault="00E372C0" w:rsidP="00E372C0">
      <w:pPr>
        <w:pStyle w:val="BodyText"/>
        <w:spacing w:after="0"/>
        <w:rPr>
          <w:rFonts w:ascii="Arial" w:hAnsi="Arial" w:cs="Arial"/>
          <w:b/>
        </w:rPr>
      </w:pPr>
    </w:p>
    <w:p w:rsidR="007E138C" w:rsidRPr="000C446B" w:rsidRDefault="007E138C" w:rsidP="00E372C0">
      <w:pPr>
        <w:autoSpaceDE w:val="0"/>
        <w:autoSpaceDN w:val="0"/>
        <w:adjustRightInd w:val="0"/>
        <w:ind w:firstLine="720"/>
        <w:rPr>
          <w:rFonts w:ascii="Arial" w:hAnsi="Arial" w:cs="Arial"/>
          <w:b/>
          <w:bCs/>
          <w:i/>
          <w:szCs w:val="23"/>
        </w:rPr>
      </w:pPr>
      <w:r w:rsidRPr="000C446B">
        <w:rPr>
          <w:rFonts w:ascii="Arial" w:hAnsi="Arial" w:cs="Arial"/>
          <w:b/>
          <w:bCs/>
          <w:i/>
          <w:szCs w:val="23"/>
        </w:rPr>
        <w:t>Estimated/Actual ECRC True-Up Amount</w:t>
      </w:r>
    </w:p>
    <w:p w:rsidR="00467E0B" w:rsidRDefault="00467E0B" w:rsidP="00E372C0">
      <w:pPr>
        <w:pStyle w:val="BodyText"/>
        <w:spacing w:after="0"/>
      </w:pPr>
      <w:r>
        <w:t xml:space="preserve">Based on the testimony and exhibits of FPL witness Deaton, FPL’s environmental </w:t>
      </w:r>
      <w:r w:rsidR="008A0215">
        <w:t xml:space="preserve">cost </w:t>
      </w:r>
      <w:r>
        <w:t>recovery true-up amount for 2018 for all programs is $5,614,420. (TR 23; EXH 12</w:t>
      </w:r>
      <w:r w:rsidR="00E96D76">
        <w:t>, p.</w:t>
      </w:r>
      <w:r w:rsidR="0076576B">
        <w:t xml:space="preserve"> </w:t>
      </w:r>
      <w:r w:rsidR="00E96D76">
        <w:t>1</w:t>
      </w:r>
      <w:r>
        <w:t>)</w:t>
      </w:r>
      <w:r w:rsidR="00E96D76">
        <w:t xml:space="preserve"> FPL’s actual/estimated total for 2018 expenditures for the </w:t>
      </w:r>
      <w:r w:rsidR="003358FC">
        <w:t>TPCCMP Project</w:t>
      </w:r>
      <w:r w:rsidR="00E96D76">
        <w:t xml:space="preserve"> is approximately $32.8 million.</w:t>
      </w:r>
      <w:r w:rsidR="00E96D76">
        <w:rPr>
          <w:rStyle w:val="FootnoteReference"/>
        </w:rPr>
        <w:footnoteReference w:id="5"/>
      </w:r>
      <w:r w:rsidR="00E96D76">
        <w:t xml:space="preserve"> (EXH 12, p.</w:t>
      </w:r>
      <w:r w:rsidR="0076576B">
        <w:t xml:space="preserve"> </w:t>
      </w:r>
      <w:r w:rsidR="00E96D76">
        <w:t>4, 9)</w:t>
      </w:r>
    </w:p>
    <w:p w:rsidR="00666215" w:rsidRDefault="00666215" w:rsidP="00E372C0">
      <w:pPr>
        <w:pStyle w:val="BodyText"/>
        <w:spacing w:after="0"/>
      </w:pPr>
    </w:p>
    <w:p w:rsidR="007E138C" w:rsidRPr="000446E6" w:rsidRDefault="007E138C" w:rsidP="00E372C0">
      <w:pPr>
        <w:pStyle w:val="Second-LevelSubheading"/>
        <w:keepNext/>
      </w:pPr>
      <w:r>
        <w:t>TPCCMP</w:t>
      </w:r>
      <w:r w:rsidR="003C19AB">
        <w:t xml:space="preserve"> Project</w:t>
      </w:r>
      <w:r>
        <w:t xml:space="preserve"> </w:t>
      </w:r>
      <w:r w:rsidRPr="000446E6">
        <w:t>Eligibility</w:t>
      </w:r>
    </w:p>
    <w:p w:rsidR="007E138C" w:rsidRDefault="002E07E4" w:rsidP="00E372C0">
      <w:pPr>
        <w:pStyle w:val="BodyText"/>
        <w:spacing w:after="0"/>
      </w:pPr>
      <w:r w:rsidRPr="000446E6">
        <w:t xml:space="preserve">As discussed in Issue 1, the Commission </w:t>
      </w:r>
      <w:r w:rsidR="00B14BB4" w:rsidRPr="000446E6">
        <w:t xml:space="preserve">has previously approved the inclusion of costs </w:t>
      </w:r>
      <w:r w:rsidR="008A0215">
        <w:t>for</w:t>
      </w:r>
      <w:r w:rsidR="00B14BB4" w:rsidRPr="000446E6">
        <w:t xml:space="preserve"> the TPCCMP</w:t>
      </w:r>
      <w:r w:rsidR="003C19AB">
        <w:t xml:space="preserve"> Project</w:t>
      </w:r>
      <w:r w:rsidR="00B14BB4" w:rsidRPr="000446E6">
        <w:t xml:space="preserve">. </w:t>
      </w:r>
      <w:r w:rsidR="008A0215">
        <w:t>Staff recommends that</w:t>
      </w:r>
      <w:r w:rsidRPr="000446E6">
        <w:t xml:space="preserve"> FPL has reasonably demonstrated its activities are associated with the </w:t>
      </w:r>
      <w:r w:rsidR="003358FC">
        <w:t>TPCCMP Project</w:t>
      </w:r>
      <w:r w:rsidRPr="000446E6">
        <w:t xml:space="preserve"> </w:t>
      </w:r>
      <w:r w:rsidR="008A0215">
        <w:t>and</w:t>
      </w:r>
      <w:r w:rsidRPr="000446E6">
        <w:t xml:space="preserve"> should be allowed for cost recovery.</w:t>
      </w:r>
    </w:p>
    <w:p w:rsidR="00473269" w:rsidRDefault="00473269" w:rsidP="000446E6">
      <w:pPr>
        <w:pStyle w:val="First-LevelSubheading"/>
        <w:keepNext/>
      </w:pPr>
      <w:r>
        <w:lastRenderedPageBreak/>
        <w:t>Conclusion</w:t>
      </w:r>
    </w:p>
    <w:p w:rsidR="00F62FE3" w:rsidRPr="00467E0B" w:rsidRDefault="000446E6" w:rsidP="00E372C0">
      <w:pPr>
        <w:pStyle w:val="BodyText"/>
        <w:spacing w:after="0"/>
      </w:pPr>
      <w:r>
        <w:t>The actual/estimated true-up amount for the period January 2018 through December 2018 for FPL is an under</w:t>
      </w:r>
      <w:r w:rsidR="00725842">
        <w:t>-</w:t>
      </w:r>
      <w:r>
        <w:t>recovery of $</w:t>
      </w:r>
      <w:r w:rsidRPr="00807C17">
        <w:t>5,614,420</w:t>
      </w:r>
      <w:r>
        <w:t xml:space="preserve">. </w:t>
      </w:r>
      <w:r w:rsidR="00202E43">
        <w:t>There should be no adjustment to this amount associated with the TPCCMP Project</w:t>
      </w:r>
      <w:r>
        <w:t>.</w:t>
      </w:r>
    </w:p>
    <w:p w:rsidR="00F62FE3" w:rsidRDefault="00F62FE3">
      <w:pPr>
        <w:pStyle w:val="IssueHeading"/>
        <w:rPr>
          <w:vanish/>
          <w:specVanish/>
        </w:rPr>
      </w:pPr>
      <w:r w:rsidRPr="004C3641">
        <w:rPr>
          <w:b w:val="0"/>
          <w:i w:val="0"/>
        </w:rPr>
        <w:br w:type="page"/>
      </w:r>
      <w:r w:rsidRPr="004C3641">
        <w:lastRenderedPageBreak/>
        <w:t xml:space="preserve">Issue </w:t>
      </w:r>
      <w:r w:rsidR="007E3D49">
        <w:fldChar w:fldCharType="begin"/>
      </w:r>
      <w:r w:rsidR="007E3D49">
        <w:instrText xml:space="preserve"> SEQ Issue \* MERGEFORMAT </w:instrText>
      </w:r>
      <w:r w:rsidR="007E3D49">
        <w:fldChar w:fldCharType="separate"/>
      </w:r>
      <w:r w:rsidR="001A5B02">
        <w:rPr>
          <w:noProof/>
        </w:rPr>
        <w:t>3</w:t>
      </w:r>
      <w:r w:rsidR="007E3D4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A5B02">
        <w:rPr>
          <w:noProof/>
        </w:rPr>
        <w:instrText>3</w:instrText>
      </w:r>
      <w:r>
        <w:fldChar w:fldCharType="end"/>
      </w:r>
      <w:r>
        <w:tab/>
        <w:instrText xml:space="preserve">(Ellis)" \l 1 </w:instrText>
      </w:r>
      <w:r>
        <w:fldChar w:fldCharType="end"/>
      </w:r>
      <w:r>
        <w:t> </w:t>
      </w:r>
    </w:p>
    <w:p w:rsidR="00F62FE3" w:rsidRDefault="00F62FE3" w:rsidP="00917A25">
      <w:pPr>
        <w:pStyle w:val="BodyText"/>
        <w:spacing w:after="0"/>
      </w:pPr>
      <w:r>
        <w:t> What are the projected environmental cost recovery amounts for the period January 2019 through December 2019?</w:t>
      </w:r>
    </w:p>
    <w:p w:rsidR="00917A25" w:rsidRDefault="00917A25" w:rsidP="00917A25">
      <w:pPr>
        <w:pStyle w:val="BodyText"/>
        <w:spacing w:after="0"/>
      </w:pPr>
    </w:p>
    <w:p w:rsidR="00F62FE3" w:rsidRPr="004C3641" w:rsidRDefault="00F62FE3" w:rsidP="00917A25">
      <w:pPr>
        <w:pStyle w:val="IssueSubsectionHeading"/>
        <w:spacing w:after="0"/>
        <w:rPr>
          <w:vanish/>
          <w:specVanish/>
        </w:rPr>
      </w:pPr>
      <w:r w:rsidRPr="004C3641">
        <w:t>Recommendation: </w:t>
      </w:r>
    </w:p>
    <w:p w:rsidR="00F62FE3" w:rsidRDefault="00F62FE3" w:rsidP="00917A25">
      <w:pPr>
        <w:pStyle w:val="BodyText"/>
        <w:spacing w:after="0"/>
      </w:pPr>
      <w:r>
        <w:t> </w:t>
      </w:r>
      <w:r w:rsidR="000446E6">
        <w:t xml:space="preserve">The projected amount for the period January 2019 through December 2019 for FPL is a total of </w:t>
      </w:r>
      <w:r w:rsidR="00A728C8">
        <w:t>$</w:t>
      </w:r>
      <w:r w:rsidR="000446E6" w:rsidRPr="00807C17">
        <w:t>187,365,910</w:t>
      </w:r>
      <w:r w:rsidR="00A728C8">
        <w:t>, which includes projected</w:t>
      </w:r>
      <w:r w:rsidR="000446E6">
        <w:t xml:space="preserve"> expenditures associated with the </w:t>
      </w:r>
      <w:r w:rsidR="003358FC">
        <w:t>TPCCMP Project</w:t>
      </w:r>
      <w:r w:rsidR="000446E6">
        <w:t>.</w:t>
      </w:r>
      <w:r>
        <w:t xml:space="preserve"> (Ellis)</w:t>
      </w:r>
    </w:p>
    <w:p w:rsidR="00917A25" w:rsidRDefault="00917A25" w:rsidP="00917A25">
      <w:pPr>
        <w:pStyle w:val="BodyText"/>
        <w:spacing w:after="0"/>
      </w:pPr>
    </w:p>
    <w:p w:rsidR="00917A25" w:rsidRPr="00917A25" w:rsidRDefault="00F62FE3" w:rsidP="00917A25">
      <w:pPr>
        <w:pStyle w:val="IssueSubsectionHeading"/>
        <w:keepNext/>
        <w:spacing w:after="0"/>
        <w:rPr>
          <w:iCs w:val="0"/>
        </w:rPr>
      </w:pPr>
      <w:r w:rsidRPr="004C3641">
        <w:rPr>
          <w:iCs w:val="0"/>
        </w:rPr>
        <w:t>Position of the Parties</w:t>
      </w:r>
    </w:p>
    <w:p w:rsidR="00917A25" w:rsidRDefault="00917A25" w:rsidP="00917A25">
      <w:pPr>
        <w:pStyle w:val="PartyName"/>
        <w:spacing w:after="0"/>
        <w:ind w:left="1080" w:hanging="1080"/>
      </w:pPr>
    </w:p>
    <w:p w:rsidR="00F62FE3" w:rsidRDefault="00F62FE3" w:rsidP="00917A25">
      <w:pPr>
        <w:pStyle w:val="PartyName"/>
        <w:spacing w:after="0"/>
        <w:ind w:left="1080" w:hanging="1080"/>
        <w:rPr>
          <w:vanish/>
          <w:specVanish/>
        </w:rPr>
      </w:pPr>
      <w:r>
        <w:t>FPL: </w:t>
      </w:r>
    </w:p>
    <w:p w:rsidR="00F62FE3" w:rsidRDefault="00F62FE3" w:rsidP="00917A25">
      <w:pPr>
        <w:pStyle w:val="BodyText"/>
        <w:spacing w:after="0"/>
        <w:ind w:left="1080" w:hanging="1080"/>
      </w:pPr>
      <w:r>
        <w:t>  </w:t>
      </w:r>
      <w:r w:rsidR="00CF66A2">
        <w:tab/>
      </w:r>
      <w:proofErr w:type="gramStart"/>
      <w:r w:rsidR="00F67E54" w:rsidRPr="00807C17">
        <w:t>$187,365,910.</w:t>
      </w:r>
      <w:proofErr w:type="gramEnd"/>
    </w:p>
    <w:p w:rsidR="00917A25" w:rsidRDefault="00917A25" w:rsidP="00917A25">
      <w:pPr>
        <w:pStyle w:val="PartyName"/>
        <w:spacing w:after="0"/>
        <w:ind w:left="1080" w:hanging="1080"/>
      </w:pPr>
    </w:p>
    <w:p w:rsidR="00F62FE3" w:rsidRDefault="00F62FE3" w:rsidP="00917A25">
      <w:pPr>
        <w:pStyle w:val="PartyName"/>
        <w:spacing w:after="0"/>
        <w:ind w:left="1080" w:hanging="1080"/>
        <w:rPr>
          <w:vanish/>
          <w:specVanish/>
        </w:rPr>
      </w:pPr>
      <w:r>
        <w:t>OPC: </w:t>
      </w:r>
    </w:p>
    <w:p w:rsidR="00F62FE3" w:rsidRDefault="00F62FE3" w:rsidP="00917A25">
      <w:pPr>
        <w:pStyle w:val="BodyText"/>
        <w:spacing w:after="0"/>
        <w:ind w:left="1080" w:hanging="1080"/>
      </w:pPr>
      <w:r>
        <w:t>  </w:t>
      </w:r>
      <w:r w:rsidR="00CF66A2">
        <w:tab/>
      </w:r>
      <w:r w:rsidR="00A2032A">
        <w:t>No position.</w:t>
      </w:r>
    </w:p>
    <w:p w:rsidR="00917A25" w:rsidRDefault="00917A25" w:rsidP="00917A25">
      <w:pPr>
        <w:pStyle w:val="PartyName"/>
        <w:spacing w:after="0"/>
        <w:ind w:left="1080" w:hanging="1080"/>
      </w:pPr>
    </w:p>
    <w:p w:rsidR="00F62FE3" w:rsidRDefault="00F62FE3" w:rsidP="00917A25">
      <w:pPr>
        <w:pStyle w:val="PartyName"/>
        <w:spacing w:after="0"/>
        <w:ind w:left="1080" w:hanging="1080"/>
        <w:rPr>
          <w:vanish/>
          <w:specVanish/>
        </w:rPr>
      </w:pPr>
      <w:r>
        <w:t>SACE: </w:t>
      </w:r>
    </w:p>
    <w:p w:rsidR="00F62FE3" w:rsidRDefault="00917A25" w:rsidP="00917A25">
      <w:pPr>
        <w:pStyle w:val="BodyText"/>
        <w:spacing w:after="0"/>
        <w:ind w:left="1080" w:hanging="1080"/>
        <w:rPr>
          <w:bCs/>
        </w:rPr>
      </w:pPr>
      <w:r>
        <w:t> </w:t>
      </w:r>
      <w:r w:rsidR="000F37B4">
        <w:tab/>
      </w:r>
      <w:r w:rsidR="00F67E54" w:rsidRPr="00F67E54">
        <w:rPr>
          <w:bCs/>
          <w:color w:val="000000"/>
        </w:rPr>
        <w:t>T</w:t>
      </w:r>
      <w:r w:rsidR="00F67E54" w:rsidRPr="00F67E54">
        <w:rPr>
          <w:bCs/>
        </w:rPr>
        <w:t>he Commission should not approve FPL’s request for cost recovery of TPCCMP remediation activities. FPL’s negligence in the operation of the CCS led to violations of law and compliance requirements being placed on it.  Additionally, FPL is not making timely progress in meeting its compliance requirements.</w:t>
      </w:r>
    </w:p>
    <w:p w:rsidR="00917A25" w:rsidRPr="00F67E54" w:rsidRDefault="00917A25" w:rsidP="00917A25">
      <w:pPr>
        <w:pStyle w:val="BodyText"/>
        <w:spacing w:after="0"/>
        <w:ind w:left="1080" w:hanging="1080"/>
      </w:pPr>
    </w:p>
    <w:p w:rsidR="00F62FE3" w:rsidRPr="004C3641" w:rsidRDefault="00F62FE3" w:rsidP="00917A25">
      <w:pPr>
        <w:pStyle w:val="IssueSubsectionHeading"/>
        <w:spacing w:after="0"/>
        <w:rPr>
          <w:vanish/>
          <w:specVanish/>
        </w:rPr>
      </w:pPr>
      <w:r w:rsidRPr="004C3641">
        <w:t>Staff Analysis: </w:t>
      </w:r>
    </w:p>
    <w:p w:rsidR="00473269" w:rsidRDefault="00F62FE3" w:rsidP="00917A25">
      <w:pPr>
        <w:pStyle w:val="BodyText"/>
        <w:spacing w:after="0"/>
      </w:pPr>
      <w:r>
        <w:t> </w:t>
      </w:r>
    </w:p>
    <w:p w:rsidR="008847EB" w:rsidRDefault="008847EB" w:rsidP="00917A25">
      <w:pPr>
        <w:pStyle w:val="BodyText"/>
        <w:spacing w:after="0"/>
      </w:pPr>
    </w:p>
    <w:p w:rsidR="00473269" w:rsidRDefault="00917A25" w:rsidP="00917A25">
      <w:pPr>
        <w:pStyle w:val="BodyText"/>
        <w:spacing w:after="0"/>
        <w:jc w:val="center"/>
        <w:rPr>
          <w:b/>
        </w:rPr>
      </w:pPr>
      <w:r w:rsidRPr="00917A25">
        <w:rPr>
          <w:rFonts w:ascii="Arial" w:hAnsi="Arial" w:cs="Arial"/>
          <w:b/>
        </w:rPr>
        <w:t>Parties’ Argument</w:t>
      </w:r>
      <w:r>
        <w:rPr>
          <w:b/>
        </w:rPr>
        <w:t>s</w:t>
      </w:r>
    </w:p>
    <w:p w:rsidR="00917A25" w:rsidRPr="00500678" w:rsidRDefault="00917A25" w:rsidP="00917A25">
      <w:pPr>
        <w:pStyle w:val="BodyText"/>
        <w:spacing w:after="0"/>
        <w:rPr>
          <w:b/>
        </w:rPr>
      </w:pPr>
    </w:p>
    <w:p w:rsidR="00550664" w:rsidRDefault="00550664" w:rsidP="00917A25">
      <w:pPr>
        <w:pStyle w:val="Second-LevelSubheading"/>
      </w:pPr>
      <w:r>
        <w:t>FPL</w:t>
      </w:r>
    </w:p>
    <w:p w:rsidR="00550664" w:rsidRDefault="00550664" w:rsidP="00917A25">
      <w:pPr>
        <w:pStyle w:val="BodyText"/>
        <w:spacing w:after="0"/>
      </w:pPr>
      <w:r>
        <w:t xml:space="preserve">As discussed in Issue 1, FPL argues it is eligible for cost recovery for costs associated with the </w:t>
      </w:r>
      <w:r w:rsidR="003358FC">
        <w:t>TPCCMP Project</w:t>
      </w:r>
      <w:r>
        <w:t xml:space="preserve">. </w:t>
      </w:r>
    </w:p>
    <w:p w:rsidR="00917A25" w:rsidRDefault="00917A25" w:rsidP="00917A25">
      <w:pPr>
        <w:pStyle w:val="Second-LevelSubheading"/>
        <w:ind w:left="0"/>
      </w:pPr>
    </w:p>
    <w:p w:rsidR="00550664" w:rsidRDefault="00550664" w:rsidP="00917A25">
      <w:pPr>
        <w:pStyle w:val="Second-LevelSubheading"/>
      </w:pPr>
      <w:r>
        <w:t>SACE</w:t>
      </w:r>
    </w:p>
    <w:p w:rsidR="00550664" w:rsidRDefault="00550664" w:rsidP="00917A25">
      <w:pPr>
        <w:pStyle w:val="BodyText"/>
        <w:spacing w:after="0"/>
      </w:pPr>
      <w:r>
        <w:t xml:space="preserve">As discussed in Issue 1, SACE argues that FPL should not be allowed to recover costs for the </w:t>
      </w:r>
      <w:r w:rsidR="003358FC">
        <w:t>TPCCMP Project</w:t>
      </w:r>
      <w:r>
        <w:t xml:space="preserve"> as it engaged in imprudent activity and its projected costs are unreasonable due to the Company being out of compliance with the CAA.</w:t>
      </w:r>
    </w:p>
    <w:p w:rsidR="00917A25" w:rsidRDefault="00917A25" w:rsidP="00917A25">
      <w:pPr>
        <w:pStyle w:val="BodyText"/>
        <w:spacing w:after="0"/>
      </w:pPr>
    </w:p>
    <w:p w:rsidR="00473269" w:rsidRPr="00917A25" w:rsidRDefault="00917A25" w:rsidP="00917A25">
      <w:pPr>
        <w:pStyle w:val="BodyText"/>
        <w:spacing w:after="0"/>
        <w:jc w:val="center"/>
        <w:rPr>
          <w:rFonts w:ascii="Arial" w:hAnsi="Arial" w:cs="Arial"/>
          <w:b/>
        </w:rPr>
      </w:pPr>
      <w:r>
        <w:rPr>
          <w:rFonts w:ascii="Arial" w:hAnsi="Arial" w:cs="Arial"/>
          <w:b/>
        </w:rPr>
        <w:t>An</w:t>
      </w:r>
      <w:r w:rsidR="00E372C0">
        <w:rPr>
          <w:rFonts w:ascii="Arial" w:hAnsi="Arial" w:cs="Arial"/>
          <w:b/>
        </w:rPr>
        <w:t>alysis</w:t>
      </w:r>
    </w:p>
    <w:p w:rsidR="00917A25" w:rsidRPr="00500678" w:rsidRDefault="00917A25" w:rsidP="00917A25">
      <w:pPr>
        <w:pStyle w:val="BodyText"/>
        <w:spacing w:after="0"/>
        <w:rPr>
          <w:b/>
        </w:rPr>
      </w:pPr>
    </w:p>
    <w:p w:rsidR="007E138C" w:rsidRPr="00E372C0" w:rsidRDefault="007E138C" w:rsidP="00E372C0">
      <w:pPr>
        <w:autoSpaceDE w:val="0"/>
        <w:autoSpaceDN w:val="0"/>
        <w:adjustRightInd w:val="0"/>
        <w:ind w:firstLine="720"/>
        <w:rPr>
          <w:rFonts w:ascii="Arial" w:hAnsi="Arial" w:cs="Arial"/>
          <w:b/>
          <w:bCs/>
          <w:i/>
          <w:sz w:val="23"/>
          <w:szCs w:val="23"/>
        </w:rPr>
      </w:pPr>
      <w:r w:rsidRPr="00E372C0">
        <w:rPr>
          <w:rFonts w:ascii="Arial" w:hAnsi="Arial" w:cs="Arial"/>
          <w:b/>
          <w:bCs/>
          <w:i/>
          <w:szCs w:val="23"/>
        </w:rPr>
        <w:t>Projected ECRC Amount</w:t>
      </w:r>
    </w:p>
    <w:p w:rsidR="00BC1074" w:rsidRDefault="00BC1074" w:rsidP="00E372C0">
      <w:pPr>
        <w:pStyle w:val="BodyText"/>
        <w:spacing w:after="0"/>
      </w:pPr>
      <w:r>
        <w:t>Based on the testimony and exhibits of FPL witness Deaton, FPL’s environmental</w:t>
      </w:r>
      <w:r w:rsidR="00F54F97">
        <w:t xml:space="preserve"> cost</w:t>
      </w:r>
      <w:r>
        <w:t xml:space="preserve"> recovery projected amount for 2019 for all programs is </w:t>
      </w:r>
      <w:r w:rsidRPr="00B45DAB">
        <w:t>$187,365,910</w:t>
      </w:r>
      <w:r>
        <w:t>. (TR 31; EXH 14</w:t>
      </w:r>
      <w:r w:rsidR="00E96D76">
        <w:t>, p.</w:t>
      </w:r>
      <w:r w:rsidR="00E44DD7">
        <w:t xml:space="preserve"> </w:t>
      </w:r>
      <w:r w:rsidR="00E96D76">
        <w:t>1</w:t>
      </w:r>
      <w:r>
        <w:t>)</w:t>
      </w:r>
      <w:r w:rsidR="00E96D76">
        <w:t xml:space="preserve"> FPL’s projected total </w:t>
      </w:r>
      <w:r w:rsidR="00A728C8">
        <w:t>includes</w:t>
      </w:r>
      <w:r w:rsidR="00E96D76">
        <w:t xml:space="preserve"> expenditures for the </w:t>
      </w:r>
      <w:r w:rsidR="003358FC">
        <w:t>TPCCMP Project</w:t>
      </w:r>
      <w:r w:rsidR="00E96D76">
        <w:t xml:space="preserve"> </w:t>
      </w:r>
      <w:r w:rsidR="00A728C8">
        <w:t>of</w:t>
      </w:r>
      <w:r w:rsidR="00E96D76">
        <w:t xml:space="preserve"> approximately $24.3 million.</w:t>
      </w:r>
      <w:r w:rsidR="00E96D76">
        <w:rPr>
          <w:rStyle w:val="FootnoteReference"/>
        </w:rPr>
        <w:footnoteReference w:id="6"/>
      </w:r>
      <w:r w:rsidR="00E96D76">
        <w:t xml:space="preserve"> (EXH 14, p.</w:t>
      </w:r>
      <w:r w:rsidR="00E44DD7">
        <w:t xml:space="preserve"> </w:t>
      </w:r>
      <w:r w:rsidR="00E96D76">
        <w:t>2, 52)</w:t>
      </w:r>
    </w:p>
    <w:p w:rsidR="00E372C0" w:rsidRDefault="00E372C0" w:rsidP="00E372C0">
      <w:pPr>
        <w:pStyle w:val="BodyText"/>
        <w:spacing w:after="0"/>
      </w:pPr>
    </w:p>
    <w:p w:rsidR="007E138C" w:rsidRDefault="007E138C" w:rsidP="00E372C0">
      <w:pPr>
        <w:pStyle w:val="Second-LevelSubheading"/>
        <w:keepNext/>
      </w:pPr>
      <w:r>
        <w:t>TPCCMP</w:t>
      </w:r>
      <w:r w:rsidR="003C19AB">
        <w:t xml:space="preserve"> Project</w:t>
      </w:r>
      <w:r>
        <w:t xml:space="preserve"> Eligibility</w:t>
      </w:r>
    </w:p>
    <w:p w:rsidR="007E138C" w:rsidRDefault="002E07E4" w:rsidP="00E372C0">
      <w:pPr>
        <w:pStyle w:val="BodyText"/>
        <w:spacing w:after="0"/>
      </w:pPr>
      <w:r>
        <w:t xml:space="preserve">As discussed in Issue </w:t>
      </w:r>
      <w:r w:rsidRPr="000446E6">
        <w:t xml:space="preserve">1, </w:t>
      </w:r>
      <w:r w:rsidR="00B14BB4" w:rsidRPr="000446E6">
        <w:t xml:space="preserve">the Commission has previously approved the inclusion of costs </w:t>
      </w:r>
      <w:r w:rsidR="00F54F97">
        <w:t>for</w:t>
      </w:r>
      <w:r w:rsidR="00B14BB4" w:rsidRPr="000446E6">
        <w:t xml:space="preserve"> the TPCCMP</w:t>
      </w:r>
      <w:r w:rsidR="003C19AB">
        <w:t xml:space="preserve"> Project</w:t>
      </w:r>
      <w:r w:rsidR="00B14BB4" w:rsidRPr="000446E6">
        <w:t xml:space="preserve">. </w:t>
      </w:r>
      <w:r w:rsidR="00F54F97">
        <w:t>Staff recommends that</w:t>
      </w:r>
      <w:r w:rsidR="00B14BB4" w:rsidRPr="000446E6">
        <w:t xml:space="preserve"> FPL has reasonably demonstrated its activities are associated with the </w:t>
      </w:r>
      <w:r w:rsidR="007C0C83">
        <w:t>TPCCMP Project</w:t>
      </w:r>
      <w:r w:rsidR="00B14BB4" w:rsidRPr="000446E6">
        <w:t xml:space="preserve"> </w:t>
      </w:r>
      <w:r w:rsidR="00F54F97">
        <w:t>and</w:t>
      </w:r>
      <w:r w:rsidR="00B14BB4" w:rsidRPr="000446E6">
        <w:t xml:space="preserve"> should be allowed for cost recovery.</w:t>
      </w:r>
    </w:p>
    <w:p w:rsidR="00473269" w:rsidRDefault="00473269" w:rsidP="00E372C0">
      <w:pPr>
        <w:pStyle w:val="First-LevelSubheading"/>
      </w:pPr>
      <w:r>
        <w:lastRenderedPageBreak/>
        <w:t>Conclusion</w:t>
      </w:r>
    </w:p>
    <w:p w:rsidR="00F62FE3" w:rsidRPr="00BC1074" w:rsidRDefault="00A728C8" w:rsidP="00E372C0">
      <w:pPr>
        <w:pStyle w:val="BodyText"/>
        <w:spacing w:after="0"/>
      </w:pPr>
      <w:r>
        <w:t>The projected amount for the period January 2019 through December 2019 for FPL is a total of $</w:t>
      </w:r>
      <w:r w:rsidRPr="00807C17">
        <w:t>187,365,910</w:t>
      </w:r>
      <w:r>
        <w:t>, which includes projected expenditures associated with the TPCCMP Project.</w:t>
      </w:r>
    </w:p>
    <w:p w:rsidR="00F62FE3" w:rsidRDefault="00F62FE3" w:rsidP="00264B2B">
      <w:pPr>
        <w:pStyle w:val="IssueHeading"/>
        <w:spacing w:after="0"/>
        <w:rPr>
          <w:vanish/>
          <w:specVanish/>
        </w:rPr>
      </w:pPr>
      <w:r w:rsidRPr="004C3641">
        <w:rPr>
          <w:b w:val="0"/>
          <w:i w:val="0"/>
        </w:rPr>
        <w:br w:type="page"/>
      </w:r>
      <w:r w:rsidRPr="004C3641">
        <w:lastRenderedPageBreak/>
        <w:t xml:space="preserve">Issue </w:t>
      </w:r>
      <w:r w:rsidR="007E3D49">
        <w:fldChar w:fldCharType="begin"/>
      </w:r>
      <w:r w:rsidR="007E3D49">
        <w:instrText xml:space="preserve"> SEQ Issue \* MERGEFORMAT </w:instrText>
      </w:r>
      <w:r w:rsidR="007E3D49">
        <w:fldChar w:fldCharType="separate"/>
      </w:r>
      <w:r w:rsidR="001A5B02">
        <w:rPr>
          <w:noProof/>
        </w:rPr>
        <w:t>4</w:t>
      </w:r>
      <w:r w:rsidR="007E3D4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A5B02">
        <w:rPr>
          <w:noProof/>
        </w:rPr>
        <w:instrText>4</w:instrText>
      </w:r>
      <w:r>
        <w:fldChar w:fldCharType="end"/>
      </w:r>
      <w:r>
        <w:tab/>
        <w:instrText xml:space="preserve">(Ellis)" \l 1 </w:instrText>
      </w:r>
      <w:r>
        <w:fldChar w:fldCharType="end"/>
      </w:r>
      <w:r>
        <w:t> </w:t>
      </w:r>
    </w:p>
    <w:p w:rsidR="00F62FE3" w:rsidRDefault="00F62FE3" w:rsidP="00264B2B">
      <w:pPr>
        <w:pStyle w:val="BodyText"/>
        <w:spacing w:after="0"/>
      </w:pPr>
      <w:r>
        <w:t> What are the environmental cost recovery amounts, including true-up amounts, for the period January 2019 through December 2019?</w:t>
      </w:r>
    </w:p>
    <w:p w:rsidR="00264B2B" w:rsidRDefault="00264B2B" w:rsidP="00264B2B">
      <w:pPr>
        <w:pStyle w:val="BodyText"/>
        <w:spacing w:after="0"/>
      </w:pPr>
    </w:p>
    <w:p w:rsidR="00F62FE3" w:rsidRPr="004C3641" w:rsidRDefault="00F62FE3" w:rsidP="00264B2B">
      <w:pPr>
        <w:pStyle w:val="IssueSubsectionHeading"/>
        <w:spacing w:after="0"/>
        <w:rPr>
          <w:vanish/>
          <w:specVanish/>
        </w:rPr>
      </w:pPr>
      <w:r w:rsidRPr="004C3641">
        <w:t>Recommendation: </w:t>
      </w:r>
    </w:p>
    <w:p w:rsidR="00F62FE3" w:rsidRDefault="00F62FE3" w:rsidP="00264B2B">
      <w:pPr>
        <w:pStyle w:val="BodyText"/>
        <w:spacing w:after="0"/>
      </w:pPr>
      <w:r>
        <w:t> </w:t>
      </w:r>
      <w:r w:rsidR="000446E6">
        <w:t>The projected amount, including true-ups, for the period January 2019 through December 2019 for FPL is a total of $</w:t>
      </w:r>
      <w:r w:rsidR="000446E6" w:rsidRPr="00807C17">
        <w:t>161,536,472</w:t>
      </w:r>
      <w:r w:rsidR="00202E43">
        <w:t xml:space="preserve"> to be recovered from ratepayers</w:t>
      </w:r>
      <w:r w:rsidR="00F54F97">
        <w:t>, which includes projected expenditures associated with the TPCCMP Project</w:t>
      </w:r>
      <w:r w:rsidR="000446E6">
        <w:t>.</w:t>
      </w:r>
      <w:r>
        <w:t xml:space="preserve"> (Ellis)</w:t>
      </w:r>
    </w:p>
    <w:p w:rsidR="00264B2B" w:rsidRDefault="00264B2B" w:rsidP="00264B2B">
      <w:pPr>
        <w:pStyle w:val="BodyText"/>
        <w:spacing w:after="0"/>
      </w:pPr>
    </w:p>
    <w:p w:rsidR="00264B2B" w:rsidRDefault="00F62FE3" w:rsidP="00264B2B">
      <w:pPr>
        <w:pStyle w:val="IssueSubsectionHeading"/>
        <w:keepNext/>
        <w:spacing w:after="0"/>
        <w:rPr>
          <w:iCs w:val="0"/>
        </w:rPr>
      </w:pPr>
      <w:r w:rsidRPr="004C3641">
        <w:rPr>
          <w:iCs w:val="0"/>
        </w:rPr>
        <w:t>Position of the Parties</w:t>
      </w:r>
    </w:p>
    <w:p w:rsidR="00264B2B" w:rsidRPr="00264B2B" w:rsidRDefault="00264B2B" w:rsidP="00264B2B">
      <w:pPr>
        <w:pStyle w:val="BodyText"/>
        <w:spacing w:after="0"/>
      </w:pPr>
    </w:p>
    <w:p w:rsidR="00F62FE3" w:rsidRDefault="00F62FE3" w:rsidP="00357963">
      <w:pPr>
        <w:pStyle w:val="PartyName"/>
        <w:spacing w:after="0"/>
        <w:ind w:left="1080" w:hanging="1080"/>
        <w:rPr>
          <w:vanish/>
          <w:specVanish/>
        </w:rPr>
      </w:pPr>
      <w:r>
        <w:t>FPL: </w:t>
      </w:r>
    </w:p>
    <w:p w:rsidR="00F62FE3" w:rsidRDefault="00F62FE3" w:rsidP="00357963">
      <w:pPr>
        <w:pStyle w:val="BodyText"/>
        <w:spacing w:after="0"/>
        <w:ind w:left="1080" w:hanging="1080"/>
      </w:pPr>
      <w:r>
        <w:t>  </w:t>
      </w:r>
      <w:r w:rsidR="00CF66A2">
        <w:tab/>
      </w:r>
      <w:proofErr w:type="gramStart"/>
      <w:r w:rsidR="00F67E54" w:rsidRPr="00807C17">
        <w:t>$161,536,472, including prior period true-up amounts and revenue taxes.</w:t>
      </w:r>
      <w:proofErr w:type="gramEnd"/>
    </w:p>
    <w:p w:rsidR="00357963" w:rsidRDefault="00357963" w:rsidP="00357963">
      <w:pPr>
        <w:pStyle w:val="BodyText"/>
        <w:spacing w:after="0"/>
        <w:ind w:left="1080" w:hanging="1080"/>
      </w:pPr>
    </w:p>
    <w:p w:rsidR="00F62FE3" w:rsidRDefault="00F62FE3" w:rsidP="00357963">
      <w:pPr>
        <w:pStyle w:val="PartyName"/>
        <w:spacing w:after="0"/>
        <w:ind w:left="1080" w:hanging="1080"/>
        <w:rPr>
          <w:vanish/>
          <w:specVanish/>
        </w:rPr>
      </w:pPr>
      <w:r>
        <w:t>OPC: </w:t>
      </w:r>
    </w:p>
    <w:p w:rsidR="00F62FE3" w:rsidRDefault="00F62FE3" w:rsidP="00357963">
      <w:pPr>
        <w:pStyle w:val="BodyText"/>
        <w:spacing w:after="0"/>
        <w:ind w:left="1080" w:hanging="1080"/>
      </w:pPr>
      <w:r>
        <w:t>  </w:t>
      </w:r>
      <w:r w:rsidR="00CF66A2">
        <w:tab/>
      </w:r>
      <w:r w:rsidR="00A2032A">
        <w:t>No position.</w:t>
      </w:r>
    </w:p>
    <w:p w:rsidR="00357963" w:rsidRDefault="00357963" w:rsidP="00357963">
      <w:pPr>
        <w:pStyle w:val="BodyText"/>
        <w:spacing w:after="0"/>
        <w:ind w:left="1080" w:hanging="1080"/>
      </w:pPr>
    </w:p>
    <w:p w:rsidR="00F62FE3" w:rsidRDefault="00F62FE3" w:rsidP="00357963">
      <w:pPr>
        <w:pStyle w:val="PartyName"/>
        <w:spacing w:after="0"/>
        <w:ind w:left="1080" w:hanging="1080"/>
        <w:rPr>
          <w:vanish/>
          <w:specVanish/>
        </w:rPr>
      </w:pPr>
      <w:r>
        <w:t>SACE: </w:t>
      </w:r>
    </w:p>
    <w:p w:rsidR="00F62FE3" w:rsidRDefault="006F53BB" w:rsidP="00357963">
      <w:pPr>
        <w:pStyle w:val="BodyText"/>
        <w:spacing w:after="0"/>
        <w:ind w:left="1080" w:hanging="1080"/>
        <w:rPr>
          <w:bCs/>
        </w:rPr>
      </w:pPr>
      <w:r>
        <w:t> </w:t>
      </w:r>
      <w:r w:rsidR="000F37B4">
        <w:tab/>
      </w:r>
      <w:r w:rsidR="00F67E54" w:rsidRPr="00F67E54">
        <w:rPr>
          <w:bCs/>
          <w:color w:val="000000"/>
        </w:rPr>
        <w:t>T</w:t>
      </w:r>
      <w:r w:rsidR="00F67E54" w:rsidRPr="00F67E54">
        <w:rPr>
          <w:bCs/>
        </w:rPr>
        <w:t>he Commission should not approve FPL’s request for cost recovery of TPCCMP remediation activities. FPL’s negligence in the operation of the CCS led to violations of law and compliance requirements being placed on it.  Additionally, FPL is not making timely progress in meeting its compli</w:t>
      </w:r>
      <w:r w:rsidR="00CF66A2">
        <w:rPr>
          <w:bCs/>
        </w:rPr>
        <w:t>ance requirements. See Issue 3.</w:t>
      </w:r>
    </w:p>
    <w:p w:rsidR="00357963" w:rsidRPr="00F67E54" w:rsidRDefault="00357963" w:rsidP="00357963">
      <w:pPr>
        <w:pStyle w:val="BodyText"/>
        <w:spacing w:after="0"/>
        <w:ind w:left="1080" w:hanging="1080"/>
      </w:pPr>
    </w:p>
    <w:p w:rsidR="00F62FE3" w:rsidRPr="004C3641" w:rsidRDefault="00F62FE3" w:rsidP="00357963">
      <w:pPr>
        <w:pStyle w:val="IssueSubsectionHeading"/>
        <w:spacing w:after="0"/>
        <w:rPr>
          <w:vanish/>
          <w:specVanish/>
        </w:rPr>
      </w:pPr>
      <w:r w:rsidRPr="004C3641">
        <w:t>Staff Analysis: </w:t>
      </w:r>
    </w:p>
    <w:p w:rsidR="00473269" w:rsidRDefault="00F62FE3" w:rsidP="00357963">
      <w:pPr>
        <w:pStyle w:val="BodyText"/>
        <w:spacing w:after="0"/>
      </w:pPr>
      <w:r>
        <w:t> </w:t>
      </w:r>
    </w:p>
    <w:p w:rsidR="00357963" w:rsidRDefault="00357963" w:rsidP="00357963">
      <w:pPr>
        <w:pStyle w:val="BodyText"/>
        <w:spacing w:after="0"/>
      </w:pPr>
    </w:p>
    <w:p w:rsidR="00473269" w:rsidRDefault="00357963" w:rsidP="008847EB">
      <w:pPr>
        <w:pStyle w:val="BodyText"/>
        <w:spacing w:after="0"/>
        <w:jc w:val="center"/>
        <w:rPr>
          <w:rFonts w:ascii="Arial" w:hAnsi="Arial" w:cs="Arial"/>
          <w:b/>
        </w:rPr>
      </w:pPr>
      <w:r w:rsidRPr="00357963">
        <w:rPr>
          <w:rFonts w:ascii="Arial" w:hAnsi="Arial" w:cs="Arial"/>
          <w:b/>
        </w:rPr>
        <w:t>Parties’ Arguments</w:t>
      </w:r>
    </w:p>
    <w:p w:rsidR="008847EB" w:rsidRPr="00357963" w:rsidRDefault="008847EB" w:rsidP="008847EB">
      <w:pPr>
        <w:pStyle w:val="BodyText"/>
        <w:spacing w:after="0"/>
        <w:rPr>
          <w:rFonts w:ascii="Arial" w:hAnsi="Arial" w:cs="Arial"/>
          <w:b/>
        </w:rPr>
      </w:pPr>
    </w:p>
    <w:p w:rsidR="00550664" w:rsidRDefault="00550664" w:rsidP="008847EB">
      <w:pPr>
        <w:pStyle w:val="Second-LevelSubheading"/>
      </w:pPr>
      <w:r>
        <w:t>FPL</w:t>
      </w:r>
    </w:p>
    <w:p w:rsidR="00550664" w:rsidRDefault="00550664" w:rsidP="008847EB">
      <w:pPr>
        <w:pStyle w:val="BodyText"/>
        <w:spacing w:after="0"/>
      </w:pPr>
      <w:r>
        <w:t xml:space="preserve">As discussed in Issue 1, FPL argues it is eligible for cost recovery for costs associated with the </w:t>
      </w:r>
      <w:r w:rsidR="003358FC">
        <w:t>TPCCMP Project</w:t>
      </w:r>
      <w:r>
        <w:t xml:space="preserve">. </w:t>
      </w:r>
    </w:p>
    <w:p w:rsidR="008847EB" w:rsidRDefault="008847EB" w:rsidP="008847EB">
      <w:pPr>
        <w:pStyle w:val="BodyText"/>
        <w:spacing w:after="0"/>
      </w:pPr>
    </w:p>
    <w:p w:rsidR="00550664" w:rsidRDefault="00550664" w:rsidP="00550664">
      <w:pPr>
        <w:pStyle w:val="Second-LevelSubheading"/>
      </w:pPr>
      <w:r>
        <w:t>SACE</w:t>
      </w:r>
    </w:p>
    <w:p w:rsidR="00550664" w:rsidRDefault="00550664" w:rsidP="009204CD">
      <w:pPr>
        <w:pStyle w:val="BodyText"/>
        <w:spacing w:after="0"/>
      </w:pPr>
      <w:r>
        <w:t xml:space="preserve">As discussed in Issue 1, SACE argues that FPL should not be allowed to recover costs for the </w:t>
      </w:r>
      <w:r w:rsidR="003358FC">
        <w:t>TPCCMP Project</w:t>
      </w:r>
      <w:r>
        <w:t xml:space="preserve"> as it engaged in imprudent activity and its projected costs are unreasonable due to the Company being out of compliance with the CAA.</w:t>
      </w:r>
    </w:p>
    <w:p w:rsidR="009204CD" w:rsidRDefault="009204CD" w:rsidP="009204CD">
      <w:pPr>
        <w:pStyle w:val="BodyText"/>
        <w:spacing w:after="0"/>
      </w:pPr>
    </w:p>
    <w:p w:rsidR="00473269" w:rsidRDefault="00F6669D" w:rsidP="00F6669D">
      <w:pPr>
        <w:pStyle w:val="BodyText"/>
        <w:spacing w:after="0"/>
        <w:jc w:val="center"/>
        <w:rPr>
          <w:rFonts w:ascii="Arial" w:hAnsi="Arial" w:cs="Arial"/>
          <w:b/>
        </w:rPr>
      </w:pPr>
      <w:r w:rsidRPr="00F6669D">
        <w:rPr>
          <w:rFonts w:ascii="Arial" w:hAnsi="Arial" w:cs="Arial"/>
          <w:b/>
        </w:rPr>
        <w:t>Analysis</w:t>
      </w:r>
    </w:p>
    <w:p w:rsidR="00F6669D" w:rsidRPr="00F6669D" w:rsidRDefault="00F6669D" w:rsidP="00F6669D">
      <w:pPr>
        <w:pStyle w:val="BodyText"/>
        <w:spacing w:after="0"/>
        <w:rPr>
          <w:rFonts w:ascii="Arial" w:hAnsi="Arial" w:cs="Arial"/>
          <w:b/>
        </w:rPr>
      </w:pPr>
    </w:p>
    <w:p w:rsidR="007E138C" w:rsidRPr="00F6669D" w:rsidRDefault="007E138C" w:rsidP="00F6669D">
      <w:pPr>
        <w:autoSpaceDE w:val="0"/>
        <w:autoSpaceDN w:val="0"/>
        <w:adjustRightInd w:val="0"/>
        <w:ind w:firstLine="720"/>
        <w:rPr>
          <w:rFonts w:ascii="Arial" w:hAnsi="Arial" w:cs="Arial"/>
          <w:b/>
          <w:bCs/>
          <w:i/>
          <w:szCs w:val="23"/>
        </w:rPr>
      </w:pPr>
      <w:r w:rsidRPr="00F6669D">
        <w:rPr>
          <w:rFonts w:ascii="Arial" w:hAnsi="Arial" w:cs="Arial"/>
          <w:b/>
          <w:bCs/>
          <w:i/>
          <w:szCs w:val="23"/>
        </w:rPr>
        <w:t>Projected ECRC Amount</w:t>
      </w:r>
    </w:p>
    <w:p w:rsidR="00706182" w:rsidRDefault="002E07E4" w:rsidP="00F6669D">
      <w:pPr>
        <w:pStyle w:val="BodyText"/>
        <w:spacing w:after="0"/>
      </w:pPr>
      <w:r>
        <w:t xml:space="preserve">Based on the testimony and exhibits of FPL witness Deaton, FPL’s environmental </w:t>
      </w:r>
      <w:r w:rsidR="00AC71D6">
        <w:t xml:space="preserve">cost </w:t>
      </w:r>
      <w:r>
        <w:t>recovery amount, including true-up amounts, is $161,536,472. (TR 31; EXH 14</w:t>
      </w:r>
      <w:r w:rsidR="00E96D76">
        <w:t>, p.</w:t>
      </w:r>
      <w:r w:rsidR="0099274E">
        <w:t xml:space="preserve"> </w:t>
      </w:r>
      <w:r w:rsidR="00E96D76">
        <w:t>1</w:t>
      </w:r>
      <w:r>
        <w:t>)</w:t>
      </w:r>
      <w:r w:rsidR="00E96D76">
        <w:t xml:space="preserve"> FPL’s expenditures for the period 2017 through 2019 for the </w:t>
      </w:r>
      <w:r w:rsidR="003358FC">
        <w:t>TPCCMP Project</w:t>
      </w:r>
      <w:r w:rsidR="00E96D76">
        <w:t xml:space="preserve"> </w:t>
      </w:r>
      <w:r w:rsidR="00725842">
        <w:t>are</w:t>
      </w:r>
      <w:r w:rsidR="00E96D76">
        <w:t xml:space="preserve"> approximately $71.2 million.</w:t>
      </w:r>
      <w:r w:rsidR="00E96D76">
        <w:rPr>
          <w:rStyle w:val="FootnoteReference"/>
        </w:rPr>
        <w:footnoteReference w:id="7"/>
      </w:r>
      <w:r w:rsidR="00E96D76" w:rsidRPr="00E96D76">
        <w:t xml:space="preserve"> </w:t>
      </w:r>
      <w:r w:rsidR="00E96D76">
        <w:t>(EXH 12, p.</w:t>
      </w:r>
      <w:r w:rsidR="0099274E">
        <w:t xml:space="preserve"> </w:t>
      </w:r>
      <w:r w:rsidR="00E96D76">
        <w:t>4, 9; EXH 13, p.</w:t>
      </w:r>
      <w:r w:rsidR="0099274E">
        <w:t xml:space="preserve"> </w:t>
      </w:r>
      <w:r w:rsidR="00E96D76">
        <w:t>4, 9; EXH 14, p.</w:t>
      </w:r>
      <w:r w:rsidR="0099274E">
        <w:t xml:space="preserve"> </w:t>
      </w:r>
      <w:r w:rsidR="00E96D76">
        <w:t>2, 52)</w:t>
      </w:r>
    </w:p>
    <w:p w:rsidR="00F6669D" w:rsidRDefault="00F6669D" w:rsidP="00F6669D">
      <w:pPr>
        <w:pStyle w:val="BodyText"/>
        <w:spacing w:after="0"/>
      </w:pPr>
    </w:p>
    <w:p w:rsidR="007E138C" w:rsidRDefault="007E138C" w:rsidP="00BC1074">
      <w:pPr>
        <w:pStyle w:val="Second-LevelSubheading"/>
        <w:keepNext/>
      </w:pPr>
      <w:r>
        <w:t>TPCCMP</w:t>
      </w:r>
      <w:r w:rsidR="003C19AB">
        <w:t xml:space="preserve"> Project</w:t>
      </w:r>
      <w:r>
        <w:t xml:space="preserve"> Eligibility</w:t>
      </w:r>
    </w:p>
    <w:p w:rsidR="002E07E4" w:rsidRDefault="002E07E4" w:rsidP="00F6669D">
      <w:pPr>
        <w:pStyle w:val="BodyText"/>
        <w:spacing w:after="0"/>
      </w:pPr>
      <w:r>
        <w:t xml:space="preserve">As discussed in </w:t>
      </w:r>
      <w:r w:rsidRPr="000446E6">
        <w:t xml:space="preserve">Issue 1, </w:t>
      </w:r>
      <w:r w:rsidR="00B14BB4" w:rsidRPr="000446E6">
        <w:t xml:space="preserve">the Commission has previously approved the inclusion of costs </w:t>
      </w:r>
      <w:r w:rsidR="00F54F97">
        <w:t>for</w:t>
      </w:r>
      <w:r w:rsidR="00B14BB4" w:rsidRPr="000446E6">
        <w:t xml:space="preserve"> the TPCCMP</w:t>
      </w:r>
      <w:r w:rsidR="003C19AB">
        <w:t xml:space="preserve"> Project</w:t>
      </w:r>
      <w:r w:rsidR="00B14BB4" w:rsidRPr="000446E6">
        <w:t xml:space="preserve">. </w:t>
      </w:r>
      <w:r w:rsidR="00F54F97">
        <w:t>Staff recommends that</w:t>
      </w:r>
      <w:r w:rsidR="00B14BB4" w:rsidRPr="000446E6">
        <w:t xml:space="preserve"> FPL has reasonably demonstrated its activities are associated with the </w:t>
      </w:r>
      <w:r w:rsidR="007C0C83">
        <w:t>TPCCMP Project</w:t>
      </w:r>
      <w:r w:rsidR="00B14BB4" w:rsidRPr="000446E6">
        <w:t xml:space="preserve"> </w:t>
      </w:r>
      <w:r w:rsidR="00F54F97">
        <w:t>and</w:t>
      </w:r>
      <w:r w:rsidR="00B14BB4" w:rsidRPr="000446E6">
        <w:t xml:space="preserve"> should be allowed for cost recovery.</w:t>
      </w:r>
    </w:p>
    <w:p w:rsidR="00F6669D" w:rsidRDefault="00F6669D" w:rsidP="00F6669D">
      <w:pPr>
        <w:pStyle w:val="BodyText"/>
        <w:spacing w:after="0"/>
      </w:pPr>
    </w:p>
    <w:p w:rsidR="00473269" w:rsidRDefault="00473269" w:rsidP="00473269">
      <w:pPr>
        <w:pStyle w:val="First-LevelSubheading"/>
      </w:pPr>
      <w:r>
        <w:t>Conclusion</w:t>
      </w:r>
    </w:p>
    <w:p w:rsidR="00F62FE3" w:rsidRPr="00BC1074" w:rsidRDefault="000446E6" w:rsidP="00F6669D">
      <w:pPr>
        <w:pStyle w:val="BodyText"/>
        <w:spacing w:after="0"/>
      </w:pPr>
      <w:r>
        <w:t>The projected amount, including true-ups, for the period January 2019 through December 2019 for FPL is a total of $</w:t>
      </w:r>
      <w:r w:rsidRPr="00807C17">
        <w:t>161,536,472</w:t>
      </w:r>
      <w:r w:rsidR="006C5AF9">
        <w:t xml:space="preserve"> to be recovered from ratepayers</w:t>
      </w:r>
      <w:r w:rsidR="00F54F97">
        <w:t>, which includes projected expenditures associated with the TPCCMP Project</w:t>
      </w:r>
      <w:r w:rsidR="00B22B24">
        <w:t>.</w:t>
      </w:r>
    </w:p>
    <w:p w:rsidR="00EE0DDC" w:rsidRDefault="00EE0DDC" w:rsidP="00946EE4">
      <w:pPr>
        <w:pStyle w:val="IssueHeading"/>
        <w:spacing w:after="0"/>
        <w:rPr>
          <w:b w:val="0"/>
          <w:i w:val="0"/>
        </w:rPr>
        <w:sectPr w:rsidR="00EE0DDC" w:rsidSect="0068481F">
          <w:headerReference w:type="default" r:id="rId12"/>
          <w:foot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F62FE3" w:rsidRPr="0077520D" w:rsidRDefault="00F62FE3" w:rsidP="00946EE4">
      <w:pPr>
        <w:pStyle w:val="IssueHeading"/>
        <w:spacing w:after="0"/>
        <w:rPr>
          <w:vanish/>
          <w:specVanish/>
        </w:rPr>
      </w:pPr>
      <w:r w:rsidRPr="0077520D">
        <w:lastRenderedPageBreak/>
        <w:t xml:space="preserve">Issue </w:t>
      </w:r>
      <w:r w:rsidR="007D08B5">
        <w:fldChar w:fldCharType="begin"/>
      </w:r>
      <w:r w:rsidR="00022F2A">
        <w:instrText>seq issue \r 7</w:instrText>
      </w:r>
      <w:r w:rsidR="007D08B5">
        <w:fldChar w:fldCharType="separate"/>
      </w:r>
      <w:r w:rsidR="001A5B02">
        <w:rPr>
          <w:noProof/>
        </w:rPr>
        <w:t>7</w:t>
      </w:r>
      <w:r w:rsidR="007D08B5">
        <w:rPr>
          <w:noProof/>
        </w:rPr>
        <w:fldChar w:fldCharType="end"/>
      </w:r>
      <w:r w:rsidRPr="0077520D">
        <w:t>:</w:t>
      </w:r>
      <w:r w:rsidRPr="0077520D">
        <w:fldChar w:fldCharType="begin"/>
      </w:r>
      <w:r w:rsidRPr="0077520D">
        <w:instrText xml:space="preserve"> TC "</w:instrText>
      </w:r>
      <w:r w:rsidRPr="0077520D">
        <w:fldChar w:fldCharType="begin"/>
      </w:r>
      <w:r w:rsidRPr="0077520D">
        <w:instrText xml:space="preserve"> SEQ issue \c </w:instrText>
      </w:r>
      <w:r w:rsidRPr="0077520D">
        <w:fldChar w:fldCharType="separate"/>
      </w:r>
      <w:r w:rsidR="001A5B02">
        <w:rPr>
          <w:noProof/>
        </w:rPr>
        <w:instrText>7</w:instrText>
      </w:r>
      <w:r w:rsidRPr="0077520D">
        <w:fldChar w:fldCharType="end"/>
      </w:r>
      <w:r w:rsidRPr="0077520D">
        <w:tab/>
        <w:instrText xml:space="preserve">(Ellis)" \l 1 </w:instrText>
      </w:r>
      <w:r w:rsidRPr="0077520D">
        <w:fldChar w:fldCharType="end"/>
      </w:r>
      <w:r w:rsidRPr="0077520D">
        <w:t> </w:t>
      </w:r>
    </w:p>
    <w:p w:rsidR="00F62FE3" w:rsidRDefault="00F62FE3" w:rsidP="00946EE4">
      <w:pPr>
        <w:pStyle w:val="BodyText"/>
        <w:spacing w:after="0"/>
      </w:pPr>
      <w:r w:rsidRPr="0077520D">
        <w:t>What are the appropriate environmental cost recovery factors for the period January 2019 through December 2019 for each rate group?</w:t>
      </w:r>
    </w:p>
    <w:p w:rsidR="00946EE4" w:rsidRPr="0077520D" w:rsidRDefault="00946EE4" w:rsidP="00946EE4">
      <w:pPr>
        <w:pStyle w:val="BodyText"/>
        <w:spacing w:after="0"/>
      </w:pPr>
    </w:p>
    <w:p w:rsidR="00F62FE3" w:rsidRPr="00B22B24" w:rsidRDefault="00F62FE3" w:rsidP="00946EE4">
      <w:pPr>
        <w:pStyle w:val="IssueSubsectionHeading"/>
        <w:spacing w:after="0"/>
        <w:rPr>
          <w:vanish/>
          <w:specVanish/>
        </w:rPr>
      </w:pPr>
      <w:r w:rsidRPr="00B22B24">
        <w:t>Recommendation: </w:t>
      </w:r>
    </w:p>
    <w:p w:rsidR="00F62FE3" w:rsidRPr="00B22B24" w:rsidRDefault="00F62FE3" w:rsidP="00946EE4">
      <w:pPr>
        <w:pStyle w:val="BodyText"/>
        <w:spacing w:after="0"/>
      </w:pPr>
      <w:r w:rsidRPr="00B22B24">
        <w:t> </w:t>
      </w:r>
      <w:r w:rsidR="00B22B24" w:rsidRPr="00B22B24">
        <w:t>If the Commission approves staff</w:t>
      </w:r>
      <w:r w:rsidR="00BC4148">
        <w:t>’s</w:t>
      </w:r>
      <w:r w:rsidR="00B22B24" w:rsidRPr="00B22B24">
        <w:t xml:space="preserve"> recommendation in Issue 4, staff recommends approval of FPL’s </w:t>
      </w:r>
      <w:r w:rsidR="00F54F97">
        <w:t>factor</w:t>
      </w:r>
      <w:r w:rsidR="00B22B24" w:rsidRPr="00B22B24">
        <w:t xml:space="preserve">s as shown in FPL </w:t>
      </w:r>
      <w:r w:rsidR="00BC4148">
        <w:t>witness Deaton’s Exhibit RBD-4</w:t>
      </w:r>
      <w:r w:rsidR="00B22B24" w:rsidRPr="00B22B24">
        <w:t>. If the Commission denies staff</w:t>
      </w:r>
      <w:r w:rsidR="00BC4148">
        <w:t>’s</w:t>
      </w:r>
      <w:r w:rsidR="00B22B24" w:rsidRPr="00B22B24">
        <w:t xml:space="preserve"> recommendation in Issue 4, FPL should file revised </w:t>
      </w:r>
      <w:r w:rsidR="00F54F97">
        <w:t>factor</w:t>
      </w:r>
      <w:r w:rsidR="00B22B24" w:rsidRPr="00B22B24">
        <w:t>s and associated tariffs implementing the Commission vote for administrative approval by staff.</w:t>
      </w:r>
      <w:r w:rsidRPr="00B22B24">
        <w:t xml:space="preserve"> (</w:t>
      </w:r>
      <w:r w:rsidR="00B22B24" w:rsidRPr="00B22B24">
        <w:t>Ellis</w:t>
      </w:r>
      <w:r w:rsidRPr="00B22B24">
        <w:t>)</w:t>
      </w:r>
    </w:p>
    <w:p w:rsidR="00946EE4" w:rsidRPr="00BC1074" w:rsidRDefault="00946EE4" w:rsidP="00946EE4">
      <w:pPr>
        <w:pStyle w:val="BodyText"/>
        <w:spacing w:after="0"/>
        <w:rPr>
          <w:highlight w:val="green"/>
        </w:rPr>
      </w:pPr>
    </w:p>
    <w:p w:rsidR="00F62FE3" w:rsidRDefault="00F62FE3" w:rsidP="00946EE4">
      <w:pPr>
        <w:pStyle w:val="IssueSubsectionHeading"/>
        <w:keepNext/>
        <w:spacing w:after="0"/>
        <w:rPr>
          <w:iCs w:val="0"/>
        </w:rPr>
      </w:pPr>
      <w:r w:rsidRPr="0077520D">
        <w:rPr>
          <w:iCs w:val="0"/>
        </w:rPr>
        <w:t>Position of the Parties</w:t>
      </w:r>
    </w:p>
    <w:p w:rsidR="00946EE4" w:rsidRPr="00946EE4" w:rsidRDefault="00946EE4" w:rsidP="00946EE4">
      <w:pPr>
        <w:pStyle w:val="BodyText"/>
        <w:spacing w:after="0"/>
      </w:pPr>
    </w:p>
    <w:p w:rsidR="00F62FE3" w:rsidRPr="0077520D" w:rsidRDefault="00F62FE3" w:rsidP="00F62FE3">
      <w:pPr>
        <w:pStyle w:val="PartyName"/>
        <w:rPr>
          <w:vanish/>
          <w:specVanish/>
        </w:rPr>
      </w:pPr>
      <w:r w:rsidRPr="0077520D">
        <w:t>FPL: </w:t>
      </w:r>
    </w:p>
    <w:p w:rsidR="00F67E54" w:rsidRPr="0077520D" w:rsidRDefault="00F62FE3" w:rsidP="00F67E54">
      <w:pPr>
        <w:ind w:left="1440" w:hanging="1440"/>
        <w:rPr>
          <w:b/>
          <w:u w:val="single"/>
        </w:rPr>
      </w:pPr>
      <w:r w:rsidRPr="0077520D">
        <w:t>  </w:t>
      </w:r>
    </w:p>
    <w:tbl>
      <w:tblPr>
        <w:tblW w:w="5310" w:type="dxa"/>
        <w:tblInd w:w="1638" w:type="dxa"/>
        <w:tblLook w:val="04A0" w:firstRow="1" w:lastRow="0" w:firstColumn="1" w:lastColumn="0" w:noHBand="0" w:noVBand="1"/>
      </w:tblPr>
      <w:tblGrid>
        <w:gridCol w:w="4018"/>
        <w:gridCol w:w="1926"/>
      </w:tblGrid>
      <w:tr w:rsidR="00F67E54" w:rsidRPr="0077520D" w:rsidTr="00CF66A2">
        <w:trPr>
          <w:trHeight w:val="915"/>
        </w:trPr>
        <w:tc>
          <w:tcPr>
            <w:tcW w:w="338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F67E54" w:rsidRPr="0077520D" w:rsidRDefault="00F67E54" w:rsidP="00CF66A2">
            <w:pPr>
              <w:jc w:val="center"/>
              <w:rPr>
                <w:rFonts w:ascii="Arial" w:hAnsi="Arial" w:cs="Arial"/>
              </w:rPr>
            </w:pPr>
            <w:r w:rsidRPr="0077520D">
              <w:rPr>
                <w:rFonts w:ascii="Arial" w:hAnsi="Arial" w:cs="Arial"/>
              </w:rPr>
              <w:t>RATE CLASS</w:t>
            </w:r>
          </w:p>
        </w:tc>
        <w:tc>
          <w:tcPr>
            <w:tcW w:w="192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67E54" w:rsidRPr="0077520D" w:rsidRDefault="00F67E54" w:rsidP="00CF66A2">
            <w:pPr>
              <w:jc w:val="center"/>
              <w:rPr>
                <w:rFonts w:ascii="Arial" w:hAnsi="Arial" w:cs="Arial"/>
              </w:rPr>
            </w:pPr>
            <w:r w:rsidRPr="0077520D">
              <w:rPr>
                <w:rFonts w:ascii="Arial" w:hAnsi="Arial" w:cs="Arial"/>
              </w:rPr>
              <w:t>Environmental Cost Recovery Factor (cents/kWh)</w:t>
            </w:r>
            <w:r w:rsidRPr="0077520D">
              <w:rPr>
                <w:rFonts w:ascii="Arial" w:hAnsi="Arial" w:cs="Arial"/>
                <w:vertAlign w:val="superscript"/>
              </w:rPr>
              <w:t xml:space="preserve"> </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RS1/RTR1</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0.159</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GS1/GST1</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0.157</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GSD1/GSDT1/HLFT1</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0.142</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OS2</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0.086</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GSLD1/GSLDT1/CS1/CST1/HLFT2</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0.139</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GSLD2/GSLDT2/CS2/CST2/HLFT3</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0.121</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GSLD3/GSLDT3/CS3/CST3</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0.121</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SST1T</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0.108</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SST1D1/SST1D2/SST1D3</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0.138</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CILC D/CILC G</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0.121</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CILC T</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0.112</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MET</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0.130</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OL1/SL1/SL1M/PL1</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0.035</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SL2/SL2M/GSCU1</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0.113</w:t>
            </w:r>
          </w:p>
        </w:tc>
      </w:tr>
      <w:tr w:rsidR="00F67E54" w:rsidRPr="0077520D" w:rsidTr="00CF66A2">
        <w:trPr>
          <w:trHeight w:val="285"/>
        </w:trPr>
        <w:tc>
          <w:tcPr>
            <w:tcW w:w="3384" w:type="dxa"/>
            <w:tcBorders>
              <w:top w:val="nil"/>
              <w:left w:val="single" w:sz="8" w:space="0" w:color="auto"/>
              <w:bottom w:val="nil"/>
              <w:right w:val="nil"/>
            </w:tcBorders>
            <w:shd w:val="clear" w:color="auto" w:fill="auto"/>
            <w:noWrap/>
            <w:vAlign w:val="bottom"/>
            <w:hideMark/>
          </w:tcPr>
          <w:p w:rsidR="00F67E54" w:rsidRPr="0077520D" w:rsidRDefault="00F67E54" w:rsidP="00CF66A2">
            <w:pPr>
              <w:rPr>
                <w:rFonts w:ascii="Arial" w:hAnsi="Arial" w:cs="Arial"/>
                <w:color w:val="000000"/>
              </w:rPr>
            </w:pPr>
            <w:r w:rsidRPr="0077520D">
              <w:rPr>
                <w:rFonts w:ascii="Arial" w:hAnsi="Arial" w:cs="Arial"/>
                <w:color w:val="000000"/>
              </w:rPr>
              <w:t> </w:t>
            </w:r>
          </w:p>
        </w:tc>
        <w:tc>
          <w:tcPr>
            <w:tcW w:w="1926" w:type="dxa"/>
            <w:tcBorders>
              <w:top w:val="nil"/>
              <w:left w:val="single" w:sz="8" w:space="0" w:color="auto"/>
              <w:bottom w:val="nil"/>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 </w:t>
            </w:r>
          </w:p>
        </w:tc>
      </w:tr>
      <w:tr w:rsidR="00F67E54" w:rsidRPr="0077520D" w:rsidTr="00CF66A2">
        <w:trPr>
          <w:trHeight w:val="300"/>
        </w:trPr>
        <w:tc>
          <w:tcPr>
            <w:tcW w:w="3384" w:type="dxa"/>
            <w:tcBorders>
              <w:top w:val="nil"/>
              <w:left w:val="single" w:sz="8" w:space="0" w:color="auto"/>
              <w:bottom w:val="single" w:sz="8" w:space="0" w:color="auto"/>
              <w:right w:val="nil"/>
            </w:tcBorders>
            <w:shd w:val="clear" w:color="auto" w:fill="auto"/>
            <w:noWrap/>
            <w:vAlign w:val="bottom"/>
            <w:hideMark/>
          </w:tcPr>
          <w:p w:rsidR="00F67E54" w:rsidRPr="0077520D" w:rsidRDefault="00F67E54" w:rsidP="00CF66A2">
            <w:pPr>
              <w:rPr>
                <w:rFonts w:ascii="Arial" w:hAnsi="Arial" w:cs="Arial"/>
              </w:rPr>
            </w:pPr>
            <w:r w:rsidRPr="0077520D">
              <w:rPr>
                <w:rFonts w:ascii="Arial" w:hAnsi="Arial" w:cs="Arial"/>
              </w:rPr>
              <w:t>Total</w:t>
            </w:r>
          </w:p>
        </w:tc>
        <w:tc>
          <w:tcPr>
            <w:tcW w:w="1926" w:type="dxa"/>
            <w:tcBorders>
              <w:top w:val="nil"/>
              <w:left w:val="single" w:sz="8" w:space="0" w:color="auto"/>
              <w:bottom w:val="single" w:sz="8" w:space="0" w:color="auto"/>
              <w:right w:val="single" w:sz="8" w:space="0" w:color="auto"/>
            </w:tcBorders>
            <w:shd w:val="clear" w:color="auto" w:fill="auto"/>
            <w:noWrap/>
            <w:vAlign w:val="bottom"/>
            <w:hideMark/>
          </w:tcPr>
          <w:p w:rsidR="00F67E54" w:rsidRPr="0077520D" w:rsidRDefault="00F67E54" w:rsidP="00CF66A2">
            <w:pPr>
              <w:jc w:val="center"/>
              <w:rPr>
                <w:rFonts w:ascii="Arial" w:hAnsi="Arial" w:cs="Arial"/>
                <w:color w:val="000000"/>
              </w:rPr>
            </w:pPr>
            <w:r w:rsidRPr="0077520D">
              <w:rPr>
                <w:rFonts w:ascii="Arial" w:hAnsi="Arial" w:cs="Arial"/>
                <w:color w:val="000000"/>
              </w:rPr>
              <w:t>0.149</w:t>
            </w:r>
          </w:p>
        </w:tc>
      </w:tr>
    </w:tbl>
    <w:p w:rsidR="00F62FE3" w:rsidRPr="0077520D" w:rsidRDefault="00F62FE3" w:rsidP="00F62FE3">
      <w:pPr>
        <w:pStyle w:val="BodyText"/>
      </w:pPr>
    </w:p>
    <w:p w:rsidR="00F62FE3" w:rsidRPr="0077520D" w:rsidRDefault="00F62FE3" w:rsidP="0077520D">
      <w:pPr>
        <w:pStyle w:val="PartyName"/>
        <w:ind w:left="1080" w:hanging="1080"/>
        <w:rPr>
          <w:vanish/>
          <w:specVanish/>
        </w:rPr>
      </w:pPr>
      <w:r w:rsidRPr="0077520D">
        <w:t>OPC: </w:t>
      </w:r>
    </w:p>
    <w:p w:rsidR="00F62FE3" w:rsidRPr="0077520D" w:rsidRDefault="00F62FE3" w:rsidP="0077520D">
      <w:pPr>
        <w:pStyle w:val="BodyText"/>
        <w:ind w:left="1080" w:hanging="1080"/>
      </w:pPr>
      <w:r w:rsidRPr="0077520D">
        <w:t>  </w:t>
      </w:r>
      <w:r w:rsidR="0077520D" w:rsidRPr="0077520D">
        <w:tab/>
      </w:r>
      <w:r w:rsidR="00A2032A" w:rsidRPr="0077520D">
        <w:t>No position.</w:t>
      </w:r>
    </w:p>
    <w:p w:rsidR="00F62FE3" w:rsidRPr="0077520D" w:rsidRDefault="00F62FE3" w:rsidP="0077520D">
      <w:pPr>
        <w:pStyle w:val="PartyName"/>
        <w:ind w:left="1080" w:hanging="1080"/>
        <w:rPr>
          <w:vanish/>
          <w:specVanish/>
        </w:rPr>
      </w:pPr>
      <w:r w:rsidRPr="0077520D">
        <w:t>SACE: </w:t>
      </w:r>
    </w:p>
    <w:p w:rsidR="00F67E54" w:rsidRPr="00B22B24" w:rsidRDefault="00F62FE3" w:rsidP="00180917">
      <w:pPr>
        <w:pStyle w:val="yiv7965082155msonormal"/>
        <w:spacing w:before="0" w:beforeAutospacing="0" w:after="240" w:afterAutospacing="0"/>
        <w:ind w:left="1080" w:hanging="1080"/>
        <w:jc w:val="both"/>
        <w:rPr>
          <w:rFonts w:ascii="Times New Roman" w:hAnsi="Times New Roman"/>
          <w:color w:val="000000"/>
          <w:sz w:val="24"/>
          <w:szCs w:val="24"/>
        </w:rPr>
      </w:pPr>
      <w:r w:rsidRPr="0077520D">
        <w:t>  </w:t>
      </w:r>
      <w:r w:rsidR="0077520D" w:rsidRPr="0077520D">
        <w:tab/>
      </w:r>
      <w:r w:rsidR="00F67E54" w:rsidRPr="0077520D">
        <w:rPr>
          <w:rFonts w:ascii="Times New Roman" w:hAnsi="Times New Roman"/>
          <w:bCs/>
          <w:color w:val="000000"/>
          <w:sz w:val="24"/>
          <w:szCs w:val="24"/>
        </w:rPr>
        <w:t xml:space="preserve">For FPL, </w:t>
      </w:r>
      <w:r w:rsidR="00F67E54" w:rsidRPr="0077520D">
        <w:rPr>
          <w:rFonts w:ascii="Times New Roman" w:hAnsi="Times New Roman"/>
          <w:bCs/>
          <w:sz w:val="24"/>
          <w:szCs w:val="24"/>
        </w:rPr>
        <w:t>the factor amount should not include any cost recovery for remediation ac</w:t>
      </w:r>
      <w:r w:rsidR="0077520D" w:rsidRPr="0077520D">
        <w:rPr>
          <w:rFonts w:ascii="Times New Roman" w:hAnsi="Times New Roman"/>
          <w:bCs/>
          <w:sz w:val="24"/>
          <w:szCs w:val="24"/>
        </w:rPr>
        <w:t xml:space="preserve">tivities </w:t>
      </w:r>
      <w:r w:rsidR="0077520D" w:rsidRPr="00B22B24">
        <w:rPr>
          <w:rFonts w:ascii="Times New Roman" w:hAnsi="Times New Roman"/>
          <w:bCs/>
          <w:sz w:val="24"/>
          <w:szCs w:val="24"/>
        </w:rPr>
        <w:t>related to the TPCCMP.</w:t>
      </w:r>
    </w:p>
    <w:p w:rsidR="00F62FE3" w:rsidRPr="004C3641" w:rsidRDefault="00F62FE3">
      <w:pPr>
        <w:pStyle w:val="IssueSubsectionHeading"/>
        <w:rPr>
          <w:vanish/>
          <w:specVanish/>
        </w:rPr>
      </w:pPr>
      <w:r w:rsidRPr="00B22B24">
        <w:t>Staff Analysis:</w:t>
      </w:r>
      <w:r w:rsidRPr="004C3641">
        <w:t> </w:t>
      </w:r>
    </w:p>
    <w:p w:rsidR="00B22B24" w:rsidRDefault="00F62FE3" w:rsidP="00B22B24">
      <w:pPr>
        <w:pStyle w:val="BodyText"/>
        <w:spacing w:after="0"/>
      </w:pPr>
      <w:r>
        <w:t> </w:t>
      </w:r>
    </w:p>
    <w:p w:rsidR="00B22B24" w:rsidRDefault="00B22B24" w:rsidP="00B22B24">
      <w:pPr>
        <w:pStyle w:val="BodyText"/>
        <w:spacing w:after="0"/>
      </w:pPr>
    </w:p>
    <w:p w:rsidR="00B22B24" w:rsidRDefault="00B22B24" w:rsidP="00B22B24">
      <w:pPr>
        <w:pStyle w:val="BodyText"/>
        <w:spacing w:after="0"/>
        <w:jc w:val="center"/>
        <w:rPr>
          <w:rFonts w:ascii="Arial" w:hAnsi="Arial" w:cs="Arial"/>
          <w:b/>
        </w:rPr>
      </w:pPr>
      <w:r w:rsidRPr="00357963">
        <w:rPr>
          <w:rFonts w:ascii="Arial" w:hAnsi="Arial" w:cs="Arial"/>
          <w:b/>
        </w:rPr>
        <w:t>Parties’ Arguments</w:t>
      </w:r>
    </w:p>
    <w:p w:rsidR="00B22B24" w:rsidRPr="00357963" w:rsidRDefault="00B22B24" w:rsidP="00B22B24">
      <w:pPr>
        <w:pStyle w:val="BodyText"/>
        <w:spacing w:after="0"/>
        <w:rPr>
          <w:rFonts w:ascii="Arial" w:hAnsi="Arial" w:cs="Arial"/>
          <w:b/>
        </w:rPr>
      </w:pPr>
    </w:p>
    <w:p w:rsidR="00B22B24" w:rsidRDefault="00B22B24" w:rsidP="00B22B24">
      <w:pPr>
        <w:pStyle w:val="Second-LevelSubheading"/>
      </w:pPr>
      <w:r>
        <w:t>FPL</w:t>
      </w:r>
    </w:p>
    <w:p w:rsidR="00B22B24" w:rsidRDefault="00B22B24" w:rsidP="00B22B24">
      <w:pPr>
        <w:pStyle w:val="BodyText"/>
        <w:spacing w:after="0"/>
      </w:pPr>
      <w:r>
        <w:t xml:space="preserve">As discussed in Issue 1, FPL argues it is eligible for cost recovery for costs associated with the TPCCMP Project. </w:t>
      </w:r>
    </w:p>
    <w:p w:rsidR="00B22B24" w:rsidRDefault="00B22B24" w:rsidP="00B22B24">
      <w:pPr>
        <w:pStyle w:val="Second-LevelSubheading"/>
        <w:keepNext/>
      </w:pPr>
      <w:r>
        <w:lastRenderedPageBreak/>
        <w:t>SACE</w:t>
      </w:r>
    </w:p>
    <w:p w:rsidR="00B22B24" w:rsidRDefault="00B22B24" w:rsidP="00E161D8">
      <w:pPr>
        <w:pStyle w:val="BodyText"/>
        <w:spacing w:after="0"/>
      </w:pPr>
      <w:r>
        <w:t>As discussed in Issue 1, SACE argues that FPL should not be allowed to recover costs for the TPCCMP Project as it engaged in imprudent activity and its projected costs are unreasonable due to the Company being out of compliance with the CAA.</w:t>
      </w:r>
    </w:p>
    <w:p w:rsidR="00E161D8" w:rsidRDefault="00E161D8" w:rsidP="00E161D8">
      <w:pPr>
        <w:pStyle w:val="BodyText"/>
        <w:spacing w:after="0"/>
      </w:pPr>
    </w:p>
    <w:p w:rsidR="00B22B24" w:rsidRDefault="00B22B24" w:rsidP="00E161D8">
      <w:pPr>
        <w:pStyle w:val="BodyText"/>
        <w:spacing w:after="0"/>
        <w:jc w:val="center"/>
        <w:rPr>
          <w:rFonts w:ascii="Arial" w:hAnsi="Arial" w:cs="Arial"/>
          <w:b/>
        </w:rPr>
      </w:pPr>
      <w:r w:rsidRPr="00F6669D">
        <w:rPr>
          <w:rFonts w:ascii="Arial" w:hAnsi="Arial" w:cs="Arial"/>
          <w:b/>
        </w:rPr>
        <w:t>Analysis</w:t>
      </w:r>
    </w:p>
    <w:p w:rsidR="00B22B24" w:rsidRPr="00F6669D" w:rsidRDefault="00B22B24" w:rsidP="00B22B24">
      <w:pPr>
        <w:pStyle w:val="BodyText"/>
        <w:spacing w:after="0"/>
        <w:rPr>
          <w:rFonts w:ascii="Arial" w:hAnsi="Arial" w:cs="Arial"/>
          <w:b/>
        </w:rPr>
      </w:pPr>
    </w:p>
    <w:p w:rsidR="00B22B24" w:rsidRPr="00BC1074" w:rsidRDefault="00B22B24" w:rsidP="00B22B24">
      <w:pPr>
        <w:pStyle w:val="BodyText"/>
        <w:spacing w:after="0"/>
      </w:pPr>
      <w:r w:rsidRPr="00B22B24">
        <w:t xml:space="preserve">If the Commission approves staff’s recommendation in Issue 4, staff recommends approval of FPL’s </w:t>
      </w:r>
      <w:r w:rsidR="00F54F97">
        <w:t>factor</w:t>
      </w:r>
      <w:r w:rsidRPr="00B22B24">
        <w:t>s as shown in FPL witness Deaton’s Exhibit RBD-4 (EXH 14</w:t>
      </w:r>
      <w:r w:rsidR="00764CD5">
        <w:t>, p. 131</w:t>
      </w:r>
      <w:r w:rsidRPr="00B22B24">
        <w:t xml:space="preserve">). If the Commission denies staff recommendation in Issue 4, FPL should file revised </w:t>
      </w:r>
      <w:r w:rsidR="00F54F97">
        <w:t>factor</w:t>
      </w:r>
      <w:r w:rsidRPr="00B22B24">
        <w:t>s and associated tariffs implementing the Commission vote for administrative approval by staff.</w:t>
      </w:r>
    </w:p>
    <w:p w:rsidR="00B22B24" w:rsidRDefault="00B22B24" w:rsidP="00B22B24">
      <w:pPr>
        <w:pStyle w:val="BodyText"/>
      </w:pPr>
    </w:p>
    <w:p w:rsidR="00AF0D55" w:rsidRDefault="00AF0D55" w:rsidP="00531761">
      <w:pPr>
        <w:pStyle w:val="IssueHeading"/>
        <w:spacing w:after="0"/>
        <w:rPr>
          <w:b w:val="0"/>
          <w:i w:val="0"/>
        </w:rPr>
        <w:sectPr w:rsidR="00AF0D55" w:rsidSect="0068481F">
          <w:headerReference w:type="default" r:id="rId16"/>
          <w:pgSz w:w="12240" w:h="15840" w:code="1"/>
          <w:pgMar w:top="1584" w:right="1440" w:bottom="1440" w:left="1440" w:header="720" w:footer="720" w:gutter="0"/>
          <w:cols w:space="720"/>
          <w:formProt w:val="0"/>
          <w:docGrid w:linePitch="360"/>
        </w:sectPr>
      </w:pPr>
    </w:p>
    <w:p w:rsidR="00F62FE3" w:rsidRDefault="00F62FE3" w:rsidP="00531761">
      <w:pPr>
        <w:pStyle w:val="IssueHeading"/>
        <w:spacing w:after="0"/>
        <w:rPr>
          <w:vanish/>
          <w:specVanish/>
        </w:rPr>
      </w:pPr>
      <w:r w:rsidRPr="004C3641">
        <w:lastRenderedPageBreak/>
        <w:t xml:space="preserve">Issue </w:t>
      </w:r>
      <w:r w:rsidR="007D08B5">
        <w:fldChar w:fldCharType="begin"/>
      </w:r>
      <w:r w:rsidR="00022F2A">
        <w:instrText>seq issue \r 10</w:instrText>
      </w:r>
      <w:r w:rsidR="007D08B5">
        <w:fldChar w:fldCharType="separate"/>
      </w:r>
      <w:r w:rsidR="001A5B02">
        <w:rPr>
          <w:noProof/>
        </w:rPr>
        <w:t>10</w:t>
      </w:r>
      <w:r w:rsidR="007D08B5">
        <w:rPr>
          <w:noProof/>
        </w:rPr>
        <w:fldChar w:fldCharType="end"/>
      </w:r>
      <w:r w:rsidR="00022F2A">
        <w:rPr>
          <w:noProof/>
        </w:rPr>
        <w:t>A</w:t>
      </w:r>
      <w:r w:rsidRPr="004C3641">
        <w:t>:</w:t>
      </w:r>
      <w:r>
        <w:fldChar w:fldCharType="begin"/>
      </w:r>
      <w:r>
        <w:instrText xml:space="preserve"> TC "</w:instrText>
      </w:r>
      <w:r>
        <w:fldChar w:fldCharType="begin"/>
      </w:r>
      <w:r>
        <w:instrText xml:space="preserve"> SEQ issue \c </w:instrText>
      </w:r>
      <w:r>
        <w:fldChar w:fldCharType="separate"/>
      </w:r>
      <w:r w:rsidR="001A5B02">
        <w:rPr>
          <w:noProof/>
        </w:rPr>
        <w:instrText>10</w:instrText>
      </w:r>
      <w:r>
        <w:fldChar w:fldCharType="end"/>
      </w:r>
      <w:r>
        <w:tab/>
        <w:instrText xml:space="preserve">(Ellis)" \l 1 </w:instrText>
      </w:r>
      <w:r>
        <w:fldChar w:fldCharType="end"/>
      </w:r>
      <w:r>
        <w:t> </w:t>
      </w:r>
    </w:p>
    <w:p w:rsidR="00F62FE3" w:rsidRDefault="00F62FE3" w:rsidP="00531761">
      <w:pPr>
        <w:pStyle w:val="BodyText"/>
        <w:spacing w:after="0"/>
      </w:pPr>
      <w:r>
        <w:t>Should the Commission approve FPL’s Petition for Approval of Modification to Manatee Temporary Heating System Project and the recovery of the associated costs through the ECRC pursuant to Section 366.8255, F.S.?</w:t>
      </w:r>
    </w:p>
    <w:p w:rsidR="00531761" w:rsidRDefault="00531761" w:rsidP="00531761">
      <w:pPr>
        <w:pStyle w:val="BodyText"/>
        <w:spacing w:after="0"/>
      </w:pPr>
    </w:p>
    <w:p w:rsidR="00F62FE3" w:rsidRPr="004C3641" w:rsidRDefault="00F62FE3" w:rsidP="00531761">
      <w:pPr>
        <w:pStyle w:val="IssueSubsectionHeading"/>
        <w:spacing w:after="0"/>
        <w:rPr>
          <w:vanish/>
          <w:specVanish/>
        </w:rPr>
      </w:pPr>
      <w:r w:rsidRPr="004C3641">
        <w:t>Recommendation: </w:t>
      </w:r>
    </w:p>
    <w:p w:rsidR="00F62FE3" w:rsidRDefault="00F62FE3" w:rsidP="00531761">
      <w:pPr>
        <w:pStyle w:val="BodyText"/>
        <w:spacing w:after="0"/>
      </w:pPr>
      <w:r>
        <w:t> </w:t>
      </w:r>
      <w:r w:rsidR="005D350A">
        <w:t>Yes.</w:t>
      </w:r>
      <w:r w:rsidR="005D350A" w:rsidRPr="005D350A">
        <w:t xml:space="preserve"> </w:t>
      </w:r>
      <w:r w:rsidR="00F54F97">
        <w:t>The Commission should approve FPL’s petition and</w:t>
      </w:r>
      <w:r w:rsidR="005D350A" w:rsidRPr="005D350A">
        <w:t xml:space="preserve"> be allowed to recover costs associated with its proposed modification to the MTHS </w:t>
      </w:r>
      <w:r w:rsidR="007D15D8">
        <w:t>P</w:t>
      </w:r>
      <w:r w:rsidR="005D350A" w:rsidRPr="005D350A">
        <w:t>roject as it addresses an environmental requirement triggered after the Company’s last rate case. Reasonable costs associated with the project should be allowed to be recovered through the ECRC.</w:t>
      </w:r>
      <w:r w:rsidR="005D350A">
        <w:t xml:space="preserve"> </w:t>
      </w:r>
      <w:r>
        <w:t>(Ellis)</w:t>
      </w:r>
    </w:p>
    <w:p w:rsidR="00531761" w:rsidRDefault="00531761" w:rsidP="00531761">
      <w:pPr>
        <w:pStyle w:val="BodyText"/>
        <w:spacing w:after="0"/>
      </w:pPr>
    </w:p>
    <w:p w:rsidR="00F62FE3" w:rsidRDefault="00F62FE3" w:rsidP="00531761">
      <w:pPr>
        <w:pStyle w:val="IssueSubsectionHeading"/>
        <w:keepNext/>
        <w:spacing w:after="0"/>
        <w:rPr>
          <w:iCs w:val="0"/>
        </w:rPr>
      </w:pPr>
      <w:r w:rsidRPr="004C3641">
        <w:rPr>
          <w:iCs w:val="0"/>
        </w:rPr>
        <w:t>Position of the Parties</w:t>
      </w:r>
    </w:p>
    <w:p w:rsidR="00531761" w:rsidRPr="00531761" w:rsidRDefault="00531761" w:rsidP="00531761">
      <w:pPr>
        <w:pStyle w:val="BodyText"/>
        <w:spacing w:after="0"/>
      </w:pPr>
    </w:p>
    <w:p w:rsidR="00F62FE3" w:rsidRDefault="00F62FE3" w:rsidP="00531761">
      <w:pPr>
        <w:pStyle w:val="PartyName"/>
        <w:spacing w:after="0"/>
        <w:ind w:left="1080" w:hanging="1080"/>
        <w:rPr>
          <w:vanish/>
          <w:specVanish/>
        </w:rPr>
      </w:pPr>
      <w:r>
        <w:t>FPL: </w:t>
      </w:r>
    </w:p>
    <w:p w:rsidR="00F62FE3" w:rsidRDefault="00F62FE3" w:rsidP="00531761">
      <w:pPr>
        <w:pStyle w:val="BodyText"/>
        <w:spacing w:after="0"/>
        <w:ind w:left="1080" w:hanging="1080"/>
      </w:pPr>
      <w:r>
        <w:t>  </w:t>
      </w:r>
      <w:r w:rsidR="0077520D">
        <w:tab/>
      </w:r>
      <w:r w:rsidR="00F67E54" w:rsidRPr="00FF009E">
        <w:t>Yes. The PFM MTHS Project is being undertaken in order to comply with PFM’s Manatee Protection Plan during periods when PFM is shut down for extended outages or because it is not being economically dispatched. Installation of the proposed MTHS is a cost-effective way to meet PFM’s compliance requirement.</w:t>
      </w:r>
    </w:p>
    <w:p w:rsidR="00531761" w:rsidRDefault="00531761" w:rsidP="00531761">
      <w:pPr>
        <w:pStyle w:val="BodyText"/>
        <w:spacing w:after="0"/>
        <w:ind w:left="1080" w:hanging="1080"/>
      </w:pPr>
    </w:p>
    <w:p w:rsidR="00F62FE3" w:rsidRDefault="00F62FE3" w:rsidP="00531761">
      <w:pPr>
        <w:pStyle w:val="PartyName"/>
        <w:spacing w:after="0"/>
        <w:ind w:left="1080" w:hanging="1080"/>
        <w:rPr>
          <w:vanish/>
          <w:specVanish/>
        </w:rPr>
      </w:pPr>
      <w:r>
        <w:t>OPC: </w:t>
      </w:r>
    </w:p>
    <w:p w:rsidR="00F62FE3" w:rsidRDefault="00F62FE3" w:rsidP="00531761">
      <w:pPr>
        <w:pStyle w:val="BodyText"/>
        <w:spacing w:after="0"/>
        <w:ind w:left="1080" w:hanging="1080"/>
        <w:rPr>
          <w:kern w:val="32"/>
        </w:rPr>
      </w:pPr>
      <w:r>
        <w:t>  </w:t>
      </w:r>
      <w:r w:rsidR="0077520D">
        <w:tab/>
      </w:r>
      <w:proofErr w:type="gramStart"/>
      <w:r w:rsidR="00F67E54" w:rsidRPr="00900608">
        <w:rPr>
          <w:kern w:val="32"/>
        </w:rPr>
        <w:t>Maybe.</w:t>
      </w:r>
      <w:proofErr w:type="gramEnd"/>
      <w:r w:rsidR="00F67E54" w:rsidRPr="00900608">
        <w:rPr>
          <w:kern w:val="32"/>
        </w:rPr>
        <w:t xml:space="preserve"> The Commission must, nevertheless independently determine that each cost submitted for recovery meets each element of the statutory requirements for recovery through this clause as set out in Section 366.8255, Florida Statutes. FPL has not proven that these costs fully meet the statutory test to the extent it relies on prior approvals of similar types of projects for meeting the Comp</w:t>
      </w:r>
      <w:r w:rsidR="0077520D">
        <w:rPr>
          <w:kern w:val="32"/>
        </w:rPr>
        <w:t>any’s burden of proof.</w:t>
      </w:r>
    </w:p>
    <w:p w:rsidR="00531761" w:rsidRDefault="00531761" w:rsidP="00531761">
      <w:pPr>
        <w:pStyle w:val="BodyText"/>
        <w:spacing w:after="0"/>
        <w:ind w:left="1080" w:hanging="1080"/>
      </w:pPr>
    </w:p>
    <w:p w:rsidR="00F62FE3" w:rsidRDefault="00F62FE3" w:rsidP="00531761">
      <w:pPr>
        <w:pStyle w:val="PartyName"/>
        <w:spacing w:after="0"/>
        <w:ind w:left="1080" w:hanging="1080"/>
        <w:rPr>
          <w:vanish/>
          <w:specVanish/>
        </w:rPr>
      </w:pPr>
      <w:r>
        <w:t>SACE: </w:t>
      </w:r>
    </w:p>
    <w:p w:rsidR="00F62FE3" w:rsidRDefault="00F62FE3" w:rsidP="00531761">
      <w:pPr>
        <w:pStyle w:val="BodyText"/>
        <w:spacing w:after="0"/>
        <w:ind w:left="1080" w:hanging="1080"/>
      </w:pPr>
      <w:r>
        <w:t>  </w:t>
      </w:r>
      <w:r w:rsidR="0077520D">
        <w:tab/>
      </w:r>
      <w:r w:rsidR="00A2032A">
        <w:t>No position.</w:t>
      </w:r>
    </w:p>
    <w:p w:rsidR="00531761" w:rsidRDefault="00531761" w:rsidP="00531761">
      <w:pPr>
        <w:pStyle w:val="BodyText"/>
        <w:spacing w:after="0"/>
        <w:ind w:left="1080" w:hanging="1080"/>
      </w:pPr>
    </w:p>
    <w:p w:rsidR="00F62FE3" w:rsidRPr="004C3641" w:rsidRDefault="00F62FE3" w:rsidP="00531761">
      <w:pPr>
        <w:pStyle w:val="IssueSubsectionHeading"/>
        <w:spacing w:after="0"/>
        <w:rPr>
          <w:vanish/>
          <w:specVanish/>
        </w:rPr>
      </w:pPr>
      <w:r w:rsidRPr="004C3641">
        <w:t>Staff Analysis: </w:t>
      </w:r>
    </w:p>
    <w:p w:rsidR="00500678" w:rsidRDefault="00F62FE3" w:rsidP="00531761">
      <w:pPr>
        <w:pStyle w:val="BodyText"/>
        <w:spacing w:after="0"/>
      </w:pPr>
      <w:r>
        <w:t> </w:t>
      </w:r>
    </w:p>
    <w:p w:rsidR="00531761" w:rsidRDefault="00531761" w:rsidP="00531761">
      <w:pPr>
        <w:pStyle w:val="BodyText"/>
        <w:spacing w:after="0"/>
      </w:pPr>
    </w:p>
    <w:p w:rsidR="00500678" w:rsidRDefault="00531761" w:rsidP="00531761">
      <w:pPr>
        <w:pStyle w:val="BodyText"/>
        <w:spacing w:after="0"/>
        <w:jc w:val="center"/>
        <w:rPr>
          <w:rFonts w:ascii="Arial" w:hAnsi="Arial" w:cs="Arial"/>
          <w:b/>
        </w:rPr>
      </w:pPr>
      <w:r w:rsidRPr="00B60A3F">
        <w:rPr>
          <w:rFonts w:ascii="Arial" w:hAnsi="Arial" w:cs="Arial"/>
          <w:b/>
        </w:rPr>
        <w:t>Parties’ Arguments</w:t>
      </w:r>
    </w:p>
    <w:p w:rsidR="006F23D7" w:rsidRPr="00B60A3F" w:rsidRDefault="006F23D7" w:rsidP="006F23D7">
      <w:pPr>
        <w:pStyle w:val="BodyText"/>
        <w:spacing w:after="0"/>
        <w:rPr>
          <w:rFonts w:ascii="Arial" w:hAnsi="Arial" w:cs="Arial"/>
          <w:b/>
        </w:rPr>
      </w:pPr>
    </w:p>
    <w:p w:rsidR="00500678" w:rsidRDefault="00500678" w:rsidP="00B60A3F">
      <w:pPr>
        <w:pStyle w:val="Second-LevelSubheading"/>
      </w:pPr>
      <w:r>
        <w:t>FPL</w:t>
      </w:r>
    </w:p>
    <w:p w:rsidR="00B60A3F" w:rsidRDefault="005D350A" w:rsidP="00B60A3F">
      <w:pPr>
        <w:pStyle w:val="BodyText"/>
        <w:spacing w:after="0"/>
      </w:pPr>
      <w:r>
        <w:t>FPL argues that the proposed modifications to the MTHS</w:t>
      </w:r>
      <w:r w:rsidR="007D15D8">
        <w:t xml:space="preserve"> Project</w:t>
      </w:r>
      <w:r>
        <w:t xml:space="preserve"> to include an additional heating system at the Plant Fort Myers (Fort Myers). (FPL BR 2, 11-13) FPL asserts that it is required to </w:t>
      </w:r>
      <w:r w:rsidR="00E62075">
        <w:t>install a new system as Fort Myers is no longer adequately dispatched during manatee season, risking putting it out of compliance with its environmental requirements. (FPL BR 12-14) FPL argues that the proposed Fort Myers system is eligible for recovery under the ECRC and represents the most cost-effective solution. (FPL BR 14-16)</w:t>
      </w:r>
    </w:p>
    <w:p w:rsidR="005D350A" w:rsidRDefault="00E62075" w:rsidP="00B60A3F">
      <w:pPr>
        <w:pStyle w:val="BodyText"/>
        <w:spacing w:after="0"/>
      </w:pPr>
      <w:r>
        <w:t xml:space="preserve"> </w:t>
      </w:r>
    </w:p>
    <w:p w:rsidR="00500678" w:rsidRDefault="00500678" w:rsidP="00B60A3F">
      <w:pPr>
        <w:pStyle w:val="Second-LevelSubheading"/>
      </w:pPr>
      <w:r>
        <w:t>OPC</w:t>
      </w:r>
    </w:p>
    <w:p w:rsidR="00177026" w:rsidRDefault="007F179C" w:rsidP="00B60A3F">
      <w:pPr>
        <w:pStyle w:val="BodyText"/>
        <w:spacing w:after="0"/>
      </w:pPr>
      <w:r w:rsidRPr="002D58A1">
        <w:t xml:space="preserve">OPC agrees that FPL has submitted adequate evidence to </w:t>
      </w:r>
      <w:r w:rsidR="002D58A1" w:rsidRPr="002D58A1">
        <w:t xml:space="preserve">meet all the criteria necessary to </w:t>
      </w:r>
      <w:r w:rsidRPr="002D58A1">
        <w:t>quali</w:t>
      </w:r>
      <w:r w:rsidR="007B4791" w:rsidRPr="002D58A1">
        <w:t>f</w:t>
      </w:r>
      <w:r w:rsidRPr="002D58A1">
        <w:t xml:space="preserve">y for recovery through the ECRC on a stand-alone basis. (OPC BR 2, 4) OPC </w:t>
      </w:r>
      <w:r w:rsidR="002D58A1" w:rsidRPr="002D58A1">
        <w:t>expresses concerns</w:t>
      </w:r>
      <w:r w:rsidRPr="002D58A1">
        <w:t xml:space="preserve"> that the Company’s filing appears to rely upon the Commission’s prior approval of similar projects, instead of independent approval</w:t>
      </w:r>
      <w:r w:rsidR="002D58A1" w:rsidRPr="002D58A1">
        <w:t>, by including an additional project under the MTHS Project</w:t>
      </w:r>
      <w:r w:rsidRPr="002D58A1">
        <w:t xml:space="preserve">. (OPC BR </w:t>
      </w:r>
      <w:r w:rsidR="002D58A1" w:rsidRPr="002D58A1">
        <w:t>1</w:t>
      </w:r>
      <w:r w:rsidRPr="002D58A1">
        <w:t>-4)</w:t>
      </w:r>
    </w:p>
    <w:p w:rsidR="00B60A3F" w:rsidRDefault="00B60A3F" w:rsidP="00B60A3F">
      <w:pPr>
        <w:pStyle w:val="BodyText"/>
        <w:spacing w:after="0"/>
      </w:pPr>
    </w:p>
    <w:p w:rsidR="00500678" w:rsidRDefault="00B60A3F" w:rsidP="00B60A3F">
      <w:pPr>
        <w:pStyle w:val="BodyText"/>
        <w:keepNext/>
        <w:spacing w:after="0"/>
        <w:jc w:val="center"/>
        <w:rPr>
          <w:rFonts w:ascii="Arial" w:hAnsi="Arial" w:cs="Arial"/>
          <w:b/>
        </w:rPr>
      </w:pPr>
      <w:r w:rsidRPr="00B60A3F">
        <w:rPr>
          <w:rFonts w:ascii="Arial" w:hAnsi="Arial" w:cs="Arial"/>
          <w:b/>
        </w:rPr>
        <w:lastRenderedPageBreak/>
        <w:t>Analysis</w:t>
      </w:r>
    </w:p>
    <w:p w:rsidR="00B60A3F" w:rsidRPr="00B60A3F" w:rsidRDefault="00B60A3F" w:rsidP="00B60A3F">
      <w:pPr>
        <w:pStyle w:val="BodyText"/>
        <w:keepNext/>
        <w:spacing w:after="0"/>
        <w:rPr>
          <w:rFonts w:ascii="Arial" w:hAnsi="Arial" w:cs="Arial"/>
          <w:b/>
        </w:rPr>
      </w:pPr>
    </w:p>
    <w:p w:rsidR="007E138C" w:rsidRPr="00B60A3F" w:rsidRDefault="00520369" w:rsidP="00B60A3F">
      <w:pPr>
        <w:keepNext/>
        <w:autoSpaceDE w:val="0"/>
        <w:autoSpaceDN w:val="0"/>
        <w:adjustRightInd w:val="0"/>
        <w:ind w:firstLine="720"/>
        <w:rPr>
          <w:rFonts w:ascii="Arial" w:hAnsi="Arial" w:cs="Arial"/>
          <w:b/>
          <w:bCs/>
          <w:i/>
          <w:szCs w:val="23"/>
        </w:rPr>
      </w:pPr>
      <w:r w:rsidRPr="00B60A3F">
        <w:rPr>
          <w:rFonts w:ascii="Arial" w:hAnsi="Arial" w:cs="Arial"/>
          <w:b/>
          <w:bCs/>
          <w:i/>
          <w:szCs w:val="23"/>
        </w:rPr>
        <w:t>MTHS</w:t>
      </w:r>
      <w:r w:rsidR="007E138C" w:rsidRPr="00B60A3F">
        <w:rPr>
          <w:rFonts w:ascii="Arial" w:hAnsi="Arial" w:cs="Arial"/>
          <w:b/>
          <w:bCs/>
          <w:i/>
          <w:szCs w:val="23"/>
        </w:rPr>
        <w:t xml:space="preserve"> Project</w:t>
      </w:r>
      <w:r w:rsidR="007B4791">
        <w:rPr>
          <w:rFonts w:ascii="Arial" w:hAnsi="Arial" w:cs="Arial"/>
          <w:b/>
          <w:bCs/>
          <w:i/>
          <w:szCs w:val="23"/>
        </w:rPr>
        <w:t xml:space="preserve"> and Proposed Modifications</w:t>
      </w:r>
    </w:p>
    <w:p w:rsidR="001D4D28" w:rsidRDefault="001D4D28" w:rsidP="00B60A3F">
      <w:pPr>
        <w:pStyle w:val="BodyText"/>
        <w:spacing w:after="0"/>
      </w:pPr>
      <w:r w:rsidRPr="00E7504A">
        <w:t xml:space="preserve">The Commission </w:t>
      </w:r>
      <w:r w:rsidRPr="0082221B">
        <w:t xml:space="preserve">initially approved recovery through the ECRC of FPL’s </w:t>
      </w:r>
      <w:r>
        <w:t>MTHS</w:t>
      </w:r>
      <w:r w:rsidR="007D15D8">
        <w:t xml:space="preserve"> Project</w:t>
      </w:r>
      <w:r w:rsidRPr="0082221B">
        <w:t xml:space="preserve"> in the 2009 ECRC </w:t>
      </w:r>
      <w:r>
        <w:t>p</w:t>
      </w:r>
      <w:r w:rsidRPr="0082221B">
        <w:t>roceeding</w:t>
      </w:r>
      <w:r>
        <w:t>, addressing the Company’s Riviera Beach and Cape Canaveral facilities</w:t>
      </w:r>
      <w:r w:rsidRPr="0082221B">
        <w:t>.</w:t>
      </w:r>
      <w:r w:rsidRPr="0082221B">
        <w:rPr>
          <w:rStyle w:val="FootnoteReference"/>
        </w:rPr>
        <w:footnoteReference w:id="8"/>
      </w:r>
      <w:r w:rsidRPr="0082221B">
        <w:t xml:space="preserve"> Subsequently, the Commission approved recovery of costs associated with </w:t>
      </w:r>
      <w:r>
        <w:t>the Port Everglades and Dania Beach facilities in the 2012 and 2017 ECRC proceedings, respectively</w:t>
      </w:r>
      <w:r w:rsidRPr="0082221B">
        <w:t>.</w:t>
      </w:r>
      <w:r w:rsidRPr="0082221B">
        <w:rPr>
          <w:rStyle w:val="FootnoteReference"/>
        </w:rPr>
        <w:footnoteReference w:id="9"/>
      </w:r>
    </w:p>
    <w:p w:rsidR="007B4791" w:rsidRDefault="007B4791" w:rsidP="00B60A3F">
      <w:pPr>
        <w:pStyle w:val="BodyText"/>
        <w:spacing w:after="0"/>
      </w:pPr>
    </w:p>
    <w:p w:rsidR="00451332" w:rsidRDefault="006969B3" w:rsidP="00B60A3F">
      <w:pPr>
        <w:pStyle w:val="BodyText"/>
        <w:spacing w:after="0"/>
      </w:pPr>
      <w:r>
        <w:t xml:space="preserve">As described by FPL witness Sole, </w:t>
      </w:r>
      <w:r w:rsidR="002A2559">
        <w:t xml:space="preserve">FPL is seeking </w:t>
      </w:r>
      <w:r>
        <w:t xml:space="preserve">to recover costs associated with a </w:t>
      </w:r>
      <w:r w:rsidR="007D15D8">
        <w:t>heating system for</w:t>
      </w:r>
      <w:r>
        <w:t xml:space="preserve"> </w:t>
      </w:r>
      <w:r w:rsidR="002A2559">
        <w:t xml:space="preserve">Fort Myers </w:t>
      </w:r>
      <w:r>
        <w:t>to keep water temperatures high enough to maintain a manatee refuge (TR 268-269)</w:t>
      </w:r>
      <w:r w:rsidR="002A2559">
        <w:t>.</w:t>
      </w:r>
      <w:r w:rsidR="00801A2D">
        <w:t xml:space="preserve"> </w:t>
      </w:r>
      <w:r>
        <w:t xml:space="preserve">The proposed </w:t>
      </w:r>
      <w:r w:rsidR="007D15D8">
        <w:t>addition includes</w:t>
      </w:r>
      <w:r>
        <w:t xml:space="preserve"> electric heating</w:t>
      </w:r>
      <w:r w:rsidR="007D15D8">
        <w:t xml:space="preserve"> equipment</w:t>
      </w:r>
      <w:r>
        <w:t xml:space="preserve"> and associated intake</w:t>
      </w:r>
      <w:r w:rsidR="00FF72FF">
        <w:t xml:space="preserve"> and pumping systems. (TR 274)</w:t>
      </w:r>
    </w:p>
    <w:p w:rsidR="00B60A3F" w:rsidRDefault="00B60A3F" w:rsidP="00B60A3F">
      <w:pPr>
        <w:pStyle w:val="BodyText"/>
        <w:spacing w:after="0"/>
      </w:pPr>
    </w:p>
    <w:p w:rsidR="00500678" w:rsidRPr="00B60A3F" w:rsidRDefault="00500678" w:rsidP="00B60A3F">
      <w:pPr>
        <w:keepNext/>
        <w:autoSpaceDE w:val="0"/>
        <w:autoSpaceDN w:val="0"/>
        <w:adjustRightInd w:val="0"/>
        <w:ind w:firstLine="720"/>
        <w:rPr>
          <w:rFonts w:ascii="Arial" w:hAnsi="Arial" w:cs="Arial"/>
          <w:b/>
          <w:bCs/>
          <w:i/>
          <w:szCs w:val="23"/>
        </w:rPr>
      </w:pPr>
      <w:r w:rsidRPr="00B60A3F">
        <w:rPr>
          <w:rFonts w:ascii="Arial" w:hAnsi="Arial" w:cs="Arial"/>
          <w:b/>
          <w:bCs/>
          <w:i/>
          <w:szCs w:val="23"/>
        </w:rPr>
        <w:t>Eligibility Criteria</w:t>
      </w:r>
    </w:p>
    <w:p w:rsidR="00500678" w:rsidRDefault="00500678" w:rsidP="00B60A3F">
      <w:pPr>
        <w:jc w:val="both"/>
      </w:pPr>
      <w:r w:rsidRPr="00852BE6">
        <w:t xml:space="preserve">The ECRC, </w:t>
      </w:r>
      <w:r>
        <w:t xml:space="preserve">enacted into law </w:t>
      </w:r>
      <w:r w:rsidRPr="00852BE6">
        <w:t>in 1993, provides an investor-owned utility the opportunity to recover the costs associated with changes in environmental regulations between rate cases. The statute authorizes the Commission to review and decide whether a utility’s environmental compliance costs are recoverable through an environmental cost recovery factor. When the Commission first implemented the provisions of Section 366.8255, F.S., it identified the criteria required to demonstrate eligibility for cost recovery under the ECRC clause:</w:t>
      </w:r>
      <w:r w:rsidRPr="00852BE6">
        <w:rPr>
          <w:rStyle w:val="FootnoteReference"/>
        </w:rPr>
        <w:t xml:space="preserve"> </w:t>
      </w:r>
    </w:p>
    <w:p w:rsidR="00B60A3F" w:rsidRPr="00852BE6" w:rsidRDefault="00B60A3F" w:rsidP="00774321">
      <w:pPr>
        <w:jc w:val="right"/>
      </w:pPr>
    </w:p>
    <w:p w:rsidR="00500678" w:rsidRDefault="00801A2D" w:rsidP="00915DF7">
      <w:pPr>
        <w:pStyle w:val="BodyText"/>
        <w:spacing w:after="0"/>
        <w:ind w:left="720" w:right="720"/>
      </w:pPr>
      <w:r>
        <w:t xml:space="preserve">1. </w:t>
      </w:r>
      <w:r w:rsidR="00F54F97">
        <w:t>S</w:t>
      </w:r>
      <w:r w:rsidR="00500678" w:rsidRPr="00852BE6">
        <w:t>uch costs were prudently incurred after April 13, 1993;</w:t>
      </w:r>
    </w:p>
    <w:p w:rsidR="00915DF7" w:rsidRPr="00852BE6" w:rsidRDefault="00915DF7" w:rsidP="00915DF7">
      <w:pPr>
        <w:pStyle w:val="BodyText"/>
        <w:spacing w:after="0"/>
        <w:ind w:left="720" w:right="720"/>
      </w:pPr>
    </w:p>
    <w:p w:rsidR="00500678" w:rsidRDefault="00500678" w:rsidP="00915DF7">
      <w:pPr>
        <w:pStyle w:val="BodyText"/>
        <w:spacing w:after="0"/>
        <w:ind w:left="720" w:right="720"/>
      </w:pPr>
      <w:r w:rsidRPr="00852BE6">
        <w:t xml:space="preserve">2. </w:t>
      </w:r>
      <w:r w:rsidR="00F54F97">
        <w:t>T</w:t>
      </w:r>
      <w:r w:rsidRPr="00852BE6">
        <w:t xml:space="preserve">he activity is legally required to comply with a governmentally imposed environmental regulation enacted, became effective, or whose effect was triggered after the </w:t>
      </w:r>
      <w:r>
        <w:t>C</w:t>
      </w:r>
      <w:r w:rsidRPr="00852BE6">
        <w:t>ompany’s last test year upon which rates are based; and,</w:t>
      </w:r>
    </w:p>
    <w:p w:rsidR="00915DF7" w:rsidRPr="00852BE6" w:rsidRDefault="00915DF7" w:rsidP="00915DF7">
      <w:pPr>
        <w:pStyle w:val="BodyText"/>
        <w:spacing w:after="0"/>
        <w:ind w:left="720" w:right="720"/>
      </w:pPr>
    </w:p>
    <w:p w:rsidR="00500678" w:rsidRPr="00852BE6" w:rsidRDefault="00500678" w:rsidP="00915DF7">
      <w:pPr>
        <w:pStyle w:val="BodyText"/>
        <w:spacing w:after="0"/>
        <w:ind w:left="720" w:right="720"/>
      </w:pPr>
      <w:r w:rsidRPr="00852BE6">
        <w:t xml:space="preserve">3. </w:t>
      </w:r>
      <w:r w:rsidR="00F54F97">
        <w:t>S</w:t>
      </w:r>
      <w:r w:rsidRPr="00852BE6">
        <w:t>uch costs are not recovered through some other cost recovery mechanism or through base rates.</w:t>
      </w:r>
      <w:r w:rsidR="00F54F97" w:rsidRPr="00F54F97">
        <w:rPr>
          <w:rStyle w:val="FootnoteReference"/>
        </w:rPr>
        <w:t xml:space="preserve"> </w:t>
      </w:r>
      <w:r w:rsidR="00F54F97" w:rsidRPr="00852BE6">
        <w:rPr>
          <w:rStyle w:val="FootnoteReference"/>
        </w:rPr>
        <w:footnoteReference w:id="10"/>
      </w:r>
    </w:p>
    <w:p w:rsidR="007F3481" w:rsidRDefault="007F3481" w:rsidP="003577FE">
      <w:pPr>
        <w:pStyle w:val="BodyText"/>
        <w:spacing w:after="0"/>
      </w:pPr>
    </w:p>
    <w:p w:rsidR="00500678" w:rsidRPr="00852BE6" w:rsidRDefault="00500678" w:rsidP="00500678">
      <w:pPr>
        <w:pStyle w:val="BodyText"/>
      </w:pPr>
      <w:r w:rsidRPr="00852BE6">
        <w:t xml:space="preserve">Pursuant to Section 366.8255, F.S., only the </w:t>
      </w:r>
      <w:proofErr w:type="gramStart"/>
      <w:r w:rsidRPr="00852BE6">
        <w:t>utility’s</w:t>
      </w:r>
      <w:proofErr w:type="gramEnd"/>
      <w:r w:rsidRPr="00852BE6">
        <w:t xml:space="preserve"> prudently incurred environmental compliance costs are allowed to be recovered </w:t>
      </w:r>
      <w:r w:rsidRPr="00D52FC8">
        <w:t>through the ECRC.</w:t>
      </w:r>
      <w:r w:rsidRPr="00D52FC8">
        <w:rPr>
          <w:rStyle w:val="FootnoteReference"/>
        </w:rPr>
        <w:footnoteReference w:id="11"/>
      </w:r>
      <w:r w:rsidRPr="00D52FC8">
        <w:t xml:space="preserve"> </w:t>
      </w:r>
      <w:r w:rsidR="008D0933" w:rsidRPr="00D52FC8">
        <w:t>Staff notes that its review of the proposed modification to the MTHS Project is based upon the information in the</w:t>
      </w:r>
      <w:r w:rsidR="007A1450" w:rsidRPr="00D52FC8">
        <w:t xml:space="preserve"> hearing</w:t>
      </w:r>
      <w:r w:rsidR="008D0933" w:rsidRPr="00D52FC8">
        <w:t xml:space="preserve"> record </w:t>
      </w:r>
      <w:r w:rsidR="00AF5FAC" w:rsidRPr="00D52FC8">
        <w:t>regarding</w:t>
      </w:r>
      <w:r w:rsidR="008D0933" w:rsidRPr="00D52FC8">
        <w:t xml:space="preserve"> the</w:t>
      </w:r>
      <w:r w:rsidR="00AF5FAC" w:rsidRPr="00D52FC8">
        <w:t>se</w:t>
      </w:r>
      <w:r w:rsidR="008D0933" w:rsidRPr="00D52FC8">
        <w:t xml:space="preserve"> specific </w:t>
      </w:r>
      <w:r w:rsidR="00AF5FAC" w:rsidRPr="00D52FC8">
        <w:t>modifications and whether these modifications</w:t>
      </w:r>
      <w:r w:rsidR="008D0933" w:rsidRPr="00D52FC8">
        <w:t xml:space="preserve"> </w:t>
      </w:r>
      <w:r w:rsidR="00AF5FAC" w:rsidRPr="00D52FC8">
        <w:t xml:space="preserve">independently </w:t>
      </w:r>
      <w:r w:rsidR="008D0933" w:rsidRPr="00D52FC8">
        <w:t xml:space="preserve">meet the ECRC criteria and reasonableness </w:t>
      </w:r>
      <w:r w:rsidR="00AF5FAC" w:rsidRPr="00D52FC8">
        <w:t>t</w:t>
      </w:r>
      <w:r w:rsidR="00D52FC8" w:rsidRPr="00D52FC8">
        <w:t>ests.</w:t>
      </w:r>
    </w:p>
    <w:p w:rsidR="00500678" w:rsidRPr="0060312E" w:rsidRDefault="0060312E" w:rsidP="007F179C">
      <w:pPr>
        <w:pStyle w:val="First-LevelSubheading"/>
        <w:keepNext/>
        <w:tabs>
          <w:tab w:val="left" w:pos="540"/>
        </w:tabs>
        <w:rPr>
          <w:i/>
        </w:rPr>
      </w:pPr>
      <w:r>
        <w:lastRenderedPageBreak/>
        <w:tab/>
      </w:r>
      <w:r w:rsidR="00500678" w:rsidRPr="0060312E">
        <w:rPr>
          <w:i/>
        </w:rPr>
        <w:t>Eligibility Criteria Review</w:t>
      </w:r>
    </w:p>
    <w:p w:rsidR="00D35D45" w:rsidRDefault="00335E3E" w:rsidP="0060312E">
      <w:pPr>
        <w:pStyle w:val="BodyText"/>
        <w:spacing w:after="0"/>
      </w:pPr>
      <w:r>
        <w:t xml:space="preserve">As the </w:t>
      </w:r>
      <w:r w:rsidR="0073335C">
        <w:t xml:space="preserve">proposed modification to the MTHS </w:t>
      </w:r>
      <w:r w:rsidR="00217B18">
        <w:t>P</w:t>
      </w:r>
      <w:r>
        <w:t>roject was implemented beginning in 2018, it meets the first criterion.</w:t>
      </w:r>
      <w:r w:rsidR="00D35D45">
        <w:t xml:space="preserve"> </w:t>
      </w:r>
      <w:proofErr w:type="gramStart"/>
      <w:r w:rsidR="00D35D45">
        <w:t xml:space="preserve">FPL witness Sole states that FPL is not recovering </w:t>
      </w:r>
      <w:r w:rsidR="004A7AD6">
        <w:t>any MTHS Project</w:t>
      </w:r>
      <w:r w:rsidR="00D35D45">
        <w:t xml:space="preserve"> costs through an alternate mechanism, which addresses the third criterion.</w:t>
      </w:r>
      <w:proofErr w:type="gramEnd"/>
      <w:r w:rsidR="00D35D45">
        <w:t xml:space="preserve"> (TR 278)</w:t>
      </w:r>
    </w:p>
    <w:p w:rsidR="00C61C16" w:rsidRDefault="00C61C16" w:rsidP="0060312E">
      <w:pPr>
        <w:pStyle w:val="BodyText"/>
        <w:spacing w:after="0"/>
      </w:pPr>
    </w:p>
    <w:p w:rsidR="00D35D45" w:rsidRDefault="00335E3E" w:rsidP="0060312E">
      <w:pPr>
        <w:pStyle w:val="BodyText"/>
        <w:spacing w:after="0"/>
      </w:pPr>
      <w:r w:rsidRPr="00221580">
        <w:t>Th</w:t>
      </w:r>
      <w:r w:rsidR="00B80E37" w:rsidRPr="00221580">
        <w:t xml:space="preserve">e second criterion is </w:t>
      </w:r>
      <w:r w:rsidR="00C61C16" w:rsidRPr="00221580">
        <w:t>dependent upon timing of the U</w:t>
      </w:r>
      <w:r w:rsidRPr="00221580">
        <w:t xml:space="preserve">tility’s last rate case and the environmental regulation. </w:t>
      </w:r>
      <w:r w:rsidR="00221580" w:rsidRPr="00221580">
        <w:t xml:space="preserve">FPL’s most recent rate case was resolved by a settlement between many parties, including FPL and OPC, and approved by the Commission </w:t>
      </w:r>
      <w:r w:rsidR="007A1450">
        <w:t>in</w:t>
      </w:r>
      <w:r w:rsidR="00221580" w:rsidRPr="00221580">
        <w:t xml:space="preserve"> </w:t>
      </w:r>
      <w:r w:rsidRPr="00221580">
        <w:t xml:space="preserve">Order No. </w:t>
      </w:r>
      <w:proofErr w:type="gramStart"/>
      <w:r w:rsidRPr="00221580">
        <w:t>PSC-16-0560-AS-EI.</w:t>
      </w:r>
      <w:proofErr w:type="gramEnd"/>
      <w:r w:rsidRPr="00221580">
        <w:rPr>
          <w:rStyle w:val="FootnoteReference"/>
        </w:rPr>
        <w:footnoteReference w:id="12"/>
      </w:r>
      <w:r w:rsidR="00221580" w:rsidRPr="00221580">
        <w:t xml:space="preserve"> </w:t>
      </w:r>
      <w:r w:rsidR="00A9005E" w:rsidRPr="00221580">
        <w:t>FPL witness Sole identifies the environment</w:t>
      </w:r>
      <w:r w:rsidR="004A7AD6" w:rsidRPr="00221580">
        <w:t>al regulation requiring the proposed modification of the MTHS Project as</w:t>
      </w:r>
      <w:r w:rsidR="00A9005E" w:rsidRPr="00221580">
        <w:t xml:space="preserve"> FDEP’s Industrial Wastewater Facility Permit (Permit) for Fort Myers, issued</w:t>
      </w:r>
      <w:r w:rsidR="00A9005E">
        <w:t xml:space="preserve"> January 20, 2016. (EXH 4) The Permit states, in relevant part</w:t>
      </w:r>
      <w:r w:rsidR="006B0006">
        <w:t>,</w:t>
      </w:r>
      <w:r w:rsidR="00A9005E">
        <w:t xml:space="preserve"> “The permittee shall continue compliance with the facility's Manatee Protection Plan approved by [FDEP] on August 18, 1999.” </w:t>
      </w:r>
      <w:proofErr w:type="gramStart"/>
      <w:r w:rsidR="00A9005E">
        <w:t>(TR 269; EXH 4).</w:t>
      </w:r>
      <w:proofErr w:type="gramEnd"/>
      <w:r w:rsidR="00A9005E">
        <w:t xml:space="preserve"> Th</w:t>
      </w:r>
      <w:r w:rsidR="004A7AD6">
        <w:t>is</w:t>
      </w:r>
      <w:r w:rsidR="00A9005E">
        <w:t xml:space="preserve"> requires FPL to maintain a warm water manatee refuge during mid-November through the end of March annually, unless it endangers the safety or reliability of Fort Myer</w:t>
      </w:r>
      <w:r w:rsidR="004A7AD6">
        <w:t>s</w:t>
      </w:r>
      <w:r w:rsidR="00A9005E">
        <w:t>. (EXH 5)</w:t>
      </w:r>
      <w:r w:rsidR="007F179C">
        <w:t xml:space="preserve"> </w:t>
      </w:r>
      <w:r w:rsidR="00D35D45">
        <w:t>FPL witness Sole argues that operating circumstances have changed</w:t>
      </w:r>
      <w:r w:rsidR="006C5AF9">
        <w:t xml:space="preserve"> since FPL’s most recent rate case</w:t>
      </w:r>
      <w:r w:rsidR="00D35D45">
        <w:t xml:space="preserve">, effectively triggering the effects of the Permit, due to a combination of scheduled maintenance outages </w:t>
      </w:r>
      <w:r w:rsidR="00D35D45" w:rsidRPr="005D350A">
        <w:t>and reductions in</w:t>
      </w:r>
      <w:r w:rsidR="00BE38AD">
        <w:t xml:space="preserve"> the projected</w:t>
      </w:r>
      <w:r w:rsidR="00D35D45" w:rsidRPr="005D350A">
        <w:t xml:space="preserve"> economic dispatch of </w:t>
      </w:r>
      <w:r w:rsidR="007F179C" w:rsidRPr="005D350A">
        <w:t>Fort Myers. (TR 270-27</w:t>
      </w:r>
      <w:r w:rsidR="006C5AF9">
        <w:t>3</w:t>
      </w:r>
      <w:r w:rsidR="007F179C" w:rsidRPr="005D350A">
        <w:t>)</w:t>
      </w:r>
      <w:r w:rsidR="005D350A" w:rsidRPr="005D350A">
        <w:t xml:space="preserve"> The proposed MTHS </w:t>
      </w:r>
      <w:r w:rsidR="004A7AD6">
        <w:t>P</w:t>
      </w:r>
      <w:r w:rsidR="005D350A" w:rsidRPr="005D350A">
        <w:t>roject therefore meets the second criterion.</w:t>
      </w:r>
    </w:p>
    <w:p w:rsidR="00D75B23" w:rsidRPr="005D350A" w:rsidRDefault="00D75B23" w:rsidP="0060312E">
      <w:pPr>
        <w:pStyle w:val="BodyText"/>
        <w:spacing w:after="0"/>
      </w:pPr>
    </w:p>
    <w:p w:rsidR="00D35D45" w:rsidRDefault="00D35D45" w:rsidP="0060312E">
      <w:pPr>
        <w:pStyle w:val="BodyText"/>
        <w:spacing w:after="0"/>
      </w:pPr>
      <w:r w:rsidRPr="005D350A">
        <w:t>Regarding the reasonableness of expenditures for the</w:t>
      </w:r>
      <w:r w:rsidR="004A7AD6">
        <w:t xml:space="preserve"> modification to the</w:t>
      </w:r>
      <w:r w:rsidRPr="005D350A">
        <w:t xml:space="preserve"> MTHS</w:t>
      </w:r>
      <w:r w:rsidR="004A7AD6">
        <w:t xml:space="preserve"> Project</w:t>
      </w:r>
      <w:r w:rsidRPr="005D350A">
        <w:t>,</w:t>
      </w:r>
      <w:r w:rsidR="002660BA" w:rsidRPr="005D350A">
        <w:t xml:space="preserve"> FPL evaluated </w:t>
      </w:r>
      <w:r w:rsidR="007F179C" w:rsidRPr="005D350A">
        <w:t>alternatives including operating Fort Myers out of economic dispatch or using a tem</w:t>
      </w:r>
      <w:r w:rsidR="00173166">
        <w:t>porary diesel system. (TR 272-</w:t>
      </w:r>
      <w:r w:rsidR="00191240">
        <w:t>27</w:t>
      </w:r>
      <w:r w:rsidR="00173166">
        <w:t>3;</w:t>
      </w:r>
      <w:r w:rsidR="007F179C" w:rsidRPr="005D350A">
        <w:t xml:space="preserve"> EXH 36</w:t>
      </w:r>
      <w:r w:rsidR="009607DA">
        <w:t>, p. 6</w:t>
      </w:r>
      <w:r w:rsidR="007F179C" w:rsidRPr="005D350A">
        <w:t>) N</w:t>
      </w:r>
      <w:r w:rsidR="006C5AF9">
        <w:t>o</w:t>
      </w:r>
      <w:r w:rsidR="007F179C" w:rsidRPr="005D350A">
        <w:t xml:space="preserve"> </w:t>
      </w:r>
      <w:r w:rsidR="006C5AF9">
        <w:t xml:space="preserve">other available </w:t>
      </w:r>
      <w:r w:rsidR="007F179C" w:rsidRPr="005D350A">
        <w:t>alternative was as cost-effective</w:t>
      </w:r>
      <w:r w:rsidR="007F179C">
        <w:t xml:space="preserve"> at meeting the environmental requirement as the proposed </w:t>
      </w:r>
      <w:r w:rsidR="004A7AD6">
        <w:t>system at Fort Myers</w:t>
      </w:r>
      <w:r w:rsidR="007F179C">
        <w:t>.</w:t>
      </w:r>
      <w:r w:rsidR="005D350A">
        <w:t xml:space="preserve"> Therefore, the costs associated</w:t>
      </w:r>
      <w:r w:rsidR="007B4791">
        <w:t xml:space="preserve"> with the modification of the MTHS Project</w:t>
      </w:r>
      <w:r w:rsidR="005D350A">
        <w:t xml:space="preserve"> appear reasonable at this time.</w:t>
      </w:r>
    </w:p>
    <w:p w:rsidR="00221580" w:rsidRDefault="00221580" w:rsidP="0060312E">
      <w:pPr>
        <w:pStyle w:val="BodyText"/>
        <w:spacing w:after="0"/>
      </w:pPr>
    </w:p>
    <w:p w:rsidR="00500678" w:rsidRDefault="00500678" w:rsidP="0060312E">
      <w:pPr>
        <w:pStyle w:val="First-LevelSubheading"/>
      </w:pPr>
      <w:r>
        <w:t>Conclusion</w:t>
      </w:r>
    </w:p>
    <w:p w:rsidR="00F54F97" w:rsidRDefault="00F54F97" w:rsidP="0060312E">
      <w:pPr>
        <w:pStyle w:val="IssueHeading"/>
        <w:spacing w:after="0"/>
        <w:rPr>
          <w:rFonts w:ascii="Times New Roman" w:hAnsi="Times New Roman" w:cs="Times New Roman"/>
          <w:b w:val="0"/>
          <w:i w:val="0"/>
        </w:rPr>
      </w:pPr>
      <w:r>
        <w:rPr>
          <w:rFonts w:ascii="Times New Roman" w:hAnsi="Times New Roman" w:cs="Times New Roman"/>
          <w:b w:val="0"/>
          <w:i w:val="0"/>
        </w:rPr>
        <w:t>T</w:t>
      </w:r>
      <w:r w:rsidRPr="00F54F97">
        <w:rPr>
          <w:rFonts w:ascii="Times New Roman" w:hAnsi="Times New Roman" w:cs="Times New Roman"/>
          <w:b w:val="0"/>
          <w:i w:val="0"/>
        </w:rPr>
        <w:t>he Commission should approve FPL’s petition and be allowed to recover costs associated with its proposed modification to the MTHS Project as it addresses an environmental requirement triggered after the Company’s last rate case. Reasonable costs associated with the project should be allowed to be recovered through the ECRC</w:t>
      </w:r>
      <w:r>
        <w:rPr>
          <w:rFonts w:ascii="Times New Roman" w:hAnsi="Times New Roman" w:cs="Times New Roman"/>
          <w:b w:val="0"/>
          <w:i w:val="0"/>
        </w:rPr>
        <w:t>.</w:t>
      </w:r>
    </w:p>
    <w:p w:rsidR="005D350A" w:rsidRDefault="005D350A" w:rsidP="0060312E">
      <w:pPr>
        <w:pStyle w:val="IssueHeading"/>
        <w:spacing w:after="0"/>
        <w:rPr>
          <w:rFonts w:ascii="Times New Roman" w:hAnsi="Times New Roman" w:cs="Times New Roman"/>
          <w:b w:val="0"/>
          <w:i w:val="0"/>
        </w:rPr>
      </w:pPr>
    </w:p>
    <w:p w:rsidR="00CE1D0A" w:rsidRDefault="00CE1D0A" w:rsidP="00B04C52">
      <w:pPr>
        <w:pStyle w:val="BodyText"/>
      </w:pPr>
    </w:p>
    <w:p w:rsidR="00EE0DDC" w:rsidRDefault="00EE0DDC" w:rsidP="00B94ADE">
      <w:pPr>
        <w:pStyle w:val="IssueHeading"/>
        <w:spacing w:after="0"/>
        <w:rPr>
          <w:b w:val="0"/>
          <w:i w:val="0"/>
        </w:rPr>
        <w:sectPr w:rsidR="00EE0DDC" w:rsidSect="0068481F">
          <w:headerReference w:type="default" r:id="rId17"/>
          <w:pgSz w:w="12240" w:h="15840" w:code="1"/>
          <w:pgMar w:top="1584" w:right="1440" w:bottom="1440" w:left="1440" w:header="720" w:footer="720" w:gutter="0"/>
          <w:cols w:space="720"/>
          <w:formProt w:val="0"/>
          <w:docGrid w:linePitch="360"/>
        </w:sectPr>
      </w:pPr>
    </w:p>
    <w:p w:rsidR="00F62FE3" w:rsidRDefault="00F62FE3" w:rsidP="00B94ADE">
      <w:pPr>
        <w:pStyle w:val="IssueHeading"/>
        <w:spacing w:after="0"/>
        <w:rPr>
          <w:vanish/>
          <w:specVanish/>
        </w:rPr>
      </w:pPr>
      <w:r w:rsidRPr="004C3641">
        <w:lastRenderedPageBreak/>
        <w:t xml:space="preserve">Issue </w:t>
      </w:r>
      <w:r w:rsidR="007D08B5">
        <w:fldChar w:fldCharType="begin"/>
      </w:r>
      <w:r w:rsidR="00EE0DDC">
        <w:instrText>seq issue \r 10</w:instrText>
      </w:r>
      <w:r w:rsidR="007D08B5">
        <w:fldChar w:fldCharType="separate"/>
      </w:r>
      <w:r w:rsidR="001A5B02">
        <w:rPr>
          <w:noProof/>
        </w:rPr>
        <w:t>10</w:t>
      </w:r>
      <w:r w:rsidR="007D08B5">
        <w:rPr>
          <w:noProof/>
        </w:rPr>
        <w:fldChar w:fldCharType="end"/>
      </w:r>
      <w:r w:rsidR="00EE0DDC">
        <w:rPr>
          <w:noProof/>
        </w:rPr>
        <w:t>B</w:t>
      </w:r>
      <w:r w:rsidRPr="004C3641">
        <w:t>:</w:t>
      </w:r>
      <w:r>
        <w:fldChar w:fldCharType="begin"/>
      </w:r>
      <w:r>
        <w:instrText xml:space="preserve"> TC "</w:instrText>
      </w:r>
      <w:r>
        <w:fldChar w:fldCharType="begin"/>
      </w:r>
      <w:r>
        <w:instrText xml:space="preserve"> SEQ issue \c </w:instrText>
      </w:r>
      <w:r>
        <w:fldChar w:fldCharType="separate"/>
      </w:r>
      <w:r w:rsidR="001A5B02">
        <w:rPr>
          <w:noProof/>
        </w:rPr>
        <w:instrText>10</w:instrText>
      </w:r>
      <w:r>
        <w:fldChar w:fldCharType="end"/>
      </w:r>
      <w:r>
        <w:tab/>
        <w:instrText xml:space="preserve">(Ellis)" \l 1 </w:instrText>
      </w:r>
      <w:r>
        <w:fldChar w:fldCharType="end"/>
      </w:r>
      <w:r>
        <w:t> </w:t>
      </w:r>
    </w:p>
    <w:p w:rsidR="00F62FE3" w:rsidRDefault="00F62FE3" w:rsidP="00B94ADE">
      <w:pPr>
        <w:pStyle w:val="BodyText"/>
        <w:spacing w:after="0"/>
      </w:pPr>
      <w:r>
        <w:t xml:space="preserve"> Should the Commission approve FPL’s Petition for Approval of Modification to National Pollution Discharge Elimination System Permit Renewal Requirement Project and the recovery of the associated costs through the ECRC pursuant to Section 366.8255, F.S.? </w:t>
      </w:r>
    </w:p>
    <w:p w:rsidR="00B94ADE" w:rsidRDefault="00B94ADE" w:rsidP="00B94ADE">
      <w:pPr>
        <w:pStyle w:val="BodyText"/>
        <w:spacing w:after="0"/>
      </w:pPr>
    </w:p>
    <w:p w:rsidR="00F62FE3" w:rsidRPr="004C3641" w:rsidRDefault="00F62FE3" w:rsidP="00B94ADE">
      <w:pPr>
        <w:pStyle w:val="IssueSubsectionHeading"/>
        <w:spacing w:after="0"/>
        <w:rPr>
          <w:vanish/>
          <w:specVanish/>
        </w:rPr>
      </w:pPr>
      <w:r w:rsidRPr="004C3641">
        <w:t>Recommendation: </w:t>
      </w:r>
    </w:p>
    <w:p w:rsidR="00F62FE3" w:rsidRDefault="00F62FE3" w:rsidP="00B94ADE">
      <w:pPr>
        <w:pStyle w:val="BodyText"/>
        <w:spacing w:after="0"/>
      </w:pPr>
      <w:r>
        <w:t> </w:t>
      </w:r>
      <w:r w:rsidR="00C3335B">
        <w:t xml:space="preserve">No. </w:t>
      </w:r>
      <w:r w:rsidR="00B0584D">
        <w:t xml:space="preserve">The proposed modification to the NPDES Project does not meet the threshold requirement of being </w:t>
      </w:r>
      <w:r w:rsidR="007A1450">
        <w:t>necessary</w:t>
      </w:r>
      <w:r w:rsidR="00B0584D">
        <w:t xml:space="preserve"> to comply with environmental regulations as required by Section 366.8255, F.S. </w:t>
      </w:r>
      <w:r w:rsidR="00C3335B">
        <w:t xml:space="preserve">Therefore, the Commission </w:t>
      </w:r>
      <w:r w:rsidR="00A6489A">
        <w:t xml:space="preserve">should deny </w:t>
      </w:r>
      <w:r w:rsidR="00C3335B">
        <w:t xml:space="preserve">recovery of </w:t>
      </w:r>
      <w:r w:rsidR="00E75C4D">
        <w:t>c</w:t>
      </w:r>
      <w:r w:rsidR="00C3335B">
        <w:t>osts</w:t>
      </w:r>
      <w:r w:rsidR="00E75C4D">
        <w:t xml:space="preserve"> through the ECRC</w:t>
      </w:r>
      <w:r w:rsidR="00B0584D">
        <w:t xml:space="preserve"> at this time.</w:t>
      </w:r>
      <w:r w:rsidR="00C3335B">
        <w:t xml:space="preserve"> </w:t>
      </w:r>
      <w:r>
        <w:t>(Ellis)</w:t>
      </w:r>
    </w:p>
    <w:p w:rsidR="00B94ADE" w:rsidRDefault="00B94ADE" w:rsidP="00B94ADE">
      <w:pPr>
        <w:pStyle w:val="BodyText"/>
        <w:spacing w:after="0"/>
      </w:pPr>
    </w:p>
    <w:p w:rsidR="00F62FE3" w:rsidRDefault="00F62FE3" w:rsidP="00B94ADE">
      <w:pPr>
        <w:pStyle w:val="IssueSubsectionHeading"/>
        <w:keepNext/>
        <w:spacing w:after="0"/>
        <w:rPr>
          <w:iCs w:val="0"/>
        </w:rPr>
      </w:pPr>
      <w:r w:rsidRPr="004C3641">
        <w:rPr>
          <w:iCs w:val="0"/>
        </w:rPr>
        <w:t>Position of the Parties</w:t>
      </w:r>
    </w:p>
    <w:p w:rsidR="00B94ADE" w:rsidRPr="00B94ADE" w:rsidRDefault="00B94ADE" w:rsidP="00B94ADE">
      <w:pPr>
        <w:pStyle w:val="BodyText"/>
        <w:spacing w:after="0"/>
      </w:pPr>
    </w:p>
    <w:p w:rsidR="00F62FE3" w:rsidRDefault="00F62FE3" w:rsidP="00B94ADE">
      <w:pPr>
        <w:pStyle w:val="PartyName"/>
        <w:spacing w:after="0"/>
        <w:ind w:left="1080" w:hanging="1080"/>
        <w:rPr>
          <w:vanish/>
          <w:specVanish/>
        </w:rPr>
      </w:pPr>
      <w:r>
        <w:t>FPL: </w:t>
      </w:r>
    </w:p>
    <w:p w:rsidR="00F67E54" w:rsidRDefault="00F62FE3" w:rsidP="005F4273">
      <w:pPr>
        <w:keepLines/>
        <w:ind w:left="1080" w:hanging="1080"/>
        <w:jc w:val="both"/>
      </w:pPr>
      <w:r>
        <w:t>  </w:t>
      </w:r>
      <w:r w:rsidR="0077520D">
        <w:tab/>
      </w:r>
      <w:r w:rsidR="00F67E54" w:rsidRPr="003071A5">
        <w:t>Yes</w:t>
      </w:r>
      <w:r w:rsidR="0056343D">
        <w:t>. I</w:t>
      </w:r>
      <w:r w:rsidR="00F67E54">
        <w:t xml:space="preserve">t is anticipated that </w:t>
      </w:r>
      <w:r w:rsidR="00F67E54" w:rsidRPr="003071A5">
        <w:t xml:space="preserve">Plant Scherer’s </w:t>
      </w:r>
      <w:r w:rsidR="00F67E54">
        <w:t xml:space="preserve">renewed </w:t>
      </w:r>
      <w:r w:rsidR="00F67E54" w:rsidRPr="003071A5">
        <w:t xml:space="preserve">NPDES permit </w:t>
      </w:r>
      <w:r w:rsidR="00F67E54">
        <w:t>will include a limit</w:t>
      </w:r>
      <w:r w:rsidR="00F67E54" w:rsidRPr="003071A5">
        <w:t xml:space="preserve"> </w:t>
      </w:r>
      <w:r w:rsidR="00F67E54">
        <w:t xml:space="preserve">on </w:t>
      </w:r>
      <w:r w:rsidR="00F67E54" w:rsidRPr="003071A5">
        <w:t xml:space="preserve">copper discharges. </w:t>
      </w:r>
      <w:r w:rsidR="00F67E54">
        <w:t>R</w:t>
      </w:r>
      <w:r w:rsidR="00F67E54" w:rsidRPr="003071A5">
        <w:t>epacking Scherer Unit 4’s cooling tower fill medium</w:t>
      </w:r>
      <w:r w:rsidR="00F67E54">
        <w:t xml:space="preserve"> is a cost-effective way to reduce copper levels</w:t>
      </w:r>
      <w:r w:rsidR="00F67E54" w:rsidRPr="003071A5">
        <w:t>.</w:t>
      </w:r>
    </w:p>
    <w:p w:rsidR="00B94ADE" w:rsidRPr="00DC3150" w:rsidRDefault="00B94ADE" w:rsidP="00B94ADE">
      <w:pPr>
        <w:keepLines/>
        <w:ind w:left="1080" w:hanging="1080"/>
      </w:pPr>
    </w:p>
    <w:p w:rsidR="00F62FE3" w:rsidRDefault="00F62FE3" w:rsidP="00B94ADE">
      <w:pPr>
        <w:pStyle w:val="PartyName"/>
        <w:spacing w:after="0"/>
        <w:ind w:left="1080" w:hanging="1080"/>
        <w:rPr>
          <w:vanish/>
          <w:specVanish/>
        </w:rPr>
      </w:pPr>
      <w:r>
        <w:t>OPC: </w:t>
      </w:r>
    </w:p>
    <w:p w:rsidR="00F62FE3" w:rsidRDefault="00F62FE3" w:rsidP="00B94ADE">
      <w:pPr>
        <w:pStyle w:val="BodyText"/>
        <w:spacing w:after="0"/>
        <w:ind w:left="1080" w:hanging="1080"/>
      </w:pPr>
      <w:r>
        <w:t>  </w:t>
      </w:r>
      <w:r w:rsidR="0077520D">
        <w:tab/>
      </w:r>
      <w:r w:rsidR="00F67E54" w:rsidRPr="00900608">
        <w:t xml:space="preserve">No. </w:t>
      </w:r>
      <w:r w:rsidR="00F67E54" w:rsidRPr="00900608">
        <w:rPr>
          <w:kern w:val="32"/>
        </w:rPr>
        <w:t>The Commission must, nevertheless independently determine that each cost submitted for recovery meets each element of the statutory requirements for recovery through this clause as set out in Section 366.8255, Florida Statutes. FPL has not proven that these costs fully meet the statutory test to the extent it relies on prior approvals of similar types of projects for meeting the Company’s burden of proof.</w:t>
      </w:r>
      <w:r w:rsidR="00F67E54" w:rsidRPr="00900608">
        <w:t xml:space="preserve"> This projec</w:t>
      </w:r>
      <w:r w:rsidR="0077520D">
        <w:t>t may not be ripe for approval.</w:t>
      </w:r>
    </w:p>
    <w:p w:rsidR="00B94ADE" w:rsidRDefault="00B94ADE" w:rsidP="00B94ADE">
      <w:pPr>
        <w:pStyle w:val="BodyText"/>
        <w:spacing w:after="0"/>
        <w:ind w:left="1080" w:hanging="1080"/>
      </w:pPr>
    </w:p>
    <w:p w:rsidR="00F62FE3" w:rsidRDefault="00F62FE3" w:rsidP="00B94ADE">
      <w:pPr>
        <w:pStyle w:val="PartyName"/>
        <w:spacing w:after="0"/>
        <w:ind w:left="1080" w:hanging="1080"/>
        <w:rPr>
          <w:vanish/>
          <w:specVanish/>
        </w:rPr>
      </w:pPr>
      <w:r>
        <w:t>SACE: </w:t>
      </w:r>
    </w:p>
    <w:p w:rsidR="00F62FE3" w:rsidRDefault="00F62FE3" w:rsidP="00B94ADE">
      <w:pPr>
        <w:pStyle w:val="BodyText"/>
        <w:spacing w:after="0"/>
        <w:ind w:left="1080" w:hanging="1080"/>
      </w:pPr>
      <w:r>
        <w:t>  </w:t>
      </w:r>
      <w:r w:rsidR="0077520D">
        <w:tab/>
      </w:r>
      <w:r w:rsidR="00A2032A">
        <w:t>No position.</w:t>
      </w:r>
    </w:p>
    <w:p w:rsidR="00B94ADE" w:rsidRDefault="00B94ADE" w:rsidP="00B94ADE">
      <w:pPr>
        <w:pStyle w:val="BodyText"/>
        <w:spacing w:after="0"/>
        <w:ind w:left="1080" w:hanging="1080"/>
      </w:pPr>
    </w:p>
    <w:p w:rsidR="00F62FE3" w:rsidRPr="004C3641" w:rsidRDefault="00F62FE3" w:rsidP="00B94ADE">
      <w:pPr>
        <w:pStyle w:val="IssueSubsectionHeading"/>
        <w:spacing w:after="0"/>
        <w:rPr>
          <w:vanish/>
          <w:specVanish/>
        </w:rPr>
      </w:pPr>
      <w:r w:rsidRPr="004C3641">
        <w:t>Staff Analysis: </w:t>
      </w:r>
    </w:p>
    <w:p w:rsidR="00260DE3" w:rsidRDefault="00F62FE3" w:rsidP="00B94ADE">
      <w:pPr>
        <w:pStyle w:val="BodyText"/>
        <w:spacing w:after="0"/>
      </w:pPr>
      <w:r>
        <w:t> </w:t>
      </w:r>
    </w:p>
    <w:p w:rsidR="00B94ADE" w:rsidRDefault="00B94ADE" w:rsidP="00B94ADE">
      <w:pPr>
        <w:pStyle w:val="BodyText"/>
        <w:spacing w:after="0"/>
      </w:pPr>
    </w:p>
    <w:p w:rsidR="00260DE3" w:rsidRDefault="00B94ADE" w:rsidP="00B94ADE">
      <w:pPr>
        <w:pStyle w:val="BodyText"/>
        <w:spacing w:after="0"/>
        <w:jc w:val="center"/>
        <w:rPr>
          <w:rFonts w:ascii="Arial" w:hAnsi="Arial" w:cs="Arial"/>
          <w:b/>
        </w:rPr>
      </w:pPr>
      <w:r w:rsidRPr="00B94ADE">
        <w:rPr>
          <w:rFonts w:ascii="Arial" w:hAnsi="Arial" w:cs="Arial"/>
          <w:b/>
        </w:rPr>
        <w:t>Parties’ Arguments</w:t>
      </w:r>
    </w:p>
    <w:p w:rsidR="00AC0226" w:rsidRPr="00B94ADE" w:rsidRDefault="00AC0226" w:rsidP="00AC0226">
      <w:pPr>
        <w:pStyle w:val="BodyText"/>
        <w:spacing w:after="0"/>
        <w:rPr>
          <w:rFonts w:ascii="Arial" w:hAnsi="Arial" w:cs="Arial"/>
          <w:b/>
        </w:rPr>
      </w:pPr>
    </w:p>
    <w:p w:rsidR="00260DE3" w:rsidRDefault="00260DE3" w:rsidP="00B94ADE">
      <w:pPr>
        <w:pStyle w:val="Second-LevelSubheading"/>
      </w:pPr>
      <w:r>
        <w:t>FPL</w:t>
      </w:r>
    </w:p>
    <w:p w:rsidR="00260DE3" w:rsidRDefault="00520369" w:rsidP="00940BC4">
      <w:pPr>
        <w:pStyle w:val="BodyText"/>
        <w:spacing w:after="0"/>
      </w:pPr>
      <w:r>
        <w:t xml:space="preserve">FPL states that its proposed modification to the NPDES Project includes the replacement of cooling tower packing material at </w:t>
      </w:r>
      <w:r w:rsidRPr="00BE0C73">
        <w:t>Plant Scherer Unit 4 (Scherer</w:t>
      </w:r>
      <w:r>
        <w:t xml:space="preserve">). (FPL BR 2, 16) </w:t>
      </w:r>
      <w:r w:rsidR="00C64920">
        <w:t xml:space="preserve">FPL </w:t>
      </w:r>
      <w:r>
        <w:t xml:space="preserve">asserts </w:t>
      </w:r>
      <w:r w:rsidR="00C64920">
        <w:t xml:space="preserve">that </w:t>
      </w:r>
      <w:r>
        <w:t>Scherer is likely to be required to</w:t>
      </w:r>
      <w:r w:rsidR="0055143E">
        <w:t xml:space="preserve"> </w:t>
      </w:r>
      <w:r w:rsidR="00C64920">
        <w:t>limit copper discharge</w:t>
      </w:r>
      <w:r>
        <w:t xml:space="preserve"> in future environmental permits, and the replacement addressed this concern</w:t>
      </w:r>
      <w:r w:rsidR="00C64920">
        <w:t>. (FPL BR 17-19)</w:t>
      </w:r>
      <w:r w:rsidR="0055143E">
        <w:t xml:space="preserve"> </w:t>
      </w:r>
      <w:r w:rsidR="00C64920">
        <w:t xml:space="preserve">FPL </w:t>
      </w:r>
      <w:r w:rsidR="0055143E">
        <w:t xml:space="preserve">seeks ECRC recovery of the </w:t>
      </w:r>
      <w:r>
        <w:t>modifications to the NPDES Project</w:t>
      </w:r>
      <w:r w:rsidR="0055143E">
        <w:t xml:space="preserve"> con</w:t>
      </w:r>
      <w:r>
        <w:t>tingent upon the issuance of a future environmental p</w:t>
      </w:r>
      <w:r w:rsidR="0055143E">
        <w:t xml:space="preserve">ermit </w:t>
      </w:r>
      <w:r>
        <w:t>including</w:t>
      </w:r>
      <w:r w:rsidR="0055143E">
        <w:t xml:space="preserve"> the copper limitation requirement. (FPL BR 20) FPL argues that the modification to the NPDES </w:t>
      </w:r>
      <w:r>
        <w:t>P</w:t>
      </w:r>
      <w:r w:rsidR="0055143E">
        <w:t>roject satisfies the requirements of recovery for the ECRC as it is based on an anticipated environm</w:t>
      </w:r>
      <w:r>
        <w:t>ental regulation. (FPL BR 20-</w:t>
      </w:r>
      <w:r w:rsidR="00173166">
        <w:t>2</w:t>
      </w:r>
      <w:r>
        <w:t>1)</w:t>
      </w:r>
    </w:p>
    <w:p w:rsidR="00940BC4" w:rsidRDefault="00940BC4" w:rsidP="00940BC4">
      <w:pPr>
        <w:pStyle w:val="BodyText"/>
        <w:spacing w:after="0"/>
      </w:pPr>
    </w:p>
    <w:p w:rsidR="00260DE3" w:rsidRDefault="00260DE3" w:rsidP="00940BC4">
      <w:pPr>
        <w:pStyle w:val="Second-LevelSubheading"/>
      </w:pPr>
      <w:r>
        <w:t>OPC</w:t>
      </w:r>
    </w:p>
    <w:p w:rsidR="002E0542" w:rsidRDefault="00F93E05" w:rsidP="00940BC4">
      <w:pPr>
        <w:pStyle w:val="BodyText"/>
        <w:spacing w:after="0"/>
      </w:pPr>
      <w:r>
        <w:t>OPC expresses concern t</w:t>
      </w:r>
      <w:r w:rsidR="00520369">
        <w:t>hat the contingent nature of FPL’s request for a</w:t>
      </w:r>
      <w:r>
        <w:t xml:space="preserve"> </w:t>
      </w:r>
      <w:r w:rsidR="00520369">
        <w:t xml:space="preserve">modification </w:t>
      </w:r>
      <w:r w:rsidR="00D2758D">
        <w:t>to</w:t>
      </w:r>
      <w:r w:rsidR="00520369">
        <w:t xml:space="preserve"> the </w:t>
      </w:r>
      <w:r>
        <w:t xml:space="preserve">NPDES </w:t>
      </w:r>
      <w:r w:rsidR="00520369">
        <w:t>Project</w:t>
      </w:r>
      <w:r>
        <w:t xml:space="preserve"> is outside of the scope of Section 366.8255, F.S. (</w:t>
      </w:r>
      <w:r w:rsidR="002E0542">
        <w:t>OPC BR 1, 5) OPC objects that the Company’s filing appears to rely upon the Commission’s prior approval of similarly named projects, instead of independent approval. (OPC BR 5-6, 7-8) OPC argues that the proposed project is significant</w:t>
      </w:r>
      <w:r w:rsidR="009F5D65">
        <w:t>ly</w:t>
      </w:r>
      <w:r w:rsidR="002E0542">
        <w:t xml:space="preserve"> different from the prior projects approved under the NPDES Project</w:t>
      </w:r>
      <w:r w:rsidR="003577FE">
        <w:t>.</w:t>
      </w:r>
      <w:r w:rsidR="002E0542">
        <w:t xml:space="preserve"> (OPC BR 6) OPC also asserts that as the project has already been completed, there is no urgency requiring a contingent approval. (OPC BR 7)</w:t>
      </w:r>
    </w:p>
    <w:p w:rsidR="006B0006" w:rsidRDefault="006B0006" w:rsidP="00940BC4">
      <w:pPr>
        <w:pStyle w:val="BodyText"/>
        <w:spacing w:after="0"/>
      </w:pPr>
    </w:p>
    <w:p w:rsidR="00260DE3" w:rsidRPr="00940BC4" w:rsidRDefault="00940BC4" w:rsidP="00940BC4">
      <w:pPr>
        <w:pStyle w:val="BodyText"/>
        <w:keepNext/>
        <w:spacing w:after="0"/>
        <w:jc w:val="center"/>
        <w:rPr>
          <w:rFonts w:ascii="Arial" w:hAnsi="Arial" w:cs="Arial"/>
          <w:b/>
        </w:rPr>
      </w:pPr>
      <w:r w:rsidRPr="00940BC4">
        <w:rPr>
          <w:rFonts w:ascii="Arial" w:hAnsi="Arial" w:cs="Arial"/>
          <w:b/>
        </w:rPr>
        <w:t>Analysis</w:t>
      </w:r>
    </w:p>
    <w:p w:rsidR="00940BC4" w:rsidRPr="00500678" w:rsidRDefault="00940BC4" w:rsidP="00940BC4">
      <w:pPr>
        <w:pStyle w:val="BodyText"/>
        <w:keepNext/>
        <w:spacing w:after="0"/>
        <w:rPr>
          <w:b/>
        </w:rPr>
      </w:pPr>
    </w:p>
    <w:p w:rsidR="007E138C" w:rsidRPr="00940BC4" w:rsidRDefault="00AC3F8D" w:rsidP="00940BC4">
      <w:pPr>
        <w:keepNext/>
        <w:autoSpaceDE w:val="0"/>
        <w:autoSpaceDN w:val="0"/>
        <w:adjustRightInd w:val="0"/>
        <w:ind w:firstLine="720"/>
        <w:rPr>
          <w:rFonts w:ascii="Arial" w:hAnsi="Arial" w:cs="Arial"/>
          <w:b/>
          <w:bCs/>
          <w:i/>
          <w:sz w:val="23"/>
          <w:szCs w:val="23"/>
        </w:rPr>
      </w:pPr>
      <w:r w:rsidRPr="00940BC4">
        <w:rPr>
          <w:rFonts w:ascii="Arial" w:hAnsi="Arial" w:cs="Arial"/>
          <w:b/>
          <w:bCs/>
          <w:i/>
          <w:sz w:val="23"/>
          <w:szCs w:val="23"/>
        </w:rPr>
        <w:t xml:space="preserve">NPDES </w:t>
      </w:r>
      <w:r w:rsidR="007E138C" w:rsidRPr="00940BC4">
        <w:rPr>
          <w:rFonts w:ascii="Arial" w:hAnsi="Arial" w:cs="Arial"/>
          <w:b/>
          <w:bCs/>
          <w:i/>
          <w:sz w:val="23"/>
          <w:szCs w:val="23"/>
        </w:rPr>
        <w:t>Project</w:t>
      </w:r>
      <w:r w:rsidR="007B4791">
        <w:rPr>
          <w:rFonts w:ascii="Arial" w:hAnsi="Arial" w:cs="Arial"/>
          <w:b/>
          <w:bCs/>
          <w:i/>
          <w:sz w:val="23"/>
          <w:szCs w:val="23"/>
        </w:rPr>
        <w:t xml:space="preserve"> </w:t>
      </w:r>
      <w:r w:rsidR="007B4791">
        <w:rPr>
          <w:rFonts w:ascii="Arial" w:hAnsi="Arial" w:cs="Arial"/>
          <w:b/>
          <w:bCs/>
          <w:i/>
          <w:szCs w:val="23"/>
        </w:rPr>
        <w:t>and Proposed Modifications</w:t>
      </w:r>
    </w:p>
    <w:p w:rsidR="007E138C" w:rsidRDefault="001812ED" w:rsidP="00940BC4">
      <w:pPr>
        <w:pStyle w:val="BodyText"/>
        <w:spacing w:after="0"/>
      </w:pPr>
      <w:r>
        <w:t xml:space="preserve">The Commission initially approved recovery through the ECRC of FPL’s NPDES </w:t>
      </w:r>
      <w:r w:rsidR="00520369">
        <w:t>P</w:t>
      </w:r>
      <w:r>
        <w:t>roject in the 2011 ECRC proceeding.</w:t>
      </w:r>
      <w:r>
        <w:rPr>
          <w:rStyle w:val="FootnoteReference"/>
        </w:rPr>
        <w:footnoteReference w:id="13"/>
      </w:r>
      <w:r>
        <w:t xml:space="preserve"> </w:t>
      </w:r>
      <w:r w:rsidR="00AC3F8D">
        <w:t>The project was focused on complying with then-new FDEP requirements to es</w:t>
      </w:r>
      <w:r w:rsidR="00BE1262">
        <w:t>tablish whole effluent toxicity</w:t>
      </w:r>
      <w:r w:rsidR="00AC3F8D">
        <w:t xml:space="preserve"> limits and prepare </w:t>
      </w:r>
      <w:r w:rsidR="005C6CD7">
        <w:t>s</w:t>
      </w:r>
      <w:r w:rsidR="00AC3F8D">
        <w:t xml:space="preserve">torm </w:t>
      </w:r>
      <w:r w:rsidR="005C6CD7">
        <w:t>w</w:t>
      </w:r>
      <w:r w:rsidR="00AC3F8D">
        <w:t xml:space="preserve">ater </w:t>
      </w:r>
      <w:r w:rsidR="005C6CD7">
        <w:t>p</w:t>
      </w:r>
      <w:r w:rsidR="00AC3F8D">
        <w:t xml:space="preserve">ollution </w:t>
      </w:r>
      <w:r w:rsidR="005C6CD7">
        <w:t>p</w:t>
      </w:r>
      <w:r w:rsidR="00AC3F8D">
        <w:t xml:space="preserve">revention </w:t>
      </w:r>
      <w:r w:rsidR="005C6CD7">
        <w:t>p</w:t>
      </w:r>
      <w:r w:rsidR="00AC3F8D">
        <w:t>lans. Subsequently, the Commission approved recover</w:t>
      </w:r>
      <w:r w:rsidR="009F5D65">
        <w:t>y</w:t>
      </w:r>
      <w:r w:rsidR="00AC3F8D">
        <w:t xml:space="preserve"> of costs associated with the St. Lucie facility’s renewed permit, specifically a requirement to conduct a total residual </w:t>
      </w:r>
      <w:r w:rsidR="00AC3F8D" w:rsidRPr="00BE0C73">
        <w:t>oxidants plan of study</w:t>
      </w:r>
      <w:r w:rsidR="005C6CD7" w:rsidRPr="00BE0C73">
        <w:t>, in the 2012 ECRC proceeding.</w:t>
      </w:r>
      <w:r w:rsidR="005C6CD7" w:rsidRPr="00BE0C73">
        <w:rPr>
          <w:rStyle w:val="FootnoteReference"/>
        </w:rPr>
        <w:footnoteReference w:id="14"/>
      </w:r>
    </w:p>
    <w:p w:rsidR="00940BC4" w:rsidRPr="00BE0C73" w:rsidRDefault="00940BC4" w:rsidP="00940BC4">
      <w:pPr>
        <w:pStyle w:val="BodyText"/>
        <w:spacing w:after="0"/>
      </w:pPr>
    </w:p>
    <w:p w:rsidR="00E85DF4" w:rsidRDefault="005C6CD7" w:rsidP="00940BC4">
      <w:pPr>
        <w:pStyle w:val="BodyText"/>
        <w:spacing w:after="0"/>
      </w:pPr>
      <w:r w:rsidRPr="00BE0C73">
        <w:t xml:space="preserve">As described by FPL witness Sole, FPL is seeking to recover costs associated with the replacement of </w:t>
      </w:r>
      <w:r w:rsidR="00BE0C73" w:rsidRPr="00BE0C73">
        <w:t xml:space="preserve">cooling tower </w:t>
      </w:r>
      <w:r w:rsidRPr="00BE0C73">
        <w:t xml:space="preserve">packing material </w:t>
      </w:r>
      <w:r w:rsidR="00E85DF4" w:rsidRPr="00BE0C73">
        <w:t>at</w:t>
      </w:r>
      <w:r w:rsidRPr="00BE0C73">
        <w:t xml:space="preserve"> </w:t>
      </w:r>
      <w:r w:rsidR="00C64920">
        <w:t>Scherer</w:t>
      </w:r>
      <w:r w:rsidRPr="00BE0C73">
        <w:t xml:space="preserve"> due to</w:t>
      </w:r>
      <w:r w:rsidR="00E85DF4" w:rsidRPr="00BE0C73">
        <w:t xml:space="preserve"> meet anticipated permit conditions. (TR 279)</w:t>
      </w:r>
      <w:r w:rsidRPr="00BE0C73">
        <w:t xml:space="preserve"> </w:t>
      </w:r>
      <w:r w:rsidR="00E85DF4" w:rsidRPr="00BE0C73">
        <w:t xml:space="preserve">The replacement of </w:t>
      </w:r>
      <w:r w:rsidR="00BE0C73" w:rsidRPr="00BE0C73">
        <w:t xml:space="preserve">cooling tower </w:t>
      </w:r>
      <w:r w:rsidR="00E85DF4" w:rsidRPr="00BE0C73">
        <w:t>packing material began in March 2018 and was completed in May 2018.</w:t>
      </w:r>
      <w:r w:rsidR="00BE0C73">
        <w:t xml:space="preserve"> (EXH 14</w:t>
      </w:r>
      <w:r w:rsidR="00764CD5">
        <w:t>, p. 118</w:t>
      </w:r>
      <w:r w:rsidR="00BE0C73">
        <w:t>)</w:t>
      </w:r>
      <w:r w:rsidR="00BE0C73" w:rsidRPr="00BE0C73">
        <w:t xml:space="preserve"> </w:t>
      </w:r>
      <w:r w:rsidR="00E85DF4" w:rsidRPr="00BE0C73">
        <w:t xml:space="preserve">FPL is a joint </w:t>
      </w:r>
      <w:r w:rsidR="00E85DF4" w:rsidRPr="00D2758D">
        <w:t xml:space="preserve">owner of Scherer and its requested recovery </w:t>
      </w:r>
      <w:r w:rsidR="007A1450" w:rsidRPr="00D2758D">
        <w:t>is proportional to its ownership interest in Scherer</w:t>
      </w:r>
      <w:r w:rsidR="00E85DF4" w:rsidRPr="00D2758D">
        <w:t>. (EXH 36</w:t>
      </w:r>
      <w:r w:rsidR="009607DA">
        <w:t>, p. 13</w:t>
      </w:r>
      <w:r w:rsidR="00E85DF4" w:rsidRPr="00BE0C73">
        <w:t>) FPL initially estimated its portion of costs was $9 million, but the actual cost was $7.9 million. (EXH 14</w:t>
      </w:r>
      <w:r w:rsidR="00764CD5">
        <w:t>, p. 118</w:t>
      </w:r>
      <w:r w:rsidR="00E85DF4" w:rsidRPr="00BE0C73">
        <w:t xml:space="preserve">) FPL witness Deaton notes </w:t>
      </w:r>
      <w:r w:rsidR="007A1450">
        <w:t>FPL is</w:t>
      </w:r>
      <w:r w:rsidR="00E85DF4" w:rsidRPr="00BE0C73">
        <w:t xml:space="preserve"> not seeking recovery through the ECRC at this </w:t>
      </w:r>
      <w:proofErr w:type="gramStart"/>
      <w:r w:rsidR="00E85DF4" w:rsidRPr="00BE0C73">
        <w:t>time,</w:t>
      </w:r>
      <w:proofErr w:type="gramEnd"/>
      <w:r w:rsidR="00E85DF4" w:rsidRPr="00BE0C73">
        <w:t xml:space="preserve"> therefore the cost of the project does not </w:t>
      </w:r>
      <w:r w:rsidR="00520369">
        <w:t>a</w:t>
      </w:r>
      <w:r w:rsidR="00E85DF4" w:rsidRPr="00BE0C73">
        <w:t>ffect FPL’s proposed ECRC expenditures discussed above in Issues 3 and 4. (TR 18)</w:t>
      </w:r>
    </w:p>
    <w:p w:rsidR="00940BC4" w:rsidRPr="00BE0C73" w:rsidRDefault="00940BC4" w:rsidP="00940BC4">
      <w:pPr>
        <w:pStyle w:val="BodyText"/>
        <w:spacing w:after="0"/>
      </w:pPr>
    </w:p>
    <w:p w:rsidR="007E138C" w:rsidRPr="00940BC4" w:rsidRDefault="007E138C" w:rsidP="00940BC4">
      <w:pPr>
        <w:autoSpaceDE w:val="0"/>
        <w:autoSpaceDN w:val="0"/>
        <w:adjustRightInd w:val="0"/>
        <w:ind w:firstLine="720"/>
        <w:rPr>
          <w:rFonts w:ascii="Arial" w:hAnsi="Arial" w:cs="Arial"/>
          <w:b/>
          <w:bCs/>
          <w:i/>
          <w:szCs w:val="23"/>
        </w:rPr>
      </w:pPr>
      <w:r w:rsidRPr="00940BC4">
        <w:rPr>
          <w:rFonts w:ascii="Arial" w:hAnsi="Arial" w:cs="Arial"/>
          <w:b/>
          <w:bCs/>
          <w:i/>
          <w:szCs w:val="23"/>
        </w:rPr>
        <w:t>Eligibility Criteria</w:t>
      </w:r>
    </w:p>
    <w:p w:rsidR="008D0933" w:rsidRPr="00852BE6" w:rsidRDefault="007E138C" w:rsidP="008D0933">
      <w:pPr>
        <w:pStyle w:val="BodyText"/>
      </w:pPr>
      <w:r>
        <w:t xml:space="preserve">As discussed in Issue 10A, </w:t>
      </w:r>
      <w:r w:rsidRPr="00852BE6">
        <w:t>the criteria required to demonstrate eligibility for cost recovery under the ECRC</w:t>
      </w:r>
      <w:r>
        <w:t xml:space="preserve"> </w:t>
      </w:r>
      <w:r w:rsidR="00B34543">
        <w:t>include whether</w:t>
      </w:r>
      <w:r w:rsidR="007F29BC">
        <w:t>:</w:t>
      </w:r>
      <w:r w:rsidR="00B34543">
        <w:t xml:space="preserve"> (1) </w:t>
      </w:r>
      <w:r w:rsidR="00B34543" w:rsidRPr="00852BE6">
        <w:t>costs were prudently incurred after April 13, 1993</w:t>
      </w:r>
      <w:r w:rsidR="007F29BC">
        <w:t>;</w:t>
      </w:r>
      <w:r w:rsidR="00B34543">
        <w:t xml:space="preserve"> (2) </w:t>
      </w:r>
      <w:r w:rsidR="00B34543" w:rsidRPr="00852BE6">
        <w:t xml:space="preserve">the activity is legally required to comply with a governmentally imposed environmental regulation after the </w:t>
      </w:r>
      <w:r w:rsidR="00B34543">
        <w:t>C</w:t>
      </w:r>
      <w:r w:rsidR="00B34543" w:rsidRPr="00852BE6">
        <w:t xml:space="preserve">ompany’s last </w:t>
      </w:r>
      <w:r w:rsidR="007F29BC">
        <w:t>rate case test year;</w:t>
      </w:r>
      <w:r w:rsidR="00B34543">
        <w:t xml:space="preserve"> and (3) </w:t>
      </w:r>
      <w:r w:rsidR="00B34543" w:rsidRPr="00852BE6">
        <w:t xml:space="preserve">costs are not recovered through </w:t>
      </w:r>
      <w:r w:rsidR="00B34543">
        <w:t xml:space="preserve">another </w:t>
      </w:r>
      <w:r w:rsidR="00B0584D">
        <w:t>m</w:t>
      </w:r>
      <w:r w:rsidR="00B34543">
        <w:t>echanism</w:t>
      </w:r>
      <w:r w:rsidR="00B34543" w:rsidRPr="00852BE6">
        <w:t xml:space="preserve"> </w:t>
      </w:r>
      <w:r w:rsidR="00B0584D">
        <w:t xml:space="preserve">or through </w:t>
      </w:r>
      <w:r w:rsidR="00B34543" w:rsidRPr="00852BE6">
        <w:t>base rates</w:t>
      </w:r>
      <w:r w:rsidR="00B34543">
        <w:t>.</w:t>
      </w:r>
      <w:r w:rsidRPr="00852BE6">
        <w:rPr>
          <w:rStyle w:val="FootnoteReference"/>
        </w:rPr>
        <w:footnoteReference w:id="15"/>
      </w:r>
      <w:r w:rsidR="00B34543">
        <w:t xml:space="preserve"> </w:t>
      </w:r>
      <w:r w:rsidRPr="00852BE6">
        <w:t xml:space="preserve">Pursuant to Section 366.8255, F.S., only the </w:t>
      </w:r>
      <w:proofErr w:type="gramStart"/>
      <w:r w:rsidRPr="00852BE6">
        <w:t>utility’s</w:t>
      </w:r>
      <w:proofErr w:type="gramEnd"/>
      <w:r w:rsidRPr="00852BE6">
        <w:t xml:space="preserve"> prudently incurred environmental compliance costs are allowed to be recovered through the </w:t>
      </w:r>
      <w:r w:rsidRPr="006E78CE">
        <w:t>ECR</w:t>
      </w:r>
      <w:r w:rsidRPr="00D52FC8">
        <w:t>C.</w:t>
      </w:r>
      <w:r w:rsidRPr="00D52FC8">
        <w:rPr>
          <w:rStyle w:val="FootnoteReference"/>
        </w:rPr>
        <w:footnoteReference w:id="16"/>
      </w:r>
      <w:r w:rsidRPr="00D52FC8">
        <w:t xml:space="preserve"> </w:t>
      </w:r>
      <w:r w:rsidR="00D52FC8" w:rsidRPr="00D52FC8">
        <w:t>Staff notes that its review of the proposed modification to the NPDES Project is based upon the information in the hearing record regarding these specific modifications and whether these modifications independently meet the ECRC criteria and reasonableness tests.</w:t>
      </w:r>
    </w:p>
    <w:p w:rsidR="007E138C" w:rsidRPr="00940BC4" w:rsidRDefault="00940BC4" w:rsidP="00940BC4">
      <w:pPr>
        <w:pStyle w:val="First-LevelSubheading"/>
        <w:tabs>
          <w:tab w:val="left" w:pos="540"/>
        </w:tabs>
        <w:rPr>
          <w:i/>
        </w:rPr>
      </w:pPr>
      <w:r>
        <w:tab/>
      </w:r>
      <w:r w:rsidR="007E138C" w:rsidRPr="00940BC4">
        <w:rPr>
          <w:i/>
        </w:rPr>
        <w:t>Eligibility Criteria Review</w:t>
      </w:r>
    </w:p>
    <w:p w:rsidR="003D2E30" w:rsidRDefault="0073335C" w:rsidP="00940BC4">
      <w:pPr>
        <w:pStyle w:val="BodyText"/>
        <w:spacing w:after="0"/>
      </w:pPr>
      <w:r>
        <w:t xml:space="preserve">As the proposed modification to the NPDES </w:t>
      </w:r>
      <w:r w:rsidR="00520369">
        <w:t>P</w:t>
      </w:r>
      <w:r>
        <w:t>roject was implemented in 2018, it therefore meets the first criterion.</w:t>
      </w:r>
      <w:r w:rsidR="00EA6F24">
        <w:t xml:space="preserve"> </w:t>
      </w:r>
      <w:r w:rsidR="00EA6F24" w:rsidRPr="00704211">
        <w:t xml:space="preserve">FPL witness Deaton states that FPL is not currently seeking recovery of costs associated with the proposed modification to the NPDES </w:t>
      </w:r>
      <w:r w:rsidR="00520369">
        <w:t>P</w:t>
      </w:r>
      <w:r w:rsidR="00EA6F24" w:rsidRPr="00704211">
        <w:t xml:space="preserve">roject, and that the Company plans to recover costs in base capital accounts prior to issuance of the </w:t>
      </w:r>
      <w:r w:rsidR="00B80E37">
        <w:t xml:space="preserve">revised </w:t>
      </w:r>
      <w:r w:rsidR="00B80E37" w:rsidRPr="00B80E37">
        <w:t>permit</w:t>
      </w:r>
      <w:r w:rsidR="00EA6F24" w:rsidRPr="00B80E37">
        <w:t>. (TR 18) The</w:t>
      </w:r>
      <w:r w:rsidR="00EA6F24" w:rsidRPr="00704211">
        <w:t xml:space="preserve"> </w:t>
      </w:r>
      <w:r w:rsidR="00EA6F24" w:rsidRPr="00704211">
        <w:lastRenderedPageBreak/>
        <w:t>Company requests approval to transfer recovery to the ECRC if the anticipated environmental requirement occurs. (TR 18-19</w:t>
      </w:r>
      <w:r w:rsidR="00EA6F24" w:rsidRPr="00221580">
        <w:t xml:space="preserve">) </w:t>
      </w:r>
      <w:r w:rsidR="003D2E30">
        <w:t xml:space="preserve">As such, current base rates are supporting the expenditures associated with the proposed modification to the NPDES Project. </w:t>
      </w:r>
    </w:p>
    <w:p w:rsidR="00C93182" w:rsidRDefault="00C93182" w:rsidP="00940BC4">
      <w:pPr>
        <w:pStyle w:val="BodyText"/>
        <w:spacing w:after="0"/>
      </w:pPr>
    </w:p>
    <w:p w:rsidR="00704211" w:rsidRPr="00AF5FAC" w:rsidRDefault="00B80E37" w:rsidP="00C93182">
      <w:pPr>
        <w:pStyle w:val="BodyText"/>
        <w:spacing w:after="0"/>
      </w:pPr>
      <w:r>
        <w:t>T</w:t>
      </w:r>
      <w:r w:rsidR="0073335C">
        <w:t>he second criterion i</w:t>
      </w:r>
      <w:r w:rsidR="00C61C16">
        <w:t>s dependent upon timing of the U</w:t>
      </w:r>
      <w:r w:rsidR="0073335C">
        <w:t xml:space="preserve">tility’s last rate case and the environmental regulation. </w:t>
      </w:r>
      <w:r>
        <w:t xml:space="preserve">As </w:t>
      </w:r>
      <w:r w:rsidRPr="008D0933">
        <w:t xml:space="preserve">discussed in Issue 10A, </w:t>
      </w:r>
      <w:r w:rsidR="0073335C" w:rsidRPr="008D0933">
        <w:t xml:space="preserve">FPL’s base rates were last established </w:t>
      </w:r>
      <w:r w:rsidR="00221580" w:rsidRPr="008D0933">
        <w:t>by a settlement by Order No. PSC-16-0560-AS</w:t>
      </w:r>
      <w:r w:rsidR="00221580" w:rsidRPr="00221580">
        <w:t>-EI</w:t>
      </w:r>
      <w:r w:rsidR="00BA65F1">
        <w:t>,</w:t>
      </w:r>
      <w:r w:rsidR="003577FE">
        <w:t xml:space="preserve"> issued December 15, 2016</w:t>
      </w:r>
      <w:r w:rsidR="0073335C">
        <w:t>.</w:t>
      </w:r>
      <w:r w:rsidR="0073335C">
        <w:rPr>
          <w:rStyle w:val="FootnoteReference"/>
        </w:rPr>
        <w:footnoteReference w:id="17"/>
      </w:r>
      <w:r>
        <w:t xml:space="preserve"> </w:t>
      </w:r>
      <w:r w:rsidR="00EA5D09">
        <w:t>The Company describes</w:t>
      </w:r>
      <w:r w:rsidR="00D2758D">
        <w:t xml:space="preserve"> repacking activities in 2018 as</w:t>
      </w:r>
      <w:r w:rsidR="00EA5D09">
        <w:t xml:space="preserve"> the modifi</w:t>
      </w:r>
      <w:r w:rsidR="00520369">
        <w:t xml:space="preserve">cation </w:t>
      </w:r>
      <w:r w:rsidR="00D2758D">
        <w:t>to</w:t>
      </w:r>
      <w:r w:rsidR="00520369">
        <w:t xml:space="preserve"> the</w:t>
      </w:r>
      <w:r w:rsidR="00EA5D09">
        <w:t xml:space="preserve"> NPDES </w:t>
      </w:r>
      <w:r w:rsidR="00520369">
        <w:t>P</w:t>
      </w:r>
      <w:r w:rsidR="00EA5D09">
        <w:t>roject to address anticipated permit conditions.</w:t>
      </w:r>
      <w:r w:rsidR="0073335C">
        <w:t xml:space="preserve"> (TR 326; EXH 50</w:t>
      </w:r>
      <w:r w:rsidR="009607DA">
        <w:t>, NPDES Project petition</w:t>
      </w:r>
      <w:r w:rsidR="0073335C">
        <w:t>)</w:t>
      </w:r>
      <w:r w:rsidR="00EA5D09">
        <w:t xml:space="preserve"> FPL</w:t>
      </w:r>
      <w:r w:rsidR="00EA6F24">
        <w:t xml:space="preserve"> witness Deaton specifies that the Company</w:t>
      </w:r>
      <w:r w:rsidR="00EA5D09">
        <w:t xml:space="preserve">’s request is contingent upon </w:t>
      </w:r>
      <w:r w:rsidR="00EA6F24">
        <w:t xml:space="preserve">a possible outcome of a </w:t>
      </w:r>
      <w:r w:rsidR="00EA5D09">
        <w:t xml:space="preserve">future </w:t>
      </w:r>
      <w:r w:rsidR="00EA6F24">
        <w:t>permit</w:t>
      </w:r>
      <w:r w:rsidR="00EA5D09">
        <w:t xml:space="preserve"> </w:t>
      </w:r>
      <w:r w:rsidR="00704211">
        <w:t xml:space="preserve">for </w:t>
      </w:r>
      <w:r w:rsidR="00704211" w:rsidRPr="00AF5FAC">
        <w:t>Scherer.</w:t>
      </w:r>
      <w:r w:rsidR="00EA5D09" w:rsidRPr="00AF5FAC">
        <w:t xml:space="preserve"> (TR </w:t>
      </w:r>
      <w:r w:rsidR="00EA6F24" w:rsidRPr="00AF5FAC">
        <w:t xml:space="preserve">18) </w:t>
      </w:r>
      <w:r w:rsidR="00704211" w:rsidRPr="00AF5FAC">
        <w:t>FPL witness Sole states</w:t>
      </w:r>
      <w:r w:rsidR="00AF5FAC" w:rsidRPr="00AF5FAC">
        <w:t xml:space="preserve"> that there are “indications that there is a probability that there is a concern” regarding copper at Scherer.</w:t>
      </w:r>
      <w:r w:rsidR="00EA6F24" w:rsidRPr="00AF5FAC">
        <w:t xml:space="preserve"> (TR 338)</w:t>
      </w:r>
    </w:p>
    <w:p w:rsidR="00C93182" w:rsidRDefault="00C93182" w:rsidP="00AF5FAC">
      <w:pPr>
        <w:pStyle w:val="BodyText"/>
        <w:spacing w:after="0"/>
        <w:ind w:right="720"/>
      </w:pPr>
    </w:p>
    <w:p w:rsidR="00704211" w:rsidRDefault="00EA6F24" w:rsidP="00C93182">
      <w:pPr>
        <w:pStyle w:val="BodyText"/>
        <w:spacing w:after="0"/>
      </w:pPr>
      <w:r>
        <w:t xml:space="preserve">Based on the record in this docket, </w:t>
      </w:r>
      <w:r w:rsidR="007A1450">
        <w:t xml:space="preserve">staff recommends that </w:t>
      </w:r>
      <w:r>
        <w:t xml:space="preserve">it is premature to approve recovery of the proposed </w:t>
      </w:r>
      <w:r w:rsidR="002346FF">
        <w:t xml:space="preserve">modification to the </w:t>
      </w:r>
      <w:r>
        <w:t xml:space="preserve">NPDES </w:t>
      </w:r>
      <w:r w:rsidR="002346FF">
        <w:t>Project</w:t>
      </w:r>
      <w:r>
        <w:t xml:space="preserve">, as the environmental regulation has not yet been enacted, become effective, or had its effects triggered. Therefore, the </w:t>
      </w:r>
      <w:r w:rsidR="00B80E37">
        <w:t xml:space="preserve">proposed modification to the NPDES </w:t>
      </w:r>
      <w:r w:rsidR="002346FF">
        <w:t>P</w:t>
      </w:r>
      <w:r w:rsidR="00B80E37">
        <w:t>roject fails the second criterion</w:t>
      </w:r>
      <w:r w:rsidR="00C3335B">
        <w:t xml:space="preserve"> at this time</w:t>
      </w:r>
      <w:r w:rsidR="00B80E37">
        <w:t>.</w:t>
      </w:r>
    </w:p>
    <w:p w:rsidR="00C93182" w:rsidRDefault="00C93182" w:rsidP="00C93182">
      <w:pPr>
        <w:pStyle w:val="BodyText"/>
        <w:spacing w:after="0"/>
      </w:pPr>
    </w:p>
    <w:p w:rsidR="00473269" w:rsidRDefault="00473269" w:rsidP="00C93182">
      <w:pPr>
        <w:pStyle w:val="First-LevelSubheading"/>
      </w:pPr>
      <w:r>
        <w:t>Conclusion</w:t>
      </w:r>
    </w:p>
    <w:p w:rsidR="00D901CE" w:rsidRPr="00BE0C73" w:rsidRDefault="00BC4148" w:rsidP="00C93182">
      <w:pPr>
        <w:pStyle w:val="BodyText"/>
        <w:spacing w:after="0"/>
      </w:pPr>
      <w:r>
        <w:t>The proposed modification to the NPDES Project does not meet the threshold requirement of being incurred to comply with environmental regulations as required by Section 366.8255, F.S. Therefore, the Commission should deny recovery of costs through the ECRC at this time.</w:t>
      </w:r>
    </w:p>
    <w:sectPr w:rsidR="00D901CE" w:rsidRPr="00BE0C73"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E43" w:rsidRDefault="00202E43">
      <w:r>
        <w:separator/>
      </w:r>
    </w:p>
  </w:endnote>
  <w:endnote w:type="continuationSeparator" w:id="0">
    <w:p w:rsidR="00202E43" w:rsidRDefault="0020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43" w:rsidRDefault="00202E4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A66D5">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43" w:rsidRDefault="00202E4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A66D5">
      <w:rPr>
        <w:rStyle w:val="PageNumber"/>
        <w:noProof/>
      </w:rPr>
      <w:t>18</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43" w:rsidRDefault="00202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E43" w:rsidRDefault="00202E43">
      <w:r>
        <w:separator/>
      </w:r>
    </w:p>
  </w:footnote>
  <w:footnote w:type="continuationSeparator" w:id="0">
    <w:p w:rsidR="00202E43" w:rsidRDefault="00202E43">
      <w:r>
        <w:continuationSeparator/>
      </w:r>
    </w:p>
  </w:footnote>
  <w:footnote w:id="1">
    <w:p w:rsidR="00202E43" w:rsidRDefault="00202E43" w:rsidP="009572F0">
      <w:pPr>
        <w:pStyle w:val="FootnoteText"/>
      </w:pPr>
      <w:r>
        <w:rPr>
          <w:rStyle w:val="FootnoteReference"/>
        </w:rPr>
        <w:footnoteRef/>
      </w:r>
      <w:proofErr w:type="gramStart"/>
      <w:r>
        <w:t>Order No.</w:t>
      </w:r>
      <w:proofErr w:type="gramEnd"/>
      <w:r>
        <w:t xml:space="preserve"> PSC-2018-0014-FOF-EI, issued January 5, 2018, in Docket No. 20180007-EI, </w:t>
      </w:r>
      <w:r w:rsidRPr="00617009">
        <w:rPr>
          <w:i/>
        </w:rPr>
        <w:t>In re: Environmental cost recovery clause.</w:t>
      </w:r>
    </w:p>
  </w:footnote>
  <w:footnote w:id="2">
    <w:p w:rsidR="00202E43" w:rsidRDefault="00202E43">
      <w:pPr>
        <w:pStyle w:val="FootnoteText"/>
      </w:pPr>
      <w:r>
        <w:rPr>
          <w:rStyle w:val="FootnoteReference"/>
        </w:rPr>
        <w:footnoteRef/>
      </w:r>
      <w:r>
        <w:t>TPCCMP Project costs include $</w:t>
      </w:r>
      <w:r w:rsidRPr="00065E4B">
        <w:t>11,150,044</w:t>
      </w:r>
      <w:r>
        <w:t xml:space="preserve"> for operations and maintenance (O&amp;M) and $</w:t>
      </w:r>
      <w:r w:rsidRPr="00065E4B">
        <w:t>3,042,331</w:t>
      </w:r>
      <w:r>
        <w:t xml:space="preserve"> in recoverable costs for capital investment, for a total of $</w:t>
      </w:r>
      <w:r w:rsidRPr="00065E4B">
        <w:t>14,192,375</w:t>
      </w:r>
      <w:r>
        <w:t>.</w:t>
      </w:r>
    </w:p>
  </w:footnote>
  <w:footnote w:id="3">
    <w:p w:rsidR="00202E43" w:rsidRDefault="00202E43" w:rsidP="00BC1074">
      <w:pPr>
        <w:pStyle w:val="FootnoteText"/>
      </w:pPr>
      <w:r>
        <w:rPr>
          <w:rStyle w:val="FootnoteReference"/>
        </w:rPr>
        <w:footnoteRef/>
      </w:r>
      <w:proofErr w:type="gramStart"/>
      <w:r>
        <w:t>Order No.</w:t>
      </w:r>
      <w:proofErr w:type="gramEnd"/>
      <w:r>
        <w:t xml:space="preserve"> </w:t>
      </w:r>
      <w:r w:rsidRPr="00617009">
        <w:t>PSC-09-0759-FOF-EI</w:t>
      </w:r>
      <w:r>
        <w:t xml:space="preserve">, issued November 18, 2009, in Docket No. 20090007-EI, </w:t>
      </w:r>
      <w:r w:rsidRPr="00617009">
        <w:rPr>
          <w:i/>
        </w:rPr>
        <w:t xml:space="preserve">In re: Environmental cost recovery clause. </w:t>
      </w:r>
    </w:p>
  </w:footnote>
  <w:footnote w:id="4">
    <w:p w:rsidR="00202E43" w:rsidRDefault="00202E43" w:rsidP="009572F0">
      <w:pPr>
        <w:pStyle w:val="FootnoteText"/>
      </w:pPr>
      <w:r>
        <w:rPr>
          <w:rStyle w:val="FootnoteReference"/>
        </w:rPr>
        <w:footnoteRef/>
      </w:r>
      <w:proofErr w:type="gramStart"/>
      <w:r>
        <w:t>Order No.</w:t>
      </w:r>
      <w:proofErr w:type="gramEnd"/>
      <w:r>
        <w:t xml:space="preserve"> PSC-2018-0014-FOF-EI, issued January 5, 2018, in Docket No. 20180007-EI, </w:t>
      </w:r>
      <w:r w:rsidRPr="00617009">
        <w:rPr>
          <w:i/>
        </w:rPr>
        <w:t>In re: Environmental cost recovery clause.</w:t>
      </w:r>
    </w:p>
  </w:footnote>
  <w:footnote w:id="5">
    <w:p w:rsidR="00202E43" w:rsidRDefault="00202E43">
      <w:pPr>
        <w:pStyle w:val="FootnoteText"/>
      </w:pPr>
      <w:r>
        <w:rPr>
          <w:rStyle w:val="FootnoteReference"/>
        </w:rPr>
        <w:footnoteRef/>
      </w:r>
      <w:r>
        <w:t>TPCCMP Project costs include $</w:t>
      </w:r>
      <w:r w:rsidRPr="00E96D76">
        <w:t>28,268,375</w:t>
      </w:r>
      <w:r>
        <w:t xml:space="preserve"> for O&amp;M and $</w:t>
      </w:r>
      <w:r w:rsidRPr="00E96D76">
        <w:t>4,504,185</w:t>
      </w:r>
      <w:r>
        <w:t xml:space="preserve"> in recoverable costs for capital investment, for a total of $</w:t>
      </w:r>
      <w:r w:rsidRPr="00E96D76">
        <w:t>32,772,560</w:t>
      </w:r>
      <w:r>
        <w:t>.</w:t>
      </w:r>
    </w:p>
  </w:footnote>
  <w:footnote w:id="6">
    <w:p w:rsidR="00202E43" w:rsidRDefault="00202E43">
      <w:pPr>
        <w:pStyle w:val="FootnoteText"/>
      </w:pPr>
      <w:r>
        <w:rPr>
          <w:rStyle w:val="FootnoteReference"/>
        </w:rPr>
        <w:footnoteRef/>
      </w:r>
      <w:r>
        <w:t>TPCCMP Project costs include $</w:t>
      </w:r>
      <w:r w:rsidRPr="00E96D76">
        <w:t>17,735,378</w:t>
      </w:r>
      <w:r>
        <w:t xml:space="preserve"> for O&amp;M and $</w:t>
      </w:r>
      <w:r w:rsidRPr="00E96D76">
        <w:t>6,534,008</w:t>
      </w:r>
      <w:r>
        <w:t xml:space="preserve"> in recoverable costs for capital investment, for a total of $</w:t>
      </w:r>
      <w:r w:rsidRPr="00E96D76">
        <w:t>24,269,386</w:t>
      </w:r>
      <w:r>
        <w:t>.</w:t>
      </w:r>
    </w:p>
  </w:footnote>
  <w:footnote w:id="7">
    <w:p w:rsidR="00202E43" w:rsidRDefault="00202E43">
      <w:pPr>
        <w:pStyle w:val="FootnoteText"/>
      </w:pPr>
      <w:r>
        <w:rPr>
          <w:rStyle w:val="FootnoteReference"/>
        </w:rPr>
        <w:footnoteRef/>
      </w:r>
      <w:r>
        <w:t>TPCCMP Project costs include $</w:t>
      </w:r>
      <w:r w:rsidRPr="00E96D76">
        <w:t>57,153,797</w:t>
      </w:r>
      <w:r>
        <w:t xml:space="preserve"> for O&amp;M and $</w:t>
      </w:r>
      <w:r w:rsidRPr="00E96D76">
        <w:t>14,080,524</w:t>
      </w:r>
      <w:r>
        <w:t xml:space="preserve"> in recoverable costs for capital investment, for a total of $</w:t>
      </w:r>
      <w:r w:rsidRPr="00E96D76">
        <w:t>71,234,321</w:t>
      </w:r>
      <w:r>
        <w:t>.</w:t>
      </w:r>
    </w:p>
  </w:footnote>
  <w:footnote w:id="8">
    <w:p w:rsidR="00202E43" w:rsidRDefault="00202E43" w:rsidP="001D4D28">
      <w:pPr>
        <w:pStyle w:val="FootnoteText"/>
      </w:pPr>
      <w:r>
        <w:rPr>
          <w:rStyle w:val="FootnoteReference"/>
        </w:rPr>
        <w:footnoteRef/>
      </w:r>
      <w:proofErr w:type="gramStart"/>
      <w:r>
        <w:t>Order No.</w:t>
      </w:r>
      <w:proofErr w:type="gramEnd"/>
      <w:r>
        <w:t xml:space="preserve"> </w:t>
      </w:r>
      <w:r w:rsidRPr="00617009">
        <w:t>PSC-09-0759-FOF-EI</w:t>
      </w:r>
      <w:r>
        <w:t xml:space="preserve">, issued November 18, 2009, in Docket No. 20090007-EI, </w:t>
      </w:r>
      <w:r w:rsidRPr="00617009">
        <w:rPr>
          <w:i/>
        </w:rPr>
        <w:t xml:space="preserve">In re: Environmental cost recovery clause. </w:t>
      </w:r>
    </w:p>
  </w:footnote>
  <w:footnote w:id="9">
    <w:p w:rsidR="00202E43" w:rsidRPr="001D4D28" w:rsidRDefault="00202E43" w:rsidP="001D4D28">
      <w:pPr>
        <w:pStyle w:val="FootnoteText"/>
      </w:pPr>
      <w:r>
        <w:rPr>
          <w:rStyle w:val="FootnoteReference"/>
        </w:rPr>
        <w:footnoteRef/>
      </w:r>
      <w:proofErr w:type="gramStart"/>
      <w:r>
        <w:t>Order No.</w:t>
      </w:r>
      <w:proofErr w:type="gramEnd"/>
      <w:r>
        <w:t xml:space="preserve"> PSC-</w:t>
      </w:r>
      <w:r w:rsidRPr="001D4D28">
        <w:t>12-0613</w:t>
      </w:r>
      <w:r>
        <w:t xml:space="preserve">-FOF-EI, issued November 16, 2012, in Docket No. 20120007-EI, </w:t>
      </w:r>
      <w:r w:rsidRPr="00617009">
        <w:rPr>
          <w:i/>
        </w:rPr>
        <w:t>In re: Environmental cost recovery clause</w:t>
      </w:r>
      <w:r>
        <w:rPr>
          <w:i/>
        </w:rPr>
        <w:t>.</w:t>
      </w:r>
      <w:r>
        <w:t xml:space="preserve"> </w:t>
      </w:r>
      <w:proofErr w:type="gramStart"/>
      <w:r>
        <w:t>and</w:t>
      </w:r>
      <w:proofErr w:type="gramEnd"/>
      <w:r>
        <w:t xml:space="preserve"> Order No. PSC-</w:t>
      </w:r>
      <w:r w:rsidRPr="001D4D28">
        <w:t>2018-0014</w:t>
      </w:r>
      <w:r>
        <w:t xml:space="preserve">-FOF-EI, issued January 5, 2018, in Docket No. 20180007, </w:t>
      </w:r>
      <w:r w:rsidRPr="00617009">
        <w:rPr>
          <w:i/>
        </w:rPr>
        <w:t>In re: Environmental cost recovery clause</w:t>
      </w:r>
      <w:r>
        <w:rPr>
          <w:i/>
        </w:rPr>
        <w:t>.</w:t>
      </w:r>
    </w:p>
  </w:footnote>
  <w:footnote w:id="10">
    <w:p w:rsidR="00202E43" w:rsidRPr="00742804" w:rsidRDefault="00202E43" w:rsidP="00F54F97">
      <w:pPr>
        <w:pStyle w:val="FootnoteText"/>
        <w:rPr>
          <w:i/>
        </w:rPr>
      </w:pPr>
      <w:r>
        <w:rPr>
          <w:rStyle w:val="FootnoteReference"/>
        </w:rPr>
        <w:footnoteRef/>
      </w:r>
      <w:proofErr w:type="gramStart"/>
      <w:r>
        <w:t>Order No.</w:t>
      </w:r>
      <w:proofErr w:type="gramEnd"/>
      <w:r>
        <w:t xml:space="preserve"> PSC-94-0044-FOF-EI, issued January 12, </w:t>
      </w:r>
      <w:r w:rsidRPr="009679F3">
        <w:t xml:space="preserve">1994, in Docket No. </w:t>
      </w:r>
      <w:r>
        <w:t>19</w:t>
      </w:r>
      <w:r w:rsidRPr="009679F3">
        <w:t xml:space="preserve">930613-EI, </w:t>
      </w:r>
      <w:r w:rsidRPr="00742804">
        <w:rPr>
          <w:i/>
        </w:rPr>
        <w:t>In re: Petition to establish an environmental cost recovery clause pursuant to Sec</w:t>
      </w:r>
      <w:r>
        <w:rPr>
          <w:i/>
        </w:rPr>
        <w:t>tion 366.8255, Florida Statutes, by Gulf Power Company.</w:t>
      </w:r>
    </w:p>
  </w:footnote>
  <w:footnote w:id="11">
    <w:p w:rsidR="00202E43" w:rsidRPr="001856C0" w:rsidRDefault="00202E43" w:rsidP="00500678">
      <w:pPr>
        <w:jc w:val="both"/>
        <w:rPr>
          <w:i/>
          <w:color w:val="252525"/>
          <w:sz w:val="20"/>
          <w:szCs w:val="20"/>
        </w:rPr>
      </w:pPr>
      <w:r w:rsidRPr="009679F3">
        <w:rPr>
          <w:rStyle w:val="FootnoteReference"/>
        </w:rPr>
        <w:footnoteRef/>
      </w:r>
      <w:proofErr w:type="gramStart"/>
      <w:r w:rsidRPr="009679F3">
        <w:rPr>
          <w:sz w:val="20"/>
          <w:szCs w:val="20"/>
        </w:rPr>
        <w:t>Order No.</w:t>
      </w:r>
      <w:proofErr w:type="gramEnd"/>
      <w:r w:rsidRPr="009679F3">
        <w:rPr>
          <w:color w:val="212121"/>
          <w:sz w:val="20"/>
          <w:szCs w:val="20"/>
        </w:rPr>
        <w:t xml:space="preserve"> PSC-05-0164-PAA-EI, issued on February 10, 2005</w:t>
      </w:r>
      <w:r w:rsidRPr="00346146">
        <w:rPr>
          <w:color w:val="212121"/>
          <w:sz w:val="20"/>
          <w:szCs w:val="20"/>
        </w:rPr>
        <w:t xml:space="preserve">, in </w:t>
      </w:r>
      <w:r w:rsidRPr="00E22822">
        <w:rPr>
          <w:color w:val="212121"/>
          <w:sz w:val="20"/>
          <w:szCs w:val="20"/>
        </w:rPr>
        <w:t xml:space="preserve">Docket No. </w:t>
      </w:r>
      <w:r>
        <w:rPr>
          <w:color w:val="212121"/>
          <w:sz w:val="20"/>
          <w:szCs w:val="20"/>
        </w:rPr>
        <w:t>20</w:t>
      </w:r>
      <w:r w:rsidRPr="00E22822">
        <w:rPr>
          <w:color w:val="212121"/>
          <w:sz w:val="20"/>
          <w:szCs w:val="20"/>
        </w:rPr>
        <w:t>041300-EI</w:t>
      </w:r>
      <w:r w:rsidRPr="00346146">
        <w:rPr>
          <w:color w:val="212121"/>
          <w:sz w:val="20"/>
          <w:szCs w:val="20"/>
        </w:rPr>
        <w:t>,</w:t>
      </w:r>
      <w:r w:rsidRPr="00346146">
        <w:rPr>
          <w:i/>
          <w:color w:val="212121"/>
          <w:sz w:val="20"/>
          <w:szCs w:val="20"/>
        </w:rPr>
        <w:t xml:space="preserve"> </w:t>
      </w:r>
      <w:r w:rsidRPr="00E22822">
        <w:rPr>
          <w:i/>
          <w:color w:val="252525"/>
          <w:sz w:val="20"/>
          <w:szCs w:val="20"/>
        </w:rPr>
        <w:t xml:space="preserve">In </w:t>
      </w:r>
      <w:r>
        <w:rPr>
          <w:i/>
          <w:color w:val="252525"/>
          <w:sz w:val="20"/>
          <w:szCs w:val="20"/>
        </w:rPr>
        <w:t>r</w:t>
      </w:r>
      <w:r w:rsidRPr="00E22822">
        <w:rPr>
          <w:i/>
          <w:color w:val="252525"/>
          <w:sz w:val="20"/>
          <w:szCs w:val="20"/>
        </w:rPr>
        <w:t xml:space="preserve">e: Petition for Approval of New Environmental Program for Cost Recovery </w:t>
      </w:r>
      <w:proofErr w:type="gramStart"/>
      <w:r w:rsidRPr="00E22822">
        <w:rPr>
          <w:i/>
          <w:color w:val="252525"/>
          <w:sz w:val="20"/>
          <w:szCs w:val="20"/>
        </w:rPr>
        <w:t>Through</w:t>
      </w:r>
      <w:proofErr w:type="gramEnd"/>
      <w:r w:rsidRPr="00E22822">
        <w:rPr>
          <w:i/>
          <w:color w:val="252525"/>
          <w:sz w:val="20"/>
          <w:szCs w:val="20"/>
        </w:rPr>
        <w:t xml:space="preserve"> Environmental Cost Recovery Clause, by Tampa Electric Company.</w:t>
      </w:r>
    </w:p>
  </w:footnote>
  <w:footnote w:id="12">
    <w:p w:rsidR="00202E43" w:rsidRDefault="00202E43" w:rsidP="00335E3E">
      <w:pPr>
        <w:pStyle w:val="FootnoteText"/>
      </w:pPr>
      <w:r>
        <w:rPr>
          <w:rStyle w:val="FootnoteReference"/>
        </w:rPr>
        <w:footnoteRef/>
      </w:r>
      <w:proofErr w:type="gramStart"/>
      <w:r>
        <w:t>Order No.</w:t>
      </w:r>
      <w:proofErr w:type="gramEnd"/>
      <w:r>
        <w:t xml:space="preserve"> PSC-16-0560-AS-EI, issued December 15, 2016, in Docket No. 20160021-EI, </w:t>
      </w:r>
      <w:r w:rsidRPr="00A9005E">
        <w:rPr>
          <w:i/>
        </w:rPr>
        <w:t>In re: Petition for rate increase by Florida Power &amp; Light Company.</w:t>
      </w:r>
    </w:p>
  </w:footnote>
  <w:footnote w:id="13">
    <w:p w:rsidR="00202E43" w:rsidRDefault="00202E43">
      <w:pPr>
        <w:pStyle w:val="FootnoteText"/>
      </w:pPr>
      <w:r>
        <w:rPr>
          <w:rStyle w:val="FootnoteReference"/>
        </w:rPr>
        <w:footnoteRef/>
      </w:r>
      <w:proofErr w:type="gramStart"/>
      <w:r>
        <w:t>Order No.</w:t>
      </w:r>
      <w:proofErr w:type="gramEnd"/>
      <w:r>
        <w:t xml:space="preserve"> PSC-11-0553-FOF-EI, issued December 7, 2011, in Docket No. 20110007-EI, </w:t>
      </w:r>
      <w:r w:rsidRPr="00617009">
        <w:rPr>
          <w:i/>
        </w:rPr>
        <w:t>In re: Environmental cost recovery clause.</w:t>
      </w:r>
    </w:p>
  </w:footnote>
  <w:footnote w:id="14">
    <w:p w:rsidR="00202E43" w:rsidRDefault="00202E43">
      <w:pPr>
        <w:pStyle w:val="FootnoteText"/>
      </w:pPr>
      <w:r>
        <w:rPr>
          <w:rStyle w:val="FootnoteReference"/>
        </w:rPr>
        <w:footnoteRef/>
      </w:r>
      <w:proofErr w:type="gramStart"/>
      <w:r>
        <w:t>Order No.</w:t>
      </w:r>
      <w:proofErr w:type="gramEnd"/>
      <w:r>
        <w:t xml:space="preserve"> PSC-</w:t>
      </w:r>
      <w:r w:rsidRPr="001D4D28">
        <w:t>12-0613</w:t>
      </w:r>
      <w:r>
        <w:t xml:space="preserve">-FOF-EI, issued November 16, 2012, in Docket No. 20120007-EI, </w:t>
      </w:r>
      <w:r w:rsidRPr="00617009">
        <w:rPr>
          <w:i/>
        </w:rPr>
        <w:t>In re: Environmental cost recovery clause</w:t>
      </w:r>
      <w:r>
        <w:rPr>
          <w:i/>
        </w:rPr>
        <w:t>.</w:t>
      </w:r>
    </w:p>
  </w:footnote>
  <w:footnote w:id="15">
    <w:p w:rsidR="00202E43" w:rsidRPr="00742804" w:rsidRDefault="00202E43" w:rsidP="007E138C">
      <w:pPr>
        <w:pStyle w:val="FootnoteText"/>
        <w:rPr>
          <w:i/>
        </w:rPr>
      </w:pPr>
      <w:r>
        <w:rPr>
          <w:rStyle w:val="FootnoteReference"/>
        </w:rPr>
        <w:footnoteRef/>
      </w:r>
      <w:proofErr w:type="gramStart"/>
      <w:r>
        <w:t>Order No.</w:t>
      </w:r>
      <w:proofErr w:type="gramEnd"/>
      <w:r>
        <w:t xml:space="preserve"> PSC-94-0044-FOF-EI, issued January 12, </w:t>
      </w:r>
      <w:r w:rsidRPr="009679F3">
        <w:t xml:space="preserve">1994, in Docket No. </w:t>
      </w:r>
      <w:r>
        <w:t>19</w:t>
      </w:r>
      <w:r w:rsidRPr="009679F3">
        <w:t xml:space="preserve">930613-EI, </w:t>
      </w:r>
      <w:r w:rsidRPr="00742804">
        <w:rPr>
          <w:i/>
        </w:rPr>
        <w:t>In re: Petition to establish an environmental cost recovery clause pursuant to Sec</w:t>
      </w:r>
      <w:r>
        <w:rPr>
          <w:i/>
        </w:rPr>
        <w:t>tion 366.8255, Florida Statutes, by Gulf Power Company.</w:t>
      </w:r>
    </w:p>
  </w:footnote>
  <w:footnote w:id="16">
    <w:p w:rsidR="00202E43" w:rsidRPr="001856C0" w:rsidRDefault="00202E43" w:rsidP="007E138C">
      <w:pPr>
        <w:jc w:val="both"/>
        <w:rPr>
          <w:i/>
          <w:color w:val="252525"/>
          <w:sz w:val="20"/>
          <w:szCs w:val="20"/>
        </w:rPr>
      </w:pPr>
      <w:r w:rsidRPr="009679F3">
        <w:rPr>
          <w:rStyle w:val="FootnoteReference"/>
        </w:rPr>
        <w:footnoteRef/>
      </w:r>
      <w:proofErr w:type="gramStart"/>
      <w:r w:rsidRPr="009679F3">
        <w:rPr>
          <w:sz w:val="20"/>
          <w:szCs w:val="20"/>
        </w:rPr>
        <w:t>Order No.</w:t>
      </w:r>
      <w:proofErr w:type="gramEnd"/>
      <w:r w:rsidRPr="009679F3">
        <w:rPr>
          <w:color w:val="212121"/>
          <w:sz w:val="20"/>
          <w:szCs w:val="20"/>
        </w:rPr>
        <w:t xml:space="preserve"> PSC-05-0164-PAA-EI, issued on February 10, 2005</w:t>
      </w:r>
      <w:r w:rsidRPr="00346146">
        <w:rPr>
          <w:color w:val="212121"/>
          <w:sz w:val="20"/>
          <w:szCs w:val="20"/>
        </w:rPr>
        <w:t xml:space="preserve">, in </w:t>
      </w:r>
      <w:r w:rsidRPr="00E22822">
        <w:rPr>
          <w:color w:val="212121"/>
          <w:sz w:val="20"/>
          <w:szCs w:val="20"/>
        </w:rPr>
        <w:t xml:space="preserve">Docket No. </w:t>
      </w:r>
      <w:r>
        <w:rPr>
          <w:color w:val="212121"/>
          <w:sz w:val="20"/>
          <w:szCs w:val="20"/>
        </w:rPr>
        <w:t>20</w:t>
      </w:r>
      <w:r w:rsidRPr="00E22822">
        <w:rPr>
          <w:color w:val="212121"/>
          <w:sz w:val="20"/>
          <w:szCs w:val="20"/>
        </w:rPr>
        <w:t>041300-EI</w:t>
      </w:r>
      <w:r w:rsidRPr="00346146">
        <w:rPr>
          <w:color w:val="212121"/>
          <w:sz w:val="20"/>
          <w:szCs w:val="20"/>
        </w:rPr>
        <w:t>,</w:t>
      </w:r>
      <w:r w:rsidRPr="00346146">
        <w:rPr>
          <w:i/>
          <w:color w:val="212121"/>
          <w:sz w:val="20"/>
          <w:szCs w:val="20"/>
        </w:rPr>
        <w:t xml:space="preserve"> </w:t>
      </w:r>
      <w:r w:rsidRPr="00E22822">
        <w:rPr>
          <w:i/>
          <w:color w:val="252525"/>
          <w:sz w:val="20"/>
          <w:szCs w:val="20"/>
        </w:rPr>
        <w:t xml:space="preserve">In </w:t>
      </w:r>
      <w:r>
        <w:rPr>
          <w:i/>
          <w:color w:val="252525"/>
          <w:sz w:val="20"/>
          <w:szCs w:val="20"/>
        </w:rPr>
        <w:t>r</w:t>
      </w:r>
      <w:r w:rsidRPr="00E22822">
        <w:rPr>
          <w:i/>
          <w:color w:val="252525"/>
          <w:sz w:val="20"/>
          <w:szCs w:val="20"/>
        </w:rPr>
        <w:t xml:space="preserve">e: Petition for Approval of New Environmental Program for Cost Recovery </w:t>
      </w:r>
      <w:proofErr w:type="gramStart"/>
      <w:r w:rsidRPr="00E22822">
        <w:rPr>
          <w:i/>
          <w:color w:val="252525"/>
          <w:sz w:val="20"/>
          <w:szCs w:val="20"/>
        </w:rPr>
        <w:t>Through</w:t>
      </w:r>
      <w:proofErr w:type="gramEnd"/>
      <w:r w:rsidRPr="00E22822">
        <w:rPr>
          <w:i/>
          <w:color w:val="252525"/>
          <w:sz w:val="20"/>
          <w:szCs w:val="20"/>
        </w:rPr>
        <w:t xml:space="preserve"> Environmental Cost Recovery Clause, by Tampa Electric Company.</w:t>
      </w:r>
    </w:p>
  </w:footnote>
  <w:footnote w:id="17">
    <w:p w:rsidR="00202E43" w:rsidRDefault="00202E43" w:rsidP="0073335C">
      <w:pPr>
        <w:pStyle w:val="FootnoteText"/>
      </w:pPr>
      <w:r>
        <w:rPr>
          <w:rStyle w:val="FootnoteReference"/>
        </w:rPr>
        <w:footnoteRef/>
      </w:r>
      <w:proofErr w:type="gramStart"/>
      <w:r>
        <w:t>Order No.</w:t>
      </w:r>
      <w:proofErr w:type="gramEnd"/>
      <w:r>
        <w:t xml:space="preserve"> PSC-16-0560-AS-EI, issued December 15, 2016, in Docket No. 20160021-EI, </w:t>
      </w:r>
      <w:r w:rsidRPr="00A9005E">
        <w:rPr>
          <w:i/>
        </w:rPr>
        <w:t>In re: Petition for rate increase by Florida Power &amp; Light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43" w:rsidRDefault="00202E43"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20180007-EI</w:t>
    </w:r>
    <w:bookmarkEnd w:id="14"/>
  </w:p>
  <w:p w:rsidR="00202E43" w:rsidRDefault="00202E43">
    <w:pPr>
      <w:pStyle w:val="Header"/>
    </w:pPr>
    <w:r>
      <w:t xml:space="preserve">Date: </w:t>
    </w:r>
    <w:r w:rsidR="007E3D49">
      <w:fldChar w:fldCharType="begin"/>
    </w:r>
    <w:r w:rsidR="007E3D49">
      <w:instrText xml:space="preserve"> REF FilingDate </w:instrText>
    </w:r>
    <w:r w:rsidR="007E3D49">
      <w:fldChar w:fldCharType="separate"/>
    </w:r>
    <w:r w:rsidR="001A5B02">
      <w:t>November 29, 2018</w:t>
    </w:r>
    <w:r w:rsidR="007E3D4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43" w:rsidRDefault="00202E43" w:rsidP="00220732">
    <w:pPr>
      <w:pStyle w:val="Header"/>
      <w:tabs>
        <w:tab w:val="clear" w:pos="4320"/>
        <w:tab w:val="clear" w:pos="8640"/>
        <w:tab w:val="right" w:pos="9360"/>
      </w:tabs>
    </w:pPr>
    <w:r>
      <w:fldChar w:fldCharType="begin"/>
    </w:r>
    <w:r>
      <w:instrText xml:space="preserve"> REF DocketLabel</w:instrText>
    </w:r>
    <w:r>
      <w:fldChar w:fldCharType="separate"/>
    </w:r>
    <w:r w:rsidR="001A5B02">
      <w:t>Docket No.</w:t>
    </w:r>
    <w:r>
      <w:fldChar w:fldCharType="end"/>
    </w:r>
    <w:r>
      <w:t xml:space="preserve"> </w:t>
    </w:r>
    <w:r>
      <w:fldChar w:fldCharType="begin"/>
    </w:r>
    <w:r>
      <w:instrText xml:space="preserve"> REF DocketList</w:instrText>
    </w:r>
    <w:r>
      <w:fldChar w:fldCharType="separate"/>
    </w:r>
    <w:r w:rsidR="001A5B02">
      <w:t>20180007-EI</w:t>
    </w:r>
    <w:r>
      <w:fldChar w:fldCharType="end"/>
    </w:r>
    <w:r>
      <w:tab/>
      <w:t xml:space="preserve">Issue </w:t>
    </w:r>
    <w:r w:rsidR="007E3D49">
      <w:fldChar w:fldCharType="begin"/>
    </w:r>
    <w:r w:rsidR="007E3D49">
      <w:instrText xml:space="preserve"> Seq Issue \c \* Arabic </w:instrText>
    </w:r>
    <w:r w:rsidR="007E3D49">
      <w:fldChar w:fldCharType="separate"/>
    </w:r>
    <w:r w:rsidR="004A66D5">
      <w:rPr>
        <w:noProof/>
      </w:rPr>
      <w:t>4</w:t>
    </w:r>
    <w:r w:rsidR="007E3D49">
      <w:rPr>
        <w:noProof/>
      </w:rPr>
      <w:fldChar w:fldCharType="end"/>
    </w:r>
  </w:p>
  <w:p w:rsidR="00202E43" w:rsidRDefault="00202E43">
    <w:pPr>
      <w:pStyle w:val="Header"/>
    </w:pPr>
    <w:r>
      <w:t xml:space="preserve">Date: </w:t>
    </w:r>
    <w:r w:rsidR="007E3D49">
      <w:fldChar w:fldCharType="begin"/>
    </w:r>
    <w:r w:rsidR="007E3D49">
      <w:instrText xml:space="preserve"> REF FilingDate </w:instrText>
    </w:r>
    <w:r w:rsidR="007E3D49">
      <w:fldChar w:fldCharType="separate"/>
    </w:r>
    <w:r w:rsidR="001A5B02">
      <w:t>November 29, 2018</w:t>
    </w:r>
    <w:r w:rsidR="007E3D4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43" w:rsidRDefault="00202E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43" w:rsidRDefault="00202E43" w:rsidP="00220732">
    <w:pPr>
      <w:pStyle w:val="Header"/>
      <w:tabs>
        <w:tab w:val="clear" w:pos="4320"/>
        <w:tab w:val="clear" w:pos="8640"/>
        <w:tab w:val="right" w:pos="9360"/>
      </w:tabs>
    </w:pPr>
    <w:r>
      <w:fldChar w:fldCharType="begin"/>
    </w:r>
    <w:r>
      <w:instrText xml:space="preserve"> REF DocketLabel</w:instrText>
    </w:r>
    <w:r>
      <w:fldChar w:fldCharType="separate"/>
    </w:r>
    <w:r w:rsidR="001A5B02">
      <w:t>Docket No.</w:t>
    </w:r>
    <w:r>
      <w:fldChar w:fldCharType="end"/>
    </w:r>
    <w:r>
      <w:t xml:space="preserve"> </w:t>
    </w:r>
    <w:r>
      <w:fldChar w:fldCharType="begin"/>
    </w:r>
    <w:r>
      <w:instrText xml:space="preserve"> REF DocketList</w:instrText>
    </w:r>
    <w:r>
      <w:fldChar w:fldCharType="separate"/>
    </w:r>
    <w:r w:rsidR="001A5B02">
      <w:t>20180007-EI</w:t>
    </w:r>
    <w:r>
      <w:fldChar w:fldCharType="end"/>
    </w:r>
    <w:r>
      <w:tab/>
      <w:t xml:space="preserve">Issue </w:t>
    </w:r>
    <w:r w:rsidR="007E3D49">
      <w:fldChar w:fldCharType="begin"/>
    </w:r>
    <w:r w:rsidR="007E3D49">
      <w:instrText xml:space="preserve"> Seq Issue \c \* Arabic </w:instrText>
    </w:r>
    <w:r w:rsidR="007E3D49">
      <w:fldChar w:fldCharType="separate"/>
    </w:r>
    <w:r w:rsidR="004A66D5">
      <w:rPr>
        <w:noProof/>
      </w:rPr>
      <w:t>7</w:t>
    </w:r>
    <w:r w:rsidR="007E3D49">
      <w:rPr>
        <w:noProof/>
      </w:rPr>
      <w:fldChar w:fldCharType="end"/>
    </w:r>
  </w:p>
  <w:p w:rsidR="00202E43" w:rsidRDefault="00202E43">
    <w:pPr>
      <w:pStyle w:val="Header"/>
    </w:pPr>
    <w:r>
      <w:t xml:space="preserve">Date: </w:t>
    </w:r>
    <w:r w:rsidR="007E3D49">
      <w:fldChar w:fldCharType="begin"/>
    </w:r>
    <w:r w:rsidR="007E3D49">
      <w:instrText xml:space="preserve"> REF FilingDate </w:instrText>
    </w:r>
    <w:r w:rsidR="007E3D49">
      <w:fldChar w:fldCharType="separate"/>
    </w:r>
    <w:r w:rsidR="001A5B02">
      <w:t>November 29, 2018</w:t>
    </w:r>
    <w:r w:rsidR="007E3D4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43" w:rsidRDefault="00202E43" w:rsidP="00220732">
    <w:pPr>
      <w:pStyle w:val="Header"/>
      <w:tabs>
        <w:tab w:val="clear" w:pos="4320"/>
        <w:tab w:val="clear" w:pos="8640"/>
        <w:tab w:val="right" w:pos="9360"/>
      </w:tabs>
    </w:pPr>
    <w:r>
      <w:fldChar w:fldCharType="begin"/>
    </w:r>
    <w:r>
      <w:instrText xml:space="preserve"> REF DocketLabel</w:instrText>
    </w:r>
    <w:r>
      <w:fldChar w:fldCharType="separate"/>
    </w:r>
    <w:r w:rsidR="001A5B02">
      <w:t>Docket No.</w:t>
    </w:r>
    <w:r>
      <w:fldChar w:fldCharType="end"/>
    </w:r>
    <w:r>
      <w:t xml:space="preserve"> </w:t>
    </w:r>
    <w:r>
      <w:fldChar w:fldCharType="begin"/>
    </w:r>
    <w:r>
      <w:instrText xml:space="preserve"> REF DocketList</w:instrText>
    </w:r>
    <w:r>
      <w:fldChar w:fldCharType="separate"/>
    </w:r>
    <w:r w:rsidR="001A5B02">
      <w:t>20180007-EI</w:t>
    </w:r>
    <w:r>
      <w:fldChar w:fldCharType="end"/>
    </w:r>
    <w:r>
      <w:tab/>
      <w:t xml:space="preserve">Issue </w:t>
    </w:r>
    <w:r w:rsidR="007E3D49">
      <w:fldChar w:fldCharType="begin"/>
    </w:r>
    <w:r w:rsidR="007E3D49">
      <w:instrText xml:space="preserve"> Seq Issue \c \* Arabic </w:instrText>
    </w:r>
    <w:r w:rsidR="007E3D49">
      <w:fldChar w:fldCharType="separate"/>
    </w:r>
    <w:r w:rsidR="004A66D5">
      <w:rPr>
        <w:noProof/>
      </w:rPr>
      <w:t>10</w:t>
    </w:r>
    <w:r w:rsidR="007E3D49">
      <w:rPr>
        <w:noProof/>
      </w:rPr>
      <w:fldChar w:fldCharType="end"/>
    </w:r>
    <w:r>
      <w:rPr>
        <w:noProof/>
      </w:rPr>
      <w:t>A</w:t>
    </w:r>
  </w:p>
  <w:p w:rsidR="00202E43" w:rsidRDefault="00202E43">
    <w:pPr>
      <w:pStyle w:val="Header"/>
    </w:pPr>
    <w:r>
      <w:t xml:space="preserve">Date: </w:t>
    </w:r>
    <w:r w:rsidR="007E3D49">
      <w:fldChar w:fldCharType="begin"/>
    </w:r>
    <w:r w:rsidR="007E3D49">
      <w:instrText xml:space="preserve"> REF FilingDate </w:instrText>
    </w:r>
    <w:r w:rsidR="007E3D49">
      <w:fldChar w:fldCharType="separate"/>
    </w:r>
    <w:r w:rsidR="001A5B02">
      <w:t>November 29, 2018</w:t>
    </w:r>
    <w:r w:rsidR="007E3D49">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43" w:rsidRDefault="00202E43" w:rsidP="00220732">
    <w:pPr>
      <w:pStyle w:val="Header"/>
      <w:tabs>
        <w:tab w:val="clear" w:pos="4320"/>
        <w:tab w:val="clear" w:pos="8640"/>
        <w:tab w:val="right" w:pos="9360"/>
      </w:tabs>
    </w:pPr>
    <w:r>
      <w:fldChar w:fldCharType="begin"/>
    </w:r>
    <w:r>
      <w:instrText xml:space="preserve"> REF DocketLabel</w:instrText>
    </w:r>
    <w:r>
      <w:fldChar w:fldCharType="separate"/>
    </w:r>
    <w:r w:rsidR="001A5B02">
      <w:t>Docket No.</w:t>
    </w:r>
    <w:r>
      <w:fldChar w:fldCharType="end"/>
    </w:r>
    <w:r>
      <w:t xml:space="preserve"> </w:t>
    </w:r>
    <w:r>
      <w:fldChar w:fldCharType="begin"/>
    </w:r>
    <w:r>
      <w:instrText xml:space="preserve"> REF DocketList</w:instrText>
    </w:r>
    <w:r>
      <w:fldChar w:fldCharType="separate"/>
    </w:r>
    <w:r w:rsidR="001A5B02">
      <w:t>20180007-EI</w:t>
    </w:r>
    <w:r>
      <w:fldChar w:fldCharType="end"/>
    </w:r>
    <w:r>
      <w:tab/>
      <w:t xml:space="preserve">Issue </w:t>
    </w:r>
    <w:r w:rsidR="007E3D49">
      <w:fldChar w:fldCharType="begin"/>
    </w:r>
    <w:r w:rsidR="007E3D49">
      <w:instrText xml:space="preserve"> Seq Issue \c \* Arabic </w:instrText>
    </w:r>
    <w:r w:rsidR="007E3D49">
      <w:fldChar w:fldCharType="separate"/>
    </w:r>
    <w:r w:rsidR="004A66D5">
      <w:rPr>
        <w:noProof/>
      </w:rPr>
      <w:t>10</w:t>
    </w:r>
    <w:r w:rsidR="007E3D49">
      <w:rPr>
        <w:noProof/>
      </w:rPr>
      <w:fldChar w:fldCharType="end"/>
    </w:r>
    <w:r>
      <w:rPr>
        <w:noProof/>
      </w:rPr>
      <w:t>B</w:t>
    </w:r>
  </w:p>
  <w:p w:rsidR="00202E43" w:rsidRDefault="00202E43">
    <w:pPr>
      <w:pStyle w:val="Header"/>
    </w:pPr>
    <w:r>
      <w:t xml:space="preserve">Date: </w:t>
    </w:r>
    <w:r w:rsidR="007E3D49">
      <w:fldChar w:fldCharType="begin"/>
    </w:r>
    <w:r w:rsidR="007E3D49">
      <w:instrText xml:space="preserve"> REF FilingDate </w:instrText>
    </w:r>
    <w:r w:rsidR="007E3D49">
      <w:fldChar w:fldCharType="separate"/>
    </w:r>
    <w:r w:rsidR="001A5B02">
      <w:t>November 29, 2018</w:t>
    </w:r>
    <w:r w:rsidR="007E3D4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ECF49FE"/>
    <w:multiLevelType w:val="hybridMultilevel"/>
    <w:tmpl w:val="AFEC8E3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1DD7DCE"/>
    <w:multiLevelType w:val="hybridMultilevel"/>
    <w:tmpl w:val="4C084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03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55E58"/>
    <w:rsid w:val="00000BBC"/>
    <w:rsid w:val="000043D5"/>
    <w:rsid w:val="00006170"/>
    <w:rsid w:val="00010E37"/>
    <w:rsid w:val="000172DA"/>
    <w:rsid w:val="00022F2A"/>
    <w:rsid w:val="000247C5"/>
    <w:rsid w:val="000277C2"/>
    <w:rsid w:val="00035B48"/>
    <w:rsid w:val="00036CE2"/>
    <w:rsid w:val="000437FE"/>
    <w:rsid w:val="000446E6"/>
    <w:rsid w:val="000513BE"/>
    <w:rsid w:val="00065A06"/>
    <w:rsid w:val="00065E4B"/>
    <w:rsid w:val="00066114"/>
    <w:rsid w:val="000666F3"/>
    <w:rsid w:val="00070DCB"/>
    <w:rsid w:val="00073120"/>
    <w:rsid w:val="000764D0"/>
    <w:rsid w:val="000828D3"/>
    <w:rsid w:val="00091890"/>
    <w:rsid w:val="00094A60"/>
    <w:rsid w:val="000A2B57"/>
    <w:rsid w:val="000A418B"/>
    <w:rsid w:val="000C4431"/>
    <w:rsid w:val="000C446B"/>
    <w:rsid w:val="000D1C06"/>
    <w:rsid w:val="000D4319"/>
    <w:rsid w:val="000F374A"/>
    <w:rsid w:val="000F37B4"/>
    <w:rsid w:val="001076AF"/>
    <w:rsid w:val="001078F2"/>
    <w:rsid w:val="00117C8C"/>
    <w:rsid w:val="00124E2E"/>
    <w:rsid w:val="00125ED4"/>
    <w:rsid w:val="00127647"/>
    <w:rsid w:val="001305E9"/>
    <w:rsid w:val="001307AF"/>
    <w:rsid w:val="00135687"/>
    <w:rsid w:val="00151403"/>
    <w:rsid w:val="0015506E"/>
    <w:rsid w:val="00163031"/>
    <w:rsid w:val="001635A2"/>
    <w:rsid w:val="001714DE"/>
    <w:rsid w:val="00171A90"/>
    <w:rsid w:val="00173166"/>
    <w:rsid w:val="00177026"/>
    <w:rsid w:val="00180254"/>
    <w:rsid w:val="00180917"/>
    <w:rsid w:val="001812ED"/>
    <w:rsid w:val="00191240"/>
    <w:rsid w:val="00191E1F"/>
    <w:rsid w:val="00192943"/>
    <w:rsid w:val="001A5B02"/>
    <w:rsid w:val="001A7406"/>
    <w:rsid w:val="001B4FEE"/>
    <w:rsid w:val="001B51C5"/>
    <w:rsid w:val="001B6F3F"/>
    <w:rsid w:val="001C52B5"/>
    <w:rsid w:val="001D0D3E"/>
    <w:rsid w:val="001D4D28"/>
    <w:rsid w:val="001F2245"/>
    <w:rsid w:val="001F2C63"/>
    <w:rsid w:val="001F48C7"/>
    <w:rsid w:val="001F6DA1"/>
    <w:rsid w:val="00202949"/>
    <w:rsid w:val="00202E43"/>
    <w:rsid w:val="002035C8"/>
    <w:rsid w:val="002044E6"/>
    <w:rsid w:val="00205C82"/>
    <w:rsid w:val="00205DC2"/>
    <w:rsid w:val="00212B17"/>
    <w:rsid w:val="002163B6"/>
    <w:rsid w:val="00217B18"/>
    <w:rsid w:val="00220732"/>
    <w:rsid w:val="00221580"/>
    <w:rsid w:val="00221D32"/>
    <w:rsid w:val="00225C3F"/>
    <w:rsid w:val="002346FF"/>
    <w:rsid w:val="00260DE3"/>
    <w:rsid w:val="00263D44"/>
    <w:rsid w:val="00264B2B"/>
    <w:rsid w:val="002660BA"/>
    <w:rsid w:val="002702AD"/>
    <w:rsid w:val="00291A96"/>
    <w:rsid w:val="00292D82"/>
    <w:rsid w:val="002963CB"/>
    <w:rsid w:val="0029740B"/>
    <w:rsid w:val="00297917"/>
    <w:rsid w:val="002A2559"/>
    <w:rsid w:val="002D226D"/>
    <w:rsid w:val="002D58A1"/>
    <w:rsid w:val="002E0542"/>
    <w:rsid w:val="002E07E4"/>
    <w:rsid w:val="002F6030"/>
    <w:rsid w:val="003037E1"/>
    <w:rsid w:val="00307E51"/>
    <w:rsid w:val="003103EC"/>
    <w:rsid w:val="003144EF"/>
    <w:rsid w:val="00322F74"/>
    <w:rsid w:val="003255A7"/>
    <w:rsid w:val="003358FC"/>
    <w:rsid w:val="00335E3E"/>
    <w:rsid w:val="00336BBC"/>
    <w:rsid w:val="00340073"/>
    <w:rsid w:val="003577FE"/>
    <w:rsid w:val="00357963"/>
    <w:rsid w:val="00362A91"/>
    <w:rsid w:val="003632FD"/>
    <w:rsid w:val="00372805"/>
    <w:rsid w:val="00373180"/>
    <w:rsid w:val="00375AB9"/>
    <w:rsid w:val="0038023E"/>
    <w:rsid w:val="003821A0"/>
    <w:rsid w:val="00385B04"/>
    <w:rsid w:val="003864CF"/>
    <w:rsid w:val="00392807"/>
    <w:rsid w:val="00395545"/>
    <w:rsid w:val="003A22A6"/>
    <w:rsid w:val="003A5494"/>
    <w:rsid w:val="003B2510"/>
    <w:rsid w:val="003C132D"/>
    <w:rsid w:val="003C19AB"/>
    <w:rsid w:val="003C2CC4"/>
    <w:rsid w:val="003C3710"/>
    <w:rsid w:val="003D2E3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19E1"/>
    <w:rsid w:val="00441CC8"/>
    <w:rsid w:val="004426B8"/>
    <w:rsid w:val="00444432"/>
    <w:rsid w:val="00451332"/>
    <w:rsid w:val="00461152"/>
    <w:rsid w:val="00461DB1"/>
    <w:rsid w:val="00467E0B"/>
    <w:rsid w:val="00471860"/>
    <w:rsid w:val="00473269"/>
    <w:rsid w:val="004964BB"/>
    <w:rsid w:val="004A66D5"/>
    <w:rsid w:val="004A744D"/>
    <w:rsid w:val="004A7AD6"/>
    <w:rsid w:val="004B60BD"/>
    <w:rsid w:val="004C3150"/>
    <w:rsid w:val="004C3641"/>
    <w:rsid w:val="004C4390"/>
    <w:rsid w:val="004C4AF7"/>
    <w:rsid w:val="004D2881"/>
    <w:rsid w:val="004D385F"/>
    <w:rsid w:val="004D5B39"/>
    <w:rsid w:val="004E330D"/>
    <w:rsid w:val="004E4310"/>
    <w:rsid w:val="004E5147"/>
    <w:rsid w:val="004F5C43"/>
    <w:rsid w:val="00500678"/>
    <w:rsid w:val="0050652D"/>
    <w:rsid w:val="00506C03"/>
    <w:rsid w:val="00511A11"/>
    <w:rsid w:val="00515B73"/>
    <w:rsid w:val="00516496"/>
    <w:rsid w:val="00520369"/>
    <w:rsid w:val="00523B11"/>
    <w:rsid w:val="0052572A"/>
    <w:rsid w:val="00531761"/>
    <w:rsid w:val="00543CB3"/>
    <w:rsid w:val="005442E4"/>
    <w:rsid w:val="00544376"/>
    <w:rsid w:val="00550664"/>
    <w:rsid w:val="0055143E"/>
    <w:rsid w:val="00560FF0"/>
    <w:rsid w:val="005614BD"/>
    <w:rsid w:val="0056343D"/>
    <w:rsid w:val="0057154F"/>
    <w:rsid w:val="00580F69"/>
    <w:rsid w:val="00581CA3"/>
    <w:rsid w:val="0058679F"/>
    <w:rsid w:val="00587A44"/>
    <w:rsid w:val="00594C00"/>
    <w:rsid w:val="00597730"/>
    <w:rsid w:val="005977EC"/>
    <w:rsid w:val="00597DE7"/>
    <w:rsid w:val="005A4AA2"/>
    <w:rsid w:val="005B0512"/>
    <w:rsid w:val="005B34B6"/>
    <w:rsid w:val="005B6C8F"/>
    <w:rsid w:val="005B6EC3"/>
    <w:rsid w:val="005C6CD7"/>
    <w:rsid w:val="005D0F74"/>
    <w:rsid w:val="005D2E7D"/>
    <w:rsid w:val="005D350A"/>
    <w:rsid w:val="005D4A8F"/>
    <w:rsid w:val="005D561B"/>
    <w:rsid w:val="005D5ECF"/>
    <w:rsid w:val="005F3E2B"/>
    <w:rsid w:val="005F4273"/>
    <w:rsid w:val="005F468D"/>
    <w:rsid w:val="005F4D53"/>
    <w:rsid w:val="005F647B"/>
    <w:rsid w:val="005F69A3"/>
    <w:rsid w:val="0060312E"/>
    <w:rsid w:val="00604CC7"/>
    <w:rsid w:val="00611E61"/>
    <w:rsid w:val="006139FE"/>
    <w:rsid w:val="00615423"/>
    <w:rsid w:val="006165B2"/>
    <w:rsid w:val="00617009"/>
    <w:rsid w:val="00617276"/>
    <w:rsid w:val="006207F2"/>
    <w:rsid w:val="0062527B"/>
    <w:rsid w:val="00625D97"/>
    <w:rsid w:val="00625F1C"/>
    <w:rsid w:val="006279E1"/>
    <w:rsid w:val="00630CEB"/>
    <w:rsid w:val="00632264"/>
    <w:rsid w:val="006470BC"/>
    <w:rsid w:val="006554D3"/>
    <w:rsid w:val="00666215"/>
    <w:rsid w:val="00667036"/>
    <w:rsid w:val="00673BDB"/>
    <w:rsid w:val="00674341"/>
    <w:rsid w:val="006771B8"/>
    <w:rsid w:val="006843B6"/>
    <w:rsid w:val="0068481F"/>
    <w:rsid w:val="006969B3"/>
    <w:rsid w:val="00696F5D"/>
    <w:rsid w:val="00697249"/>
    <w:rsid w:val="006B0006"/>
    <w:rsid w:val="006B0AF1"/>
    <w:rsid w:val="006B3947"/>
    <w:rsid w:val="006B4293"/>
    <w:rsid w:val="006B624F"/>
    <w:rsid w:val="006C0C95"/>
    <w:rsid w:val="006C31E3"/>
    <w:rsid w:val="006C5AF9"/>
    <w:rsid w:val="006D18D3"/>
    <w:rsid w:val="006E08CB"/>
    <w:rsid w:val="006E598D"/>
    <w:rsid w:val="006F23D7"/>
    <w:rsid w:val="006F53BB"/>
    <w:rsid w:val="00704211"/>
    <w:rsid w:val="0070437D"/>
    <w:rsid w:val="00704CF1"/>
    <w:rsid w:val="00705B04"/>
    <w:rsid w:val="00706182"/>
    <w:rsid w:val="00724992"/>
    <w:rsid w:val="00725842"/>
    <w:rsid w:val="00727C0B"/>
    <w:rsid w:val="0073335C"/>
    <w:rsid w:val="00734820"/>
    <w:rsid w:val="007349DC"/>
    <w:rsid w:val="0074365E"/>
    <w:rsid w:val="00744B55"/>
    <w:rsid w:val="007515FD"/>
    <w:rsid w:val="00752845"/>
    <w:rsid w:val="00760D80"/>
    <w:rsid w:val="00764CD5"/>
    <w:rsid w:val="0076576B"/>
    <w:rsid w:val="00774321"/>
    <w:rsid w:val="0077520D"/>
    <w:rsid w:val="00776736"/>
    <w:rsid w:val="00780441"/>
    <w:rsid w:val="00780C09"/>
    <w:rsid w:val="00780DDF"/>
    <w:rsid w:val="007834E9"/>
    <w:rsid w:val="00787DBC"/>
    <w:rsid w:val="0079019A"/>
    <w:rsid w:val="00792275"/>
    <w:rsid w:val="00792935"/>
    <w:rsid w:val="007A04A1"/>
    <w:rsid w:val="007A1450"/>
    <w:rsid w:val="007A1840"/>
    <w:rsid w:val="007A4A2A"/>
    <w:rsid w:val="007B4791"/>
    <w:rsid w:val="007B4DC5"/>
    <w:rsid w:val="007C0528"/>
    <w:rsid w:val="007C0C83"/>
    <w:rsid w:val="007C3D38"/>
    <w:rsid w:val="007D08B5"/>
    <w:rsid w:val="007D0F35"/>
    <w:rsid w:val="007D15D8"/>
    <w:rsid w:val="007D4FEB"/>
    <w:rsid w:val="007D6146"/>
    <w:rsid w:val="007E0CE7"/>
    <w:rsid w:val="007E138C"/>
    <w:rsid w:val="007E350A"/>
    <w:rsid w:val="007F1193"/>
    <w:rsid w:val="007F179C"/>
    <w:rsid w:val="007F29BC"/>
    <w:rsid w:val="007F3481"/>
    <w:rsid w:val="007F417F"/>
    <w:rsid w:val="007F7644"/>
    <w:rsid w:val="00801A2D"/>
    <w:rsid w:val="008042BD"/>
    <w:rsid w:val="00816624"/>
    <w:rsid w:val="0082221B"/>
    <w:rsid w:val="00822427"/>
    <w:rsid w:val="00822562"/>
    <w:rsid w:val="00823663"/>
    <w:rsid w:val="00832DDC"/>
    <w:rsid w:val="00850BAC"/>
    <w:rsid w:val="00854A3E"/>
    <w:rsid w:val="00855D08"/>
    <w:rsid w:val="00855E58"/>
    <w:rsid w:val="00874344"/>
    <w:rsid w:val="0087618B"/>
    <w:rsid w:val="00882155"/>
    <w:rsid w:val="0088233B"/>
    <w:rsid w:val="008847EB"/>
    <w:rsid w:val="0088599E"/>
    <w:rsid w:val="00886C37"/>
    <w:rsid w:val="00892D99"/>
    <w:rsid w:val="00893315"/>
    <w:rsid w:val="00895FF7"/>
    <w:rsid w:val="0089601A"/>
    <w:rsid w:val="008A0215"/>
    <w:rsid w:val="008B2871"/>
    <w:rsid w:val="008B62AE"/>
    <w:rsid w:val="008B7C95"/>
    <w:rsid w:val="008C04B5"/>
    <w:rsid w:val="008C14FA"/>
    <w:rsid w:val="008C7B0B"/>
    <w:rsid w:val="008D0933"/>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5DF7"/>
    <w:rsid w:val="00917A25"/>
    <w:rsid w:val="009204CD"/>
    <w:rsid w:val="00920E64"/>
    <w:rsid w:val="00922002"/>
    <w:rsid w:val="00924020"/>
    <w:rsid w:val="009271A7"/>
    <w:rsid w:val="00927495"/>
    <w:rsid w:val="0093658B"/>
    <w:rsid w:val="00940BC4"/>
    <w:rsid w:val="009429FF"/>
    <w:rsid w:val="00943CBE"/>
    <w:rsid w:val="00945BD6"/>
    <w:rsid w:val="00946EE4"/>
    <w:rsid w:val="009479FB"/>
    <w:rsid w:val="00951C45"/>
    <w:rsid w:val="009572F0"/>
    <w:rsid w:val="009607DA"/>
    <w:rsid w:val="00962E46"/>
    <w:rsid w:val="009656F2"/>
    <w:rsid w:val="00966A08"/>
    <w:rsid w:val="00971207"/>
    <w:rsid w:val="00975CB4"/>
    <w:rsid w:val="009863B0"/>
    <w:rsid w:val="00987DE1"/>
    <w:rsid w:val="00990571"/>
    <w:rsid w:val="00991FE5"/>
    <w:rsid w:val="0099274E"/>
    <w:rsid w:val="0099673A"/>
    <w:rsid w:val="009A3330"/>
    <w:rsid w:val="009A7C96"/>
    <w:rsid w:val="009C2156"/>
    <w:rsid w:val="009C3DB9"/>
    <w:rsid w:val="009D46E5"/>
    <w:rsid w:val="009D568A"/>
    <w:rsid w:val="009F04EC"/>
    <w:rsid w:val="009F2A7C"/>
    <w:rsid w:val="009F3B36"/>
    <w:rsid w:val="009F5D65"/>
    <w:rsid w:val="00A019B9"/>
    <w:rsid w:val="00A12508"/>
    <w:rsid w:val="00A1282B"/>
    <w:rsid w:val="00A13788"/>
    <w:rsid w:val="00A13A27"/>
    <w:rsid w:val="00A175B6"/>
    <w:rsid w:val="00A2032A"/>
    <w:rsid w:val="00A21835"/>
    <w:rsid w:val="00A2374B"/>
    <w:rsid w:val="00A27D6E"/>
    <w:rsid w:val="00A328EC"/>
    <w:rsid w:val="00A33A51"/>
    <w:rsid w:val="00A41CA6"/>
    <w:rsid w:val="00A47927"/>
    <w:rsid w:val="00A47FFC"/>
    <w:rsid w:val="00A5442F"/>
    <w:rsid w:val="00A54FF9"/>
    <w:rsid w:val="00A56765"/>
    <w:rsid w:val="00A6489A"/>
    <w:rsid w:val="00A675AC"/>
    <w:rsid w:val="00A728C8"/>
    <w:rsid w:val="00A7581F"/>
    <w:rsid w:val="00A76528"/>
    <w:rsid w:val="00A9005E"/>
    <w:rsid w:val="00A92FB1"/>
    <w:rsid w:val="00A95A0C"/>
    <w:rsid w:val="00AA2765"/>
    <w:rsid w:val="00AA2DD8"/>
    <w:rsid w:val="00AA77B5"/>
    <w:rsid w:val="00AB6C5D"/>
    <w:rsid w:val="00AC0226"/>
    <w:rsid w:val="00AC3401"/>
    <w:rsid w:val="00AC3F8D"/>
    <w:rsid w:val="00AC51A7"/>
    <w:rsid w:val="00AC71D6"/>
    <w:rsid w:val="00AD444B"/>
    <w:rsid w:val="00AD6C78"/>
    <w:rsid w:val="00AE2EAB"/>
    <w:rsid w:val="00AE36F7"/>
    <w:rsid w:val="00AF0D55"/>
    <w:rsid w:val="00AF5F89"/>
    <w:rsid w:val="00AF5FAC"/>
    <w:rsid w:val="00AF73CB"/>
    <w:rsid w:val="00B002D6"/>
    <w:rsid w:val="00B03379"/>
    <w:rsid w:val="00B04C52"/>
    <w:rsid w:val="00B0549A"/>
    <w:rsid w:val="00B0584D"/>
    <w:rsid w:val="00B05B51"/>
    <w:rsid w:val="00B14BB4"/>
    <w:rsid w:val="00B14E5A"/>
    <w:rsid w:val="00B15370"/>
    <w:rsid w:val="00B16DA4"/>
    <w:rsid w:val="00B17BEB"/>
    <w:rsid w:val="00B21A3C"/>
    <w:rsid w:val="00B223C0"/>
    <w:rsid w:val="00B22B24"/>
    <w:rsid w:val="00B234ED"/>
    <w:rsid w:val="00B249B2"/>
    <w:rsid w:val="00B25CA3"/>
    <w:rsid w:val="00B25CCC"/>
    <w:rsid w:val="00B2765A"/>
    <w:rsid w:val="00B3109A"/>
    <w:rsid w:val="00B34543"/>
    <w:rsid w:val="00B36799"/>
    <w:rsid w:val="00B516ED"/>
    <w:rsid w:val="00B51E54"/>
    <w:rsid w:val="00B57A6A"/>
    <w:rsid w:val="00B60A3F"/>
    <w:rsid w:val="00B65112"/>
    <w:rsid w:val="00B760F1"/>
    <w:rsid w:val="00B7669E"/>
    <w:rsid w:val="00B77DA1"/>
    <w:rsid w:val="00B80E37"/>
    <w:rsid w:val="00B822A0"/>
    <w:rsid w:val="00B858AE"/>
    <w:rsid w:val="00B85964"/>
    <w:rsid w:val="00B9251B"/>
    <w:rsid w:val="00B94ADE"/>
    <w:rsid w:val="00B96250"/>
    <w:rsid w:val="00BA0D55"/>
    <w:rsid w:val="00BA37B3"/>
    <w:rsid w:val="00BA4CC6"/>
    <w:rsid w:val="00BA65F1"/>
    <w:rsid w:val="00BB3493"/>
    <w:rsid w:val="00BB7468"/>
    <w:rsid w:val="00BC1074"/>
    <w:rsid w:val="00BC188A"/>
    <w:rsid w:val="00BC210D"/>
    <w:rsid w:val="00BC3FFD"/>
    <w:rsid w:val="00BC402E"/>
    <w:rsid w:val="00BC4148"/>
    <w:rsid w:val="00BD0F48"/>
    <w:rsid w:val="00BE0C73"/>
    <w:rsid w:val="00BE1262"/>
    <w:rsid w:val="00BE38AD"/>
    <w:rsid w:val="00BF5010"/>
    <w:rsid w:val="00C03D5F"/>
    <w:rsid w:val="00C13791"/>
    <w:rsid w:val="00C31BB3"/>
    <w:rsid w:val="00C3335B"/>
    <w:rsid w:val="00C33A26"/>
    <w:rsid w:val="00C36977"/>
    <w:rsid w:val="00C467DA"/>
    <w:rsid w:val="00C477D9"/>
    <w:rsid w:val="00C60BA3"/>
    <w:rsid w:val="00C61C16"/>
    <w:rsid w:val="00C621E5"/>
    <w:rsid w:val="00C623F7"/>
    <w:rsid w:val="00C64920"/>
    <w:rsid w:val="00C75BC5"/>
    <w:rsid w:val="00C81670"/>
    <w:rsid w:val="00C81773"/>
    <w:rsid w:val="00C82861"/>
    <w:rsid w:val="00C86896"/>
    <w:rsid w:val="00C907A8"/>
    <w:rsid w:val="00C91BDA"/>
    <w:rsid w:val="00C93182"/>
    <w:rsid w:val="00C93211"/>
    <w:rsid w:val="00C93367"/>
    <w:rsid w:val="00C942EC"/>
    <w:rsid w:val="00C96047"/>
    <w:rsid w:val="00C979D0"/>
    <w:rsid w:val="00CA0818"/>
    <w:rsid w:val="00CA15C8"/>
    <w:rsid w:val="00CA2C8F"/>
    <w:rsid w:val="00CA30DA"/>
    <w:rsid w:val="00CA3A24"/>
    <w:rsid w:val="00CB1777"/>
    <w:rsid w:val="00CB33E9"/>
    <w:rsid w:val="00CC10A9"/>
    <w:rsid w:val="00CE1D0A"/>
    <w:rsid w:val="00CE2BF8"/>
    <w:rsid w:val="00CE484E"/>
    <w:rsid w:val="00CE656F"/>
    <w:rsid w:val="00CF0AD1"/>
    <w:rsid w:val="00CF0DA8"/>
    <w:rsid w:val="00CF2E25"/>
    <w:rsid w:val="00CF321E"/>
    <w:rsid w:val="00CF4453"/>
    <w:rsid w:val="00CF5D94"/>
    <w:rsid w:val="00CF66A2"/>
    <w:rsid w:val="00CF6F14"/>
    <w:rsid w:val="00CF7E0F"/>
    <w:rsid w:val="00D034D7"/>
    <w:rsid w:val="00D0462C"/>
    <w:rsid w:val="00D04BE4"/>
    <w:rsid w:val="00D06FC7"/>
    <w:rsid w:val="00D12565"/>
    <w:rsid w:val="00D14127"/>
    <w:rsid w:val="00D23B2F"/>
    <w:rsid w:val="00D2758D"/>
    <w:rsid w:val="00D35D45"/>
    <w:rsid w:val="00D52FC8"/>
    <w:rsid w:val="00D60B16"/>
    <w:rsid w:val="00D60F02"/>
    <w:rsid w:val="00D6633B"/>
    <w:rsid w:val="00D66E49"/>
    <w:rsid w:val="00D70D71"/>
    <w:rsid w:val="00D72F74"/>
    <w:rsid w:val="00D75B23"/>
    <w:rsid w:val="00D81563"/>
    <w:rsid w:val="00D85907"/>
    <w:rsid w:val="00D901CE"/>
    <w:rsid w:val="00D9073E"/>
    <w:rsid w:val="00D9221D"/>
    <w:rsid w:val="00D958DF"/>
    <w:rsid w:val="00D96DA1"/>
    <w:rsid w:val="00DA51E7"/>
    <w:rsid w:val="00DB0260"/>
    <w:rsid w:val="00DB1C78"/>
    <w:rsid w:val="00DB7D96"/>
    <w:rsid w:val="00DC23FE"/>
    <w:rsid w:val="00DC59E6"/>
    <w:rsid w:val="00DD150B"/>
    <w:rsid w:val="00DD1899"/>
    <w:rsid w:val="00DD5025"/>
    <w:rsid w:val="00DF1510"/>
    <w:rsid w:val="00E02F1F"/>
    <w:rsid w:val="00E06484"/>
    <w:rsid w:val="00E11344"/>
    <w:rsid w:val="00E161D8"/>
    <w:rsid w:val="00E20A7D"/>
    <w:rsid w:val="00E22492"/>
    <w:rsid w:val="00E275D8"/>
    <w:rsid w:val="00E30F6A"/>
    <w:rsid w:val="00E3117C"/>
    <w:rsid w:val="00E372C0"/>
    <w:rsid w:val="00E375CA"/>
    <w:rsid w:val="00E41BE5"/>
    <w:rsid w:val="00E44DD7"/>
    <w:rsid w:val="00E567E8"/>
    <w:rsid w:val="00E62024"/>
    <w:rsid w:val="00E62075"/>
    <w:rsid w:val="00E64679"/>
    <w:rsid w:val="00E65EBC"/>
    <w:rsid w:val="00E677FE"/>
    <w:rsid w:val="00E73432"/>
    <w:rsid w:val="00E7504A"/>
    <w:rsid w:val="00E75C4D"/>
    <w:rsid w:val="00E77B0C"/>
    <w:rsid w:val="00E77FB8"/>
    <w:rsid w:val="00E838B0"/>
    <w:rsid w:val="00E85DF4"/>
    <w:rsid w:val="00E86A7C"/>
    <w:rsid w:val="00E878E1"/>
    <w:rsid w:val="00E87F2C"/>
    <w:rsid w:val="00E95278"/>
    <w:rsid w:val="00E96D76"/>
    <w:rsid w:val="00EA2273"/>
    <w:rsid w:val="00EA5D09"/>
    <w:rsid w:val="00EA6F24"/>
    <w:rsid w:val="00EA75E3"/>
    <w:rsid w:val="00EA7C3C"/>
    <w:rsid w:val="00EB2DB3"/>
    <w:rsid w:val="00EB3121"/>
    <w:rsid w:val="00EC3827"/>
    <w:rsid w:val="00EC3FBB"/>
    <w:rsid w:val="00EC6B7A"/>
    <w:rsid w:val="00ED11B1"/>
    <w:rsid w:val="00ED3A87"/>
    <w:rsid w:val="00ED5B67"/>
    <w:rsid w:val="00EE0777"/>
    <w:rsid w:val="00EE0DDC"/>
    <w:rsid w:val="00EF264C"/>
    <w:rsid w:val="00EF3FEE"/>
    <w:rsid w:val="00EF7362"/>
    <w:rsid w:val="00F040CC"/>
    <w:rsid w:val="00F04B59"/>
    <w:rsid w:val="00F11741"/>
    <w:rsid w:val="00F124FC"/>
    <w:rsid w:val="00F12B1C"/>
    <w:rsid w:val="00F13CF8"/>
    <w:rsid w:val="00F15855"/>
    <w:rsid w:val="00F32978"/>
    <w:rsid w:val="00F420A7"/>
    <w:rsid w:val="00F45CB2"/>
    <w:rsid w:val="00F47AF0"/>
    <w:rsid w:val="00F544C0"/>
    <w:rsid w:val="00F54F97"/>
    <w:rsid w:val="00F55332"/>
    <w:rsid w:val="00F62FE3"/>
    <w:rsid w:val="00F6504A"/>
    <w:rsid w:val="00F65519"/>
    <w:rsid w:val="00F6669D"/>
    <w:rsid w:val="00F67E54"/>
    <w:rsid w:val="00F713C0"/>
    <w:rsid w:val="00F75DDC"/>
    <w:rsid w:val="00F7792F"/>
    <w:rsid w:val="00F842AA"/>
    <w:rsid w:val="00F8476F"/>
    <w:rsid w:val="00F853E1"/>
    <w:rsid w:val="00F85604"/>
    <w:rsid w:val="00F86ACE"/>
    <w:rsid w:val="00F87652"/>
    <w:rsid w:val="00F92A6C"/>
    <w:rsid w:val="00F93E05"/>
    <w:rsid w:val="00F94B7A"/>
    <w:rsid w:val="00FA17AC"/>
    <w:rsid w:val="00FA32DE"/>
    <w:rsid w:val="00FA3382"/>
    <w:rsid w:val="00FA59CD"/>
    <w:rsid w:val="00FB1740"/>
    <w:rsid w:val="00FC0B97"/>
    <w:rsid w:val="00FC5469"/>
    <w:rsid w:val="00FC6D7D"/>
    <w:rsid w:val="00FD16B0"/>
    <w:rsid w:val="00FD4FED"/>
    <w:rsid w:val="00FE0577"/>
    <w:rsid w:val="00FE59EC"/>
    <w:rsid w:val="00FE5B67"/>
    <w:rsid w:val="00FE60D6"/>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C132D"/>
    <w:rPr>
      <w:vertAlign w:val="superscript"/>
    </w:rPr>
  </w:style>
  <w:style w:type="character" w:customStyle="1" w:styleId="FootnoteTextChar">
    <w:name w:val="Footnote Text Char"/>
    <w:basedOn w:val="DefaultParagraphFont"/>
    <w:link w:val="FootnoteText"/>
    <w:rsid w:val="00500678"/>
  </w:style>
  <w:style w:type="paragraph" w:customStyle="1" w:styleId="yiv7965082155msonormal">
    <w:name w:val="yiv7965082155msonormal"/>
    <w:basedOn w:val="Normal"/>
    <w:rsid w:val="00B04C52"/>
    <w:pPr>
      <w:spacing w:before="100" w:beforeAutospacing="1" w:after="100" w:afterAutospacing="1"/>
    </w:pPr>
    <w:rPr>
      <w:rFonts w:ascii="Times" w:eastAsia="MS Mincho" w:hAnsi="Times"/>
      <w:sz w:val="20"/>
      <w:szCs w:val="20"/>
    </w:rPr>
  </w:style>
  <w:style w:type="character" w:styleId="FollowedHyperlink">
    <w:name w:val="FollowedHyperlink"/>
    <w:basedOn w:val="DefaultParagraphFont"/>
    <w:rsid w:val="00AC3F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C132D"/>
    <w:rPr>
      <w:vertAlign w:val="superscript"/>
    </w:rPr>
  </w:style>
  <w:style w:type="character" w:customStyle="1" w:styleId="FootnoteTextChar">
    <w:name w:val="Footnote Text Char"/>
    <w:basedOn w:val="DefaultParagraphFont"/>
    <w:link w:val="FootnoteText"/>
    <w:rsid w:val="00500678"/>
  </w:style>
  <w:style w:type="paragraph" w:customStyle="1" w:styleId="yiv7965082155msonormal">
    <w:name w:val="yiv7965082155msonormal"/>
    <w:basedOn w:val="Normal"/>
    <w:rsid w:val="00B04C52"/>
    <w:pPr>
      <w:spacing w:before="100" w:beforeAutospacing="1" w:after="100" w:afterAutospacing="1"/>
    </w:pPr>
    <w:rPr>
      <w:rFonts w:ascii="Times" w:eastAsia="MS Mincho" w:hAnsi="Times"/>
      <w:sz w:val="20"/>
      <w:szCs w:val="20"/>
    </w:rPr>
  </w:style>
  <w:style w:type="character" w:styleId="FollowedHyperlink">
    <w:name w:val="FollowedHyperlink"/>
    <w:basedOn w:val="DefaultParagraphFont"/>
    <w:rsid w:val="00AC3F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23938">
      <w:bodyDiv w:val="1"/>
      <w:marLeft w:val="0"/>
      <w:marRight w:val="0"/>
      <w:marTop w:val="0"/>
      <w:marBottom w:val="0"/>
      <w:divBdr>
        <w:top w:val="none" w:sz="0" w:space="0" w:color="auto"/>
        <w:left w:val="none" w:sz="0" w:space="0" w:color="auto"/>
        <w:bottom w:val="none" w:sz="0" w:space="0" w:color="auto"/>
        <w:right w:val="none" w:sz="0" w:space="0" w:color="auto"/>
      </w:divBdr>
    </w:div>
    <w:div w:id="15916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4611-1FDC-4307-9C26-3DED6D89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18</Pages>
  <Words>4201</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Ellis;Moniaishi Mtenga</dc:creator>
  <cp:lastModifiedBy>Joann Parsons</cp:lastModifiedBy>
  <cp:revision>2</cp:revision>
  <cp:lastPrinted>2018-11-29T15:28:00Z</cp:lastPrinted>
  <dcterms:created xsi:type="dcterms:W3CDTF">2018-11-29T15:47:00Z</dcterms:created>
  <dcterms:modified xsi:type="dcterms:W3CDTF">2018-11-29T15:47:00Z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20180007-EI</vt:lpwstr>
  </property>
  <property fmtid="{D5CDD505-2E9C-101B-9397-08002B2CF9AE}" pid="3" name="MasterDocument">
    <vt:bool>false</vt:bool>
  </property>
</Properties>
</file>