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505D0" w:rsidP="006505D0">
      <w:pPr>
        <w:pStyle w:val="OrderHeading"/>
      </w:pPr>
      <w:r>
        <w:t>BEFORE THE FLORIDA PUBLIC SERVICE COMMISSION</w:t>
      </w:r>
    </w:p>
    <w:p w:rsidR="006505D0" w:rsidRDefault="006505D0" w:rsidP="006505D0">
      <w:pPr>
        <w:pStyle w:val="OrderBody"/>
      </w:pPr>
    </w:p>
    <w:p w:rsidR="006505D0" w:rsidRDefault="006505D0" w:rsidP="006505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05D0" w:rsidRPr="00C63FCF" w:rsidTr="00BB03A9">
        <w:trPr>
          <w:trHeight w:val="828"/>
        </w:trPr>
        <w:tc>
          <w:tcPr>
            <w:tcW w:w="4788" w:type="dxa"/>
            <w:tcBorders>
              <w:bottom w:val="nil"/>
              <w:right w:val="double" w:sz="6" w:space="0" w:color="auto"/>
            </w:tcBorders>
            <w:shd w:val="clear" w:color="auto" w:fill="auto"/>
          </w:tcPr>
          <w:p w:rsidR="006505D0" w:rsidRDefault="006505D0" w:rsidP="00BB03A9">
            <w:pPr>
              <w:pStyle w:val="OrderBody"/>
              <w:tabs>
                <w:tab w:val="center" w:pos="4320"/>
                <w:tab w:val="right" w:pos="8640"/>
              </w:tabs>
              <w:jc w:val="left"/>
            </w:pPr>
            <w:r>
              <w:t xml:space="preserve">In re: </w:t>
            </w:r>
            <w:bookmarkStart w:id="0" w:name="SMInRe"/>
            <w:bookmarkEnd w:id="0"/>
            <w:r>
              <w:t>Petition by Florida Power &amp; Light Company (FPL) for authority to charge FPL rates to former City of Vero Beach customers and for approval of FPL's accounting treatment for City of Vero Beach transaction.</w:t>
            </w:r>
          </w:p>
          <w:p w:rsidR="006505D0" w:rsidRDefault="006505D0" w:rsidP="00BB03A9">
            <w:pPr>
              <w:pStyle w:val="OrderBody"/>
              <w:tabs>
                <w:tab w:val="center" w:pos="4320"/>
                <w:tab w:val="right" w:pos="8640"/>
              </w:tabs>
              <w:jc w:val="left"/>
            </w:pPr>
          </w:p>
        </w:tc>
        <w:tc>
          <w:tcPr>
            <w:tcW w:w="4788" w:type="dxa"/>
            <w:tcBorders>
              <w:left w:val="double" w:sz="6" w:space="0" w:color="auto"/>
              <w:bottom w:val="nil"/>
            </w:tcBorders>
            <w:shd w:val="clear" w:color="auto" w:fill="auto"/>
          </w:tcPr>
          <w:p w:rsidR="006505D0" w:rsidRDefault="006505D0" w:rsidP="00BB03A9">
            <w:pPr>
              <w:pStyle w:val="OrderBody"/>
              <w:tabs>
                <w:tab w:val="center" w:pos="4320"/>
                <w:tab w:val="right" w:pos="8640"/>
              </w:tabs>
              <w:jc w:val="left"/>
            </w:pPr>
            <w:r>
              <w:t xml:space="preserve">DOCKET NO. </w:t>
            </w:r>
            <w:bookmarkStart w:id="1" w:name="SMDocketNo"/>
            <w:bookmarkEnd w:id="1"/>
            <w:r>
              <w:t>20170235-EI</w:t>
            </w:r>
          </w:p>
        </w:tc>
      </w:tr>
      <w:tr w:rsidR="006505D0" w:rsidRPr="00C63FCF" w:rsidTr="00BB03A9">
        <w:trPr>
          <w:trHeight w:val="828"/>
        </w:trPr>
        <w:tc>
          <w:tcPr>
            <w:tcW w:w="4788" w:type="dxa"/>
            <w:tcBorders>
              <w:top w:val="nil"/>
              <w:bottom w:val="single" w:sz="8" w:space="0" w:color="auto"/>
              <w:right w:val="double" w:sz="6" w:space="0" w:color="auto"/>
            </w:tcBorders>
            <w:shd w:val="clear" w:color="auto" w:fill="auto"/>
          </w:tcPr>
          <w:p w:rsidR="006505D0" w:rsidRDefault="006505D0" w:rsidP="00BB03A9">
            <w:pPr>
              <w:pStyle w:val="OrderBody"/>
              <w:tabs>
                <w:tab w:val="center" w:pos="4320"/>
                <w:tab w:val="right" w:pos="8640"/>
              </w:tabs>
              <w:jc w:val="left"/>
            </w:pPr>
            <w:r>
              <w:t>In re: Joint petition to terminate territorial agreement, by Florida Power &amp; Light and the City of Vero Beach.</w:t>
            </w:r>
          </w:p>
        </w:tc>
        <w:tc>
          <w:tcPr>
            <w:tcW w:w="4788" w:type="dxa"/>
            <w:tcBorders>
              <w:left w:val="double" w:sz="6" w:space="0" w:color="auto"/>
            </w:tcBorders>
            <w:shd w:val="clear" w:color="auto" w:fill="auto"/>
          </w:tcPr>
          <w:p w:rsidR="006505D0" w:rsidRDefault="006505D0" w:rsidP="006505D0">
            <w:pPr>
              <w:pStyle w:val="OrderBody"/>
            </w:pPr>
            <w:r>
              <w:t xml:space="preserve">DOCKET NO. </w:t>
            </w:r>
            <w:bookmarkStart w:id="2" w:name="SMDocketNo2"/>
            <w:bookmarkEnd w:id="2"/>
            <w:r>
              <w:t>20170236-EU</w:t>
            </w:r>
          </w:p>
          <w:p w:rsidR="006505D0" w:rsidRDefault="006505D0" w:rsidP="00BB03A9">
            <w:pPr>
              <w:pStyle w:val="OrderBody"/>
              <w:tabs>
                <w:tab w:val="center" w:pos="4320"/>
                <w:tab w:val="right" w:pos="8640"/>
              </w:tabs>
              <w:jc w:val="left"/>
            </w:pPr>
            <w:r>
              <w:t xml:space="preserve">ORDER NO. </w:t>
            </w:r>
            <w:bookmarkStart w:id="3" w:name="OrderNo0566"/>
            <w:r w:rsidR="00C869F4">
              <w:t>PSC-2018-0566-FOF-EU</w:t>
            </w:r>
            <w:bookmarkEnd w:id="3"/>
          </w:p>
          <w:p w:rsidR="006505D0" w:rsidRDefault="006505D0" w:rsidP="00BB03A9">
            <w:pPr>
              <w:pStyle w:val="OrderBody"/>
              <w:tabs>
                <w:tab w:val="center" w:pos="4320"/>
                <w:tab w:val="right" w:pos="8640"/>
              </w:tabs>
              <w:jc w:val="left"/>
            </w:pPr>
            <w:r>
              <w:t xml:space="preserve">ISSUED: </w:t>
            </w:r>
            <w:r w:rsidR="00C869F4">
              <w:t>November 30, 2018</w:t>
            </w:r>
          </w:p>
          <w:p w:rsidR="006505D0" w:rsidRDefault="006505D0" w:rsidP="00BB03A9">
            <w:pPr>
              <w:pStyle w:val="OrderBody"/>
              <w:tabs>
                <w:tab w:val="center" w:pos="4320"/>
                <w:tab w:val="right" w:pos="8640"/>
              </w:tabs>
              <w:jc w:val="left"/>
            </w:pPr>
          </w:p>
        </w:tc>
      </w:tr>
    </w:tbl>
    <w:p w:rsidR="006505D0" w:rsidRDefault="006505D0" w:rsidP="006505D0"/>
    <w:p w:rsidR="006505D0" w:rsidRDefault="006505D0" w:rsidP="006505D0"/>
    <w:p w:rsidR="006505D0" w:rsidRDefault="006505D0">
      <w:pPr>
        <w:ind w:firstLine="720"/>
        <w:jc w:val="both"/>
      </w:pPr>
      <w:bookmarkStart w:id="4" w:name="Commissioners"/>
      <w:bookmarkEnd w:id="4"/>
      <w:r>
        <w:t>The following Commissioners participated in the disposition of this matter:</w:t>
      </w:r>
    </w:p>
    <w:p w:rsidR="006505D0" w:rsidRDefault="006505D0"/>
    <w:p w:rsidR="006505D0" w:rsidRDefault="006505D0">
      <w:pPr>
        <w:jc w:val="center"/>
      </w:pPr>
      <w:r>
        <w:t xml:space="preserve">JULIE I. BROWN </w:t>
      </w:r>
    </w:p>
    <w:p w:rsidR="006505D0" w:rsidRDefault="006505D0">
      <w:pPr>
        <w:jc w:val="center"/>
      </w:pPr>
      <w:r>
        <w:t>DONALD J. POLMANN</w:t>
      </w:r>
    </w:p>
    <w:p w:rsidR="006505D0" w:rsidRDefault="006505D0">
      <w:pPr>
        <w:jc w:val="center"/>
      </w:pPr>
      <w:r>
        <w:t>GARY F. CLARK</w:t>
      </w:r>
    </w:p>
    <w:p w:rsidR="006505D0" w:rsidRDefault="006505D0">
      <w:pPr>
        <w:jc w:val="center"/>
      </w:pPr>
      <w:r>
        <w:t>ANDREW GILES FAY</w:t>
      </w:r>
    </w:p>
    <w:p w:rsidR="00CB5276" w:rsidRDefault="00CB5276">
      <w:pPr>
        <w:pStyle w:val="OrderBody"/>
      </w:pPr>
    </w:p>
    <w:p w:rsidR="003759CD" w:rsidRDefault="00FE7C0D" w:rsidP="00AB5E7B">
      <w:pPr>
        <w:pStyle w:val="CenterUnderline"/>
      </w:pPr>
      <w:bookmarkStart w:id="5" w:name="OrderText"/>
      <w:bookmarkEnd w:id="5"/>
      <w:r>
        <w:t>FINAL ORDER</w:t>
      </w:r>
      <w:bookmarkStart w:id="6" w:name="OrderTitle"/>
      <w:r>
        <w:t xml:space="preserve"> GRANTING </w:t>
      </w:r>
    </w:p>
    <w:p w:rsidR="003759CD" w:rsidRDefault="003759CD" w:rsidP="00AB5E7B">
      <w:pPr>
        <w:pStyle w:val="CenterUnderline"/>
      </w:pPr>
      <w:r>
        <w:t>THE</w:t>
      </w:r>
      <w:r w:rsidR="00AB5E7B">
        <w:t xml:space="preserve"> CITY OF VERO BEACH</w:t>
      </w:r>
      <w:r>
        <w:t xml:space="preserve"> AND FLORIDA POWER &amp; LIGHT COMPANY’S</w:t>
      </w:r>
    </w:p>
    <w:p w:rsidR="003759CD" w:rsidRDefault="003759CD" w:rsidP="00AB5E7B">
      <w:pPr>
        <w:pStyle w:val="CenterUnderline"/>
      </w:pPr>
      <w:r>
        <w:t>JOINT PETITION TO</w:t>
      </w:r>
      <w:r w:rsidR="00AB5E7B">
        <w:t xml:space="preserve"> TERMINATE TERRITORIAL AGREEMENT</w:t>
      </w:r>
    </w:p>
    <w:p w:rsidR="003759CD" w:rsidRDefault="003759CD" w:rsidP="00AB5E7B">
      <w:pPr>
        <w:pStyle w:val="CenterUnderline"/>
      </w:pPr>
      <w:r>
        <w:t>AND</w:t>
      </w:r>
    </w:p>
    <w:p w:rsidR="003759CD" w:rsidRDefault="00FE7C0D" w:rsidP="00AB5E7B">
      <w:pPr>
        <w:pStyle w:val="CenterUnderline"/>
      </w:pPr>
      <w:r>
        <w:t>F</w:t>
      </w:r>
      <w:r w:rsidR="008D4F65">
        <w:t>LORIDA POWER &amp; LIGHT COMPANY</w:t>
      </w:r>
      <w:r w:rsidR="003759CD">
        <w:t>’S PETITION</w:t>
      </w:r>
      <w:r>
        <w:t xml:space="preserve"> FOR AUTHORITY TO</w:t>
      </w:r>
      <w:r w:rsidR="003759CD">
        <w:t xml:space="preserve"> </w:t>
      </w:r>
    </w:p>
    <w:p w:rsidR="003759CD" w:rsidRDefault="00FE7C0D" w:rsidP="00AB5E7B">
      <w:pPr>
        <w:pStyle w:val="CenterUnderline"/>
      </w:pPr>
      <w:r>
        <w:t xml:space="preserve">CHARGE </w:t>
      </w:r>
      <w:r w:rsidR="003759CD">
        <w:t>FPL</w:t>
      </w:r>
      <w:r>
        <w:t xml:space="preserve"> RATES TO FORMER CITY OF VERO BEACH CUSTOMER</w:t>
      </w:r>
      <w:r w:rsidR="001549A2">
        <w:t>S</w:t>
      </w:r>
      <w:r w:rsidR="003759CD">
        <w:t xml:space="preserve"> AND </w:t>
      </w:r>
    </w:p>
    <w:p w:rsidR="00D9750D" w:rsidRDefault="003759CD" w:rsidP="00AB5E7B">
      <w:pPr>
        <w:pStyle w:val="CenterUnderline"/>
      </w:pPr>
      <w:r>
        <w:t>FOR APPROVAL OF FPL’S ACCOUNTING TREATMENT FOR</w:t>
      </w:r>
    </w:p>
    <w:p w:rsidR="00AB5E7B" w:rsidRDefault="003759CD" w:rsidP="00AB5E7B">
      <w:pPr>
        <w:pStyle w:val="CenterUnderline"/>
      </w:pPr>
      <w:r>
        <w:t>C</w:t>
      </w:r>
      <w:r w:rsidR="00D9750D">
        <w:t>ITY OF VERO BEACH</w:t>
      </w:r>
      <w:r>
        <w:t xml:space="preserve"> TRANSACTION</w:t>
      </w:r>
      <w:r w:rsidR="00FE7C0D">
        <w:t xml:space="preserve"> </w:t>
      </w:r>
      <w:bookmarkEnd w:id="6"/>
    </w:p>
    <w:p w:rsidR="00FE7C0D" w:rsidRDefault="00FE7C0D" w:rsidP="00FE7C0D">
      <w:pPr>
        <w:pStyle w:val="CenterUnderline"/>
      </w:pPr>
    </w:p>
    <w:p w:rsidR="00FE7C0D" w:rsidRDefault="00FE7C0D" w:rsidP="00FE7C0D">
      <w:pPr>
        <w:pStyle w:val="CenterUnderline"/>
      </w:pPr>
    </w:p>
    <w:p w:rsidR="00BA58AE" w:rsidRDefault="00BA58AE" w:rsidP="00BA58AE">
      <w:pPr>
        <w:pStyle w:val="OrderBody"/>
      </w:pPr>
      <w:r>
        <w:t>APPEARANCES:</w:t>
      </w:r>
    </w:p>
    <w:p w:rsidR="00BA58AE" w:rsidRDefault="00BA58AE" w:rsidP="00BA58AE">
      <w:pPr>
        <w:pStyle w:val="OrderBody"/>
      </w:pPr>
    </w:p>
    <w:p w:rsidR="00BA58AE" w:rsidRDefault="00BA58AE" w:rsidP="00BA58AE">
      <w:pPr>
        <w:autoSpaceDE w:val="0"/>
        <w:autoSpaceDN w:val="0"/>
        <w:adjustRightInd w:val="0"/>
        <w:ind w:left="1440"/>
        <w:jc w:val="both"/>
        <w:rPr>
          <w:sz w:val="26"/>
          <w:szCs w:val="26"/>
        </w:rPr>
      </w:pPr>
      <w:r w:rsidRPr="005A7263">
        <w:t>BRYAN S. ANDERSON, WADE LITCHFIED, and KENNETH RUBIN, ESQUIRES</w:t>
      </w:r>
      <w:r>
        <w:rPr>
          <w:sz w:val="26"/>
          <w:szCs w:val="26"/>
        </w:rPr>
        <w:t>,</w:t>
      </w:r>
      <w:r w:rsidRPr="006361A2">
        <w:rPr>
          <w:sz w:val="26"/>
          <w:szCs w:val="26"/>
        </w:rPr>
        <w:t xml:space="preserve"> 700</w:t>
      </w:r>
      <w:r>
        <w:rPr>
          <w:sz w:val="26"/>
          <w:szCs w:val="26"/>
        </w:rPr>
        <w:t xml:space="preserve"> </w:t>
      </w:r>
      <w:r w:rsidRPr="006361A2">
        <w:rPr>
          <w:sz w:val="26"/>
          <w:szCs w:val="26"/>
        </w:rPr>
        <w:t>Universe Boulevard, Juno Beach, Florida 33408-0420</w:t>
      </w:r>
    </w:p>
    <w:p w:rsidR="00BA58AE" w:rsidRPr="00AA4CC4" w:rsidRDefault="00BA58AE" w:rsidP="00BA58AE">
      <w:pPr>
        <w:autoSpaceDE w:val="0"/>
        <w:autoSpaceDN w:val="0"/>
        <w:adjustRightInd w:val="0"/>
        <w:ind w:left="720" w:firstLine="720"/>
        <w:rPr>
          <w:sz w:val="26"/>
          <w:szCs w:val="26"/>
          <w:u w:val="single"/>
        </w:rPr>
      </w:pPr>
      <w:r w:rsidRPr="00AA4CC4">
        <w:rPr>
          <w:sz w:val="26"/>
          <w:szCs w:val="26"/>
          <w:u w:val="single"/>
        </w:rPr>
        <w:t>On behalf of  Florida Power &amp; Light Company</w:t>
      </w:r>
      <w:r w:rsidRPr="00AA4CC4">
        <w:rPr>
          <w:sz w:val="26"/>
          <w:szCs w:val="26"/>
        </w:rPr>
        <w:t>.</w:t>
      </w:r>
    </w:p>
    <w:p w:rsidR="00BA58AE" w:rsidRDefault="00BA58AE" w:rsidP="00BA58AE">
      <w:pPr>
        <w:autoSpaceDE w:val="0"/>
        <w:autoSpaceDN w:val="0"/>
        <w:adjustRightInd w:val="0"/>
        <w:rPr>
          <w:sz w:val="26"/>
          <w:szCs w:val="26"/>
        </w:rPr>
      </w:pPr>
    </w:p>
    <w:p w:rsidR="00BA58AE" w:rsidRDefault="00BA58AE" w:rsidP="00BA58AE">
      <w:pPr>
        <w:autoSpaceDE w:val="0"/>
        <w:autoSpaceDN w:val="0"/>
        <w:adjustRightInd w:val="0"/>
        <w:ind w:left="1440"/>
        <w:jc w:val="both"/>
        <w:rPr>
          <w:sz w:val="26"/>
          <w:szCs w:val="26"/>
        </w:rPr>
      </w:pPr>
      <w:r w:rsidRPr="005A7263">
        <w:t>J. MICHAEL WALLS, ESQUIRE,</w:t>
      </w:r>
      <w:r w:rsidRPr="006361A2">
        <w:rPr>
          <w:sz w:val="26"/>
          <w:szCs w:val="26"/>
        </w:rPr>
        <w:t xml:space="preserve"> Carlton Fields Law</w:t>
      </w:r>
      <w:r>
        <w:rPr>
          <w:sz w:val="26"/>
          <w:szCs w:val="26"/>
        </w:rPr>
        <w:t xml:space="preserve"> </w:t>
      </w:r>
      <w:r w:rsidRPr="006361A2">
        <w:rPr>
          <w:sz w:val="26"/>
          <w:szCs w:val="26"/>
        </w:rPr>
        <w:t>Firm, 4221 W. Boy Scout Boulevard, Tampa, Florida33607-5780</w:t>
      </w:r>
    </w:p>
    <w:p w:rsidR="00BA58AE" w:rsidRPr="006361A2" w:rsidRDefault="00BA58AE" w:rsidP="00BA58AE">
      <w:pPr>
        <w:autoSpaceDE w:val="0"/>
        <w:autoSpaceDN w:val="0"/>
        <w:adjustRightInd w:val="0"/>
        <w:ind w:left="720" w:firstLine="720"/>
        <w:rPr>
          <w:sz w:val="26"/>
          <w:szCs w:val="26"/>
        </w:rPr>
      </w:pPr>
      <w:r w:rsidRPr="00AA4CC4">
        <w:rPr>
          <w:sz w:val="26"/>
          <w:szCs w:val="26"/>
          <w:u w:val="single"/>
        </w:rPr>
        <w:t>On behalf of the City of Vero Beach</w:t>
      </w:r>
      <w:r w:rsidRPr="006361A2">
        <w:rPr>
          <w:sz w:val="26"/>
          <w:szCs w:val="26"/>
        </w:rPr>
        <w:t>.</w:t>
      </w:r>
    </w:p>
    <w:p w:rsidR="00BA58AE" w:rsidRDefault="00BA58AE" w:rsidP="00BA58AE">
      <w:pPr>
        <w:autoSpaceDE w:val="0"/>
        <w:autoSpaceDN w:val="0"/>
        <w:adjustRightInd w:val="0"/>
        <w:rPr>
          <w:sz w:val="26"/>
          <w:szCs w:val="26"/>
        </w:rPr>
      </w:pPr>
    </w:p>
    <w:p w:rsidR="00BA58AE" w:rsidRDefault="00BA58AE" w:rsidP="00BA58AE">
      <w:pPr>
        <w:autoSpaceDE w:val="0"/>
        <w:autoSpaceDN w:val="0"/>
        <w:adjustRightInd w:val="0"/>
        <w:ind w:left="1440"/>
        <w:rPr>
          <w:sz w:val="26"/>
          <w:szCs w:val="26"/>
        </w:rPr>
      </w:pPr>
      <w:r w:rsidRPr="005A7263">
        <w:t xml:space="preserve">BRUCE D. MAY, ESQUIRE, </w:t>
      </w:r>
      <w:r w:rsidRPr="006361A2">
        <w:rPr>
          <w:sz w:val="26"/>
          <w:szCs w:val="26"/>
        </w:rPr>
        <w:t>Holland &amp; Knight Law</w:t>
      </w:r>
      <w:r>
        <w:rPr>
          <w:sz w:val="26"/>
          <w:szCs w:val="26"/>
        </w:rPr>
        <w:t xml:space="preserve"> </w:t>
      </w:r>
      <w:r w:rsidRPr="006361A2">
        <w:rPr>
          <w:sz w:val="26"/>
          <w:szCs w:val="26"/>
        </w:rPr>
        <w:t>Firm, 315 S. Calhoun Street, Suite 600, Tallahassee,</w:t>
      </w:r>
      <w:r>
        <w:rPr>
          <w:sz w:val="26"/>
          <w:szCs w:val="26"/>
        </w:rPr>
        <w:t xml:space="preserve"> </w:t>
      </w:r>
      <w:r w:rsidRPr="006361A2">
        <w:rPr>
          <w:sz w:val="26"/>
          <w:szCs w:val="26"/>
        </w:rPr>
        <w:t>Florida, 32301</w:t>
      </w:r>
    </w:p>
    <w:p w:rsidR="00BA58AE" w:rsidRPr="006361A2" w:rsidRDefault="00BA58AE" w:rsidP="00BA58AE">
      <w:pPr>
        <w:autoSpaceDE w:val="0"/>
        <w:autoSpaceDN w:val="0"/>
        <w:adjustRightInd w:val="0"/>
        <w:ind w:left="720" w:firstLine="720"/>
        <w:rPr>
          <w:sz w:val="26"/>
          <w:szCs w:val="26"/>
        </w:rPr>
      </w:pPr>
      <w:r w:rsidRPr="006361A2">
        <w:rPr>
          <w:sz w:val="26"/>
          <w:szCs w:val="26"/>
          <w:u w:val="single"/>
        </w:rPr>
        <w:t xml:space="preserve">On behalf of </w:t>
      </w:r>
      <w:r>
        <w:rPr>
          <w:sz w:val="26"/>
          <w:szCs w:val="26"/>
          <w:u w:val="single"/>
        </w:rPr>
        <w:t xml:space="preserve">the </w:t>
      </w:r>
      <w:r w:rsidRPr="006361A2">
        <w:rPr>
          <w:sz w:val="26"/>
          <w:szCs w:val="26"/>
          <w:u w:val="single"/>
        </w:rPr>
        <w:t>Town of Indian River Shores</w:t>
      </w:r>
      <w:r w:rsidRPr="006361A2">
        <w:rPr>
          <w:sz w:val="26"/>
          <w:szCs w:val="26"/>
        </w:rPr>
        <w:t>.</w:t>
      </w:r>
    </w:p>
    <w:p w:rsidR="00BA58AE" w:rsidRDefault="00BA58AE" w:rsidP="00BA58AE">
      <w:pPr>
        <w:autoSpaceDE w:val="0"/>
        <w:autoSpaceDN w:val="0"/>
        <w:adjustRightInd w:val="0"/>
        <w:ind w:left="1440"/>
        <w:jc w:val="both"/>
        <w:rPr>
          <w:sz w:val="26"/>
          <w:szCs w:val="26"/>
        </w:rPr>
      </w:pPr>
      <w:r w:rsidRPr="005A7263">
        <w:lastRenderedPageBreak/>
        <w:t>DYLAN REINGOLD, COUNTY ATTORNEY,</w:t>
      </w:r>
      <w:r w:rsidRPr="006361A2">
        <w:rPr>
          <w:sz w:val="26"/>
          <w:szCs w:val="26"/>
        </w:rPr>
        <w:t xml:space="preserve"> 1801 27th Street,</w:t>
      </w:r>
      <w:r>
        <w:rPr>
          <w:sz w:val="26"/>
          <w:szCs w:val="26"/>
        </w:rPr>
        <w:t xml:space="preserve"> </w:t>
      </w:r>
      <w:r w:rsidRPr="006361A2">
        <w:rPr>
          <w:sz w:val="26"/>
          <w:szCs w:val="26"/>
        </w:rPr>
        <w:t>Building A, Vero Beach, Florida 32960</w:t>
      </w:r>
    </w:p>
    <w:p w:rsidR="00BA58AE" w:rsidRPr="006361A2" w:rsidRDefault="00BA58AE" w:rsidP="00BA58AE">
      <w:pPr>
        <w:autoSpaceDE w:val="0"/>
        <w:autoSpaceDN w:val="0"/>
        <w:adjustRightInd w:val="0"/>
        <w:ind w:left="720" w:firstLine="720"/>
        <w:jc w:val="both"/>
        <w:rPr>
          <w:sz w:val="26"/>
          <w:szCs w:val="26"/>
        </w:rPr>
      </w:pPr>
      <w:r w:rsidRPr="006361A2">
        <w:rPr>
          <w:sz w:val="26"/>
          <w:szCs w:val="26"/>
          <w:u w:val="single"/>
        </w:rPr>
        <w:t>On behalf of the Indian River County Board of County Commissioner</w:t>
      </w:r>
      <w:r>
        <w:rPr>
          <w:sz w:val="26"/>
          <w:szCs w:val="26"/>
        </w:rPr>
        <w:t>s.</w:t>
      </w:r>
    </w:p>
    <w:p w:rsidR="00BA58AE" w:rsidRDefault="00BA58AE" w:rsidP="00BA58AE">
      <w:pPr>
        <w:autoSpaceDE w:val="0"/>
        <w:autoSpaceDN w:val="0"/>
        <w:adjustRightInd w:val="0"/>
        <w:rPr>
          <w:sz w:val="26"/>
          <w:szCs w:val="26"/>
        </w:rPr>
      </w:pPr>
    </w:p>
    <w:p w:rsidR="00BA58AE" w:rsidRDefault="00BA58AE" w:rsidP="00BA58AE">
      <w:pPr>
        <w:autoSpaceDE w:val="0"/>
        <w:autoSpaceDN w:val="0"/>
        <w:adjustRightInd w:val="0"/>
        <w:ind w:left="1440"/>
        <w:jc w:val="both"/>
        <w:rPr>
          <w:sz w:val="26"/>
          <w:szCs w:val="26"/>
        </w:rPr>
      </w:pPr>
      <w:r w:rsidRPr="005A7263">
        <w:t xml:space="preserve">J.R. KELLY, PUBLIC COUNSEL, STEPHANIE A. MORSE, </w:t>
      </w:r>
      <w:r>
        <w:t>CHARLES REHWINKEL</w:t>
      </w:r>
      <w:r w:rsidRPr="005A7263">
        <w:t xml:space="preserve">, </w:t>
      </w:r>
      <w:r>
        <w:t xml:space="preserve">and TAD DAVID, </w:t>
      </w:r>
      <w:r w:rsidRPr="005A7263">
        <w:t>ESQUIRES,</w:t>
      </w:r>
      <w:r w:rsidRPr="006361A2">
        <w:rPr>
          <w:sz w:val="26"/>
          <w:szCs w:val="26"/>
        </w:rPr>
        <w:t xml:space="preserve"> Office of Public Counsel, c/o</w:t>
      </w:r>
      <w:r>
        <w:rPr>
          <w:sz w:val="26"/>
          <w:szCs w:val="26"/>
        </w:rPr>
        <w:t xml:space="preserve"> </w:t>
      </w:r>
      <w:r w:rsidRPr="006361A2">
        <w:rPr>
          <w:sz w:val="26"/>
          <w:szCs w:val="26"/>
        </w:rPr>
        <w:t>the Florida Legislature, 111 W. Madison Street, Room</w:t>
      </w:r>
      <w:r>
        <w:rPr>
          <w:sz w:val="26"/>
          <w:szCs w:val="26"/>
        </w:rPr>
        <w:t xml:space="preserve"> </w:t>
      </w:r>
      <w:r w:rsidRPr="006361A2">
        <w:rPr>
          <w:sz w:val="26"/>
          <w:szCs w:val="26"/>
        </w:rPr>
        <w:t>812, Tallahassee, Florida 32399-1400</w:t>
      </w:r>
    </w:p>
    <w:p w:rsidR="00BA58AE" w:rsidRPr="006361A2" w:rsidRDefault="00BA58AE" w:rsidP="00BA58AE">
      <w:pPr>
        <w:autoSpaceDE w:val="0"/>
        <w:autoSpaceDN w:val="0"/>
        <w:adjustRightInd w:val="0"/>
        <w:ind w:left="720" w:firstLine="720"/>
        <w:rPr>
          <w:sz w:val="26"/>
          <w:szCs w:val="26"/>
        </w:rPr>
      </w:pPr>
      <w:r w:rsidRPr="006361A2">
        <w:rPr>
          <w:sz w:val="26"/>
          <w:szCs w:val="26"/>
          <w:u w:val="single"/>
        </w:rPr>
        <w:t>On behalf of the Citizens of the State of Florida</w:t>
      </w:r>
      <w:r w:rsidRPr="006361A2">
        <w:rPr>
          <w:sz w:val="26"/>
          <w:szCs w:val="26"/>
        </w:rPr>
        <w:t>.</w:t>
      </w:r>
    </w:p>
    <w:p w:rsidR="00BA58AE" w:rsidRDefault="00BA58AE" w:rsidP="00BA58AE">
      <w:pPr>
        <w:autoSpaceDE w:val="0"/>
        <w:autoSpaceDN w:val="0"/>
        <w:adjustRightInd w:val="0"/>
        <w:rPr>
          <w:sz w:val="26"/>
          <w:szCs w:val="26"/>
        </w:rPr>
      </w:pPr>
    </w:p>
    <w:p w:rsidR="00BA58AE" w:rsidRPr="006361A2" w:rsidRDefault="00BA58AE" w:rsidP="00BA58AE">
      <w:pPr>
        <w:autoSpaceDE w:val="0"/>
        <w:autoSpaceDN w:val="0"/>
        <w:adjustRightInd w:val="0"/>
        <w:ind w:left="1440"/>
      </w:pPr>
      <w:r w:rsidRPr="005A7263">
        <w:t>LYNNE A. LARKIN, ESQUIRE,</w:t>
      </w:r>
      <w:r>
        <w:rPr>
          <w:sz w:val="26"/>
          <w:szCs w:val="26"/>
        </w:rPr>
        <w:t xml:space="preserve"> </w:t>
      </w:r>
      <w:r w:rsidRPr="006361A2">
        <w:rPr>
          <w:sz w:val="26"/>
          <w:szCs w:val="26"/>
        </w:rPr>
        <w:t>5690 Highway, A1A #101, Vero</w:t>
      </w:r>
      <w:r>
        <w:rPr>
          <w:sz w:val="26"/>
          <w:szCs w:val="26"/>
        </w:rPr>
        <w:t xml:space="preserve"> </w:t>
      </w:r>
      <w:r w:rsidRPr="006361A2">
        <w:rPr>
          <w:sz w:val="26"/>
          <w:szCs w:val="26"/>
        </w:rPr>
        <w:t>Beach, Florida 32963</w:t>
      </w:r>
    </w:p>
    <w:p w:rsidR="00BA58AE" w:rsidRPr="006361A2" w:rsidRDefault="00BA58AE" w:rsidP="00BA58AE">
      <w:pPr>
        <w:autoSpaceDE w:val="0"/>
        <w:autoSpaceDN w:val="0"/>
        <w:adjustRightInd w:val="0"/>
        <w:ind w:left="720" w:firstLine="720"/>
        <w:rPr>
          <w:sz w:val="26"/>
          <w:szCs w:val="26"/>
        </w:rPr>
      </w:pPr>
      <w:r w:rsidRPr="006361A2">
        <w:rPr>
          <w:sz w:val="26"/>
          <w:szCs w:val="26"/>
          <w:u w:val="single"/>
        </w:rPr>
        <w:t>On behalf of the Civic Association of Indian River County, Inc</w:t>
      </w:r>
      <w:r w:rsidRPr="006361A2">
        <w:rPr>
          <w:sz w:val="26"/>
          <w:szCs w:val="26"/>
        </w:rPr>
        <w:t>.</w:t>
      </w:r>
    </w:p>
    <w:p w:rsidR="00BA58AE" w:rsidRDefault="00BA58AE" w:rsidP="00BA58AE"/>
    <w:p w:rsidR="00BA58AE" w:rsidRPr="00AA4CC4" w:rsidRDefault="00BA58AE" w:rsidP="00BA58AE">
      <w:pPr>
        <w:autoSpaceDE w:val="0"/>
        <w:autoSpaceDN w:val="0"/>
        <w:adjustRightInd w:val="0"/>
        <w:ind w:left="1440"/>
        <w:jc w:val="both"/>
        <w:rPr>
          <w:sz w:val="26"/>
          <w:szCs w:val="26"/>
        </w:rPr>
      </w:pPr>
      <w:r w:rsidRPr="005A7263">
        <w:t>CHARLES MURPHY, SUZANNE BROWNLESS, and KATHRYN G.W. COWDERY, ESQUIRES,</w:t>
      </w:r>
      <w:r>
        <w:rPr>
          <w:sz w:val="26"/>
          <w:szCs w:val="26"/>
        </w:rPr>
        <w:t xml:space="preserve"> </w:t>
      </w:r>
      <w:r w:rsidRPr="00AA4CC4">
        <w:rPr>
          <w:sz w:val="26"/>
          <w:szCs w:val="26"/>
        </w:rPr>
        <w:t>F</w:t>
      </w:r>
      <w:r>
        <w:rPr>
          <w:sz w:val="26"/>
          <w:szCs w:val="26"/>
        </w:rPr>
        <w:t>lorida Public Service Commission</w:t>
      </w:r>
      <w:r w:rsidRPr="00AA4CC4">
        <w:rPr>
          <w:sz w:val="26"/>
          <w:szCs w:val="26"/>
        </w:rPr>
        <w:t xml:space="preserve"> General Counsel's Office, 2540 Shumard</w:t>
      </w:r>
      <w:r>
        <w:rPr>
          <w:sz w:val="26"/>
          <w:szCs w:val="26"/>
        </w:rPr>
        <w:t xml:space="preserve"> </w:t>
      </w:r>
      <w:r w:rsidRPr="00AA4CC4">
        <w:rPr>
          <w:sz w:val="26"/>
          <w:szCs w:val="26"/>
        </w:rPr>
        <w:t>Oak Boulevard, Tallahassee, Florida 32399-0850</w:t>
      </w:r>
    </w:p>
    <w:p w:rsidR="00BA58AE" w:rsidRPr="00AA4CC4" w:rsidRDefault="00BA58AE" w:rsidP="00BA58AE">
      <w:pPr>
        <w:autoSpaceDE w:val="0"/>
        <w:autoSpaceDN w:val="0"/>
        <w:adjustRightInd w:val="0"/>
        <w:ind w:left="720" w:firstLine="720"/>
        <w:rPr>
          <w:sz w:val="26"/>
          <w:szCs w:val="26"/>
        </w:rPr>
      </w:pPr>
      <w:r w:rsidRPr="00AA4CC4">
        <w:rPr>
          <w:u w:val="single"/>
        </w:rPr>
        <w:t>O</w:t>
      </w:r>
      <w:r w:rsidRPr="00AA4CC4">
        <w:rPr>
          <w:sz w:val="26"/>
          <w:szCs w:val="26"/>
          <w:u w:val="single"/>
        </w:rPr>
        <w:t>n behalf of the Florida Public Service Commission Staff</w:t>
      </w:r>
      <w:r w:rsidRPr="00AA4CC4">
        <w:rPr>
          <w:sz w:val="26"/>
          <w:szCs w:val="26"/>
        </w:rPr>
        <w:t>.</w:t>
      </w:r>
    </w:p>
    <w:p w:rsidR="00BA58AE" w:rsidRDefault="00BA58AE" w:rsidP="00BA58AE">
      <w:pPr>
        <w:autoSpaceDE w:val="0"/>
        <w:autoSpaceDN w:val="0"/>
        <w:adjustRightInd w:val="0"/>
      </w:pPr>
    </w:p>
    <w:p w:rsidR="00BA58AE" w:rsidRDefault="00BA58AE" w:rsidP="00BA58AE">
      <w:pPr>
        <w:autoSpaceDE w:val="0"/>
        <w:autoSpaceDN w:val="0"/>
        <w:adjustRightInd w:val="0"/>
        <w:ind w:left="1440"/>
        <w:jc w:val="both"/>
        <w:rPr>
          <w:sz w:val="26"/>
          <w:szCs w:val="26"/>
        </w:rPr>
      </w:pPr>
      <w:r w:rsidRPr="005A7263">
        <w:t>KEITH HETRICK, GENERAL COUNSEL and MARY ANNE HELTON, DEPUTY GENERAL COUNSEL,</w:t>
      </w:r>
      <w:r w:rsidRPr="00AA4CC4">
        <w:rPr>
          <w:sz w:val="26"/>
          <w:szCs w:val="26"/>
        </w:rPr>
        <w:t xml:space="preserve"> Florida Public Service</w:t>
      </w:r>
      <w:r>
        <w:rPr>
          <w:sz w:val="26"/>
          <w:szCs w:val="26"/>
        </w:rPr>
        <w:t xml:space="preserve"> </w:t>
      </w:r>
      <w:r w:rsidRPr="00AA4CC4">
        <w:rPr>
          <w:sz w:val="26"/>
          <w:szCs w:val="26"/>
        </w:rPr>
        <w:t>Commission, 2540 Shumard Oak Boulevard, Tallahassee,</w:t>
      </w:r>
      <w:r>
        <w:rPr>
          <w:sz w:val="26"/>
          <w:szCs w:val="26"/>
        </w:rPr>
        <w:t xml:space="preserve"> </w:t>
      </w:r>
      <w:r w:rsidRPr="00AA4CC4">
        <w:rPr>
          <w:sz w:val="26"/>
          <w:szCs w:val="26"/>
        </w:rPr>
        <w:t xml:space="preserve">Florida 32399-0850 </w:t>
      </w:r>
    </w:p>
    <w:p w:rsidR="00BA58AE" w:rsidRDefault="00BA58AE" w:rsidP="00BA58AE">
      <w:pPr>
        <w:autoSpaceDE w:val="0"/>
        <w:autoSpaceDN w:val="0"/>
        <w:adjustRightInd w:val="0"/>
        <w:ind w:left="720" w:firstLine="720"/>
        <w:rPr>
          <w:sz w:val="26"/>
          <w:szCs w:val="26"/>
        </w:rPr>
      </w:pPr>
      <w:r w:rsidRPr="00AA4CC4">
        <w:rPr>
          <w:sz w:val="26"/>
          <w:szCs w:val="26"/>
          <w:u w:val="single"/>
        </w:rPr>
        <w:t>Advisors to the Florida Public Service Commission</w:t>
      </w:r>
      <w:r w:rsidRPr="00AA4CC4">
        <w:rPr>
          <w:sz w:val="26"/>
          <w:szCs w:val="26"/>
        </w:rPr>
        <w:t>.</w:t>
      </w:r>
    </w:p>
    <w:p w:rsidR="00BA58AE" w:rsidRDefault="00BA58AE" w:rsidP="00FE7C0D">
      <w:pPr>
        <w:pStyle w:val="OrderBody"/>
      </w:pPr>
    </w:p>
    <w:p w:rsidR="00BA58AE" w:rsidRDefault="00BA58AE" w:rsidP="00FE7C0D">
      <w:pPr>
        <w:pStyle w:val="OrderBody"/>
      </w:pPr>
    </w:p>
    <w:p w:rsidR="00FE7C0D" w:rsidRDefault="00FE7C0D" w:rsidP="00FE7C0D">
      <w:pPr>
        <w:pStyle w:val="OrderBody"/>
      </w:pPr>
      <w:r>
        <w:t>BY THE COMMISSION:</w:t>
      </w:r>
    </w:p>
    <w:p w:rsidR="00FE7C0D" w:rsidRDefault="00FE7C0D" w:rsidP="00FE7C0D">
      <w:pPr>
        <w:pStyle w:val="OrderBody"/>
      </w:pPr>
    </w:p>
    <w:p w:rsidR="00AA4CC4" w:rsidRDefault="00AA4CC4" w:rsidP="00AA4CC4">
      <w:pPr>
        <w:pStyle w:val="ListParagraph"/>
        <w:numPr>
          <w:ilvl w:val="0"/>
          <w:numId w:val="1"/>
        </w:numPr>
        <w:autoSpaceDE w:val="0"/>
        <w:autoSpaceDN w:val="0"/>
        <w:adjustRightInd w:val="0"/>
        <w:ind w:left="0" w:firstLine="0"/>
        <w:rPr>
          <w:u w:val="single"/>
        </w:rPr>
      </w:pPr>
      <w:r>
        <w:t xml:space="preserve"> </w:t>
      </w:r>
      <w:r w:rsidRPr="00AA4CC4">
        <w:rPr>
          <w:u w:val="single"/>
        </w:rPr>
        <w:t>Background</w:t>
      </w:r>
    </w:p>
    <w:p w:rsidR="00AA4CC4" w:rsidRDefault="00AA4CC4" w:rsidP="00AA4CC4">
      <w:pPr>
        <w:pStyle w:val="ListParagraph"/>
        <w:autoSpaceDE w:val="0"/>
        <w:autoSpaceDN w:val="0"/>
        <w:adjustRightInd w:val="0"/>
        <w:ind w:left="0"/>
        <w:rPr>
          <w:u w:val="single"/>
        </w:rPr>
      </w:pPr>
    </w:p>
    <w:p w:rsidR="00AA4CC4" w:rsidRPr="00575C95" w:rsidRDefault="00AA4CC4" w:rsidP="00AA4CC4">
      <w:pPr>
        <w:autoSpaceDE w:val="0"/>
        <w:autoSpaceDN w:val="0"/>
        <w:adjustRightInd w:val="0"/>
        <w:ind w:firstLine="720"/>
        <w:jc w:val="both"/>
      </w:pPr>
      <w:r w:rsidRPr="00575C95">
        <w:t xml:space="preserve">Florida Power &amp; Light Company (FPL) is an investor-owned electric utility operating under </w:t>
      </w:r>
      <w:r>
        <w:t>our</w:t>
      </w:r>
      <w:r w:rsidRPr="00575C95">
        <w:t xml:space="preserve"> jurisdiction pursuant to the provisions of Chapter 366, Florida Statutes (F.S.). FPL provides generation, transmission, and distribution service to approximately 4.9 million retail customer accounts. </w:t>
      </w:r>
    </w:p>
    <w:p w:rsidR="00AA4CC4" w:rsidRPr="00575C95" w:rsidRDefault="00AA4CC4" w:rsidP="00AA4CC4">
      <w:pPr>
        <w:autoSpaceDE w:val="0"/>
        <w:autoSpaceDN w:val="0"/>
        <w:adjustRightInd w:val="0"/>
        <w:jc w:val="both"/>
      </w:pPr>
    </w:p>
    <w:p w:rsidR="00AA4CC4" w:rsidRPr="00575C95" w:rsidRDefault="00AA4CC4" w:rsidP="00AA4CC4">
      <w:pPr>
        <w:autoSpaceDE w:val="0"/>
        <w:autoSpaceDN w:val="0"/>
        <w:adjustRightInd w:val="0"/>
        <w:ind w:firstLine="720"/>
        <w:jc w:val="both"/>
      </w:pPr>
      <w:r w:rsidRPr="00575C95">
        <w:t>The City of Vero Beach’s (COVB</w:t>
      </w:r>
      <w:r>
        <w:t xml:space="preserve"> or City</w:t>
      </w:r>
      <w:r w:rsidRPr="00575C95">
        <w:t>) electric utility is a municipally-owned electric utility providing service to approximately 35,000 customer accounts using COVB</w:t>
      </w:r>
      <w:r w:rsidR="00882CC1">
        <w:t>’s</w:t>
      </w:r>
      <w:r w:rsidRPr="00575C95">
        <w:t xml:space="preserve"> transmission and distribution facilities. The boundaries of the COVB service area were set pursuant to four territorial orders that approved territorial agreements between COVB and FPL.</w:t>
      </w:r>
      <w:r w:rsidRPr="00575C95">
        <w:rPr>
          <w:vertAlign w:val="superscript"/>
        </w:rPr>
        <w:footnoteReference w:id="1"/>
      </w:r>
      <w:r w:rsidRPr="00575C95">
        <w:t xml:space="preserve"> Approximately </w:t>
      </w:r>
      <w:r w:rsidRPr="00575C95">
        <w:lastRenderedPageBreak/>
        <w:t>60 percent of COVB’s utility customers reside outside the City’s municipal borders, including customers residing in portions of unincorporated Indian River County (the County) and portions of the Town of Indian River Shores (Indian River Shores</w:t>
      </w:r>
      <w:r>
        <w:t xml:space="preserve"> or the Town</w:t>
      </w:r>
      <w:r w:rsidRPr="00575C95">
        <w:t xml:space="preserve">). </w:t>
      </w:r>
    </w:p>
    <w:p w:rsidR="00AA4CC4" w:rsidRPr="00575C95" w:rsidRDefault="00AA4CC4" w:rsidP="00AA4CC4">
      <w:pPr>
        <w:autoSpaceDE w:val="0"/>
        <w:autoSpaceDN w:val="0"/>
        <w:adjustRightInd w:val="0"/>
        <w:ind w:firstLine="720"/>
        <w:jc w:val="both"/>
      </w:pPr>
    </w:p>
    <w:p w:rsidR="00AA4CC4" w:rsidRPr="00796243" w:rsidRDefault="00AA4CC4" w:rsidP="00AA4CC4">
      <w:pPr>
        <w:autoSpaceDE w:val="0"/>
        <w:autoSpaceDN w:val="0"/>
        <w:adjustRightInd w:val="0"/>
        <w:ind w:firstLine="720"/>
        <w:jc w:val="both"/>
      </w:pPr>
      <w:r w:rsidRPr="00796243">
        <w:t>On November 3, 2017, FPL and COVB filed a joint petition for approval to terminate their territorial agreement.</w:t>
      </w:r>
      <w:r w:rsidR="00BB03A9">
        <w:rPr>
          <w:rStyle w:val="FootnoteReference"/>
        </w:rPr>
        <w:footnoteReference w:id="2"/>
      </w:r>
      <w:r w:rsidRPr="00796243">
        <w:t xml:space="preserve"> The joint petition</w:t>
      </w:r>
      <w:r>
        <w:t>ers stat</w:t>
      </w:r>
      <w:r w:rsidRPr="00796243">
        <w:t>e that termination of the territorial agreement was sought in connection with FPL’s acquisition of the COVB electric utility. The joint petition</w:t>
      </w:r>
      <w:r>
        <w:t>ers</w:t>
      </w:r>
      <w:r w:rsidRPr="00796243">
        <w:t xml:space="preserve"> state that o</w:t>
      </w:r>
      <w:r>
        <w:t xml:space="preserve">n October 24, 2017, FPL and </w:t>
      </w:r>
      <w:r w:rsidRPr="00796243">
        <w:t>COVB entered into an Asset Purchase and Sale Agreement (the PSA) that reflects COVB’s and FPL’s agreement to sell and to purchase the COVB electric utility system for a cash payment of approximately $185.0 million as well as other consideration. The joint petition</w:t>
      </w:r>
      <w:r>
        <w:t>ers</w:t>
      </w:r>
      <w:r w:rsidRPr="00796243">
        <w:t xml:space="preserve"> state that termination of the COVB/FPL territorial agreement can only occur, subject to </w:t>
      </w:r>
      <w:r w:rsidR="00E576B4">
        <w:t>our</w:t>
      </w:r>
      <w:r w:rsidRPr="00796243">
        <w:t xml:space="preserve"> approval, if all conditions precedent to the PSA closing are satisfied. </w:t>
      </w:r>
      <w:r>
        <w:t>The joint petitioners further state that, i</w:t>
      </w:r>
      <w:r w:rsidRPr="00796243">
        <w:t xml:space="preserve">f the PSA does not close, COVB will continue to serve its customers and the existing territorial boundaries will remain in effect. </w:t>
      </w:r>
    </w:p>
    <w:p w:rsidR="00AA4CC4" w:rsidRPr="00796243" w:rsidRDefault="00AA4CC4" w:rsidP="00AA4CC4">
      <w:pPr>
        <w:autoSpaceDE w:val="0"/>
        <w:autoSpaceDN w:val="0"/>
        <w:adjustRightInd w:val="0"/>
        <w:jc w:val="both"/>
      </w:pPr>
    </w:p>
    <w:p w:rsidR="00AA4CC4" w:rsidRPr="00575C95" w:rsidRDefault="00AA4CC4" w:rsidP="00AA4CC4">
      <w:pPr>
        <w:autoSpaceDE w:val="0"/>
        <w:autoSpaceDN w:val="0"/>
        <w:adjustRightInd w:val="0"/>
        <w:ind w:firstLine="720"/>
        <w:jc w:val="both"/>
      </w:pPr>
      <w:r w:rsidRPr="00796243">
        <w:t>Directly related to the joint petition to terminate the COVB</w:t>
      </w:r>
      <w:r>
        <w:t>/FPL</w:t>
      </w:r>
      <w:r w:rsidRPr="00796243">
        <w:t xml:space="preserve"> territorial agreement, FPL filed a petition for authority to charge FPL’s rates and charges to COVB customers</w:t>
      </w:r>
      <w:r>
        <w:t>,</w:t>
      </w:r>
      <w:r w:rsidRPr="00796243">
        <w:t xml:space="preserve"> and for approval of FPL’s requested accounting treatment.</w:t>
      </w:r>
      <w:r w:rsidR="00BB03A9">
        <w:rPr>
          <w:rStyle w:val="FootnoteReference"/>
        </w:rPr>
        <w:footnoteReference w:id="3"/>
      </w:r>
      <w:r w:rsidRPr="00796243">
        <w:t xml:space="preserve"> FPL requests that </w:t>
      </w:r>
      <w:r w:rsidR="00E576B4">
        <w:t>we</w:t>
      </w:r>
      <w:r w:rsidRPr="00796243">
        <w:t>: (1) grant FPL approval to charge its approved rates and charges to the COVB customers; (2) approve the establishment and base rate recovery of a positive acquisition adjustment of approximately $11</w:t>
      </w:r>
      <w:r>
        <w:t>4</w:t>
      </w:r>
      <w:r w:rsidRPr="00796243">
        <w:t xml:space="preserve"> million</w:t>
      </w:r>
      <w:r>
        <w:rPr>
          <w:rStyle w:val="FootnoteReference"/>
        </w:rPr>
        <w:footnoteReference w:id="4"/>
      </w:r>
      <w:r w:rsidRPr="00796243">
        <w:t xml:space="preserve"> with respect to the City’s electric utility system acquired by FPL; and (3) approve recovery of costs associated with the short-term power</w:t>
      </w:r>
      <w:r>
        <w:t xml:space="preserve"> purchase</w:t>
      </w:r>
      <w:r w:rsidRPr="00796243">
        <w:t xml:space="preserve"> agreement (PPA) with the Orlando Utilities Commission (OUC). </w:t>
      </w:r>
    </w:p>
    <w:p w:rsidR="00AA4CC4" w:rsidRPr="00575C95" w:rsidRDefault="00AA4CC4" w:rsidP="00AA4CC4">
      <w:pPr>
        <w:autoSpaceDE w:val="0"/>
        <w:autoSpaceDN w:val="0"/>
        <w:adjustRightInd w:val="0"/>
        <w:ind w:firstLine="720"/>
        <w:jc w:val="both"/>
      </w:pPr>
    </w:p>
    <w:p w:rsidR="00AA4CC4" w:rsidRDefault="00AA4CC4" w:rsidP="00AA4CC4">
      <w:pPr>
        <w:ind w:firstLine="720"/>
        <w:jc w:val="both"/>
      </w:pPr>
      <w:r w:rsidRPr="0062392D">
        <w:t xml:space="preserve">The Office of Public Counsel </w:t>
      </w:r>
      <w:r w:rsidRPr="00791CF0">
        <w:t>(OPC)</w:t>
      </w:r>
      <w:r>
        <w:t xml:space="preserve"> </w:t>
      </w:r>
      <w:r w:rsidRPr="00575C95">
        <w:t xml:space="preserve">was granted intervention in both dockets. </w:t>
      </w:r>
      <w:r w:rsidR="00E576B4">
        <w:t>We</w:t>
      </w:r>
      <w:r w:rsidRPr="00575C95">
        <w:t xml:space="preserve"> granted FPL’s Petition and the </w:t>
      </w:r>
      <w:r>
        <w:t>COVB/</w:t>
      </w:r>
      <w:r w:rsidRPr="00575C95">
        <w:t xml:space="preserve">FPL </w:t>
      </w:r>
      <w:r w:rsidRPr="00796243">
        <w:t xml:space="preserve">Joint </w:t>
      </w:r>
      <w:r w:rsidRPr="00575C95">
        <w:t>Petition in one proposed agency action order (PAA Order) issued on July 2, 2018.</w:t>
      </w:r>
      <w:r w:rsidRPr="00575C95">
        <w:rPr>
          <w:vertAlign w:val="superscript"/>
        </w:rPr>
        <w:footnoteReference w:id="5"/>
      </w:r>
      <w:r w:rsidRPr="00575C95">
        <w:t xml:space="preserve"> On July 20, 2018, the Civic Association of Indian River County, Inc. (CAIRC) timely filed an amended petition for administrative hearing on the PAA Order.</w:t>
      </w:r>
      <w:r>
        <w:rPr>
          <w:rStyle w:val="FootnoteReference"/>
        </w:rPr>
        <w:footnoteReference w:id="6"/>
      </w:r>
      <w:r w:rsidRPr="00575C95">
        <w:t xml:space="preserve"> </w:t>
      </w:r>
      <w:r w:rsidRPr="00796243">
        <w:t>OPC</w:t>
      </w:r>
      <w:r>
        <w:t xml:space="preserve">, </w:t>
      </w:r>
      <w:r w:rsidRPr="00575C95">
        <w:t xml:space="preserve">Indian River County, and Indian River Shores requested and were granted intervention. A Prehearing Conference was held on October 3, 2018. A </w:t>
      </w:r>
      <w:r w:rsidRPr="00DA7190">
        <w:rPr>
          <w:i/>
        </w:rPr>
        <w:t>de novo</w:t>
      </w:r>
      <w:r w:rsidRPr="00790D75">
        <w:t xml:space="preserve"> administrative hearing was held </w:t>
      </w:r>
      <w:r w:rsidR="00E576B4">
        <w:t xml:space="preserve">before us </w:t>
      </w:r>
      <w:r w:rsidRPr="00790D75">
        <w:t>on Oc</w:t>
      </w:r>
      <w:r>
        <w:t>tober 18, 2018, as required by S</w:t>
      </w:r>
      <w:r w:rsidRPr="00790D75">
        <w:t xml:space="preserve">ections 120.569 and 120.57, F.S. In addition, </w:t>
      </w:r>
      <w:r w:rsidR="00E576B4">
        <w:t xml:space="preserve">we heard </w:t>
      </w:r>
      <w:r w:rsidRPr="00790D75">
        <w:t xml:space="preserve">public </w:t>
      </w:r>
      <w:r>
        <w:t>testimony</w:t>
      </w:r>
      <w:r w:rsidRPr="00790D75">
        <w:t xml:space="preserve"> on October 18, 2018</w:t>
      </w:r>
      <w:r>
        <w:t>,</w:t>
      </w:r>
      <w:r w:rsidRPr="00790D75">
        <w:t xml:space="preserve"> as part of the proceeding.</w:t>
      </w:r>
    </w:p>
    <w:p w:rsidR="00BA58AE" w:rsidRDefault="00BA58AE" w:rsidP="00AA4CC4">
      <w:pPr>
        <w:ind w:firstLine="720"/>
        <w:jc w:val="both"/>
      </w:pPr>
    </w:p>
    <w:p w:rsidR="00802484" w:rsidRDefault="00802484" w:rsidP="00AA4CC4">
      <w:pPr>
        <w:ind w:firstLine="720"/>
        <w:jc w:val="both"/>
      </w:pPr>
    </w:p>
    <w:p w:rsidR="00AA4CC4" w:rsidRDefault="00E576B4" w:rsidP="00E576B4">
      <w:pPr>
        <w:pStyle w:val="ListParagraph"/>
        <w:numPr>
          <w:ilvl w:val="0"/>
          <w:numId w:val="1"/>
        </w:numPr>
        <w:ind w:left="0" w:firstLine="0"/>
        <w:jc w:val="both"/>
        <w:rPr>
          <w:u w:val="single"/>
        </w:rPr>
      </w:pPr>
      <w:r>
        <w:lastRenderedPageBreak/>
        <w:t xml:space="preserve"> </w:t>
      </w:r>
      <w:r>
        <w:rPr>
          <w:u w:val="single"/>
        </w:rPr>
        <w:t>Acquisition Adjustment</w:t>
      </w:r>
    </w:p>
    <w:p w:rsidR="00E576B4" w:rsidRDefault="00E576B4" w:rsidP="00E576B4">
      <w:pPr>
        <w:pStyle w:val="ListParagraph"/>
        <w:ind w:left="0"/>
        <w:jc w:val="both"/>
        <w:rPr>
          <w:u w:val="single"/>
        </w:rPr>
      </w:pPr>
    </w:p>
    <w:p w:rsidR="00E576B4" w:rsidRDefault="00E576B4" w:rsidP="00E576B4">
      <w:pPr>
        <w:pStyle w:val="ListParagraph"/>
        <w:numPr>
          <w:ilvl w:val="0"/>
          <w:numId w:val="2"/>
        </w:numPr>
        <w:jc w:val="both"/>
        <w:rPr>
          <w:u w:val="single"/>
        </w:rPr>
      </w:pPr>
      <w:r>
        <w:rPr>
          <w:u w:val="single"/>
        </w:rPr>
        <w:t xml:space="preserve"> Jurisdiction</w:t>
      </w:r>
    </w:p>
    <w:p w:rsidR="00E576B4" w:rsidRPr="00E576B4" w:rsidRDefault="00E576B4" w:rsidP="00E576B4">
      <w:pPr>
        <w:pStyle w:val="ListParagraph"/>
        <w:ind w:left="1080"/>
        <w:jc w:val="both"/>
        <w:rPr>
          <w:u w:val="single"/>
        </w:rPr>
      </w:pPr>
    </w:p>
    <w:p w:rsidR="00E576B4" w:rsidRPr="008038BA" w:rsidRDefault="00E576B4" w:rsidP="00E576B4">
      <w:pPr>
        <w:ind w:firstLine="720"/>
        <w:jc w:val="both"/>
      </w:pPr>
      <w:r w:rsidRPr="008038BA">
        <w:t xml:space="preserve">An acquisition adjustment is the difference between the purchase price paid to acquire a utility asset or group of assets and the depreciated original cost, or net book value, of those assets. A positive acquisition adjustment exists when the purchase price is greater than the net book value (purchase price premium). The approval of a positive acquisition adjustment for rate-making purposes means that a utility can recover the purchase price premium from all of its customers in rates. </w:t>
      </w:r>
      <w:r w:rsidRPr="00DC37CC">
        <w:t>A positive acquisition adjustment is considered goodwill or going-concern value for accounting purposes</w:t>
      </w:r>
      <w:r>
        <w:t>.</w:t>
      </w:r>
      <w:r w:rsidRPr="00DC37CC">
        <w:t xml:space="preserve"> </w:t>
      </w:r>
    </w:p>
    <w:p w:rsidR="00E576B4" w:rsidRPr="008038BA" w:rsidRDefault="00E576B4" w:rsidP="00E576B4">
      <w:pPr>
        <w:jc w:val="both"/>
      </w:pPr>
    </w:p>
    <w:p w:rsidR="00E576B4" w:rsidRDefault="00E576B4" w:rsidP="00E576B4">
      <w:pPr>
        <w:ind w:firstLine="720"/>
        <w:jc w:val="both"/>
      </w:pPr>
      <w:r w:rsidRPr="00354C3F">
        <w:t xml:space="preserve">Because an acquisition adjustment affects customer rates, </w:t>
      </w:r>
      <w:r>
        <w:t>we have</w:t>
      </w:r>
      <w:r w:rsidRPr="00354C3F">
        <w:t xml:space="preserve"> jurisdiction under</w:t>
      </w:r>
      <w:r>
        <w:t xml:space="preserve"> </w:t>
      </w:r>
      <w:r w:rsidRPr="00165B04">
        <w:t xml:space="preserve">several sections of Chapter 366, F.S. </w:t>
      </w:r>
      <w:r w:rsidRPr="00354C3F">
        <w:t xml:space="preserve">Section 366.04(1), F.S., grants </w:t>
      </w:r>
      <w:r>
        <w:t>us</w:t>
      </w:r>
      <w:r w:rsidRPr="00354C3F">
        <w:t xml:space="preserve"> exclusive jurisdiction to regulate and supervise each public utility with respect to its rates and service. In addition, Section 366.041, F.S., authorizes </w:t>
      </w:r>
      <w:r>
        <w:t>us</w:t>
      </w:r>
      <w:r w:rsidRPr="00354C3F">
        <w:t xml:space="preserve"> to consider, among other things in fixing rates, the cost of providing service and the value of such service to the public</w:t>
      </w:r>
      <w:r>
        <w:t>.</w:t>
      </w:r>
      <w:r w:rsidRPr="00354C3F">
        <w:t xml:space="preserve"> Section 366.06(1), F.S., provides that, in setting rates, </w:t>
      </w:r>
      <w:r>
        <w:t>we</w:t>
      </w:r>
      <w:r w:rsidRPr="00354C3F">
        <w:t xml:space="preserve"> shall investigate and determine the actual legitimate costs of the property of each utility company actually used and useful in the public service. Section 366.05, F.S., gives </w:t>
      </w:r>
      <w:r>
        <w:t>us</w:t>
      </w:r>
      <w:r w:rsidRPr="00354C3F">
        <w:t xml:space="preserve"> the power to prescribe fair and reasonable rates and charges. The Legislature declared in Section 366.01, F.S., that Chapter 366, F.S., is an exercise of the police power of the state for the protection of the public welfare, and all the provisions of Chapter 366, F.S., shall be liberally construed for the accomplishment of that purpose.</w:t>
      </w:r>
      <w:r w:rsidRPr="008038BA">
        <w:t xml:space="preserve"> </w:t>
      </w:r>
    </w:p>
    <w:p w:rsidR="00E576B4" w:rsidRDefault="00E576B4" w:rsidP="00E576B4">
      <w:pPr>
        <w:jc w:val="both"/>
      </w:pPr>
    </w:p>
    <w:p w:rsidR="00AA4CC4" w:rsidRDefault="00E576B4" w:rsidP="00E576B4">
      <w:pPr>
        <w:ind w:firstLine="720"/>
        <w:jc w:val="both"/>
      </w:pPr>
      <w:r w:rsidRPr="00200CCD">
        <w:rPr>
          <w:rFonts w:cstheme="minorHAnsi"/>
        </w:rPr>
        <w:t xml:space="preserve">Section 366.06, F.S., states that the net investment of each public utility used for ratemaking “shall not include any goodwill or going-concern value or franchise value in excess of payment made therefor.” CAIRC argues that </w:t>
      </w:r>
      <w:r>
        <w:rPr>
          <w:rFonts w:cstheme="minorHAnsi"/>
        </w:rPr>
        <w:t>we do</w:t>
      </w:r>
      <w:r w:rsidRPr="00200CCD">
        <w:rPr>
          <w:rFonts w:cstheme="minorHAnsi"/>
        </w:rPr>
        <w:t xml:space="preserve"> not have jurisdiction to approve positive acquisition adjustments because Section 366.06, F.S., prohibits </w:t>
      </w:r>
      <w:r>
        <w:rPr>
          <w:rFonts w:cstheme="minorHAnsi"/>
        </w:rPr>
        <w:t>us</w:t>
      </w:r>
      <w:r w:rsidRPr="00200CCD">
        <w:rPr>
          <w:rFonts w:cstheme="minorHAnsi"/>
        </w:rPr>
        <w:t xml:space="preserve"> from approving an acquisition adjustment. </w:t>
      </w:r>
      <w:r w:rsidRPr="00200CCD">
        <w:t xml:space="preserve">FPL witness Deason testified that Section 366.06, F.S., only prohibits the inclusion of goodwill or going concern value to the extent it exceeds payments made by the acquiring utility.  He further testified that Section 366.06, F.S., does not prohibit </w:t>
      </w:r>
      <w:r w:rsidR="002144CA">
        <w:t>us</w:t>
      </w:r>
      <w:r w:rsidRPr="00200CCD">
        <w:t xml:space="preserve"> from exercising jurisdiction to approve the acquisition adjustment based on the purchase price.  In this case, the acquisition adjustment is part of the total purchase price. </w:t>
      </w:r>
      <w:r w:rsidR="002144CA">
        <w:t>We agree</w:t>
      </w:r>
      <w:r w:rsidRPr="00200CCD">
        <w:t xml:space="preserve"> with witness Deason</w:t>
      </w:r>
      <w:r w:rsidRPr="00200CCD">
        <w:rPr>
          <w:rFonts w:cstheme="minorHAnsi"/>
        </w:rPr>
        <w:t xml:space="preserve"> that Section 366.06, F.S., does not prohibit </w:t>
      </w:r>
      <w:r w:rsidR="002144CA">
        <w:rPr>
          <w:rFonts w:cstheme="minorHAnsi"/>
        </w:rPr>
        <w:t>us</w:t>
      </w:r>
      <w:r w:rsidRPr="00200CCD">
        <w:rPr>
          <w:rFonts w:cstheme="minorHAnsi"/>
        </w:rPr>
        <w:t xml:space="preserve"> from approving the acquisition adjustment requested by FPL in this case. </w:t>
      </w:r>
      <w:r w:rsidRPr="00200CCD">
        <w:t xml:space="preserve">FPL is not requesting, and </w:t>
      </w:r>
      <w:r w:rsidR="002144CA">
        <w:t>we do no</w:t>
      </w:r>
      <w:r w:rsidRPr="00200CCD">
        <w:t xml:space="preserve">t have jurisdiction over, approval of the transfer of the City’s electric utility assets to FPL. </w:t>
      </w:r>
      <w:r w:rsidR="002144CA">
        <w:t>We</w:t>
      </w:r>
      <w:r w:rsidRPr="00200CCD">
        <w:t xml:space="preserve"> find that </w:t>
      </w:r>
      <w:r w:rsidR="002144CA">
        <w:t>we have</w:t>
      </w:r>
      <w:r w:rsidRPr="00200CCD">
        <w:t xml:space="preserve"> jurisdiction under</w:t>
      </w:r>
      <w:r>
        <w:t xml:space="preserve"> </w:t>
      </w:r>
      <w:r w:rsidR="002144CA">
        <w:t>our</w:t>
      </w:r>
      <w:r>
        <w:t xml:space="preserve"> broad ratemaking authority pursuant to</w:t>
      </w:r>
      <w:r w:rsidRPr="00200CCD">
        <w:t xml:space="preserve"> Sections 366.04(1), 366.041, 366.05, </w:t>
      </w:r>
      <w:r>
        <w:t xml:space="preserve">and </w:t>
      </w:r>
      <w:r w:rsidRPr="00200CCD">
        <w:t>366.06, F.S., to decide whether to approve the acquisition adjustment requested by FPL.</w:t>
      </w:r>
    </w:p>
    <w:p w:rsidR="00292C61" w:rsidRDefault="00292C61" w:rsidP="00E576B4">
      <w:pPr>
        <w:ind w:firstLine="720"/>
        <w:jc w:val="both"/>
      </w:pPr>
    </w:p>
    <w:p w:rsidR="00292C61" w:rsidRDefault="00292C61" w:rsidP="00E576B4">
      <w:pPr>
        <w:ind w:firstLine="720"/>
        <w:jc w:val="both"/>
      </w:pPr>
    </w:p>
    <w:p w:rsidR="00292C61" w:rsidRDefault="00292C61" w:rsidP="00E576B4">
      <w:pPr>
        <w:ind w:firstLine="720"/>
        <w:jc w:val="both"/>
      </w:pPr>
    </w:p>
    <w:p w:rsidR="00292C61" w:rsidRDefault="00292C61" w:rsidP="00E576B4">
      <w:pPr>
        <w:ind w:firstLine="720"/>
        <w:jc w:val="both"/>
      </w:pPr>
    </w:p>
    <w:p w:rsidR="00292C61" w:rsidRDefault="00292C61" w:rsidP="00E576B4">
      <w:pPr>
        <w:ind w:firstLine="720"/>
        <w:jc w:val="both"/>
      </w:pPr>
    </w:p>
    <w:p w:rsidR="00292C61" w:rsidRDefault="00292C61" w:rsidP="00E576B4">
      <w:pPr>
        <w:ind w:firstLine="720"/>
        <w:jc w:val="both"/>
      </w:pPr>
    </w:p>
    <w:p w:rsidR="00BA58AE" w:rsidRDefault="00BA58AE" w:rsidP="00E576B4">
      <w:pPr>
        <w:ind w:firstLine="720"/>
        <w:jc w:val="both"/>
      </w:pPr>
    </w:p>
    <w:p w:rsidR="00AA4CC4" w:rsidRPr="002144CA" w:rsidRDefault="002144CA" w:rsidP="002144CA">
      <w:pPr>
        <w:pStyle w:val="ListParagraph"/>
        <w:numPr>
          <w:ilvl w:val="0"/>
          <w:numId w:val="2"/>
        </w:numPr>
        <w:jc w:val="both"/>
        <w:rPr>
          <w:u w:val="single"/>
        </w:rPr>
      </w:pPr>
      <w:r>
        <w:lastRenderedPageBreak/>
        <w:t xml:space="preserve"> </w:t>
      </w:r>
      <w:r w:rsidRPr="002144CA">
        <w:rPr>
          <w:u w:val="single"/>
        </w:rPr>
        <w:t>Extraordinary Circumstances</w:t>
      </w:r>
    </w:p>
    <w:p w:rsidR="001549A2" w:rsidRDefault="001549A2" w:rsidP="002144CA">
      <w:pPr>
        <w:ind w:firstLine="720"/>
        <w:jc w:val="both"/>
      </w:pPr>
    </w:p>
    <w:p w:rsidR="006326AB" w:rsidRDefault="002144CA" w:rsidP="002144CA">
      <w:pPr>
        <w:ind w:firstLine="720"/>
        <w:jc w:val="both"/>
      </w:pPr>
      <w:r>
        <w:t xml:space="preserve">The only previous order in which we </w:t>
      </w:r>
      <w:r w:rsidRPr="008038BA">
        <w:t xml:space="preserve">approved a positive acquisition adjustment in the electric industry </w:t>
      </w:r>
      <w:r>
        <w:t>was in the FPC/Sebring case</w:t>
      </w:r>
      <w:r w:rsidRPr="008038BA">
        <w:t>.</w:t>
      </w:r>
      <w:r w:rsidR="006B54C3">
        <w:rPr>
          <w:rStyle w:val="FootnoteReference"/>
        </w:rPr>
        <w:footnoteReference w:id="7"/>
      </w:r>
      <w:r>
        <w:t xml:space="preserve"> </w:t>
      </w:r>
      <w:r w:rsidRPr="008038BA">
        <w:t xml:space="preserve">In </w:t>
      </w:r>
      <w:r>
        <w:t xml:space="preserve">that case, when </w:t>
      </w:r>
      <w:r w:rsidRPr="008038BA">
        <w:t xml:space="preserve">deciding whether to allow a positive acquisition adjustment for an electric utility purchase, </w:t>
      </w:r>
      <w:r>
        <w:t>we</w:t>
      </w:r>
      <w:r w:rsidRPr="008038BA">
        <w:t xml:space="preserve"> first evaluated the specific facts and circumstances to determine whether there were extraordinar</w:t>
      </w:r>
      <w:r>
        <w:t>y circumstances that warranted consideration</w:t>
      </w:r>
      <w:r w:rsidRPr="008038BA">
        <w:t xml:space="preserve"> of a positive acquisition adjustment.</w:t>
      </w:r>
      <w:r w:rsidRPr="008038BA">
        <w:rPr>
          <w:vertAlign w:val="superscript"/>
        </w:rPr>
        <w:footnoteReference w:id="8"/>
      </w:r>
      <w:r>
        <w:t xml:space="preserve"> As explained in the</w:t>
      </w:r>
      <w:r w:rsidRPr="008038BA">
        <w:t xml:space="preserve"> FP</w:t>
      </w:r>
      <w:r>
        <w:t>C</w:t>
      </w:r>
      <w:r w:rsidRPr="008038BA">
        <w:t>/Sebring Order, and as recognized by FPL witness Deason</w:t>
      </w:r>
      <w:r>
        <w:t xml:space="preserve"> in th</w:t>
      </w:r>
      <w:r w:rsidR="006B54C3">
        <w:t>e</w:t>
      </w:r>
      <w:r>
        <w:t xml:space="preserve"> instant case</w:t>
      </w:r>
      <w:r w:rsidRPr="008038BA">
        <w:t>, when one utility purchases another utility, a purchase price premium should be disallowed unless</w:t>
      </w:r>
      <w:r>
        <w:t xml:space="preserve"> it is shown that</w:t>
      </w:r>
      <w:r w:rsidRPr="008038BA">
        <w:t xml:space="preserve"> extraordinary circumstances </w:t>
      </w:r>
      <w:r>
        <w:t xml:space="preserve">exist such that consideration of </w:t>
      </w:r>
      <w:r w:rsidRPr="008038BA">
        <w:t>an acquisition adjustment</w:t>
      </w:r>
      <w:r>
        <w:t xml:space="preserve"> would be appropriate</w:t>
      </w:r>
      <w:r w:rsidRPr="008038BA">
        <w:t>.</w:t>
      </w:r>
      <w:r w:rsidRPr="008038BA">
        <w:rPr>
          <w:vertAlign w:val="superscript"/>
        </w:rPr>
        <w:footnoteReference w:id="9"/>
      </w:r>
      <w:r w:rsidRPr="008038BA">
        <w:t xml:space="preserve"> </w:t>
      </w:r>
      <w:r>
        <w:t>We agree</w:t>
      </w:r>
      <w:r w:rsidRPr="008038BA">
        <w:t xml:space="preserve"> with OPC witness Kollen that this policy protects customers from utilities acquiring assets at inflated prices and provides incentive for utilities to minimize any acquisition costs in excess of the net book value of </w:t>
      </w:r>
      <w:r>
        <w:t xml:space="preserve">the acquired </w:t>
      </w:r>
      <w:r w:rsidRPr="008038BA">
        <w:t xml:space="preserve">assets. </w:t>
      </w:r>
    </w:p>
    <w:p w:rsidR="006326AB" w:rsidRDefault="006326AB" w:rsidP="002144CA">
      <w:pPr>
        <w:ind w:firstLine="720"/>
        <w:jc w:val="both"/>
      </w:pPr>
    </w:p>
    <w:p w:rsidR="002144CA" w:rsidRPr="002144CA" w:rsidRDefault="006B54C3" w:rsidP="002144CA">
      <w:pPr>
        <w:ind w:firstLine="720"/>
        <w:jc w:val="both"/>
      </w:pPr>
      <w:r>
        <w:t>T</w:t>
      </w:r>
      <w:r w:rsidR="006326AB" w:rsidRPr="00354C3F">
        <w:t>he basic analy</w:t>
      </w:r>
      <w:r w:rsidR="006326AB">
        <w:t>tical framework</w:t>
      </w:r>
      <w:r w:rsidR="006326AB" w:rsidRPr="00354C3F">
        <w:t xml:space="preserve"> used in the FPC/Sebring Order should be applied in this case. That is, </w:t>
      </w:r>
      <w:r w:rsidR="006326AB">
        <w:t>we</w:t>
      </w:r>
      <w:r w:rsidR="006326AB" w:rsidRPr="00354C3F">
        <w:t xml:space="preserve"> should first determine whether extraordinary circumstances exist that would support </w:t>
      </w:r>
      <w:r w:rsidR="006326AB">
        <w:t>consideration</w:t>
      </w:r>
      <w:r w:rsidR="006326AB" w:rsidRPr="00354C3F">
        <w:t xml:space="preserve"> of an acquisition adjustment. If </w:t>
      </w:r>
      <w:r w:rsidR="006326AB">
        <w:t>we find</w:t>
      </w:r>
      <w:r w:rsidR="006326AB" w:rsidRPr="00354C3F">
        <w:t xml:space="preserve"> that such extraordinary circumstances do exist, </w:t>
      </w:r>
      <w:r w:rsidR="006326AB">
        <w:t>we</w:t>
      </w:r>
      <w:r w:rsidR="006326AB" w:rsidRPr="00354C3F">
        <w:t xml:space="preserve"> then would determine the appropriateness of</w:t>
      </w:r>
      <w:r w:rsidR="006326AB">
        <w:t xml:space="preserve"> such</w:t>
      </w:r>
      <w:r w:rsidR="006326AB" w:rsidRPr="00354C3F">
        <w:t xml:space="preserve"> a p</w:t>
      </w:r>
      <w:r w:rsidR="006326AB">
        <w:t xml:space="preserve">ositive acquisition adjustment. </w:t>
      </w:r>
    </w:p>
    <w:p w:rsidR="002144CA" w:rsidRPr="002144CA" w:rsidRDefault="002144CA" w:rsidP="002144CA">
      <w:pPr>
        <w:autoSpaceDE w:val="0"/>
        <w:autoSpaceDN w:val="0"/>
        <w:adjustRightInd w:val="0"/>
        <w:jc w:val="both"/>
        <w:rPr>
          <w:rFonts w:cs="Calibri"/>
        </w:rPr>
      </w:pPr>
    </w:p>
    <w:p w:rsidR="0096363C" w:rsidRDefault="002144CA" w:rsidP="0096363C">
      <w:pPr>
        <w:autoSpaceDE w:val="0"/>
        <w:autoSpaceDN w:val="0"/>
        <w:adjustRightInd w:val="0"/>
        <w:ind w:firstLine="720"/>
        <w:jc w:val="both"/>
        <w:rPr>
          <w:rFonts w:cs="Calibri"/>
        </w:rPr>
      </w:pPr>
      <w:r w:rsidRPr="002144CA">
        <w:rPr>
          <w:rFonts w:cs="Calibri"/>
        </w:rPr>
        <w:t xml:space="preserve">FPL witness Deason testified that there were nine customer benefits of FPL’s purchase of the COVB electric utility that could be considered extraordinary circumstances supporting an acquisition adjustment. </w:t>
      </w:r>
      <w:r w:rsidR="0096363C">
        <w:rPr>
          <w:rFonts w:cs="Calibri"/>
        </w:rPr>
        <w:t>Although we find</w:t>
      </w:r>
      <w:r w:rsidR="0096363C" w:rsidRPr="002144CA">
        <w:rPr>
          <w:rFonts w:cs="Calibri"/>
        </w:rPr>
        <w:t xml:space="preserve"> that extraordinary circumstances exist that support consideration of a positive acquisition adjustment,</w:t>
      </w:r>
      <w:r w:rsidR="0096363C">
        <w:rPr>
          <w:rFonts w:cs="Calibri"/>
        </w:rPr>
        <w:t xml:space="preserve"> we disagree, </w:t>
      </w:r>
      <w:r w:rsidR="0096363C" w:rsidRPr="002144CA">
        <w:rPr>
          <w:rFonts w:cs="Calibri"/>
        </w:rPr>
        <w:t>in part</w:t>
      </w:r>
      <w:r w:rsidR="0096363C">
        <w:rPr>
          <w:rFonts w:cs="Calibri"/>
        </w:rPr>
        <w:t>,</w:t>
      </w:r>
      <w:r w:rsidR="0096363C" w:rsidRPr="002144CA">
        <w:rPr>
          <w:rFonts w:cs="Calibri"/>
        </w:rPr>
        <w:t xml:space="preserve"> with FPL’s position on what circumstances in this case are extraordinary, as explained below.</w:t>
      </w:r>
    </w:p>
    <w:p w:rsidR="0096363C" w:rsidRDefault="0096363C" w:rsidP="0096363C">
      <w:pPr>
        <w:autoSpaceDE w:val="0"/>
        <w:autoSpaceDN w:val="0"/>
        <w:adjustRightInd w:val="0"/>
        <w:ind w:firstLine="720"/>
        <w:jc w:val="both"/>
        <w:rPr>
          <w:rFonts w:cs="Calibri"/>
        </w:rPr>
      </w:pPr>
    </w:p>
    <w:p w:rsidR="002144CA" w:rsidRPr="002144CA" w:rsidRDefault="002144CA" w:rsidP="0096363C">
      <w:pPr>
        <w:autoSpaceDE w:val="0"/>
        <w:autoSpaceDN w:val="0"/>
        <w:adjustRightInd w:val="0"/>
        <w:ind w:firstLine="720"/>
        <w:jc w:val="both"/>
      </w:pPr>
      <w:r w:rsidRPr="002144CA">
        <w:t xml:space="preserve">FPL provided a 30-year cumulative present value of revenue requirements (CPVRR) analysis to demonstrate extraordinary circumstances in the form of reduced revenue requirements for FPL customers. FPL witness Deason testified that a CPVRR analysis is a tool to measure and weigh the revenue requirement impacts of competing alternatives. Witness Deason indicated CPVRR analyses have previously been used in need determination proceedings and proceedings related to the buyouts of power purchase agreements. </w:t>
      </w:r>
    </w:p>
    <w:p w:rsidR="002144CA" w:rsidRPr="002144CA" w:rsidRDefault="002144CA" w:rsidP="002144CA">
      <w:pPr>
        <w:autoSpaceDE w:val="0"/>
        <w:autoSpaceDN w:val="0"/>
        <w:adjustRightInd w:val="0"/>
        <w:jc w:val="both"/>
      </w:pPr>
    </w:p>
    <w:p w:rsidR="002144CA" w:rsidRDefault="0096363C" w:rsidP="0096363C">
      <w:pPr>
        <w:autoSpaceDE w:val="0"/>
        <w:autoSpaceDN w:val="0"/>
        <w:adjustRightInd w:val="0"/>
        <w:ind w:firstLine="720"/>
        <w:jc w:val="both"/>
      </w:pPr>
      <w:r>
        <w:t>We</w:t>
      </w:r>
      <w:r w:rsidR="002144CA" w:rsidRPr="002144CA">
        <w:t xml:space="preserve"> acknowledge that CPVRR analyses are often used </w:t>
      </w:r>
      <w:r w:rsidR="00802484">
        <w:t xml:space="preserve">by utilities </w:t>
      </w:r>
      <w:r w:rsidR="002144CA" w:rsidRPr="002144CA">
        <w:t>as a forward-looking decision making tool to evaluate options</w:t>
      </w:r>
      <w:r w:rsidR="00802484">
        <w:t xml:space="preserve"> to assess cost-effectiveness</w:t>
      </w:r>
      <w:r w:rsidR="002144CA" w:rsidRPr="002144CA">
        <w:t xml:space="preserve"> in power plant and transmission line need determination and other proceedings. </w:t>
      </w:r>
      <w:r w:rsidR="00E83599" w:rsidRPr="002144CA">
        <w:t xml:space="preserve">In this case, the CPVRR analysis estimated the revenue requirement impact of FPL acquiring the COVB assets as well as the proposed acquisition adjustment and </w:t>
      </w:r>
      <w:r w:rsidR="00292C61">
        <w:t>power purchase agreement</w:t>
      </w:r>
      <w:r w:rsidR="00E83599" w:rsidRPr="002144CA">
        <w:t xml:space="preserve"> with OUC.</w:t>
      </w:r>
      <w:r w:rsidR="00E83599">
        <w:t xml:space="preserve"> </w:t>
      </w:r>
      <w:r w:rsidR="002144CA" w:rsidRPr="002144CA">
        <w:t xml:space="preserve">However, the record does not show that </w:t>
      </w:r>
      <w:r>
        <w:t>we have</w:t>
      </w:r>
      <w:r w:rsidR="002144CA" w:rsidRPr="002144CA">
        <w:t xml:space="preserve"> ever approved a positive acquisition adjustment based on a CPVRR </w:t>
      </w:r>
      <w:r w:rsidR="002144CA" w:rsidRPr="002144CA">
        <w:lastRenderedPageBreak/>
        <w:t xml:space="preserve">analysis. Further, witness Deason acknowledged that it is within </w:t>
      </w:r>
      <w:r>
        <w:t>our</w:t>
      </w:r>
      <w:r w:rsidR="002144CA" w:rsidRPr="002144CA">
        <w:t xml:space="preserve"> discretion to find in a particular case that customer savings alone may not be sufficient to demonstrate extraordinary circumstances. </w:t>
      </w:r>
    </w:p>
    <w:p w:rsidR="001549A2" w:rsidRPr="002144CA" w:rsidRDefault="001549A2" w:rsidP="0096363C">
      <w:pPr>
        <w:autoSpaceDE w:val="0"/>
        <w:autoSpaceDN w:val="0"/>
        <w:adjustRightInd w:val="0"/>
        <w:ind w:firstLine="720"/>
        <w:jc w:val="both"/>
      </w:pPr>
    </w:p>
    <w:p w:rsidR="002144CA" w:rsidRPr="002144CA" w:rsidRDefault="002144CA" w:rsidP="0096363C">
      <w:pPr>
        <w:autoSpaceDE w:val="0"/>
        <w:autoSpaceDN w:val="0"/>
        <w:adjustRightInd w:val="0"/>
        <w:ind w:firstLine="720"/>
        <w:jc w:val="both"/>
      </w:pPr>
      <w:r w:rsidRPr="002144CA">
        <w:rPr>
          <w:rFonts w:cs="Calibri"/>
        </w:rPr>
        <w:t xml:space="preserve">Likewise, the rate disparity between COVB and FPL does not constitute an extraordinary circumstance that can support consideration of a positive acquisition adjustment. </w:t>
      </w:r>
      <w:r w:rsidRPr="002144CA">
        <w:t>Unlike the FPC/Sebring case where the acquired utility was in serious financial distress resulting in the highest electric rates in the state that were in jeopardy of becoming even higher,</w:t>
      </w:r>
      <w:r w:rsidRPr="002144CA">
        <w:rPr>
          <w:vertAlign w:val="superscript"/>
        </w:rPr>
        <w:footnoteReference w:id="10"/>
      </w:r>
      <w:r w:rsidRPr="002144CA">
        <w:t xml:space="preserve"> the evidence shows that the COVB utility is financially sound. </w:t>
      </w:r>
    </w:p>
    <w:p w:rsidR="002144CA" w:rsidRPr="002144CA" w:rsidRDefault="002144CA" w:rsidP="002144CA">
      <w:pPr>
        <w:autoSpaceDE w:val="0"/>
        <w:autoSpaceDN w:val="0"/>
        <w:adjustRightInd w:val="0"/>
        <w:jc w:val="both"/>
      </w:pPr>
    </w:p>
    <w:p w:rsidR="002144CA" w:rsidRPr="002144CA" w:rsidRDefault="002144CA" w:rsidP="0096363C">
      <w:pPr>
        <w:autoSpaceDE w:val="0"/>
        <w:autoSpaceDN w:val="0"/>
        <w:adjustRightInd w:val="0"/>
        <w:ind w:firstLine="720"/>
        <w:jc w:val="both"/>
      </w:pPr>
      <w:r w:rsidRPr="002144CA">
        <w:rPr>
          <w:rFonts w:cs="Calibri"/>
        </w:rPr>
        <w:t xml:space="preserve">Electric utility customers cannot choose between electricity providers based on which provider has the lower rates. </w:t>
      </w:r>
      <w:r w:rsidRPr="002144CA">
        <w:rPr>
          <w:rFonts w:cs="Calibri"/>
          <w:i/>
        </w:rPr>
        <w:t>AmeriSteel Corp. v. Clark</w:t>
      </w:r>
      <w:r w:rsidRPr="002144CA">
        <w:rPr>
          <w:rFonts w:cs="Calibri"/>
        </w:rPr>
        <w:t xml:space="preserve">, 691 So. 2d 473, 477 (Fla 1997) (Even a significant price differential in electric rates between two electricity providers does not give a customer a substantial interest in the outcome of a proceeding on a proposed territorial agreement). It is established law that “[a]n individual has no organic, economic or political right to service by a particular utility merely because he deems it advantageous to himself.” </w:t>
      </w:r>
      <w:r w:rsidRPr="002144CA">
        <w:rPr>
          <w:rFonts w:cs="Calibri"/>
          <w:i/>
        </w:rPr>
        <w:t>Story v. Mayo</w:t>
      </w:r>
      <w:r w:rsidRPr="002144CA">
        <w:rPr>
          <w:rFonts w:cs="Calibri"/>
        </w:rPr>
        <w:t>,</w:t>
      </w:r>
      <w:r w:rsidRPr="002144CA">
        <w:rPr>
          <w:rFonts w:cs="Calibri"/>
          <w:i/>
        </w:rPr>
        <w:t xml:space="preserve"> </w:t>
      </w:r>
      <w:r w:rsidRPr="002144CA">
        <w:rPr>
          <w:rFonts w:cs="Calibri"/>
        </w:rPr>
        <w:t xml:space="preserve">217 So. 2d 304, 307 (Fla. 1968), </w:t>
      </w:r>
      <w:r w:rsidRPr="002144CA">
        <w:rPr>
          <w:rFonts w:cs="Calibri"/>
          <w:i/>
        </w:rPr>
        <w:t>cert. denied</w:t>
      </w:r>
      <w:r w:rsidRPr="002144CA">
        <w:rPr>
          <w:rFonts w:cs="Calibri"/>
        </w:rPr>
        <w:t xml:space="preserve">, 395 U.S. 909 (1969). In the exercise of </w:t>
      </w:r>
      <w:r w:rsidR="006B54C3">
        <w:rPr>
          <w:rFonts w:cs="Calibri"/>
        </w:rPr>
        <w:t>our</w:t>
      </w:r>
      <w:r w:rsidRPr="002144CA">
        <w:rPr>
          <w:rFonts w:cs="Calibri"/>
        </w:rPr>
        <w:t xml:space="preserve"> jurisdiction over territorial agreements, larger policies are at stake than one customer’s self-interest. </w:t>
      </w:r>
      <w:r w:rsidRPr="002144CA">
        <w:rPr>
          <w:rFonts w:cs="Calibri"/>
          <w:i/>
        </w:rPr>
        <w:t>Lee County Electric Co-op v. Marks,</w:t>
      </w:r>
      <w:r w:rsidRPr="002144CA">
        <w:rPr>
          <w:rFonts w:cs="Calibri"/>
        </w:rPr>
        <w:t xml:space="preserve"> 501 So. 2d 585, 587 (Fla. 1987). </w:t>
      </w:r>
      <w:r w:rsidRPr="002144CA">
        <w:t>If customers are permitted to allege extraordinary circumstances because they pay higher rates than the rates charged by another electricity provider, then every other person or entity in Florida would have grounds to argue they too are entitled to be served by a different electricity provider with lower rates.</w:t>
      </w:r>
    </w:p>
    <w:p w:rsidR="002144CA" w:rsidRPr="002144CA" w:rsidRDefault="002144CA" w:rsidP="002144CA">
      <w:pPr>
        <w:autoSpaceDE w:val="0"/>
        <w:autoSpaceDN w:val="0"/>
        <w:adjustRightInd w:val="0"/>
        <w:jc w:val="both"/>
      </w:pPr>
    </w:p>
    <w:p w:rsidR="002144CA" w:rsidRPr="002144CA" w:rsidRDefault="002144CA" w:rsidP="0096363C">
      <w:pPr>
        <w:ind w:firstLine="720"/>
        <w:jc w:val="both"/>
      </w:pPr>
      <w:r w:rsidRPr="002144CA">
        <w:t>Witness Deason testified that approximately 60 percent of COVB’s customers reside outside the City’s municipal borders. This is the largest such percentage in the state of Florida. He testified that these customers feel that they do not have adequate recourse to address or challenge decisions concerning the operations and rates of the COVB utility as currently constituted and have sought recourse through both their local and state-level elected officials</w:t>
      </w:r>
      <w:r w:rsidR="006B54C3">
        <w:t>,</w:t>
      </w:r>
      <w:r w:rsidRPr="002144CA">
        <w:t xml:space="preserve"> the courts</w:t>
      </w:r>
      <w:r w:rsidR="006B54C3">
        <w:t>,</w:t>
      </w:r>
      <w:r w:rsidRPr="002144CA">
        <w:t xml:space="preserve"> and </w:t>
      </w:r>
      <w:r w:rsidR="006B54C3">
        <w:t>with us</w:t>
      </w:r>
      <w:r w:rsidRPr="002144CA">
        <w:t xml:space="preserve">. He further testified that these initiatives have taken place over a long period of time. </w:t>
      </w:r>
    </w:p>
    <w:p w:rsidR="002144CA" w:rsidRPr="002144CA" w:rsidRDefault="002144CA" w:rsidP="002144CA">
      <w:pPr>
        <w:jc w:val="both"/>
      </w:pPr>
    </w:p>
    <w:p w:rsidR="002144CA" w:rsidRPr="002144CA" w:rsidRDefault="002144CA" w:rsidP="00EC5F07">
      <w:pPr>
        <w:ind w:firstLine="720"/>
        <w:jc w:val="both"/>
      </w:pPr>
      <w:r w:rsidRPr="002144CA">
        <w:t xml:space="preserve">There were multiple attempts to address COVB customer dissatisfaction through legislation. Legislation was passed </w:t>
      </w:r>
      <w:r w:rsidR="00882CC1">
        <w:t>amending</w:t>
      </w:r>
      <w:r w:rsidR="00F1354B">
        <w:t xml:space="preserve"> Section 366.04(7), F.S., </w:t>
      </w:r>
      <w:r w:rsidRPr="002144CA">
        <w:t xml:space="preserve">in 2008 that required a municipal electric utility meeting certain criteria to conduct a referendum of its customers on the question of whether a separate electric utility authority should be created </w:t>
      </w:r>
      <w:r w:rsidR="00882CC1">
        <w:t>to operate the business of the C</w:t>
      </w:r>
      <w:r w:rsidRPr="002144CA">
        <w:t xml:space="preserve">ity’s electric utility. COVB did not conduct a referendum because it alleged that it did not meet the criteria that would require it to conduct a referendum. Further attempts to pass legislation to address the concerns of COVB electric customers living outside the City failed in 2010 (HB 725/SB 2632; HB 1397); 2011 (HB 899); 2013 (HB 733/SB 1620); 2014 (HB 813/SB 1248; HB 861/SB 1294); 2015 (HB 773; HB 337/SB 442); and 2016 (HB 5790/SB 840).  In addition, two voter referenda were held that showed that COVB customers supported the sale of the COVB electric utility to FPL.    </w:t>
      </w:r>
    </w:p>
    <w:p w:rsidR="002144CA" w:rsidRPr="002144CA" w:rsidRDefault="002144CA" w:rsidP="00EC5F07">
      <w:pPr>
        <w:ind w:firstLine="720"/>
        <w:jc w:val="both"/>
      </w:pPr>
      <w:r w:rsidRPr="002144CA">
        <w:lastRenderedPageBreak/>
        <w:t xml:space="preserve">In addition to proposed legislation, multiple petitions were filed with </w:t>
      </w:r>
      <w:r w:rsidR="00EC5F07">
        <w:t>us</w:t>
      </w:r>
      <w:r w:rsidRPr="002144CA">
        <w:t xml:space="preserve"> as far back as 2009,</w:t>
      </w:r>
      <w:r w:rsidRPr="002144CA">
        <w:rPr>
          <w:vertAlign w:val="superscript"/>
        </w:rPr>
        <w:t xml:space="preserve"> </w:t>
      </w:r>
      <w:r w:rsidRPr="002144CA">
        <w:t>some of which resulted in court appeals.</w:t>
      </w:r>
      <w:r w:rsidRPr="002144CA">
        <w:rPr>
          <w:vertAlign w:val="superscript"/>
        </w:rPr>
        <w:footnoteReference w:id="11"/>
      </w:r>
      <w:r w:rsidRPr="002144CA">
        <w:t xml:space="preserve"> More recently, on January 5, 2016, the Town of Indian River Shores filed a petition for declaratory statement that asked </w:t>
      </w:r>
      <w:r w:rsidR="00EC5F07">
        <w:t xml:space="preserve">us </w:t>
      </w:r>
      <w:r w:rsidRPr="002144CA">
        <w:t xml:space="preserve">for a declaration that </w:t>
      </w:r>
      <w:r w:rsidR="00EC5F07">
        <w:t>we lack</w:t>
      </w:r>
      <w:r w:rsidRPr="002144CA">
        <w:t xml:space="preserve"> jurisdiction to interpret Article VIII, Section 2(c), Florida Constitution</w:t>
      </w:r>
      <w:r w:rsidR="00BD116B">
        <w:t>,</w:t>
      </w:r>
      <w:r w:rsidRPr="002144CA">
        <w:t xml:space="preserve"> for purposes of determining whether the Town has a constitutional right to be protected from COVB providing electric service within the Town without the Town’s consent. In response, </w:t>
      </w:r>
      <w:r w:rsidR="00EC5F07">
        <w:t>we</w:t>
      </w:r>
      <w:r w:rsidRPr="002144CA">
        <w:t xml:space="preserve"> issued an order declaring that </w:t>
      </w:r>
      <w:r w:rsidR="00EC5F07">
        <w:t>we have</w:t>
      </w:r>
      <w:r w:rsidRPr="002144CA">
        <w:t xml:space="preserve"> the jurisdiction under Section 366.04, F.S., to determine whether COVB has the authority to continue to provide electric service within the corporate limits of Indian River Shores upon expiration of the franchise agreement and that in a proper proceeding </w:t>
      </w:r>
      <w:r w:rsidR="00EC5F07">
        <w:t>we have</w:t>
      </w:r>
      <w:r w:rsidRPr="002144CA">
        <w:t xml:space="preserve"> the authority to interpret the phrase “as provided by general or special law” as used in Article VIII, Section 2(c), Florida Constitution.</w:t>
      </w:r>
      <w:r w:rsidRPr="002144CA">
        <w:rPr>
          <w:vertAlign w:val="superscript"/>
        </w:rPr>
        <w:footnoteReference w:id="12"/>
      </w:r>
      <w:r w:rsidRPr="002144CA">
        <w:t xml:space="preserve"> </w:t>
      </w:r>
    </w:p>
    <w:p w:rsidR="002144CA" w:rsidRPr="002144CA" w:rsidRDefault="002144CA" w:rsidP="002144CA">
      <w:pPr>
        <w:jc w:val="both"/>
        <w:rPr>
          <w:i/>
        </w:rPr>
      </w:pPr>
    </w:p>
    <w:p w:rsidR="002144CA" w:rsidRPr="002144CA" w:rsidRDefault="002144CA" w:rsidP="00EC5F07">
      <w:pPr>
        <w:ind w:firstLine="720"/>
        <w:jc w:val="both"/>
      </w:pPr>
      <w:r w:rsidRPr="002144CA">
        <w:t xml:space="preserve">On March 4, 2016, Indian River Shores filed a Petition for Modification of Territorial Order Based on Changed Legal Circumstances Emanating from Article VIII, Section 2(c) of the Florida Constitution, requesting </w:t>
      </w:r>
      <w:r w:rsidR="00EC5F07">
        <w:t>that we</w:t>
      </w:r>
      <w:r w:rsidRPr="002144CA">
        <w:t xml:space="preserve"> move the entire Town of Indian River Shores out of COVB’s service area and put it in FPL’s service area. </w:t>
      </w:r>
      <w:r w:rsidR="00EC5F07">
        <w:t>We</w:t>
      </w:r>
      <w:r w:rsidRPr="002144CA">
        <w:t xml:space="preserve"> denied Indian River Shores’ petition by a proposed agency action (PAA) order.</w:t>
      </w:r>
      <w:r w:rsidRPr="002144CA">
        <w:rPr>
          <w:vertAlign w:val="superscript"/>
        </w:rPr>
        <w:footnoteReference w:id="13"/>
      </w:r>
      <w:r w:rsidRPr="002144CA">
        <w:t xml:space="preserve"> The Town of Indian River Shores filed a petition for administrative hearing on the PAA order and COVB filed a cross-petition. However, because FPL and COVB had entered into negotiations for the purchase and sale of the COVB electric utility, Indian River Shores and COVB jointly requested that </w:t>
      </w:r>
      <w:r w:rsidR="00EC5F07">
        <w:t>we</w:t>
      </w:r>
      <w:r w:rsidRPr="002144CA">
        <w:t xml:space="preserve"> hold the proceeding in abeyance pending negotiations and sale of the utility. The docket is currently being held in abeyance for this reason. </w:t>
      </w:r>
    </w:p>
    <w:p w:rsidR="002144CA" w:rsidRPr="002144CA" w:rsidRDefault="002144CA" w:rsidP="002144CA">
      <w:pPr>
        <w:jc w:val="both"/>
        <w:rPr>
          <w:rFonts w:cs="Calibri"/>
        </w:rPr>
      </w:pPr>
    </w:p>
    <w:p w:rsidR="002144CA" w:rsidRPr="002144CA" w:rsidRDefault="002144CA" w:rsidP="00EC5F07">
      <w:pPr>
        <w:spacing w:after="240"/>
        <w:ind w:firstLine="720"/>
        <w:jc w:val="both"/>
        <w:rPr>
          <w:rFonts w:cs="Calibri"/>
        </w:rPr>
      </w:pPr>
      <w:r w:rsidRPr="002144CA">
        <w:t xml:space="preserve">Settlement of disputes by mutual agreement between contending parties is in the public interest. </w:t>
      </w:r>
      <w:r w:rsidRPr="002144CA">
        <w:rPr>
          <w:rFonts w:cs="Calibri"/>
          <w:i/>
        </w:rPr>
        <w:t>See</w:t>
      </w:r>
      <w:r w:rsidRPr="002144CA">
        <w:rPr>
          <w:rFonts w:cs="Calibri"/>
        </w:rPr>
        <w:t xml:space="preserve"> </w:t>
      </w:r>
      <w:r w:rsidRPr="002144CA">
        <w:rPr>
          <w:rFonts w:cs="Calibri"/>
          <w:i/>
        </w:rPr>
        <w:t>AmeriSteel Corp. v. Clark</w:t>
      </w:r>
      <w:r w:rsidRPr="002144CA">
        <w:rPr>
          <w:rFonts w:cs="Calibri"/>
        </w:rPr>
        <w:t>, 691 So. 2d 473, 478 (Fla. 1997).</w:t>
      </w:r>
      <w:r w:rsidRPr="002144CA">
        <w:t xml:space="preserve">  If the PSA closes, including the required approval of the requested acquisition adjustment, the dispute about the territorial agreement between COVB and Indian River Shores that is pending before </w:t>
      </w:r>
      <w:r w:rsidR="00EC5F07">
        <w:t>us</w:t>
      </w:r>
      <w:r w:rsidRPr="002144CA">
        <w:t xml:space="preserve"> would be resolved.  Resolution of this dispute is in the public interest.</w:t>
      </w:r>
      <w:r w:rsidRPr="002144CA">
        <w:rPr>
          <w:rFonts w:cs="Calibri"/>
        </w:rPr>
        <w:t xml:space="preserve"> </w:t>
      </w:r>
    </w:p>
    <w:p w:rsidR="00AA4CC4" w:rsidRDefault="002144CA" w:rsidP="002144CA">
      <w:pPr>
        <w:ind w:firstLine="720"/>
        <w:jc w:val="both"/>
      </w:pPr>
      <w:r w:rsidRPr="002144CA">
        <w:rPr>
          <w:rFonts w:cs="Calibri"/>
        </w:rPr>
        <w:t>The combination of factors</w:t>
      </w:r>
      <w:r w:rsidRPr="002144CA">
        <w:rPr>
          <w:rFonts w:cstheme="minorHAnsi"/>
        </w:rPr>
        <w:t xml:space="preserve"> that support </w:t>
      </w:r>
      <w:r w:rsidR="00EC5F07">
        <w:rPr>
          <w:rFonts w:cstheme="minorHAnsi"/>
        </w:rPr>
        <w:t>our</w:t>
      </w:r>
      <w:r w:rsidRPr="002144CA">
        <w:rPr>
          <w:rFonts w:cstheme="minorHAnsi"/>
        </w:rPr>
        <w:t xml:space="preserve"> consideration of a positive acquisition adjustment in this case are that (1) approximately 60 percent of COVB’s electric customers live </w:t>
      </w:r>
      <w:r w:rsidRPr="002144CA">
        <w:rPr>
          <w:rFonts w:cstheme="minorHAnsi"/>
        </w:rPr>
        <w:lastRenderedPageBreak/>
        <w:t>outside COVB’s municipal boundaries; (2) there have been years of complex litigation between these customers and the COVB attempting to transfer these customers from COVB to FPL, including pending Docket No. 160049-EU (presently in abeyance) concerning Indian River Shores’ petition for modification of the COVB/FPL territorial agreement; (3) the customers living outside the municipal boundaries have tried for many years to seek legislative redress for their complaints; and (4) the COVB has had two voter referenda that show that the majority of COVB customers support a sale of the COVB electric utility to FPL</w:t>
      </w:r>
      <w:r w:rsidRPr="002144CA">
        <w:rPr>
          <w:rFonts w:cs="Calibri"/>
        </w:rPr>
        <w:t xml:space="preserve">. </w:t>
      </w:r>
      <w:r w:rsidRPr="002144CA">
        <w:rPr>
          <w:rFonts w:cstheme="minorHAnsi"/>
        </w:rPr>
        <w:t xml:space="preserve">Based upon the totality of the unique and unusual facts listed above, </w:t>
      </w:r>
      <w:r w:rsidR="00EC5F07">
        <w:rPr>
          <w:rFonts w:cstheme="minorHAnsi"/>
        </w:rPr>
        <w:t>we</w:t>
      </w:r>
      <w:r w:rsidRPr="002144CA">
        <w:rPr>
          <w:rFonts w:cstheme="minorHAnsi"/>
        </w:rPr>
        <w:t xml:space="preserve"> find that extraordinary circumstances exist that warrant </w:t>
      </w:r>
      <w:r w:rsidR="00EC5F07">
        <w:rPr>
          <w:rFonts w:cstheme="minorHAnsi"/>
        </w:rPr>
        <w:t>our</w:t>
      </w:r>
      <w:r w:rsidRPr="002144CA">
        <w:rPr>
          <w:rFonts w:cstheme="minorHAnsi"/>
        </w:rPr>
        <w:t xml:space="preserve"> consideration of authorizing a positive acquisition adjustment.</w:t>
      </w:r>
    </w:p>
    <w:p w:rsidR="002144CA" w:rsidRDefault="002144CA" w:rsidP="00AA4CC4">
      <w:pPr>
        <w:ind w:firstLine="720"/>
        <w:jc w:val="both"/>
      </w:pPr>
    </w:p>
    <w:p w:rsidR="002144CA" w:rsidRDefault="002144CA" w:rsidP="002144CA">
      <w:pPr>
        <w:pStyle w:val="ListParagraph"/>
        <w:numPr>
          <w:ilvl w:val="0"/>
          <w:numId w:val="2"/>
        </w:numPr>
        <w:jc w:val="both"/>
        <w:rPr>
          <w:u w:val="single"/>
        </w:rPr>
      </w:pPr>
      <w:r>
        <w:t xml:space="preserve"> </w:t>
      </w:r>
      <w:r w:rsidRPr="002144CA">
        <w:rPr>
          <w:u w:val="single"/>
        </w:rPr>
        <w:t>Positive Acquisition Adjustment</w:t>
      </w:r>
    </w:p>
    <w:p w:rsidR="002144CA" w:rsidRDefault="002144CA" w:rsidP="002144CA">
      <w:pPr>
        <w:jc w:val="both"/>
        <w:rPr>
          <w:u w:val="single"/>
        </w:rPr>
      </w:pPr>
    </w:p>
    <w:p w:rsidR="002144CA" w:rsidRPr="00354C3F" w:rsidRDefault="006326AB" w:rsidP="006326AB">
      <w:pPr>
        <w:ind w:firstLine="720"/>
        <w:jc w:val="both"/>
      </w:pPr>
      <w:r w:rsidRPr="00FC7366">
        <w:t xml:space="preserve">As discussed </w:t>
      </w:r>
      <w:r>
        <w:t>above</w:t>
      </w:r>
      <w:r w:rsidRPr="00FC7366">
        <w:t>, the record shows that extraordinary circumstances exist that would support consideration of the appropriateness of a positive acquisition adjustment.</w:t>
      </w:r>
      <w:r>
        <w:t xml:space="preserve"> </w:t>
      </w:r>
      <w:r w:rsidR="00B50D3A">
        <w:t>The Commission has great discretion in determining what action to take with respect to the requested acquisition adjustment, and may take any action supported by law and evidence of record, including alternatives to the requested acquisition adjustment.</w:t>
      </w:r>
      <w:r w:rsidR="008D4F65">
        <w:t xml:space="preserve"> </w:t>
      </w:r>
      <w:r w:rsidR="00B50D3A">
        <w:t xml:space="preserve"> </w:t>
      </w:r>
      <w:r w:rsidR="002144CA" w:rsidRPr="00354C3F">
        <w:t xml:space="preserve">In the FPC/Sebring Order, after finding that extraordinary circumstances existed, </w:t>
      </w:r>
      <w:r>
        <w:t>we</w:t>
      </w:r>
      <w:r w:rsidR="002144CA" w:rsidRPr="00354C3F">
        <w:t xml:space="preserve"> next considered approval of a positive acquisition adjustment.  In doing so, </w:t>
      </w:r>
      <w:r>
        <w:t>we</w:t>
      </w:r>
      <w:r w:rsidR="002144CA" w:rsidRPr="00354C3F">
        <w:t xml:space="preserve"> stated:</w:t>
      </w:r>
    </w:p>
    <w:p w:rsidR="002144CA" w:rsidRPr="00354C3F" w:rsidRDefault="002144CA" w:rsidP="002144CA">
      <w:pPr>
        <w:autoSpaceDE w:val="0"/>
        <w:autoSpaceDN w:val="0"/>
        <w:adjustRightInd w:val="0"/>
        <w:jc w:val="both"/>
      </w:pPr>
    </w:p>
    <w:p w:rsidR="002144CA" w:rsidRPr="00354C3F" w:rsidRDefault="002144CA" w:rsidP="002144CA">
      <w:pPr>
        <w:autoSpaceDE w:val="0"/>
        <w:autoSpaceDN w:val="0"/>
        <w:adjustRightInd w:val="0"/>
        <w:ind w:left="720" w:right="720"/>
        <w:jc w:val="both"/>
      </w:pPr>
      <w:r w:rsidRPr="00354C3F">
        <w:t>In setting rates, the PSC has a two-pronged responsibility:  rates must not only be fair and reasonable to the parties before the PSC, they must also be fair and reasonable to other utility customers who are not directly involved in the proceedings at hand.</w:t>
      </w:r>
      <w:r w:rsidRPr="00354C3F">
        <w:rPr>
          <w:vertAlign w:val="superscript"/>
        </w:rPr>
        <w:footnoteReference w:id="14"/>
      </w:r>
    </w:p>
    <w:p w:rsidR="002144CA" w:rsidRPr="00354C3F" w:rsidRDefault="002144CA" w:rsidP="002144CA">
      <w:pPr>
        <w:autoSpaceDE w:val="0"/>
        <w:autoSpaceDN w:val="0"/>
        <w:adjustRightInd w:val="0"/>
        <w:ind w:left="720" w:right="720"/>
        <w:jc w:val="both"/>
      </w:pPr>
    </w:p>
    <w:p w:rsidR="002144CA" w:rsidRDefault="006326AB" w:rsidP="002144CA">
      <w:pPr>
        <w:spacing w:after="200"/>
        <w:contextualSpacing/>
        <w:jc w:val="both"/>
      </w:pPr>
      <w:r>
        <w:t>Our</w:t>
      </w:r>
      <w:r w:rsidR="002144CA" w:rsidRPr="00354C3F">
        <w:t xml:space="preserve"> decision on whether to approve the requested acquisition adjustment must be in the public interest and must not harm either COVB or FPL electric customers. </w:t>
      </w:r>
      <w:r w:rsidR="002144CA" w:rsidRPr="00354C3F">
        <w:rPr>
          <w:i/>
        </w:rPr>
        <w:t>See</w:t>
      </w:r>
      <w:r w:rsidR="002144CA" w:rsidRPr="00354C3F">
        <w:t xml:space="preserve"> </w:t>
      </w:r>
      <w:r w:rsidR="002144CA" w:rsidRPr="00354C3F">
        <w:rPr>
          <w:i/>
        </w:rPr>
        <w:t>Gulf Coast Elec. Coop. v. Johnson</w:t>
      </w:r>
      <w:r w:rsidR="002144CA" w:rsidRPr="00354C3F">
        <w:t>, 727 So. 2d 259, 264 (Fla. 1999)</w:t>
      </w:r>
      <w:r w:rsidR="002144CA">
        <w:t xml:space="preserve"> </w:t>
      </w:r>
      <w:r w:rsidR="002144CA" w:rsidRPr="00354C3F">
        <w:t xml:space="preserve">(noting that in approving territorial agreements, </w:t>
      </w:r>
      <w:r>
        <w:t>we</w:t>
      </w:r>
      <w:r w:rsidR="002144CA" w:rsidRPr="00354C3F">
        <w:t xml:space="preserve"> must ensure that the agreement works no detriment to the public interest)</w:t>
      </w:r>
      <w:r w:rsidR="00F1354B">
        <w:t xml:space="preserve"> and</w:t>
      </w:r>
      <w:r w:rsidR="002144CA" w:rsidRPr="00354C3F">
        <w:t xml:space="preserve"> </w:t>
      </w:r>
      <w:r w:rsidR="002144CA" w:rsidRPr="00354C3F">
        <w:rPr>
          <w:i/>
        </w:rPr>
        <w:t xml:space="preserve">Utilities Com’n of City of New Smyrna Beach v. Fla. Pub. Serv. Com’n, </w:t>
      </w:r>
      <w:r w:rsidR="002144CA" w:rsidRPr="00354C3F">
        <w:t>469 So. 2d 731, 732-33 (Fla 1985) (stating that any customer transfer in a proposed territorial agreement must not harm the public,</w:t>
      </w:r>
      <w:r w:rsidR="002144CA">
        <w:t xml:space="preserve"> and </w:t>
      </w:r>
      <w:r>
        <w:t>we</w:t>
      </w:r>
      <w:r w:rsidR="002144CA">
        <w:t xml:space="preserve"> should base </w:t>
      </w:r>
      <w:r w:rsidR="00F1354B">
        <w:t>our</w:t>
      </w:r>
      <w:r w:rsidR="002144CA">
        <w:t xml:space="preserve"> decision on the effect the agreement will have on all affected customers</w:t>
      </w:r>
      <w:r w:rsidR="002144CA" w:rsidRPr="00354C3F">
        <w:t>).</w:t>
      </w:r>
    </w:p>
    <w:p w:rsidR="002144CA" w:rsidRDefault="002144CA" w:rsidP="002144CA">
      <w:pPr>
        <w:spacing w:after="200"/>
        <w:contextualSpacing/>
        <w:jc w:val="both"/>
      </w:pPr>
    </w:p>
    <w:p w:rsidR="002144CA" w:rsidRDefault="002144CA" w:rsidP="006326AB">
      <w:pPr>
        <w:spacing w:after="200"/>
        <w:ind w:firstLine="720"/>
        <w:contextualSpacing/>
        <w:jc w:val="both"/>
      </w:pPr>
      <w:r w:rsidRPr="00FC7366">
        <w:t>T</w:t>
      </w:r>
      <w:r w:rsidRPr="00FC7366">
        <w:rPr>
          <w:rFonts w:cs="Calibri"/>
        </w:rPr>
        <w:t>he record shows that upon the closing of the PSA, including the t</w:t>
      </w:r>
      <w:r w:rsidRPr="00FC7366">
        <w:t xml:space="preserve">ermination of the territorial agreement and transfer of COVB customers to FPL, there would be no harm or detriment to the acquired COVB customers. </w:t>
      </w:r>
      <w:r>
        <w:t>For example, w</w:t>
      </w:r>
      <w:r w:rsidRPr="00FC7366">
        <w:t xml:space="preserve">itness Deason provided unrefuted testimony that transfer from COVB to FPL would not result in degradation of COVB customers’ quality of service or reliability. </w:t>
      </w:r>
      <w:r>
        <w:t>Furthermore</w:t>
      </w:r>
      <w:r w:rsidRPr="00FC7366">
        <w:t xml:space="preserve">, bill comparisons between FPL and COVB customers show that a COVB residential customer who becomes an FPL customer who uses 1,000 </w:t>
      </w:r>
      <w:r w:rsidR="00882CC1">
        <w:t>kilowatt-hours (</w:t>
      </w:r>
      <w:r w:rsidRPr="00FC7366">
        <w:t>kWh</w:t>
      </w:r>
      <w:r w:rsidR="00882CC1">
        <w:t>)</w:t>
      </w:r>
      <w:r w:rsidRPr="00FC7366">
        <w:t xml:space="preserve"> would see a bill decrease from $126.10 to $99.37, a decrease of $26.73 or approximately 21.2 percent, based on rates effective March 2018. COVB commercial and industrial customers would also see bill decreases based on usage. </w:t>
      </w:r>
    </w:p>
    <w:p w:rsidR="00D66A2D" w:rsidRDefault="002144CA" w:rsidP="007B272A">
      <w:pPr>
        <w:spacing w:after="200"/>
        <w:ind w:firstLine="720"/>
        <w:contextualSpacing/>
        <w:jc w:val="both"/>
      </w:pPr>
      <w:r>
        <w:lastRenderedPageBreak/>
        <w:t xml:space="preserve">The record also shows that there would be no harm or detriment to the existing FPL customers. </w:t>
      </w:r>
      <w:r w:rsidRPr="00FC7366">
        <w:t xml:space="preserve">The </w:t>
      </w:r>
      <w:r w:rsidR="00BD116B">
        <w:t xml:space="preserve">requested </w:t>
      </w:r>
      <w:r w:rsidRPr="00FC7366">
        <w:t>$114 million</w:t>
      </w:r>
      <w:r w:rsidR="00D66A2D">
        <w:rPr>
          <w:rStyle w:val="FootnoteReference"/>
        </w:rPr>
        <w:footnoteReference w:id="15"/>
      </w:r>
      <w:r w:rsidRPr="00FC7366">
        <w:t xml:space="preserve"> positive acquisition adjustment </w:t>
      </w:r>
      <w:r w:rsidR="00BD116B">
        <w:t>would equate</w:t>
      </w:r>
      <w:r w:rsidRPr="00FC7366">
        <w:t xml:space="preserve"> to an estimated impact of $0.11 per 1,000 kWh on a monthly</w:t>
      </w:r>
      <w:r>
        <w:t xml:space="preserve"> residential bill</w:t>
      </w:r>
      <w:r w:rsidRPr="00825FDE">
        <w:t xml:space="preserve"> </w:t>
      </w:r>
      <w:r>
        <w:t xml:space="preserve">if </w:t>
      </w:r>
      <w:r w:rsidR="00BD116B">
        <w:t xml:space="preserve">it </w:t>
      </w:r>
      <w:r>
        <w:t xml:space="preserve">FPL </w:t>
      </w:r>
      <w:r w:rsidR="00BD116B">
        <w:t xml:space="preserve">were to </w:t>
      </w:r>
      <w:r>
        <w:t xml:space="preserve">include amortization of the positive acquisition adjustment in rates in its next rate proceeding. </w:t>
      </w:r>
      <w:r w:rsidR="006326AB">
        <w:t>We find</w:t>
      </w:r>
      <w:r>
        <w:t xml:space="preserve"> this to be a </w:t>
      </w:r>
      <w:r w:rsidRPr="00DA7190">
        <w:rPr>
          <w:i/>
        </w:rPr>
        <w:t>de minimis</w:t>
      </w:r>
      <w:r>
        <w:t xml:space="preserve"> rate impact</w:t>
      </w:r>
      <w:r w:rsidRPr="004A5C49">
        <w:t xml:space="preserve"> </w:t>
      </w:r>
      <w:r w:rsidR="00D66A2D" w:rsidRPr="00F1354B">
        <w:t xml:space="preserve">that </w:t>
      </w:r>
      <w:r w:rsidRPr="00F1354B">
        <w:t xml:space="preserve">will </w:t>
      </w:r>
      <w:r w:rsidR="00BD116B" w:rsidRPr="00F1354B">
        <w:t>not</w:t>
      </w:r>
      <w:r w:rsidR="00BD116B">
        <w:t xml:space="preserve"> </w:t>
      </w:r>
      <w:r w:rsidRPr="004A5C49">
        <w:t>result in harm or detriment to the public interest</w:t>
      </w:r>
      <w:r>
        <w:t>.</w:t>
      </w:r>
      <w:r w:rsidR="007B272A">
        <w:t xml:space="preserve"> Because</w:t>
      </w:r>
      <w:r>
        <w:t xml:space="preserve"> there </w:t>
      </w:r>
      <w:r w:rsidR="007B272A">
        <w:t>are</w:t>
      </w:r>
      <w:r>
        <w:t xml:space="preserve"> extraordinary circumstances that support consideration of a positive acquisition adjustment and the </w:t>
      </w:r>
      <w:r w:rsidR="00BD116B">
        <w:t xml:space="preserve">requested $114 million </w:t>
      </w:r>
      <w:r>
        <w:t>positive acquisition adjustment w</w:t>
      </w:r>
      <w:r w:rsidR="00BD116B">
        <w:t>ill</w:t>
      </w:r>
      <w:r>
        <w:t xml:space="preserve"> not result in harm or detriment to the public interest, </w:t>
      </w:r>
      <w:r w:rsidR="00BD116B">
        <w:t>we</w:t>
      </w:r>
      <w:r>
        <w:t xml:space="preserve"> approve </w:t>
      </w:r>
      <w:r w:rsidR="00BD116B">
        <w:t>the requested</w:t>
      </w:r>
      <w:r>
        <w:t xml:space="preserve"> positive acquisition adjustment associated with FPL’s purchase of the COVB electric utility system.</w:t>
      </w:r>
      <w:r w:rsidR="00BD116B">
        <w:t xml:space="preserve"> </w:t>
      </w:r>
    </w:p>
    <w:p w:rsidR="00D66A2D" w:rsidRDefault="00D66A2D" w:rsidP="007B272A">
      <w:pPr>
        <w:spacing w:after="200"/>
        <w:ind w:firstLine="720"/>
        <w:contextualSpacing/>
        <w:jc w:val="both"/>
      </w:pPr>
    </w:p>
    <w:p w:rsidR="000253AD" w:rsidRDefault="00D66A2D" w:rsidP="007B272A">
      <w:pPr>
        <w:spacing w:after="200"/>
        <w:ind w:firstLine="720"/>
        <w:contextualSpacing/>
        <w:jc w:val="both"/>
      </w:pPr>
      <w:r>
        <w:t>W</w:t>
      </w:r>
      <w:r w:rsidR="000253AD">
        <w:t>e find th</w:t>
      </w:r>
      <w:r w:rsidR="007B272A">
        <w:t>at</w:t>
      </w:r>
      <w:r w:rsidR="007B272A" w:rsidRPr="00FC01FC">
        <w:t xml:space="preserve"> a positive acquisition adjustment</w:t>
      </w:r>
      <w:r w:rsidR="007B272A">
        <w:t xml:space="preserve"> in the amount of $114 million sh</w:t>
      </w:r>
      <w:r w:rsidR="00BA58AE">
        <w:t>all</w:t>
      </w:r>
      <w:r w:rsidR="007B272A">
        <w:t xml:space="preserve"> be recorded by FPL.</w:t>
      </w:r>
      <w:r w:rsidR="007B272A" w:rsidRPr="00AA31CE">
        <w:rPr>
          <w:color w:val="1F497D"/>
        </w:rPr>
        <w:t xml:space="preserve"> </w:t>
      </w:r>
      <w:r w:rsidR="000253AD" w:rsidRPr="00BB30DE">
        <w:t>T</w:t>
      </w:r>
      <w:r w:rsidR="000253AD">
        <w:t xml:space="preserve">he </w:t>
      </w:r>
      <w:r w:rsidR="00BA58AE">
        <w:t>Federal Energy Regulatory Commission (</w:t>
      </w:r>
      <w:r w:rsidR="000253AD">
        <w:t>FERC</w:t>
      </w:r>
      <w:r w:rsidR="00BA58AE">
        <w:t>)</w:t>
      </w:r>
      <w:r w:rsidR="000253AD">
        <w:t xml:space="preserve"> Uniform System of Accounts (</w:t>
      </w:r>
      <w:r w:rsidR="000253AD" w:rsidRPr="00BB30DE">
        <w:t>USO</w:t>
      </w:r>
      <w:r w:rsidR="000253AD">
        <w:t>A</w:t>
      </w:r>
      <w:r w:rsidR="000253AD" w:rsidRPr="00BB30DE">
        <w:t>) for Account 114 – Electric Plant Acquisition Adjustments (18 C.F.R. 101), requires a positive acquisition adjustment if the cost of the acquired system is greater than original cost less accumulated depreciation (i.e., net book value)</w:t>
      </w:r>
      <w:r w:rsidR="000253AD">
        <w:t xml:space="preserve">. </w:t>
      </w:r>
      <w:r w:rsidR="000253AD" w:rsidRPr="00BB30DE">
        <w:t xml:space="preserve">Consistent with Accounting Standard Codification 980, </w:t>
      </w:r>
      <w:r w:rsidR="000253AD">
        <w:t>FPL sh</w:t>
      </w:r>
      <w:r w:rsidR="00BA58AE">
        <w:t>all</w:t>
      </w:r>
      <w:r w:rsidR="000253AD" w:rsidRPr="00BB30DE">
        <w:t xml:space="preserve"> record amortization expense associated with an acquisition adjustment in Account 406</w:t>
      </w:r>
      <w:r w:rsidR="000253AD">
        <w:t xml:space="preserve"> </w:t>
      </w:r>
      <w:r w:rsidR="000253AD" w:rsidRPr="00CD547C">
        <w:t>over a 30</w:t>
      </w:r>
      <w:r w:rsidR="000253AD">
        <w:t>-year period</w:t>
      </w:r>
      <w:r w:rsidR="000253AD" w:rsidRPr="00BB30DE">
        <w:t xml:space="preserve"> </w:t>
      </w:r>
      <w:r w:rsidR="000253AD">
        <w:t xml:space="preserve">pursuant to the requirements </w:t>
      </w:r>
      <w:r w:rsidR="000253AD" w:rsidRPr="00BB30DE">
        <w:t xml:space="preserve">of both </w:t>
      </w:r>
      <w:r w:rsidR="00882CC1">
        <w:t>generally accepted accounting principles (</w:t>
      </w:r>
      <w:r w:rsidR="000253AD" w:rsidRPr="00BB30DE">
        <w:t>GAAP</w:t>
      </w:r>
      <w:r w:rsidR="00882CC1">
        <w:t>)</w:t>
      </w:r>
      <w:r w:rsidR="000253AD" w:rsidRPr="00BB30DE">
        <w:t xml:space="preserve"> and the </w:t>
      </w:r>
      <w:r w:rsidR="000253AD">
        <w:t>FERC</w:t>
      </w:r>
      <w:r w:rsidR="000253AD" w:rsidRPr="00BB30DE">
        <w:t xml:space="preserve"> USOA</w:t>
      </w:r>
      <w:r w:rsidR="000253AD">
        <w:t xml:space="preserve">. </w:t>
      </w:r>
    </w:p>
    <w:p w:rsidR="000253AD" w:rsidRDefault="000253AD" w:rsidP="007B272A">
      <w:pPr>
        <w:spacing w:after="200"/>
        <w:ind w:firstLine="720"/>
        <w:contextualSpacing/>
        <w:jc w:val="both"/>
      </w:pPr>
    </w:p>
    <w:p w:rsidR="000253AD" w:rsidRDefault="000253AD" w:rsidP="007B272A">
      <w:pPr>
        <w:spacing w:after="200"/>
        <w:ind w:firstLine="720"/>
        <w:contextualSpacing/>
        <w:jc w:val="both"/>
        <w:rPr>
          <w:u w:val="single"/>
        </w:rPr>
      </w:pPr>
      <w:r w:rsidRPr="00A77C4F">
        <w:rPr>
          <w:rFonts w:cstheme="minorHAnsi"/>
        </w:rPr>
        <w:t xml:space="preserve">Historically, </w:t>
      </w:r>
      <w:r>
        <w:rPr>
          <w:rFonts w:cstheme="minorHAnsi"/>
        </w:rPr>
        <w:t>we have</w:t>
      </w:r>
      <w:r w:rsidRPr="00A77C4F">
        <w:rPr>
          <w:rFonts w:cstheme="minorHAnsi"/>
        </w:rPr>
        <w:t xml:space="preserve"> used a future review to evaluate the cost savings</w:t>
      </w:r>
      <w:r>
        <w:rPr>
          <w:rFonts w:cstheme="minorHAnsi"/>
        </w:rPr>
        <w:t xml:space="preserve"> relied upon to support approval</w:t>
      </w:r>
      <w:r w:rsidRPr="00A77C4F">
        <w:rPr>
          <w:rFonts w:cstheme="minorHAnsi"/>
        </w:rPr>
        <w:t xml:space="preserve"> of positive acquisition adjustments and to ensure that the cost savings remain beyond the closing of the case.</w:t>
      </w:r>
      <w:r w:rsidRPr="00A77C4F">
        <w:rPr>
          <w:rStyle w:val="FootnoteReference"/>
          <w:rFonts w:cstheme="minorHAnsi"/>
        </w:rPr>
        <w:footnoteReference w:id="16"/>
      </w:r>
      <w:r w:rsidRPr="00A77C4F">
        <w:rPr>
          <w:rFonts w:cstheme="minorHAnsi"/>
        </w:rPr>
        <w:t xml:space="preserve"> </w:t>
      </w:r>
      <w:r>
        <w:rPr>
          <w:rFonts w:cstheme="minorHAnsi"/>
        </w:rPr>
        <w:t>However</w:t>
      </w:r>
      <w:r w:rsidRPr="00A77C4F">
        <w:rPr>
          <w:rFonts w:cstheme="minorHAnsi"/>
        </w:rPr>
        <w:t xml:space="preserve">, projected cost savings </w:t>
      </w:r>
      <w:r w:rsidR="00292C61">
        <w:rPr>
          <w:rFonts w:cstheme="minorHAnsi"/>
        </w:rPr>
        <w:t>were</w:t>
      </w:r>
      <w:r w:rsidRPr="00A77C4F">
        <w:rPr>
          <w:rFonts w:cstheme="minorHAnsi"/>
        </w:rPr>
        <w:t xml:space="preserve"> not used as the basis to approve a positive acquisition adjustment in this case. Therefore, </w:t>
      </w:r>
      <w:r>
        <w:rPr>
          <w:rFonts w:cstheme="minorHAnsi"/>
        </w:rPr>
        <w:t>we</w:t>
      </w:r>
      <w:r w:rsidRPr="00A77C4F">
        <w:rPr>
          <w:rFonts w:cstheme="minorHAnsi"/>
        </w:rPr>
        <w:t xml:space="preserve"> find that future review of the positive acquisition adjustment is unnecessary and is not required </w:t>
      </w:r>
      <w:r w:rsidR="00802484">
        <w:rPr>
          <w:rFonts w:cstheme="minorHAnsi"/>
        </w:rPr>
        <w:t>here</w:t>
      </w:r>
      <w:r w:rsidRPr="00A77C4F">
        <w:rPr>
          <w:rFonts w:cstheme="minorHAnsi"/>
        </w:rPr>
        <w:t>.</w:t>
      </w:r>
    </w:p>
    <w:p w:rsidR="002144CA" w:rsidRDefault="002144CA" w:rsidP="002144CA">
      <w:pPr>
        <w:jc w:val="both"/>
        <w:rPr>
          <w:u w:val="single"/>
        </w:rPr>
      </w:pPr>
    </w:p>
    <w:p w:rsidR="002144CA" w:rsidRPr="000253AD" w:rsidRDefault="00E05675" w:rsidP="000253AD">
      <w:pPr>
        <w:pStyle w:val="ListParagraph"/>
        <w:numPr>
          <w:ilvl w:val="0"/>
          <w:numId w:val="1"/>
        </w:numPr>
        <w:ind w:left="0" w:firstLine="0"/>
        <w:jc w:val="both"/>
        <w:rPr>
          <w:u w:val="single"/>
        </w:rPr>
      </w:pPr>
      <w:r>
        <w:rPr>
          <w:u w:val="single"/>
        </w:rPr>
        <w:t xml:space="preserve">Power </w:t>
      </w:r>
      <w:r w:rsidR="007B272A" w:rsidRPr="000253AD">
        <w:rPr>
          <w:u w:val="single"/>
        </w:rPr>
        <w:t>Purchase Agreement</w:t>
      </w:r>
    </w:p>
    <w:p w:rsidR="002144CA" w:rsidRDefault="002144CA" w:rsidP="002144CA">
      <w:pPr>
        <w:jc w:val="both"/>
        <w:rPr>
          <w:u w:val="single"/>
        </w:rPr>
      </w:pPr>
    </w:p>
    <w:p w:rsidR="007B272A" w:rsidRPr="002D2BE5" w:rsidRDefault="007B272A" w:rsidP="007B272A">
      <w:pPr>
        <w:spacing w:after="240"/>
        <w:ind w:firstLine="720"/>
        <w:jc w:val="both"/>
        <w:rPr>
          <w:rFonts w:cs="Calibri"/>
        </w:rPr>
      </w:pPr>
      <w:r w:rsidRPr="002D2BE5">
        <w:rPr>
          <w:rFonts w:cs="Calibri"/>
        </w:rPr>
        <w:t xml:space="preserve">FPL witness Forrest testified that obtaining COVB’s release from an existing wholesale contract with OUC, due to expire in 2023, is a necessary step to proceed with the acquisition of the </w:t>
      </w:r>
      <w:r>
        <w:rPr>
          <w:rFonts w:cs="Calibri"/>
        </w:rPr>
        <w:t>COVB’s</w:t>
      </w:r>
      <w:r w:rsidRPr="002D2BE5">
        <w:rPr>
          <w:rFonts w:cs="Calibri"/>
        </w:rPr>
        <w:t xml:space="preserve"> utility. He additionally testified that OUC would not grant COVB a release from the wholesale contract without additional compensation beyond the $20 million that COVB committed to pay from the proceeds of the sale. As such, FPL negotiated a PPA with OUC effective upon the closing of the PSA</w:t>
      </w:r>
      <w:r>
        <w:rPr>
          <w:rFonts w:cs="Calibri"/>
        </w:rPr>
        <w:t xml:space="preserve"> </w:t>
      </w:r>
      <w:r w:rsidRPr="002D2BE5">
        <w:rPr>
          <w:rFonts w:cs="Calibri"/>
        </w:rPr>
        <w:t xml:space="preserve">through December 2020. </w:t>
      </w:r>
    </w:p>
    <w:p w:rsidR="007B272A" w:rsidRDefault="007B272A" w:rsidP="007B272A">
      <w:pPr>
        <w:spacing w:after="240"/>
        <w:ind w:firstLine="720"/>
        <w:jc w:val="both"/>
        <w:rPr>
          <w:rFonts w:cs="Calibri"/>
        </w:rPr>
      </w:pPr>
      <w:r w:rsidRPr="002D2BE5">
        <w:rPr>
          <w:rFonts w:cs="Calibri"/>
        </w:rPr>
        <w:t xml:space="preserve">Under the terms of the PPA, FPL is obligated to purchase a specified amount of capacity at a specified price from OUC. The purchase of energy is optional and is based on FPL </w:t>
      </w:r>
      <w:r w:rsidRPr="002D2BE5">
        <w:rPr>
          <w:rFonts w:cs="Calibri"/>
        </w:rPr>
        <w:lastRenderedPageBreak/>
        <w:t xml:space="preserve">anticipating an economic benefit of calling on the energy. </w:t>
      </w:r>
      <w:r>
        <w:rPr>
          <w:color w:val="000000"/>
        </w:rPr>
        <w:t xml:space="preserve">FPL is requesting that the payments associated with the PPA be recovered through the </w:t>
      </w:r>
      <w:r w:rsidR="00882CC1">
        <w:rPr>
          <w:color w:val="000000"/>
        </w:rPr>
        <w:t>fuel and purchased power cost recovery clause (</w:t>
      </w:r>
      <w:r>
        <w:rPr>
          <w:color w:val="000000"/>
        </w:rPr>
        <w:t>Fuel Clause</w:t>
      </w:r>
      <w:r w:rsidR="00882CC1">
        <w:rPr>
          <w:color w:val="000000"/>
        </w:rPr>
        <w:t>)</w:t>
      </w:r>
      <w:r>
        <w:rPr>
          <w:color w:val="000000"/>
        </w:rPr>
        <w:t>.</w:t>
      </w:r>
      <w:r w:rsidRPr="002D2BE5">
        <w:rPr>
          <w:rFonts w:cs="Calibri"/>
        </w:rPr>
        <w:t xml:space="preserve"> In this respect, FPL’s requested method of recovery is like that of other power purchase agreements. FPL indicated that the PPA is approximately $14.1 million above avoided cost. </w:t>
      </w:r>
      <w:r>
        <w:rPr>
          <w:rFonts w:cs="Calibri"/>
        </w:rPr>
        <w:t>Giving consideration to FPL’s 2018 approved Fuel Clause recovery amount of $3.2 billion,</w:t>
      </w:r>
      <w:r>
        <w:rPr>
          <w:rStyle w:val="FootnoteReference"/>
          <w:rFonts w:cs="Calibri"/>
        </w:rPr>
        <w:footnoteReference w:id="17"/>
      </w:r>
      <w:r>
        <w:rPr>
          <w:rFonts w:cs="Calibri"/>
        </w:rPr>
        <w:t xml:space="preserve"> the estimated net costs associated with the OUC PPA (approximately $6 million in 2019 and $8 million in 2020) would have a </w:t>
      </w:r>
      <w:r w:rsidRPr="007C3D18">
        <w:rPr>
          <w:rFonts w:cs="Calibri"/>
          <w:i/>
        </w:rPr>
        <w:t>de minimis</w:t>
      </w:r>
      <w:r>
        <w:rPr>
          <w:rFonts w:cs="Calibri"/>
        </w:rPr>
        <w:t xml:space="preserve"> impact on FPL’s fuel clause cost recovery factors and, therefore, customer rates. </w:t>
      </w:r>
      <w:r w:rsidR="00F1354B">
        <w:rPr>
          <w:rFonts w:cs="Calibri"/>
        </w:rPr>
        <w:t>Thus, o</w:t>
      </w:r>
      <w:r w:rsidR="00862876" w:rsidRPr="00F1354B">
        <w:t>ur approval of FPL recovering costs associated with the short-term PPA with OUC will not result in harm or detriment to the public interest.</w:t>
      </w:r>
      <w:r w:rsidR="00862876">
        <w:t xml:space="preserve"> </w:t>
      </w:r>
      <w:r>
        <w:rPr>
          <w:rFonts w:cs="Calibri"/>
        </w:rPr>
        <w:t xml:space="preserve"> </w:t>
      </w:r>
    </w:p>
    <w:p w:rsidR="007B272A" w:rsidRPr="006217DC" w:rsidRDefault="007B272A" w:rsidP="007B272A">
      <w:pPr>
        <w:spacing w:after="240"/>
        <w:ind w:firstLine="720"/>
        <w:jc w:val="both"/>
        <w:rPr>
          <w:rFonts w:cs="Calibri"/>
        </w:rPr>
      </w:pPr>
      <w:r>
        <w:t xml:space="preserve">Typically, we consider a negotiated power purchase agreement prudent for cost recovery purposes if it is demonstrated that the agreement will not result in costs above avoided cost. However, the joint petition to terminate the COVB/FPL territorial agreement states that the termination of the territorial agreement will be effective if all conditions precedent to the PSA are satisfied, which includes approval of cost recovery for the PPA. </w:t>
      </w:r>
      <w:r w:rsidR="00802484">
        <w:t>As discussed below, t</w:t>
      </w:r>
      <w:r>
        <w:t>ermination of the territorial agreement as part of the PSA would resolve controversy over the COVB/FPL territorial agreement. Based on the foregoing, we find that FPL sh</w:t>
      </w:r>
      <w:r w:rsidR="00F1354B">
        <w:t>all</w:t>
      </w:r>
      <w:r>
        <w:t xml:space="preserve"> be allowed cost recovery of the payments associated with the </w:t>
      </w:r>
      <w:r w:rsidR="00F6195D">
        <w:t xml:space="preserve">short-term </w:t>
      </w:r>
      <w:r>
        <w:t xml:space="preserve">PPA </w:t>
      </w:r>
      <w:r w:rsidR="00F6195D">
        <w:t xml:space="preserve">with OUC </w:t>
      </w:r>
      <w:r>
        <w:t xml:space="preserve">through the </w:t>
      </w:r>
      <w:r>
        <w:rPr>
          <w:color w:val="000000"/>
        </w:rPr>
        <w:t>Fuel Clause</w:t>
      </w:r>
      <w:r>
        <w:t>. The energy payments sh</w:t>
      </w:r>
      <w:r w:rsidR="00F1354B">
        <w:t>all</w:t>
      </w:r>
      <w:r>
        <w:t xml:space="preserve"> be recovered through the fuel portion of the </w:t>
      </w:r>
      <w:r>
        <w:rPr>
          <w:color w:val="000000"/>
        </w:rPr>
        <w:t>Fuel Clause</w:t>
      </w:r>
      <w:r>
        <w:t xml:space="preserve"> and the capacity payments sh</w:t>
      </w:r>
      <w:r w:rsidR="00F1354B">
        <w:t>all</w:t>
      </w:r>
      <w:r>
        <w:t xml:space="preserve"> be recovered through the capacity portion of the </w:t>
      </w:r>
      <w:r>
        <w:rPr>
          <w:color w:val="000000"/>
        </w:rPr>
        <w:t>Fuel Clause</w:t>
      </w:r>
      <w:r>
        <w:t>.</w:t>
      </w:r>
    </w:p>
    <w:p w:rsidR="002144CA" w:rsidRPr="000253AD" w:rsidRDefault="000253AD" w:rsidP="000253AD">
      <w:pPr>
        <w:pStyle w:val="ListParagraph"/>
        <w:numPr>
          <w:ilvl w:val="0"/>
          <w:numId w:val="1"/>
        </w:numPr>
        <w:ind w:left="0" w:firstLine="0"/>
        <w:jc w:val="both"/>
        <w:rPr>
          <w:u w:val="single"/>
        </w:rPr>
      </w:pPr>
      <w:r w:rsidRPr="000253AD">
        <w:t xml:space="preserve"> </w:t>
      </w:r>
      <w:r w:rsidR="005E7B05">
        <w:rPr>
          <w:u w:val="single"/>
        </w:rPr>
        <w:t>Termination</w:t>
      </w:r>
      <w:r>
        <w:rPr>
          <w:u w:val="single"/>
        </w:rPr>
        <w:t xml:space="preserve"> of the Territorial Agreement</w:t>
      </w:r>
    </w:p>
    <w:p w:rsidR="002144CA" w:rsidRDefault="002144CA" w:rsidP="002144CA">
      <w:pPr>
        <w:jc w:val="both"/>
        <w:rPr>
          <w:u w:val="single"/>
        </w:rPr>
      </w:pPr>
    </w:p>
    <w:p w:rsidR="000253AD" w:rsidRDefault="000253AD" w:rsidP="000253AD">
      <w:pPr>
        <w:ind w:firstLine="720"/>
        <w:jc w:val="both"/>
      </w:pPr>
      <w:r w:rsidRPr="00D51A99">
        <w:t xml:space="preserve">Section 366.04(2), F.S., gives </w:t>
      </w:r>
      <w:r w:rsidR="005E7B05">
        <w:t>us</w:t>
      </w:r>
      <w:r>
        <w:t xml:space="preserve"> the authority</w:t>
      </w:r>
      <w:r w:rsidRPr="00D51A99">
        <w:t xml:space="preserve"> to approve territorial agreements between municipal electric utilities and investor-owned electric utilities. Any modification or termination of a territorial order must be made by </w:t>
      </w:r>
      <w:r w:rsidR="005E7B05">
        <w:t>us</w:t>
      </w:r>
      <w:r w:rsidRPr="00D51A99">
        <w:t xml:space="preserve"> pursuant to </w:t>
      </w:r>
      <w:r w:rsidR="005E7B05">
        <w:t>our</w:t>
      </w:r>
      <w:r w:rsidRPr="00D51A99">
        <w:t xml:space="preserve"> exclusive jurisdiction. </w:t>
      </w:r>
      <w:r w:rsidRPr="00D51A99">
        <w:rPr>
          <w:i/>
        </w:rPr>
        <w:t>See Public Service Commission v. Fuller</w:t>
      </w:r>
      <w:r w:rsidRPr="00D51A99">
        <w:t xml:space="preserve">, 551 So. 2d 1210, 1212 (Fla. 1989). </w:t>
      </w:r>
      <w:r w:rsidR="005E7B05">
        <w:t>Our</w:t>
      </w:r>
      <w:r w:rsidRPr="00EB7657">
        <w:t xml:space="preserve"> responsibility in evaluating modifications of territorial agreements, and the applicable standard used, is</w:t>
      </w:r>
      <w:r>
        <w:t xml:space="preserve"> </w:t>
      </w:r>
      <w:r w:rsidRPr="00D51A99">
        <w:t xml:space="preserve">to ensure that the termination of the territorial agreement and concomitant transfer of customers to FPL results in no harm or detriment to the public interest. </w:t>
      </w:r>
      <w:r w:rsidRPr="00D51A99">
        <w:rPr>
          <w:i/>
        </w:rPr>
        <w:t>See AmeriSteel Corp. v. Clark</w:t>
      </w:r>
      <w:r w:rsidRPr="00D51A99">
        <w:t xml:space="preserve">, 691 So. 2d 473, 478 (Fla. 1997), </w:t>
      </w:r>
      <w:r w:rsidRPr="00D51A99">
        <w:rPr>
          <w:i/>
        </w:rPr>
        <w:t>Utilities Commission of the City of New Smyrna Beach v. Florida Public Service Commission</w:t>
      </w:r>
      <w:r w:rsidRPr="00D51A99">
        <w:t>, 469 So. 2d 731, 732-33 (Fla. 1985)</w:t>
      </w:r>
      <w:r>
        <w:t xml:space="preserve"> (finding that the territorial agreement as a whole contained no detriment to the public and should have been approved by </w:t>
      </w:r>
      <w:r w:rsidR="005E7B05">
        <w:t>us</w:t>
      </w:r>
      <w:r>
        <w:t>)</w:t>
      </w:r>
      <w:r w:rsidRPr="00D51A99">
        <w:t xml:space="preserve">. The public interest is the ultimate measuring stick to guide </w:t>
      </w:r>
      <w:r w:rsidR="005E7B05">
        <w:t>our</w:t>
      </w:r>
      <w:r w:rsidRPr="00D51A99">
        <w:t xml:space="preserve"> decision. </w:t>
      </w:r>
      <w:r w:rsidRPr="00D51A99">
        <w:rPr>
          <w:i/>
        </w:rPr>
        <w:t>Gulf Coast Electric Cooperative v. Johnson</w:t>
      </w:r>
      <w:r w:rsidRPr="00D51A99">
        <w:t xml:space="preserve">, 727 So. 2d 259, 264 (Fla. 1999). </w:t>
      </w:r>
      <w:r w:rsidR="005E7B05">
        <w:t>Our</w:t>
      </w:r>
      <w:r>
        <w:t xml:space="preserve"> </w:t>
      </w:r>
      <w:r w:rsidRPr="00D51A99">
        <w:t xml:space="preserve">decision </w:t>
      </w:r>
      <w:r>
        <w:t>must be based on</w:t>
      </w:r>
      <w:r w:rsidRPr="00D51A99">
        <w:t xml:space="preserve"> the effect termination of the territorial agreement will have on all affected customers, both those transferred and those not transferred.  </w:t>
      </w:r>
      <w:r w:rsidRPr="00D51A99">
        <w:rPr>
          <w:i/>
        </w:rPr>
        <w:t>See New Smyrna Beach</w:t>
      </w:r>
      <w:r>
        <w:t>, 469 So. 2d at 732.</w:t>
      </w:r>
    </w:p>
    <w:p w:rsidR="000253AD" w:rsidRDefault="000253AD" w:rsidP="000253AD">
      <w:pPr>
        <w:jc w:val="both"/>
      </w:pPr>
    </w:p>
    <w:p w:rsidR="000253AD" w:rsidRDefault="000253AD" w:rsidP="000253AD">
      <w:pPr>
        <w:ind w:firstLine="720"/>
        <w:jc w:val="both"/>
      </w:pPr>
      <w:r>
        <w:t xml:space="preserve">In Docket No. 20170236-EU, FPL and COVB jointly ask </w:t>
      </w:r>
      <w:r w:rsidR="005E7B05">
        <w:t>us</w:t>
      </w:r>
      <w:r>
        <w:t xml:space="preserve"> to terminate their territorial agreement. The joint petition involves the transfer of customers from COVB to FPL. FPL and COVB’s joint petition states that they are requesting termination of their existing territorial agreement in connection with FPL’s acquisition of the COVB electric utility as addressed in Docket No. 20170235-EI.  The joint petition states that the termination of the territorial </w:t>
      </w:r>
      <w:r>
        <w:lastRenderedPageBreak/>
        <w:t xml:space="preserve">agreement will be effective if all conditions precedent to the PSA are satisfied and the transaction closes. </w:t>
      </w:r>
      <w:r w:rsidRPr="00FA6DBB">
        <w:t>The joint petition states that</w:t>
      </w:r>
      <w:r>
        <w:t xml:space="preserve"> FPL will provide electric service to COVB’s customers at FPL’s approved rates and charges upon the closing date of the PSA. </w:t>
      </w:r>
      <w:r w:rsidRPr="00FA6DBB">
        <w:t>The joint petition states that if</w:t>
      </w:r>
      <w:r>
        <w:t xml:space="preserve"> the territorial agreement is terminated, FPL will serve all of Indian River County</w:t>
      </w:r>
      <w:r w:rsidRPr="00FA6DBB">
        <w:t>, but if</w:t>
      </w:r>
      <w:r>
        <w:t xml:space="preserve"> the PSA does not close, the joint petitioners will continue to operate pursuant to the Territorial Orders.</w:t>
      </w:r>
    </w:p>
    <w:p w:rsidR="000253AD" w:rsidRDefault="000253AD" w:rsidP="000253AD">
      <w:pPr>
        <w:jc w:val="both"/>
      </w:pPr>
    </w:p>
    <w:p w:rsidR="000253AD" w:rsidRDefault="000253AD" w:rsidP="000253AD">
      <w:pPr>
        <w:ind w:firstLine="720"/>
        <w:jc w:val="both"/>
      </w:pPr>
      <w:r>
        <w:t>Witness O’Connor, the City Manager of the COVB, testified that the COVB City Counsel, duly elected by and representing the citizens of the COVB, directed the negotiations for the sale of the COVB electric utility with FPL, and that the c</w:t>
      </w:r>
      <w:r w:rsidR="00882CC1">
        <w:t>ustomers of COVB living in the C</w:t>
      </w:r>
      <w:r>
        <w:t xml:space="preserve">ity support the sale. COVB customers testified at hearing in support of becoming FPL customers.  </w:t>
      </w:r>
    </w:p>
    <w:p w:rsidR="000253AD" w:rsidRDefault="000253AD" w:rsidP="000253AD">
      <w:pPr>
        <w:jc w:val="both"/>
      </w:pPr>
    </w:p>
    <w:p w:rsidR="000253AD" w:rsidRDefault="00F1354B" w:rsidP="000253AD">
      <w:pPr>
        <w:ind w:firstLine="720"/>
        <w:jc w:val="both"/>
      </w:pPr>
      <w:r>
        <w:t>As discussed above, t</w:t>
      </w:r>
      <w:r w:rsidR="000253AD" w:rsidRPr="006425BB">
        <w:t xml:space="preserve">he record shows that for many years, COVB customers living outside the municipal boundaries of the </w:t>
      </w:r>
      <w:r w:rsidR="00882CC1">
        <w:t>C</w:t>
      </w:r>
      <w:r w:rsidR="000253AD" w:rsidRPr="006425BB">
        <w:t xml:space="preserve">ity </w:t>
      </w:r>
      <w:r w:rsidR="000253AD">
        <w:t>wanted to be served by FPL instead of by the COVB.</w:t>
      </w:r>
      <w:r w:rsidR="000253AD" w:rsidRPr="006425BB">
        <w:t xml:space="preserve">  There were multiple attempts to address COVB customer dissatisf</w:t>
      </w:r>
      <w:r w:rsidR="000253AD">
        <w:t>action through legislation.</w:t>
      </w:r>
      <w:r w:rsidR="000253AD">
        <w:rPr>
          <w:rStyle w:val="FootnoteReference"/>
        </w:rPr>
        <w:footnoteReference w:id="18"/>
      </w:r>
      <w:r w:rsidR="000253AD" w:rsidRPr="006425BB">
        <w:t xml:space="preserve"> In addition, two voter referenda were held that showed that COVB customers supported the sale of the COVB electric utility to FPL. Multiple petitions for relief were filed with </w:t>
      </w:r>
      <w:r>
        <w:t>us</w:t>
      </w:r>
      <w:r w:rsidR="000253AD" w:rsidRPr="006425BB">
        <w:t xml:space="preserve"> as far back as 2009,</w:t>
      </w:r>
      <w:r w:rsidR="000253AD" w:rsidRPr="006425BB">
        <w:rPr>
          <w:vertAlign w:val="superscript"/>
        </w:rPr>
        <w:t xml:space="preserve"> </w:t>
      </w:r>
      <w:r w:rsidR="000253AD" w:rsidRPr="006425BB">
        <w:t>some of which resulted in court appeals</w:t>
      </w:r>
      <w:r w:rsidR="000253AD">
        <w:t>.</w:t>
      </w:r>
      <w:r w:rsidR="000253AD" w:rsidRPr="006425BB">
        <w:rPr>
          <w:vertAlign w:val="superscript"/>
        </w:rPr>
        <w:footnoteReference w:id="19"/>
      </w:r>
      <w:r w:rsidR="000253AD" w:rsidRPr="006425BB">
        <w:t xml:space="preserve"> </w:t>
      </w:r>
      <w:r w:rsidR="000253AD">
        <w:t xml:space="preserve"> Litigation filed by the Town of Indian River Shores challenging </w:t>
      </w:r>
      <w:r w:rsidR="005E7B05">
        <w:t>our</w:t>
      </w:r>
      <w:r w:rsidR="000253AD">
        <w:t xml:space="preserve"> order</w:t>
      </w:r>
      <w:r w:rsidR="000253AD" w:rsidRPr="00FA6DBB">
        <w:t xml:space="preserve"> denying the Town’s </w:t>
      </w:r>
      <w:r w:rsidR="000253AD">
        <w:t>petition to modify the COVB/FPL territorial agreement</w:t>
      </w:r>
      <w:r w:rsidR="000253AD">
        <w:rPr>
          <w:vertAlign w:val="superscript"/>
        </w:rPr>
        <w:footnoteReference w:id="20"/>
      </w:r>
      <w:r w:rsidR="000253AD">
        <w:t xml:space="preserve"> is pending </w:t>
      </w:r>
      <w:r w:rsidR="005E7B05">
        <w:t>with us</w:t>
      </w:r>
      <w:r w:rsidR="000253AD">
        <w:t xml:space="preserve">. Upon joint motion of Indian River Shores and COVB, the hearing to address the Town’s modification request is being held in abeyance pending closing on the </w:t>
      </w:r>
      <w:r w:rsidR="000253AD" w:rsidRPr="00FA6DBB">
        <w:t>PSA</w:t>
      </w:r>
      <w:r w:rsidR="000253AD">
        <w:t xml:space="preserve"> and termination of the COVB/</w:t>
      </w:r>
      <w:r w:rsidR="000253AD" w:rsidRPr="00FA6DBB">
        <w:t>FPL</w:t>
      </w:r>
      <w:r w:rsidR="000253AD">
        <w:t xml:space="preserve"> territorial agreement.</w:t>
      </w:r>
      <w:r w:rsidR="000253AD" w:rsidRPr="006425BB">
        <w:t xml:space="preserve"> </w:t>
      </w:r>
      <w:r w:rsidR="000253AD">
        <w:t xml:space="preserve"> </w:t>
      </w:r>
    </w:p>
    <w:p w:rsidR="000253AD" w:rsidRDefault="000253AD" w:rsidP="000253AD">
      <w:pPr>
        <w:jc w:val="both"/>
      </w:pPr>
    </w:p>
    <w:p w:rsidR="000253AD" w:rsidRDefault="000253AD" w:rsidP="000253AD">
      <w:pPr>
        <w:ind w:firstLine="720"/>
        <w:jc w:val="both"/>
      </w:pPr>
      <w:r w:rsidRPr="00DC37CC">
        <w:t>The record shows that termination of the territorial agreement and transfer of COVB customers to FPL would not result in harm or detriment to the public interest.  Witness Deason</w:t>
      </w:r>
      <w:r>
        <w:t xml:space="preserve"> provided unrefuted testimony </w:t>
      </w:r>
      <w:r w:rsidRPr="00DC37CC">
        <w:t>that</w:t>
      </w:r>
      <w:r>
        <w:t xml:space="preserve"> the</w:t>
      </w:r>
      <w:r w:rsidRPr="00DC37CC">
        <w:t xml:space="preserve"> transfer from COVB to FPL would not result in degradation of the COVB customers’ quality of service or reliability. </w:t>
      </w:r>
      <w:r w:rsidRPr="00487745">
        <w:t xml:space="preserve">The record further shows that the $114 million positive acquisition adjustment equates to an estimated impact of $0.11 per </w:t>
      </w:r>
      <w:r w:rsidRPr="00487745">
        <w:lastRenderedPageBreak/>
        <w:t xml:space="preserve">1,000 </w:t>
      </w:r>
      <w:r>
        <w:t>kWh</w:t>
      </w:r>
      <w:r w:rsidRPr="00487745">
        <w:t xml:space="preserve"> on a monthly residential bill if FPL includes amortizatio</w:t>
      </w:r>
      <w:r>
        <w:t>n of the positive acquisition adjustment in rates in its next rate proceeding.</w:t>
      </w:r>
      <w:r w:rsidRPr="00DC37CC">
        <w:t xml:space="preserve"> </w:t>
      </w:r>
      <w:r w:rsidR="00F02568">
        <w:t>As explained above, this is</w:t>
      </w:r>
      <w:r w:rsidRPr="00DC37CC">
        <w:t xml:space="preserve"> a </w:t>
      </w:r>
      <w:r w:rsidRPr="002C6B0D">
        <w:rPr>
          <w:i/>
        </w:rPr>
        <w:t>de minimis</w:t>
      </w:r>
      <w:r w:rsidRPr="00DC37CC">
        <w:t xml:space="preserve"> rate impact that would not result in harm or detriment to the public interest. Further, as explained </w:t>
      </w:r>
      <w:r w:rsidR="005E7B05">
        <w:t>above</w:t>
      </w:r>
      <w:r w:rsidRPr="00DC37CC">
        <w:t xml:space="preserve">, </w:t>
      </w:r>
      <w:r w:rsidR="005E7B05">
        <w:t>our</w:t>
      </w:r>
      <w:r w:rsidRPr="00DC37CC">
        <w:t xml:space="preserve"> approval of FPL recovering costs associated with the short-term power purchase agreement with OUC will not result in harm or detriment to the public interest.</w:t>
      </w:r>
    </w:p>
    <w:p w:rsidR="000253AD" w:rsidRDefault="000253AD" w:rsidP="000253AD">
      <w:pPr>
        <w:jc w:val="both"/>
      </w:pPr>
    </w:p>
    <w:p w:rsidR="000253AD" w:rsidRDefault="005E7B05" w:rsidP="000253AD">
      <w:pPr>
        <w:ind w:firstLine="720"/>
        <w:jc w:val="both"/>
        <w:rPr>
          <w:rFonts w:cs="Calibri"/>
        </w:rPr>
      </w:pPr>
      <w:r>
        <w:t>Our</w:t>
      </w:r>
      <w:r w:rsidR="000253AD" w:rsidRPr="00FA6DBB">
        <w:t xml:space="preserve"> approval of termination of the </w:t>
      </w:r>
      <w:r w:rsidR="000253AD">
        <w:t>COVB/</w:t>
      </w:r>
      <w:r w:rsidR="000253AD" w:rsidRPr="00FA6DBB">
        <w:t>FPL territorial agreement and attendant transfer of customers from COVB to FPL would resolve the issues between COVB and Indian River Shores in the dispute over th</w:t>
      </w:r>
      <w:r w:rsidR="000253AD">
        <w:t>eir</w:t>
      </w:r>
      <w:r w:rsidR="000253AD" w:rsidRPr="00FA6DBB">
        <w:t xml:space="preserve"> territorial agreement that is pending before </w:t>
      </w:r>
      <w:r>
        <w:t>us</w:t>
      </w:r>
      <w:r w:rsidR="000253AD" w:rsidRPr="00FA6DBB">
        <w:t xml:space="preserve">. </w:t>
      </w:r>
      <w:r w:rsidR="000253AD">
        <w:rPr>
          <w:rFonts w:cs="Calibri"/>
        </w:rPr>
        <w:t xml:space="preserve">The general rule that the legal system favors settlement of disputes by mutual agreement applies equally in utility service agreements between municipal electric utilities and other electric utilities under </w:t>
      </w:r>
      <w:r>
        <w:rPr>
          <w:rFonts w:cs="Calibri"/>
        </w:rPr>
        <w:t>our</w:t>
      </w:r>
      <w:r w:rsidR="000253AD">
        <w:rPr>
          <w:rFonts w:cs="Calibri"/>
        </w:rPr>
        <w:t xml:space="preserve"> jurisdiction</w:t>
      </w:r>
      <w:r w:rsidR="000253AD" w:rsidRPr="00FA6DBB">
        <w:rPr>
          <w:rFonts w:cs="Calibri"/>
        </w:rPr>
        <w:t xml:space="preserve">. </w:t>
      </w:r>
      <w:r w:rsidR="000253AD" w:rsidRPr="00FA6DBB">
        <w:rPr>
          <w:rFonts w:cs="Calibri"/>
          <w:i/>
        </w:rPr>
        <w:t>AmeriSteel Corp. v. Clark</w:t>
      </w:r>
      <w:r w:rsidR="000253AD" w:rsidRPr="00FA6DBB">
        <w:rPr>
          <w:rFonts w:cs="Calibri"/>
        </w:rPr>
        <w:t>, 691 So. 2d 473, 478 (Fla. 1997)</w:t>
      </w:r>
      <w:r w:rsidR="000253AD">
        <w:rPr>
          <w:rFonts w:cs="Calibri"/>
        </w:rPr>
        <w:t xml:space="preserve">(noting that </w:t>
      </w:r>
      <w:r>
        <w:rPr>
          <w:rFonts w:cs="Calibri"/>
        </w:rPr>
        <w:t>our</w:t>
      </w:r>
      <w:r w:rsidR="000253AD">
        <w:rPr>
          <w:rFonts w:cs="Calibri"/>
        </w:rPr>
        <w:t xml:space="preserve"> charge in proceedings concerning territorial agreements is to approve those agreements that work no detriment to the public interest). </w:t>
      </w:r>
      <w:r w:rsidR="000253AD" w:rsidRPr="00FA6DBB">
        <w:rPr>
          <w:rFonts w:cs="Calibri"/>
        </w:rPr>
        <w:t>The termination of the territorial agreement as part of the PSA would resolve controversy over the COVB/FPL territorial agreement and is in the public interest.</w:t>
      </w:r>
      <w:r w:rsidR="000253AD">
        <w:rPr>
          <w:rFonts w:cs="Calibri"/>
        </w:rPr>
        <w:t xml:space="preserve"> </w:t>
      </w:r>
    </w:p>
    <w:p w:rsidR="000253AD" w:rsidRDefault="000253AD" w:rsidP="000253AD">
      <w:pPr>
        <w:jc w:val="both"/>
        <w:rPr>
          <w:rFonts w:cs="Calibri"/>
        </w:rPr>
      </w:pPr>
    </w:p>
    <w:p w:rsidR="002144CA" w:rsidRDefault="000253AD" w:rsidP="000253AD">
      <w:pPr>
        <w:ind w:firstLine="720"/>
        <w:jc w:val="both"/>
        <w:rPr>
          <w:u w:val="single"/>
        </w:rPr>
      </w:pPr>
      <w:r>
        <w:t xml:space="preserve">Based on the foregoing, </w:t>
      </w:r>
      <w:r w:rsidR="005E7B05">
        <w:t>we</w:t>
      </w:r>
      <w:r>
        <w:t xml:space="preserve"> approve</w:t>
      </w:r>
      <w:r w:rsidRPr="00D51A99">
        <w:t xml:space="preserve"> the joint petitioners’ request to terminate the existing territorial agreement between FPL and COVB effective upon the closing date of the PSA.  Upon closing of the PSA, FPL sh</w:t>
      </w:r>
      <w:r>
        <w:t>all</w:t>
      </w:r>
      <w:r w:rsidRPr="00D51A99">
        <w:t xml:space="preserve"> file revised tariff sheets Nos. 3.020, 3.010, and 7.020 to reflect the addition of the COVB service area to the description of territory and communities served.</w:t>
      </w:r>
    </w:p>
    <w:p w:rsidR="002144CA" w:rsidRDefault="002144CA" w:rsidP="002144CA">
      <w:pPr>
        <w:jc w:val="both"/>
        <w:rPr>
          <w:u w:val="single"/>
        </w:rPr>
      </w:pPr>
    </w:p>
    <w:p w:rsidR="002144CA" w:rsidRPr="000253AD" w:rsidRDefault="000253AD" w:rsidP="005E7B05">
      <w:pPr>
        <w:pStyle w:val="ListParagraph"/>
        <w:numPr>
          <w:ilvl w:val="0"/>
          <w:numId w:val="1"/>
        </w:numPr>
        <w:ind w:left="0" w:firstLine="0"/>
        <w:jc w:val="both"/>
        <w:rPr>
          <w:u w:val="single"/>
        </w:rPr>
      </w:pPr>
      <w:r>
        <w:rPr>
          <w:u w:val="single"/>
        </w:rPr>
        <w:t>Rates</w:t>
      </w:r>
    </w:p>
    <w:p w:rsidR="002144CA" w:rsidRDefault="002144CA" w:rsidP="002144CA">
      <w:pPr>
        <w:jc w:val="both"/>
        <w:rPr>
          <w:u w:val="single"/>
        </w:rPr>
      </w:pPr>
    </w:p>
    <w:p w:rsidR="00DC1AB1" w:rsidRPr="00190E40" w:rsidRDefault="00DC1AB1" w:rsidP="00DC1AB1">
      <w:pPr>
        <w:ind w:firstLine="720"/>
        <w:jc w:val="both"/>
      </w:pPr>
      <w:r>
        <w:t xml:space="preserve">All parties agree that </w:t>
      </w:r>
      <w:r w:rsidR="005E7B05">
        <w:t>we</w:t>
      </w:r>
      <w:r w:rsidRPr="00E820E5">
        <w:t xml:space="preserve"> </w:t>
      </w:r>
      <w:r>
        <w:t xml:space="preserve">should </w:t>
      </w:r>
      <w:r w:rsidRPr="00E820E5">
        <w:t>grant FPL the authority to charge FPL’s rates and charges to COVB customers upon the closing date of the PSA</w:t>
      </w:r>
      <w:r>
        <w:t xml:space="preserve">. FPL witness Cohen testified that FPL and COVB customers will immediately benefit from FPL’s residential and commercial rates once the COVB customers are transitioned to receive service from FPL. </w:t>
      </w:r>
      <w:r>
        <w:rPr>
          <w:bCs/>
        </w:rPr>
        <w:t xml:space="preserve">OPC Witness Kollen testified that </w:t>
      </w:r>
      <w:r>
        <w:t xml:space="preserve">OPC supports charging FPL rates to former City of Vero Beach customers. FPL witness Deason explained that for COVB to be willing to sell the utility to FPL, </w:t>
      </w:r>
      <w:r w:rsidR="00F02568">
        <w:t>COVB required</w:t>
      </w:r>
      <w:r>
        <w:t xml:space="preserve"> that</w:t>
      </w:r>
      <w:r w:rsidRPr="00190E40">
        <w:t xml:space="preserve"> </w:t>
      </w:r>
      <w:r>
        <w:t xml:space="preserve">COVB’s customers would receive FPL rates. COVB witness O’Conner testified that </w:t>
      </w:r>
      <w:r w:rsidR="005E7B05">
        <w:t>our</w:t>
      </w:r>
      <w:r>
        <w:t xml:space="preserve"> approval </w:t>
      </w:r>
      <w:r w:rsidRPr="00190E40">
        <w:t xml:space="preserve">of FPL’s request to charge COVB electric customers FPL’s rates is a condition precedent to closing on the PSA. </w:t>
      </w:r>
    </w:p>
    <w:p w:rsidR="00DC1AB1" w:rsidRPr="00190E40" w:rsidRDefault="00DC1AB1" w:rsidP="00DC1AB1">
      <w:pPr>
        <w:spacing w:after="200"/>
        <w:contextualSpacing/>
        <w:jc w:val="both"/>
      </w:pPr>
    </w:p>
    <w:p w:rsidR="00DC1AB1" w:rsidRDefault="00DC1AB1" w:rsidP="00DC1AB1">
      <w:pPr>
        <w:ind w:firstLine="720"/>
        <w:jc w:val="both"/>
      </w:pPr>
      <w:r>
        <w:t xml:space="preserve">As part of its petition </w:t>
      </w:r>
      <w:r w:rsidRPr="00A34086">
        <w:t>in Docket No. 20170235-EI</w:t>
      </w:r>
      <w:r>
        <w:t xml:space="preserve">, FPL asked us </w:t>
      </w:r>
      <w:r w:rsidRPr="00A34086">
        <w:t xml:space="preserve">to grant </w:t>
      </w:r>
      <w:r>
        <w:t>it</w:t>
      </w:r>
      <w:r w:rsidRPr="00A34086">
        <w:t xml:space="preserve"> the authority to charge its rates and charges to COVB’s customers. The PSA provides for the COVB customers to become FPL electric customers and receive service at the applicable FPL rates and charges upon the closing of the PSA. Specifically, the PSA states that FPL has the responsibility for securing </w:t>
      </w:r>
      <w:r>
        <w:t xml:space="preserve">our </w:t>
      </w:r>
      <w:r w:rsidRPr="00A34086">
        <w:t>approval for authority under Rule 25-9.044, F.A.C., to charge FPL’s existing rates to the COVB customers.</w:t>
      </w:r>
      <w:r>
        <w:t xml:space="preserve"> </w:t>
      </w:r>
    </w:p>
    <w:p w:rsidR="00DC1AB1" w:rsidRDefault="00DC1AB1" w:rsidP="00DC1AB1">
      <w:pPr>
        <w:jc w:val="both"/>
      </w:pPr>
    </w:p>
    <w:p w:rsidR="002144CA" w:rsidRDefault="00DC1AB1" w:rsidP="00DC1AB1">
      <w:pPr>
        <w:ind w:firstLine="720"/>
        <w:jc w:val="both"/>
      </w:pPr>
      <w:r w:rsidRPr="00A34086">
        <w:t xml:space="preserve">Rule 25-9.044(1), F.A.C., states that in the case of a change of ownership or control of a utility that places the operation under a different or new utility, the company </w:t>
      </w:r>
      <w:r>
        <w:t>that</w:t>
      </w:r>
      <w:r w:rsidRPr="00A34086">
        <w:t xml:space="preserve"> will thereafter operate the utility must adopt and use the rates, classifications, and regulations of the former operating company unless </w:t>
      </w:r>
      <w:r>
        <w:t>we authorize a change</w:t>
      </w:r>
      <w:r w:rsidRPr="00A34086">
        <w:t xml:space="preserve">. </w:t>
      </w:r>
      <w:r>
        <w:t xml:space="preserve">In this case, because all parties agree that FPL </w:t>
      </w:r>
      <w:r>
        <w:lastRenderedPageBreak/>
        <w:t>rates and charges should be imposed, we</w:t>
      </w:r>
      <w:r w:rsidRPr="00190E40">
        <w:t xml:space="preserve"> grant FPL the authority to charge its approved rates and charges to the former COVB customers upon termination of the territorial agreement effective upon the closing date of the PSA. FPL </w:t>
      </w:r>
      <w:r w:rsidR="005E7B05">
        <w:t>shall</w:t>
      </w:r>
      <w:r w:rsidRPr="00190E40">
        <w:t xml:space="preserve"> notify the former COVB customers of</w:t>
      </w:r>
      <w:r>
        <w:t xml:space="preserve"> the</w:t>
      </w:r>
      <w:r w:rsidRPr="00190E40">
        <w:t xml:space="preserve"> new rates and charges with the first bill containing the new rates.</w:t>
      </w:r>
    </w:p>
    <w:p w:rsidR="00DC1AB1" w:rsidRDefault="00DC1AB1" w:rsidP="00DC1AB1">
      <w:pPr>
        <w:ind w:firstLine="720"/>
        <w:jc w:val="both"/>
      </w:pPr>
    </w:p>
    <w:p w:rsidR="00DC1AB1" w:rsidRDefault="00DC1AB1" w:rsidP="00DC1AB1">
      <w:pPr>
        <w:pStyle w:val="ListParagraph"/>
        <w:numPr>
          <w:ilvl w:val="0"/>
          <w:numId w:val="1"/>
        </w:numPr>
        <w:ind w:left="0" w:firstLine="0"/>
        <w:jc w:val="both"/>
        <w:rPr>
          <w:u w:val="single"/>
        </w:rPr>
      </w:pPr>
      <w:r>
        <w:rPr>
          <w:u w:val="single"/>
        </w:rPr>
        <w:t>Public Interest</w:t>
      </w:r>
    </w:p>
    <w:p w:rsidR="00DC1AB1" w:rsidRDefault="00DC1AB1" w:rsidP="00DC1AB1">
      <w:pPr>
        <w:jc w:val="both"/>
        <w:rPr>
          <w:u w:val="single"/>
        </w:rPr>
      </w:pPr>
    </w:p>
    <w:p w:rsidR="00BB03A9" w:rsidRPr="00460D9E" w:rsidRDefault="00BB03A9" w:rsidP="00BB03A9">
      <w:pPr>
        <w:ind w:firstLine="720"/>
        <w:jc w:val="both"/>
        <w:rPr>
          <w:rFonts w:asciiTheme="majorHAnsi" w:hAnsiTheme="majorHAnsi" w:cstheme="majorHAnsi"/>
          <w:b/>
          <w:i/>
        </w:rPr>
      </w:pPr>
      <w:r w:rsidRPr="009A5318">
        <w:t xml:space="preserve">The public interest is the ultimate measuring stick to guide </w:t>
      </w:r>
      <w:r>
        <w:t>our</w:t>
      </w:r>
      <w:r w:rsidRPr="009A5318">
        <w:t xml:space="preserve"> decisions. </w:t>
      </w:r>
      <w:r w:rsidRPr="009A5318">
        <w:rPr>
          <w:i/>
        </w:rPr>
        <w:t>Gulf Coast Electric Cooperative v. Johnson</w:t>
      </w:r>
      <w:r w:rsidRPr="009A5318">
        <w:t xml:space="preserve">, 727 So. 2d 259, 264 (Fla. 1999).  Determination of what is in the public interest rests exclusively with </w:t>
      </w:r>
      <w:r>
        <w:t>us</w:t>
      </w:r>
      <w:r w:rsidRPr="009A5318">
        <w:t xml:space="preserve">. </w:t>
      </w:r>
      <w:r w:rsidRPr="009A5318">
        <w:rPr>
          <w:i/>
        </w:rPr>
        <w:t xml:space="preserve">Citizens of State v. Fla. Pub. Serv. Com’n, </w:t>
      </w:r>
      <w:r w:rsidRPr="009A5318">
        <w:t>146 So. 3d 1143, 1173 (Fla. 2014).</w:t>
      </w:r>
    </w:p>
    <w:p w:rsidR="00BB03A9" w:rsidRDefault="00BB03A9" w:rsidP="00BB03A9">
      <w:pPr>
        <w:jc w:val="both"/>
      </w:pPr>
    </w:p>
    <w:p w:rsidR="00BB03A9" w:rsidRDefault="00BB03A9" w:rsidP="00BB03A9">
      <w:pPr>
        <w:ind w:firstLine="720"/>
        <w:jc w:val="both"/>
      </w:pPr>
      <w:r>
        <w:t xml:space="preserve">In support of its contention that the relief requested by FPL is not in the public interest, CAIRC argues:  (1) COVB residents were not properly informed about the effect of the sale of the COVB electric utility to FPL; (2) the sale will have an adverse effect on taxes and city revenues; and (3) the sale negotiations were insufficient.  These matters are not within our jurisdiction.  Again, it is important to reiterate that the PSA is not subject to our approval. </w:t>
      </w:r>
      <w:r w:rsidRPr="00D4234F">
        <w:rPr>
          <w:i/>
        </w:rPr>
        <w:t xml:space="preserve">See </w:t>
      </w:r>
      <w:r w:rsidR="00882CC1">
        <w:t xml:space="preserve">Section </w:t>
      </w:r>
      <w:r>
        <w:t xml:space="preserve">366.04(2), F.S.  </w:t>
      </w:r>
    </w:p>
    <w:p w:rsidR="00BB03A9" w:rsidRDefault="00BB03A9" w:rsidP="00BB03A9">
      <w:pPr>
        <w:jc w:val="both"/>
      </w:pPr>
    </w:p>
    <w:p w:rsidR="00BB03A9" w:rsidRDefault="00BB03A9" w:rsidP="00BB03A9">
      <w:pPr>
        <w:ind w:firstLine="720"/>
        <w:jc w:val="both"/>
      </w:pPr>
      <w:r>
        <w:t xml:space="preserve">OPC supports the proposed acquisition of the COVB electric utility by FPL and the authorization for FPL to charge its approved rates to former COVB customers. OPC concedes that granting FPL’s rates and service to the COVB customers may be in the public interest. OPC did not take a position on whether we should approve recovery of costs associated with the short-term PPA or termination of the COVB/FPL territorial agreement.  However, OPC argues that the acquisition adjustment will harm the general body of FPL ratepayers. </w:t>
      </w:r>
    </w:p>
    <w:p w:rsidR="00BB03A9" w:rsidRDefault="00BB03A9" w:rsidP="00BB03A9">
      <w:pPr>
        <w:jc w:val="both"/>
      </w:pPr>
    </w:p>
    <w:p w:rsidR="00BB03A9" w:rsidRDefault="00BB03A9" w:rsidP="00BB03A9">
      <w:pPr>
        <w:ind w:firstLine="720"/>
        <w:jc w:val="both"/>
      </w:pPr>
      <w:r>
        <w:t>As discussed above, termination of the existing territorial agreement between FPL and COVB</w:t>
      </w:r>
      <w:r w:rsidR="00DF7DE3">
        <w:t>,</w:t>
      </w:r>
      <w:r w:rsidR="00DF7DE3" w:rsidRPr="00DF7DE3">
        <w:t xml:space="preserve"> </w:t>
      </w:r>
      <w:r w:rsidR="00DF7DE3">
        <w:t>approval of a positive acquisition adjustment</w:t>
      </w:r>
      <w:r w:rsidR="00BA58AE">
        <w:t xml:space="preserve">, </w:t>
      </w:r>
      <w:r w:rsidR="00DF7DE3">
        <w:t>recovery of costs associated with the short-term PPA agreement with OUC</w:t>
      </w:r>
      <w:r w:rsidR="00BA58AE">
        <w:t>,</w:t>
      </w:r>
      <w:r w:rsidR="00DF7DE3">
        <w:t xml:space="preserve"> and allowing FPL to charge its rates to former COVB electric customers would allow the PSA to close.  Granting this requested relief </w:t>
      </w:r>
      <w:r>
        <w:t>would resolve the dispute about the territorial agreement between COVB and Indian River Shores</w:t>
      </w:r>
      <w:r w:rsidR="00DF7DE3">
        <w:t xml:space="preserve"> </w:t>
      </w:r>
      <w:r w:rsidR="00F1354B">
        <w:t xml:space="preserve">pending before us </w:t>
      </w:r>
      <w:r w:rsidR="00DF7DE3">
        <w:t xml:space="preserve">and </w:t>
      </w:r>
      <w:r>
        <w:t>would end years of litigation and legislative efforts by COVB electric customers who want to be transferred to FPL’s service area. Based on the foregoing, we find that granti</w:t>
      </w:r>
      <w:r w:rsidR="00DF7DE3">
        <w:t xml:space="preserve">ng the relief requested by the petitioners </w:t>
      </w:r>
      <w:r>
        <w:t>is in the public interest.</w:t>
      </w:r>
    </w:p>
    <w:p w:rsidR="00AA4CC4" w:rsidRDefault="00AA4CC4" w:rsidP="00AA4CC4">
      <w:pPr>
        <w:ind w:firstLine="720"/>
        <w:jc w:val="both"/>
      </w:pPr>
    </w:p>
    <w:p w:rsidR="00AA4CC4" w:rsidRDefault="002144CA" w:rsidP="00AA4CC4">
      <w:pPr>
        <w:ind w:firstLine="720"/>
        <w:jc w:val="both"/>
      </w:pPr>
      <w:r>
        <w:t>It is, therefore,</w:t>
      </w:r>
    </w:p>
    <w:p w:rsidR="002144CA" w:rsidRDefault="002144CA" w:rsidP="00AA4CC4">
      <w:pPr>
        <w:ind w:firstLine="720"/>
        <w:jc w:val="both"/>
      </w:pPr>
    </w:p>
    <w:p w:rsidR="002144CA" w:rsidRDefault="002144CA" w:rsidP="00AA4CC4">
      <w:pPr>
        <w:ind w:firstLine="720"/>
        <w:jc w:val="both"/>
      </w:pPr>
      <w:r>
        <w:t>ORDERED</w:t>
      </w:r>
      <w:r w:rsidR="00BA58AE">
        <w:t xml:space="preserve"> by the Florida Public Service Commission that</w:t>
      </w:r>
      <w:r w:rsidR="00E83599" w:rsidRPr="00E83599">
        <w:t xml:space="preserve"> </w:t>
      </w:r>
      <w:r w:rsidR="00E83599">
        <w:t>the City of Vero Beach and Florida Power &amp; Light Company</w:t>
      </w:r>
      <w:r w:rsidR="00AB5E7B">
        <w:t>’s Joint Petition</w:t>
      </w:r>
      <w:r w:rsidR="00E83599" w:rsidRPr="00D51A99">
        <w:t xml:space="preserve"> to </w:t>
      </w:r>
      <w:r w:rsidR="00AB5E7B">
        <w:t>T</w:t>
      </w:r>
      <w:r w:rsidR="00E83599" w:rsidRPr="00D51A99">
        <w:t xml:space="preserve">erminate </w:t>
      </w:r>
      <w:r w:rsidR="00AB5E7B">
        <w:t>T</w:t>
      </w:r>
      <w:r w:rsidR="00E83599" w:rsidRPr="00D51A99">
        <w:t xml:space="preserve">erritorial </w:t>
      </w:r>
      <w:r w:rsidR="00AB5E7B">
        <w:t>A</w:t>
      </w:r>
      <w:r w:rsidR="00E83599" w:rsidRPr="00D51A99">
        <w:t xml:space="preserve">greement </w:t>
      </w:r>
      <w:r w:rsidR="00E83599">
        <w:t xml:space="preserve">is </w:t>
      </w:r>
      <w:r w:rsidR="00292C61">
        <w:t>hereby granted</w:t>
      </w:r>
      <w:r w:rsidR="00E83599">
        <w:t xml:space="preserve"> as set forth in the body of this </w:t>
      </w:r>
      <w:r w:rsidR="00AB5E7B">
        <w:t>O</w:t>
      </w:r>
      <w:r w:rsidR="00E83599">
        <w:t>rder</w:t>
      </w:r>
      <w:r w:rsidR="00E83599" w:rsidRPr="00D51A99">
        <w:t>. </w:t>
      </w:r>
      <w:r>
        <w:t xml:space="preserve">  It is further</w:t>
      </w:r>
    </w:p>
    <w:p w:rsidR="002144CA" w:rsidRDefault="002144CA" w:rsidP="00AA4CC4">
      <w:pPr>
        <w:ind w:firstLine="720"/>
        <w:jc w:val="both"/>
      </w:pPr>
    </w:p>
    <w:p w:rsidR="002144CA" w:rsidRDefault="002144CA" w:rsidP="00AA4CC4">
      <w:pPr>
        <w:ind w:firstLine="720"/>
        <w:jc w:val="both"/>
        <w:rPr>
          <w:rFonts w:cstheme="minorHAnsi"/>
        </w:rPr>
      </w:pPr>
      <w:r>
        <w:t>ORDERED</w:t>
      </w:r>
      <w:r w:rsidR="00BA58AE">
        <w:t xml:space="preserve"> that </w:t>
      </w:r>
      <w:r w:rsidR="00E83599">
        <w:t>F</w:t>
      </w:r>
      <w:r w:rsidR="00AB5E7B">
        <w:t>lorida Power &amp; Light’s</w:t>
      </w:r>
      <w:r w:rsidR="00E83599">
        <w:t xml:space="preserve"> </w:t>
      </w:r>
      <w:r w:rsidR="00AB5E7B">
        <w:t>P</w:t>
      </w:r>
      <w:r w:rsidR="00E83599">
        <w:t xml:space="preserve">etition for </w:t>
      </w:r>
      <w:r w:rsidR="00AB5E7B">
        <w:t>A</w:t>
      </w:r>
      <w:r w:rsidR="00E83599">
        <w:t xml:space="preserve">uthority to </w:t>
      </w:r>
      <w:r w:rsidR="00AB5E7B">
        <w:t>C</w:t>
      </w:r>
      <w:r w:rsidR="00E83599">
        <w:t xml:space="preserve">harge FPL </w:t>
      </w:r>
      <w:r w:rsidR="00AB5E7B">
        <w:t>Rates to F</w:t>
      </w:r>
      <w:r w:rsidR="00E83599">
        <w:t>ormer C</w:t>
      </w:r>
      <w:r w:rsidR="00AB5E7B">
        <w:t>ity of Vero Beach</w:t>
      </w:r>
      <w:r w:rsidR="00E83599">
        <w:t xml:space="preserve"> </w:t>
      </w:r>
      <w:r w:rsidR="00AB5E7B">
        <w:t>C</w:t>
      </w:r>
      <w:r w:rsidR="00E83599">
        <w:t xml:space="preserve">ustomers and for </w:t>
      </w:r>
      <w:r w:rsidR="00AB5E7B">
        <w:t>A</w:t>
      </w:r>
      <w:r w:rsidR="00E83599">
        <w:t xml:space="preserve">pproval of FPL’s </w:t>
      </w:r>
      <w:r w:rsidR="00AB5E7B">
        <w:t>A</w:t>
      </w:r>
      <w:r w:rsidR="00E83599">
        <w:t>ccounting</w:t>
      </w:r>
      <w:r w:rsidR="00AB5E7B">
        <w:t xml:space="preserve"> T</w:t>
      </w:r>
      <w:r w:rsidR="00E83599">
        <w:t>reatment for C</w:t>
      </w:r>
      <w:r w:rsidR="00AB5E7B">
        <w:t>ity of Vero Beach</w:t>
      </w:r>
      <w:r w:rsidR="00E83599">
        <w:t xml:space="preserve"> </w:t>
      </w:r>
      <w:r w:rsidR="00AB5E7B">
        <w:t>T</w:t>
      </w:r>
      <w:r w:rsidR="00E83599">
        <w:t>ransaction</w:t>
      </w:r>
      <w:r w:rsidR="00BA58AE">
        <w:t xml:space="preserve"> is hereby granted as set forth in the body of this Order</w:t>
      </w:r>
      <w:r w:rsidR="00EC5F07" w:rsidRPr="002144CA">
        <w:rPr>
          <w:rFonts w:cstheme="minorHAnsi"/>
        </w:rPr>
        <w:t>.</w:t>
      </w:r>
      <w:r w:rsidR="006326AB">
        <w:rPr>
          <w:rFonts w:cstheme="minorHAnsi"/>
        </w:rPr>
        <w:t xml:space="preserve"> It is further</w:t>
      </w:r>
    </w:p>
    <w:p w:rsidR="00BB03A9" w:rsidRPr="00790D75" w:rsidRDefault="00BB03A9" w:rsidP="00AA4CC4">
      <w:pPr>
        <w:ind w:firstLine="720"/>
        <w:jc w:val="both"/>
      </w:pPr>
      <w:r>
        <w:lastRenderedPageBreak/>
        <w:t>ORDERED that these dockets sh</w:t>
      </w:r>
      <w:r w:rsidR="00AB5E7B">
        <w:t>all</w:t>
      </w:r>
      <w:r>
        <w:t xml:space="preserve"> be closed after the time for filing an appeal has run.</w:t>
      </w:r>
    </w:p>
    <w:p w:rsidR="00AA4CC4" w:rsidRPr="00AA4CC4" w:rsidRDefault="00AA4CC4" w:rsidP="00AA4CC4">
      <w:pPr>
        <w:pStyle w:val="ListParagraph"/>
        <w:autoSpaceDE w:val="0"/>
        <w:autoSpaceDN w:val="0"/>
        <w:adjustRightInd w:val="0"/>
        <w:ind w:left="0"/>
        <w:rPr>
          <w:u w:val="single"/>
        </w:rPr>
      </w:pPr>
    </w:p>
    <w:p w:rsidR="006505D0" w:rsidRDefault="006505D0" w:rsidP="00C869F4">
      <w:pPr>
        <w:keepNext/>
        <w:keepLines/>
        <w:ind w:firstLine="720"/>
        <w:jc w:val="both"/>
      </w:pPr>
      <w:r>
        <w:t xml:space="preserve">By ORDER of the Florida Public Service Commission this </w:t>
      </w:r>
      <w:bookmarkStart w:id="7" w:name="replaceDate"/>
      <w:bookmarkEnd w:id="7"/>
      <w:r w:rsidR="00C869F4">
        <w:rPr>
          <w:u w:val="single"/>
        </w:rPr>
        <w:t>30th</w:t>
      </w:r>
      <w:r w:rsidR="00C869F4">
        <w:t xml:space="preserve"> day of </w:t>
      </w:r>
      <w:r w:rsidR="00C869F4">
        <w:rPr>
          <w:u w:val="single"/>
        </w:rPr>
        <w:t>November</w:t>
      </w:r>
      <w:r w:rsidR="00C869F4">
        <w:t xml:space="preserve">, </w:t>
      </w:r>
      <w:r w:rsidR="00C869F4">
        <w:rPr>
          <w:u w:val="single"/>
        </w:rPr>
        <w:t>2018</w:t>
      </w:r>
      <w:r w:rsidR="00C869F4">
        <w:t>.</w:t>
      </w:r>
    </w:p>
    <w:p w:rsidR="00C869F4" w:rsidRPr="00C869F4" w:rsidRDefault="00C869F4" w:rsidP="00C869F4">
      <w:pPr>
        <w:keepNext/>
        <w:keepLines/>
        <w:ind w:firstLine="720"/>
        <w:jc w:val="both"/>
      </w:pPr>
    </w:p>
    <w:p w:rsidR="006505D0" w:rsidRDefault="006505D0" w:rsidP="006505D0">
      <w:pPr>
        <w:keepNext/>
        <w:keepLines/>
      </w:pPr>
    </w:p>
    <w:p w:rsidR="006505D0" w:rsidRDefault="006505D0" w:rsidP="006505D0">
      <w:pPr>
        <w:keepNext/>
        <w:keepLines/>
      </w:pPr>
    </w:p>
    <w:p w:rsidR="006505D0" w:rsidRDefault="006505D0" w:rsidP="006505D0">
      <w:pPr>
        <w:keepNext/>
        <w:keepLines/>
      </w:pPr>
    </w:p>
    <w:tbl>
      <w:tblPr>
        <w:tblW w:w="4720" w:type="dxa"/>
        <w:tblInd w:w="3800" w:type="dxa"/>
        <w:tblLayout w:type="fixed"/>
        <w:tblLook w:val="0000" w:firstRow="0" w:lastRow="0" w:firstColumn="0" w:lastColumn="0" w:noHBand="0" w:noVBand="0"/>
      </w:tblPr>
      <w:tblGrid>
        <w:gridCol w:w="686"/>
        <w:gridCol w:w="4034"/>
      </w:tblGrid>
      <w:tr w:rsidR="006505D0" w:rsidTr="006505D0">
        <w:tc>
          <w:tcPr>
            <w:tcW w:w="720" w:type="dxa"/>
            <w:shd w:val="clear" w:color="auto" w:fill="auto"/>
          </w:tcPr>
          <w:p w:rsidR="006505D0" w:rsidRDefault="006505D0" w:rsidP="006505D0">
            <w:pPr>
              <w:keepNext/>
              <w:keepLines/>
            </w:pPr>
            <w:bookmarkStart w:id="8" w:name="bkmrkSignature" w:colFirst="0" w:colLast="0"/>
          </w:p>
        </w:tc>
        <w:tc>
          <w:tcPr>
            <w:tcW w:w="4320" w:type="dxa"/>
            <w:tcBorders>
              <w:bottom w:val="single" w:sz="4" w:space="0" w:color="auto"/>
            </w:tcBorders>
            <w:shd w:val="clear" w:color="auto" w:fill="auto"/>
          </w:tcPr>
          <w:p w:rsidR="006505D0" w:rsidRDefault="00C869F4" w:rsidP="006505D0">
            <w:pPr>
              <w:keepNext/>
              <w:keepLines/>
            </w:pPr>
            <w:r>
              <w:t>/s/ Carlotta S. Stauffer</w:t>
            </w:r>
            <w:bookmarkStart w:id="9" w:name="_GoBack"/>
            <w:bookmarkEnd w:id="9"/>
          </w:p>
        </w:tc>
      </w:tr>
      <w:bookmarkEnd w:id="8"/>
      <w:tr w:rsidR="006505D0" w:rsidTr="006505D0">
        <w:tc>
          <w:tcPr>
            <w:tcW w:w="720" w:type="dxa"/>
            <w:shd w:val="clear" w:color="auto" w:fill="auto"/>
          </w:tcPr>
          <w:p w:rsidR="006505D0" w:rsidRDefault="006505D0" w:rsidP="006505D0">
            <w:pPr>
              <w:keepNext/>
              <w:keepLines/>
            </w:pPr>
          </w:p>
        </w:tc>
        <w:tc>
          <w:tcPr>
            <w:tcW w:w="4320" w:type="dxa"/>
            <w:tcBorders>
              <w:top w:val="single" w:sz="4" w:space="0" w:color="auto"/>
            </w:tcBorders>
            <w:shd w:val="clear" w:color="auto" w:fill="auto"/>
          </w:tcPr>
          <w:p w:rsidR="006505D0" w:rsidRDefault="006505D0" w:rsidP="006505D0">
            <w:pPr>
              <w:keepNext/>
              <w:keepLines/>
            </w:pPr>
            <w:r>
              <w:t>CARLOTTA S. STAUFFER</w:t>
            </w:r>
          </w:p>
          <w:p w:rsidR="006505D0" w:rsidRDefault="006505D0" w:rsidP="006505D0">
            <w:pPr>
              <w:keepNext/>
              <w:keepLines/>
            </w:pPr>
            <w:r>
              <w:t>Commission Clerk</w:t>
            </w:r>
          </w:p>
        </w:tc>
      </w:tr>
    </w:tbl>
    <w:p w:rsidR="006505D0" w:rsidRDefault="006505D0" w:rsidP="006505D0">
      <w:pPr>
        <w:pStyle w:val="OrderSigInfo"/>
        <w:keepNext/>
        <w:keepLines/>
      </w:pPr>
      <w:r>
        <w:t>Florida Public Service Commission</w:t>
      </w:r>
    </w:p>
    <w:p w:rsidR="006505D0" w:rsidRDefault="006505D0" w:rsidP="006505D0">
      <w:pPr>
        <w:pStyle w:val="OrderSigInfo"/>
        <w:keepNext/>
        <w:keepLines/>
      </w:pPr>
      <w:r>
        <w:t>2540 Shumard Oak Boulevard</w:t>
      </w:r>
    </w:p>
    <w:p w:rsidR="006505D0" w:rsidRDefault="006505D0" w:rsidP="006505D0">
      <w:pPr>
        <w:pStyle w:val="OrderSigInfo"/>
        <w:keepNext/>
        <w:keepLines/>
      </w:pPr>
      <w:r>
        <w:t>Tallahassee, Florida 32399</w:t>
      </w:r>
    </w:p>
    <w:p w:rsidR="006505D0" w:rsidRDefault="006505D0" w:rsidP="006505D0">
      <w:pPr>
        <w:pStyle w:val="OrderSigInfo"/>
        <w:keepNext/>
        <w:keepLines/>
      </w:pPr>
      <w:r>
        <w:t>(850) 413</w:t>
      </w:r>
      <w:r>
        <w:noBreakHyphen/>
        <w:t>6770</w:t>
      </w:r>
    </w:p>
    <w:p w:rsidR="006505D0" w:rsidRDefault="006505D0" w:rsidP="006505D0">
      <w:pPr>
        <w:pStyle w:val="OrderSigInfo"/>
        <w:keepNext/>
        <w:keepLines/>
      </w:pPr>
      <w:r>
        <w:t>www.floridapsc.com</w:t>
      </w:r>
    </w:p>
    <w:p w:rsidR="006505D0" w:rsidRDefault="006505D0" w:rsidP="006505D0">
      <w:pPr>
        <w:pStyle w:val="OrderSigInfo"/>
        <w:keepNext/>
        <w:keepLines/>
      </w:pPr>
    </w:p>
    <w:p w:rsidR="006505D0" w:rsidRDefault="006505D0" w:rsidP="006505D0">
      <w:pPr>
        <w:pStyle w:val="OrderSigInfo"/>
        <w:keepNext/>
        <w:keepLines/>
      </w:pPr>
      <w:r>
        <w:t>Copies furnished:  A copy of this document is provided to the parties of record at the time of issuance and, if applicable, interested persons.</w:t>
      </w:r>
    </w:p>
    <w:p w:rsidR="006505D0" w:rsidRDefault="006505D0" w:rsidP="006505D0">
      <w:pPr>
        <w:pStyle w:val="OrderBody"/>
        <w:keepNext/>
        <w:keepLines/>
      </w:pPr>
    </w:p>
    <w:p w:rsidR="006505D0" w:rsidRDefault="006505D0" w:rsidP="006505D0">
      <w:pPr>
        <w:keepNext/>
        <w:keepLines/>
      </w:pPr>
    </w:p>
    <w:p w:rsidR="006505D0" w:rsidRDefault="006505D0" w:rsidP="006505D0">
      <w:pPr>
        <w:keepNext/>
        <w:keepLines/>
      </w:pPr>
      <w:r>
        <w:t>KGWC</w:t>
      </w:r>
    </w:p>
    <w:p w:rsidR="006505D0" w:rsidRDefault="006505D0" w:rsidP="00B41039"/>
    <w:p w:rsidR="006505D0" w:rsidRDefault="006505D0" w:rsidP="00B41039"/>
    <w:p w:rsidR="006505D0" w:rsidRDefault="006505D0" w:rsidP="006505D0">
      <w:pPr>
        <w:pStyle w:val="CenterUnderline"/>
      </w:pPr>
      <w:r>
        <w:t>NOTICE OF FURTHER PROCEEDINGS OR JUDICIAL REVIEW</w:t>
      </w:r>
    </w:p>
    <w:p w:rsidR="006505D0" w:rsidRDefault="006505D0" w:rsidP="006505D0">
      <w:pPr>
        <w:pStyle w:val="CenterUnderline"/>
        <w:rPr>
          <w:u w:val="none"/>
        </w:rPr>
      </w:pPr>
    </w:p>
    <w:p w:rsidR="006505D0" w:rsidRDefault="006505D0" w:rsidP="006505D0">
      <w:pPr>
        <w:pStyle w:val="OrderBody"/>
      </w:pPr>
    </w:p>
    <w:p w:rsidR="006505D0" w:rsidRDefault="006505D0" w:rsidP="006505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05D0" w:rsidRDefault="006505D0" w:rsidP="006505D0">
      <w:pPr>
        <w:pStyle w:val="OrderBody"/>
      </w:pPr>
    </w:p>
    <w:p w:rsidR="006505D0" w:rsidRPr="006505D0" w:rsidRDefault="006505D0" w:rsidP="006505D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6505D0" w:rsidRPr="006505D0" w:rsidSect="00DF64F5">
      <w:headerReference w:type="default" r:id="rId9"/>
      <w:footerReference w:type="first" r:id="rId10"/>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A9" w:rsidRDefault="00BB03A9">
      <w:r>
        <w:separator/>
      </w:r>
    </w:p>
  </w:endnote>
  <w:endnote w:type="continuationSeparator" w:id="0">
    <w:p w:rsidR="00BB03A9" w:rsidRDefault="00BB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A9" w:rsidRDefault="00BB03A9">
    <w:pPr>
      <w:pStyle w:val="Footer"/>
    </w:pPr>
  </w:p>
  <w:p w:rsidR="00BB03A9" w:rsidRDefault="00BB0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A9" w:rsidRDefault="00BB03A9">
      <w:r>
        <w:separator/>
      </w:r>
    </w:p>
  </w:footnote>
  <w:footnote w:type="continuationSeparator" w:id="0">
    <w:p w:rsidR="00BB03A9" w:rsidRDefault="00BB03A9">
      <w:r>
        <w:continuationSeparator/>
      </w:r>
    </w:p>
  </w:footnote>
  <w:footnote w:id="1">
    <w:p w:rsidR="00BB03A9" w:rsidRDefault="00BB03A9" w:rsidP="00AA4CC4">
      <w:pPr>
        <w:pStyle w:val="FootnoteText"/>
      </w:pPr>
      <w:r>
        <w:rPr>
          <w:rStyle w:val="FootnoteReference"/>
        </w:rPr>
        <w:footnoteRef/>
      </w:r>
      <w:r>
        <w:t xml:space="preserve"> </w:t>
      </w:r>
      <w:r w:rsidRPr="00F43FE8">
        <w:rPr>
          <w:i/>
        </w:rPr>
        <w:t xml:space="preserve">See </w:t>
      </w:r>
      <w:r w:rsidRPr="00F43FE8">
        <w:t xml:space="preserve">Order No. 5520, issued August 29, 1972, in Docket No. 72045-EU, </w:t>
      </w:r>
      <w:r w:rsidRPr="00F43FE8">
        <w:rPr>
          <w:i/>
        </w:rPr>
        <w:t>I</w:t>
      </w:r>
      <w:r w:rsidRPr="00F43FE8">
        <w:rPr>
          <w:i/>
          <w:iCs/>
        </w:rPr>
        <w:t>n</w:t>
      </w:r>
      <w:r w:rsidRPr="00F43FE8">
        <w:rPr>
          <w:i/>
          <w:iCs/>
          <w:spacing w:val="9"/>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 of</w:t>
      </w:r>
      <w:r w:rsidRPr="00F43FE8">
        <w:rPr>
          <w:i/>
          <w:iCs/>
          <w:spacing w:val="10"/>
        </w:rPr>
        <w:t xml:space="preserve"> </w:t>
      </w:r>
      <w:r w:rsidRPr="00F43FE8">
        <w:rPr>
          <w:i/>
          <w:iCs/>
        </w:rPr>
        <w:t>Flor</w:t>
      </w:r>
      <w:r w:rsidRPr="00F43FE8">
        <w:rPr>
          <w:i/>
          <w:iCs/>
          <w:spacing w:val="1"/>
        </w:rPr>
        <w:t>i</w:t>
      </w:r>
      <w:r w:rsidRPr="00F43FE8">
        <w:rPr>
          <w:i/>
          <w:iCs/>
        </w:rPr>
        <w:t>da</w:t>
      </w:r>
      <w:r w:rsidRPr="00F43FE8">
        <w:rPr>
          <w:i/>
          <w:iCs/>
          <w:spacing w:val="6"/>
        </w:rPr>
        <w:t xml:space="preserve"> </w:t>
      </w:r>
      <w:r w:rsidRPr="00F43FE8">
        <w:rPr>
          <w:i/>
          <w:iCs/>
        </w:rPr>
        <w:t>Power</w:t>
      </w:r>
      <w:r w:rsidRPr="00F43FE8">
        <w:rPr>
          <w:i/>
          <w:iCs/>
          <w:spacing w:val="3"/>
        </w:rPr>
        <w:t xml:space="preserve"> </w:t>
      </w:r>
      <w:r w:rsidRPr="00F43FE8">
        <w:rPr>
          <w:i/>
          <w:iCs/>
        </w:rPr>
        <w:t>and</w:t>
      </w:r>
      <w:r w:rsidRPr="00F43FE8">
        <w:rPr>
          <w:i/>
          <w:iCs/>
          <w:spacing w:val="9"/>
        </w:rPr>
        <w:t xml:space="preserve"> </w:t>
      </w:r>
      <w:r w:rsidRPr="00F43FE8">
        <w:rPr>
          <w:i/>
          <w:iCs/>
          <w:spacing w:val="1"/>
        </w:rPr>
        <w:t>L</w:t>
      </w:r>
      <w:r w:rsidRPr="00F43FE8">
        <w:rPr>
          <w:i/>
          <w:iCs/>
        </w:rPr>
        <w:t>ight</w:t>
      </w:r>
      <w:r w:rsidRPr="00F43FE8">
        <w:rPr>
          <w:i/>
          <w:iCs/>
          <w:spacing w:val="6"/>
        </w:rPr>
        <w:t xml:space="preserve"> </w:t>
      </w:r>
      <w:r w:rsidRPr="00F43FE8">
        <w:rPr>
          <w:i/>
          <w:iCs/>
        </w:rPr>
        <w:t>Company</w:t>
      </w:r>
      <w:r w:rsidRPr="00F43FE8">
        <w:rPr>
          <w:i/>
          <w:iCs/>
          <w:spacing w:val="6"/>
        </w:rPr>
        <w:t xml:space="preserve"> </w:t>
      </w:r>
      <w:r w:rsidRPr="00F43FE8">
        <w:rPr>
          <w:i/>
          <w:iCs/>
        </w:rPr>
        <w:t>for</w:t>
      </w:r>
      <w:r w:rsidRPr="00F43FE8">
        <w:rPr>
          <w:i/>
          <w:iCs/>
          <w:spacing w:val="7"/>
        </w:rPr>
        <w:t xml:space="preserve"> </w:t>
      </w:r>
      <w:r w:rsidRPr="00F43FE8">
        <w:rPr>
          <w:i/>
          <w:iCs/>
        </w:rPr>
        <w:t>a</w:t>
      </w:r>
      <w:r w:rsidRPr="00F43FE8">
        <w:rPr>
          <w:i/>
          <w:iCs/>
          <w:spacing w:val="3"/>
        </w:rPr>
        <w:t>p</w:t>
      </w:r>
      <w:r w:rsidRPr="00F43FE8">
        <w:rPr>
          <w:i/>
          <w:iCs/>
        </w:rPr>
        <w:t>pro</w:t>
      </w:r>
      <w:r w:rsidRPr="00F43FE8">
        <w:rPr>
          <w:i/>
          <w:iCs/>
          <w:spacing w:val="1"/>
        </w:rPr>
        <w:t>v</w:t>
      </w:r>
      <w:r w:rsidRPr="00F43FE8">
        <w:rPr>
          <w:i/>
          <w:iCs/>
        </w:rPr>
        <w:t>al</w:t>
      </w:r>
      <w:r w:rsidRPr="00F43FE8">
        <w:rPr>
          <w:i/>
          <w:iCs/>
          <w:spacing w:val="8"/>
        </w:rPr>
        <w:t xml:space="preserve"> </w:t>
      </w:r>
      <w:r w:rsidRPr="00F43FE8">
        <w:rPr>
          <w:i/>
          <w:iCs/>
        </w:rPr>
        <w:t>of</w:t>
      </w:r>
      <w:r w:rsidRPr="00F43FE8">
        <w:rPr>
          <w:i/>
          <w:iCs/>
          <w:spacing w:val="8"/>
        </w:rPr>
        <w:t xml:space="preserve"> </w:t>
      </w:r>
      <w:r w:rsidRPr="00F43FE8">
        <w:rPr>
          <w:i/>
          <w:iCs/>
        </w:rPr>
        <w:t>a terri</w:t>
      </w:r>
      <w:r w:rsidRPr="00F43FE8">
        <w:rPr>
          <w:i/>
          <w:iCs/>
          <w:spacing w:val="1"/>
        </w:rPr>
        <w:t>t</w:t>
      </w:r>
      <w:r w:rsidRPr="00F43FE8">
        <w:rPr>
          <w:i/>
          <w:iCs/>
        </w:rPr>
        <w:t>orial agre</w:t>
      </w:r>
      <w:r w:rsidRPr="00F43FE8">
        <w:rPr>
          <w:i/>
          <w:iCs/>
          <w:spacing w:val="-2"/>
        </w:rPr>
        <w:t>e</w:t>
      </w:r>
      <w:r w:rsidRPr="00F43FE8">
        <w:rPr>
          <w:i/>
          <w:iCs/>
        </w:rPr>
        <w:t>m</w:t>
      </w:r>
      <w:r w:rsidRPr="00F43FE8">
        <w:rPr>
          <w:i/>
          <w:iCs/>
          <w:spacing w:val="-1"/>
        </w:rPr>
        <w:t>e</w:t>
      </w:r>
      <w:r w:rsidRPr="00F43FE8">
        <w:rPr>
          <w:i/>
          <w:iCs/>
        </w:rPr>
        <w:t>nt</w:t>
      </w:r>
      <w:r w:rsidRPr="00F43FE8">
        <w:rPr>
          <w:i/>
          <w:iCs/>
          <w:spacing w:val="1"/>
        </w:rPr>
        <w:t xml:space="preserve"> </w:t>
      </w:r>
      <w:r w:rsidRPr="00F43FE8">
        <w:rPr>
          <w:i/>
          <w:iCs/>
        </w:rPr>
        <w:t>wi</w:t>
      </w:r>
      <w:r w:rsidRPr="00F43FE8">
        <w:rPr>
          <w:i/>
          <w:iCs/>
          <w:spacing w:val="-1"/>
        </w:rPr>
        <w:t>t</w:t>
      </w:r>
      <w:r w:rsidRPr="00F43FE8">
        <w:rPr>
          <w:i/>
          <w:iCs/>
        </w:rPr>
        <w:t>h</w:t>
      </w:r>
      <w:r w:rsidRPr="00F43FE8">
        <w:rPr>
          <w:i/>
          <w:iCs/>
          <w:spacing w:val="6"/>
        </w:rPr>
        <w:t xml:space="preserve"> the City</w:t>
      </w:r>
      <w:r w:rsidRPr="00F43FE8">
        <w:rPr>
          <w:i/>
          <w:iCs/>
          <w:spacing w:val="4"/>
        </w:rPr>
        <w:t xml:space="preserve"> </w:t>
      </w:r>
      <w:r w:rsidRPr="00F43FE8">
        <w:rPr>
          <w:i/>
          <w:iCs/>
        </w:rPr>
        <w:t>of</w:t>
      </w:r>
      <w:r w:rsidRPr="00F43FE8">
        <w:rPr>
          <w:i/>
          <w:iCs/>
          <w:spacing w:val="5"/>
        </w:rPr>
        <w:t xml:space="preserve"> </w:t>
      </w:r>
      <w:r w:rsidRPr="00F43FE8">
        <w:rPr>
          <w:i/>
          <w:iCs/>
        </w:rPr>
        <w:t>V</w:t>
      </w:r>
      <w:r w:rsidRPr="00F43FE8">
        <w:rPr>
          <w:i/>
          <w:iCs/>
          <w:spacing w:val="-1"/>
        </w:rPr>
        <w:t>e</w:t>
      </w:r>
      <w:r w:rsidRPr="00F43FE8">
        <w:rPr>
          <w:i/>
          <w:iCs/>
        </w:rPr>
        <w:t>ro</w:t>
      </w:r>
      <w:r w:rsidRPr="00F43FE8">
        <w:rPr>
          <w:i/>
          <w:iCs/>
          <w:spacing w:val="6"/>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spacing w:val="4"/>
        </w:rPr>
        <w:t>h</w:t>
      </w:r>
      <w:r w:rsidRPr="00F43FE8">
        <w:rPr>
          <w:iCs/>
          <w:spacing w:val="4"/>
        </w:rPr>
        <w:t xml:space="preserve">; </w:t>
      </w:r>
      <w:r w:rsidRPr="00F43FE8">
        <w:t>O</w:t>
      </w:r>
      <w:r w:rsidRPr="00F43FE8">
        <w:rPr>
          <w:spacing w:val="-1"/>
        </w:rPr>
        <w:t>r</w:t>
      </w:r>
      <w:r w:rsidRPr="00F43FE8">
        <w:rPr>
          <w:spacing w:val="2"/>
        </w:rPr>
        <w:t>d</w:t>
      </w:r>
      <w:r w:rsidRPr="00F43FE8">
        <w:rPr>
          <w:spacing w:val="-1"/>
        </w:rPr>
        <w:t>e</w:t>
      </w:r>
      <w:r w:rsidRPr="00F43FE8">
        <w:t>r</w:t>
      </w:r>
      <w:r w:rsidRPr="00F43FE8">
        <w:rPr>
          <w:spacing w:val="3"/>
        </w:rPr>
        <w:t xml:space="preserve"> </w:t>
      </w:r>
      <w:r w:rsidRPr="00F43FE8">
        <w:t>No.</w:t>
      </w:r>
      <w:r w:rsidRPr="00F43FE8">
        <w:rPr>
          <w:spacing w:val="6"/>
        </w:rPr>
        <w:t xml:space="preserve"> </w:t>
      </w:r>
      <w:r w:rsidRPr="00F43FE8">
        <w:t>6010,</w:t>
      </w:r>
      <w:r w:rsidRPr="00F43FE8">
        <w:rPr>
          <w:spacing w:val="8"/>
        </w:rPr>
        <w:t xml:space="preserve"> </w:t>
      </w:r>
      <w:r w:rsidRPr="00F43FE8">
        <w:t xml:space="preserve">issued </w:t>
      </w:r>
      <w:r w:rsidRPr="00F43FE8">
        <w:rPr>
          <w:spacing w:val="2"/>
        </w:rPr>
        <w:t>J</w:t>
      </w:r>
      <w:r w:rsidRPr="00F43FE8">
        <w:rPr>
          <w:spacing w:val="-1"/>
        </w:rPr>
        <w:t>a</w:t>
      </w:r>
      <w:r w:rsidRPr="00F43FE8">
        <w:t>nu</w:t>
      </w:r>
      <w:r w:rsidRPr="00F43FE8">
        <w:rPr>
          <w:spacing w:val="-1"/>
        </w:rPr>
        <w:t>a</w:t>
      </w:r>
      <w:r w:rsidRPr="00F43FE8">
        <w:rPr>
          <w:spacing w:val="4"/>
        </w:rPr>
        <w:t>r</w:t>
      </w:r>
      <w:r w:rsidRPr="00F43FE8">
        <w:t>y</w:t>
      </w:r>
      <w:r w:rsidRPr="00F43FE8">
        <w:rPr>
          <w:spacing w:val="-10"/>
        </w:rPr>
        <w:t xml:space="preserve"> </w:t>
      </w:r>
      <w:r w:rsidRPr="00F43FE8">
        <w:t xml:space="preserve">18, 1974, in Docket No. 73605-EU, </w:t>
      </w:r>
      <w:r w:rsidRPr="00F43FE8">
        <w:rPr>
          <w:i/>
          <w:iCs/>
        </w:rPr>
        <w:t>In</w:t>
      </w:r>
      <w:r w:rsidRPr="00F43FE8">
        <w:rPr>
          <w:i/>
          <w:iCs/>
          <w:spacing w:val="8"/>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 of</w:t>
      </w:r>
      <w:r w:rsidRPr="00F43FE8">
        <w:rPr>
          <w:i/>
          <w:iCs/>
          <w:spacing w:val="5"/>
        </w:rPr>
        <w:t xml:space="preserve"> </w:t>
      </w:r>
      <w:r w:rsidRPr="00F43FE8">
        <w:rPr>
          <w:i/>
          <w:iCs/>
        </w:rPr>
        <w:t>Flor</w:t>
      </w:r>
      <w:r w:rsidRPr="00F43FE8">
        <w:rPr>
          <w:i/>
          <w:iCs/>
          <w:spacing w:val="3"/>
        </w:rPr>
        <w:t>i</w:t>
      </w:r>
      <w:r w:rsidRPr="00F43FE8">
        <w:rPr>
          <w:i/>
          <w:iCs/>
        </w:rPr>
        <w:t>da</w:t>
      </w:r>
      <w:r w:rsidRPr="00F43FE8">
        <w:rPr>
          <w:i/>
          <w:iCs/>
          <w:spacing w:val="4"/>
        </w:rPr>
        <w:t xml:space="preserve"> </w:t>
      </w:r>
      <w:r w:rsidRPr="00F43FE8">
        <w:rPr>
          <w:i/>
          <w:iCs/>
        </w:rPr>
        <w:t>Power</w:t>
      </w:r>
      <w:r w:rsidRPr="00F43FE8">
        <w:rPr>
          <w:i/>
          <w:iCs/>
          <w:spacing w:val="5"/>
        </w:rPr>
        <w:t xml:space="preserve"> </w:t>
      </w:r>
      <w:r w:rsidRPr="00F43FE8">
        <w:rPr>
          <w:i/>
          <w:iCs/>
        </w:rPr>
        <w:t xml:space="preserve">&amp; </w:t>
      </w:r>
      <w:r w:rsidRPr="00F43FE8">
        <w:rPr>
          <w:i/>
          <w:iCs/>
          <w:spacing w:val="1"/>
        </w:rPr>
        <w:t>L</w:t>
      </w:r>
      <w:r w:rsidRPr="00F43FE8">
        <w:rPr>
          <w:i/>
          <w:iCs/>
        </w:rPr>
        <w:t>ight</w:t>
      </w:r>
      <w:r w:rsidRPr="00F43FE8">
        <w:rPr>
          <w:i/>
          <w:iCs/>
          <w:spacing w:val="6"/>
        </w:rPr>
        <w:t xml:space="preserve"> </w:t>
      </w:r>
      <w:r w:rsidRPr="00F43FE8">
        <w:rPr>
          <w:i/>
          <w:iCs/>
        </w:rPr>
        <w:t>Company</w:t>
      </w:r>
      <w:r w:rsidRPr="00F43FE8">
        <w:rPr>
          <w:i/>
          <w:iCs/>
          <w:spacing w:val="5"/>
        </w:rPr>
        <w:t xml:space="preserve"> </w:t>
      </w:r>
      <w:r w:rsidRPr="00F43FE8">
        <w:rPr>
          <w:i/>
          <w:iCs/>
        </w:rPr>
        <w:t>for</w:t>
      </w:r>
      <w:r w:rsidRPr="00F43FE8">
        <w:rPr>
          <w:i/>
          <w:iCs/>
          <w:spacing w:val="6"/>
        </w:rPr>
        <w:t xml:space="preserve"> </w:t>
      </w:r>
      <w:r w:rsidRPr="00F43FE8">
        <w:rPr>
          <w:i/>
          <w:iCs/>
        </w:rPr>
        <w:t>a</w:t>
      </w:r>
      <w:r w:rsidRPr="00F43FE8">
        <w:rPr>
          <w:i/>
          <w:iCs/>
          <w:spacing w:val="3"/>
        </w:rPr>
        <w:t>p</w:t>
      </w:r>
      <w:r w:rsidRPr="00F43FE8">
        <w:rPr>
          <w:i/>
          <w:iCs/>
        </w:rPr>
        <w:t>prov</w:t>
      </w:r>
      <w:r w:rsidRPr="00F43FE8">
        <w:rPr>
          <w:i/>
          <w:iCs/>
          <w:spacing w:val="-1"/>
        </w:rPr>
        <w:t>a</w:t>
      </w:r>
      <w:r w:rsidRPr="00F43FE8">
        <w:rPr>
          <w:i/>
          <w:iCs/>
        </w:rPr>
        <w:t>l</w:t>
      </w:r>
      <w:r w:rsidRPr="00F43FE8">
        <w:rPr>
          <w:i/>
          <w:iCs/>
          <w:spacing w:val="8"/>
        </w:rPr>
        <w:t xml:space="preserve"> </w:t>
      </w:r>
      <w:r w:rsidRPr="00F43FE8">
        <w:rPr>
          <w:i/>
          <w:iCs/>
        </w:rPr>
        <w:t>of</w:t>
      </w:r>
      <w:r w:rsidRPr="00F43FE8">
        <w:rPr>
          <w:i/>
          <w:iCs/>
          <w:spacing w:val="5"/>
        </w:rPr>
        <w:t xml:space="preserve"> </w:t>
      </w:r>
      <w:r w:rsidRPr="00F43FE8">
        <w:rPr>
          <w:i/>
          <w:iCs/>
        </w:rPr>
        <w:t>a modif</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w:t>
      </w:r>
      <w:r w:rsidRPr="00F43FE8">
        <w:rPr>
          <w:i/>
          <w:iCs/>
          <w:spacing w:val="26"/>
        </w:rPr>
        <w:t xml:space="preserve"> </w:t>
      </w:r>
      <w:r w:rsidRPr="00F43FE8">
        <w:rPr>
          <w:i/>
          <w:iCs/>
        </w:rPr>
        <w:t>of</w:t>
      </w:r>
      <w:r w:rsidRPr="00F43FE8">
        <w:rPr>
          <w:i/>
          <w:iCs/>
          <w:spacing w:val="34"/>
        </w:rPr>
        <w:t xml:space="preserve"> </w:t>
      </w:r>
      <w:r w:rsidRPr="00F43FE8">
        <w:rPr>
          <w:i/>
          <w:iCs/>
        </w:rPr>
        <w:t>terri</w:t>
      </w:r>
      <w:r w:rsidRPr="00F43FE8">
        <w:rPr>
          <w:i/>
          <w:iCs/>
          <w:spacing w:val="1"/>
        </w:rPr>
        <w:t>t</w:t>
      </w:r>
      <w:r w:rsidRPr="00F43FE8">
        <w:rPr>
          <w:i/>
          <w:iCs/>
        </w:rPr>
        <w:t>or</w:t>
      </w:r>
      <w:r w:rsidRPr="00F43FE8">
        <w:rPr>
          <w:i/>
          <w:iCs/>
          <w:spacing w:val="-2"/>
        </w:rPr>
        <w:t>i</w:t>
      </w:r>
      <w:r w:rsidRPr="00F43FE8">
        <w:rPr>
          <w:i/>
          <w:iCs/>
        </w:rPr>
        <w:t>al</w:t>
      </w:r>
      <w:r w:rsidRPr="00F43FE8">
        <w:rPr>
          <w:i/>
          <w:iCs/>
          <w:spacing w:val="26"/>
        </w:rPr>
        <w:t xml:space="preserve"> </w:t>
      </w:r>
      <w:r w:rsidRPr="00F43FE8">
        <w:rPr>
          <w:i/>
          <w:iCs/>
        </w:rPr>
        <w:t>agre</w:t>
      </w:r>
      <w:r w:rsidRPr="00F43FE8">
        <w:rPr>
          <w:i/>
          <w:iCs/>
          <w:spacing w:val="-2"/>
        </w:rPr>
        <w:t>e</w:t>
      </w:r>
      <w:r w:rsidRPr="00F43FE8">
        <w:rPr>
          <w:i/>
          <w:iCs/>
        </w:rPr>
        <w:t>m</w:t>
      </w:r>
      <w:r w:rsidRPr="00F43FE8">
        <w:rPr>
          <w:i/>
          <w:iCs/>
          <w:spacing w:val="-1"/>
        </w:rPr>
        <w:t>e</w:t>
      </w:r>
      <w:r w:rsidRPr="00F43FE8">
        <w:rPr>
          <w:i/>
          <w:iCs/>
        </w:rPr>
        <w:t>nt</w:t>
      </w:r>
      <w:r w:rsidRPr="00F43FE8">
        <w:rPr>
          <w:i/>
          <w:iCs/>
          <w:spacing w:val="29"/>
        </w:rPr>
        <w:t xml:space="preserve"> </w:t>
      </w:r>
      <w:r w:rsidRPr="00F43FE8">
        <w:rPr>
          <w:i/>
          <w:iCs/>
        </w:rPr>
        <w:t>and</w:t>
      </w:r>
      <w:r w:rsidRPr="00F43FE8">
        <w:rPr>
          <w:i/>
          <w:iCs/>
          <w:spacing w:val="38"/>
        </w:rPr>
        <w:t xml:space="preserve"> </w:t>
      </w:r>
      <w:r w:rsidRPr="00F43FE8">
        <w:rPr>
          <w:i/>
          <w:iCs/>
          <w:spacing w:val="-1"/>
        </w:rPr>
        <w:t>c</w:t>
      </w:r>
      <w:r w:rsidRPr="00F43FE8">
        <w:rPr>
          <w:i/>
          <w:iCs/>
        </w:rPr>
        <w:t>ont</w:t>
      </w:r>
      <w:r w:rsidRPr="00F43FE8">
        <w:rPr>
          <w:i/>
          <w:iCs/>
          <w:spacing w:val="3"/>
        </w:rPr>
        <w:t>r</w:t>
      </w:r>
      <w:r w:rsidRPr="00F43FE8">
        <w:rPr>
          <w:i/>
          <w:iCs/>
        </w:rPr>
        <w:t>a</w:t>
      </w:r>
      <w:r w:rsidRPr="00F43FE8">
        <w:rPr>
          <w:i/>
          <w:iCs/>
          <w:spacing w:val="-1"/>
        </w:rPr>
        <w:t>c</w:t>
      </w:r>
      <w:r w:rsidRPr="00F43FE8">
        <w:rPr>
          <w:i/>
          <w:iCs/>
        </w:rPr>
        <w:t>t</w:t>
      </w:r>
      <w:r w:rsidRPr="00F43FE8">
        <w:rPr>
          <w:i/>
          <w:iCs/>
          <w:spacing w:val="28"/>
        </w:rPr>
        <w:t xml:space="preserve"> </w:t>
      </w:r>
      <w:r w:rsidRPr="00F43FE8">
        <w:rPr>
          <w:i/>
          <w:iCs/>
        </w:rPr>
        <w:t>for</w:t>
      </w:r>
      <w:r w:rsidRPr="00F43FE8">
        <w:rPr>
          <w:i/>
          <w:iCs/>
          <w:spacing w:val="33"/>
        </w:rPr>
        <w:t xml:space="preserve"> </w:t>
      </w:r>
      <w:r w:rsidRPr="00F43FE8">
        <w:rPr>
          <w:i/>
          <w:iCs/>
        </w:rPr>
        <w:t>in</w:t>
      </w:r>
      <w:r w:rsidRPr="00F43FE8">
        <w:rPr>
          <w:i/>
          <w:iCs/>
          <w:spacing w:val="1"/>
        </w:rPr>
        <w:t>t</w:t>
      </w:r>
      <w:r w:rsidRPr="00F43FE8">
        <w:rPr>
          <w:i/>
          <w:iCs/>
          <w:spacing w:val="-1"/>
        </w:rPr>
        <w:t>e</w:t>
      </w:r>
      <w:r w:rsidRPr="00F43FE8">
        <w:rPr>
          <w:i/>
          <w:iCs/>
        </w:rPr>
        <w:t>r</w:t>
      </w:r>
      <w:r w:rsidRPr="00F43FE8">
        <w:rPr>
          <w:i/>
          <w:iCs/>
          <w:spacing w:val="-1"/>
        </w:rPr>
        <w:t>c</w:t>
      </w:r>
      <w:r w:rsidRPr="00F43FE8">
        <w:rPr>
          <w:i/>
          <w:iCs/>
        </w:rPr>
        <w:t>hange</w:t>
      </w:r>
      <w:r w:rsidRPr="00F43FE8">
        <w:rPr>
          <w:i/>
          <w:iCs/>
          <w:spacing w:val="26"/>
        </w:rPr>
        <w:t xml:space="preserve"> </w:t>
      </w:r>
      <w:r w:rsidRPr="00F43FE8">
        <w:rPr>
          <w:i/>
          <w:iCs/>
        </w:rPr>
        <w:t>s</w:t>
      </w:r>
      <w:r w:rsidRPr="00F43FE8">
        <w:rPr>
          <w:i/>
          <w:iCs/>
          <w:spacing w:val="-1"/>
        </w:rPr>
        <w:t>e</w:t>
      </w:r>
      <w:r w:rsidRPr="00F43FE8">
        <w:rPr>
          <w:i/>
          <w:iCs/>
          <w:spacing w:val="2"/>
        </w:rPr>
        <w:t>r</w:t>
      </w:r>
      <w:r w:rsidRPr="00F43FE8">
        <w:rPr>
          <w:i/>
          <w:iCs/>
          <w:spacing w:val="1"/>
        </w:rPr>
        <w:t>v</w:t>
      </w:r>
      <w:r w:rsidRPr="00F43FE8">
        <w:rPr>
          <w:i/>
          <w:iCs/>
        </w:rPr>
        <w:t>ice</w:t>
      </w:r>
      <w:r w:rsidRPr="00F43FE8">
        <w:rPr>
          <w:i/>
          <w:iCs/>
          <w:spacing w:val="30"/>
        </w:rPr>
        <w:t xml:space="preserve"> </w:t>
      </w:r>
      <w:r w:rsidRPr="00F43FE8">
        <w:rPr>
          <w:i/>
          <w:iCs/>
        </w:rPr>
        <w:t>wi</w:t>
      </w:r>
      <w:r w:rsidRPr="00F43FE8">
        <w:rPr>
          <w:i/>
          <w:iCs/>
          <w:spacing w:val="1"/>
        </w:rPr>
        <w:t>t</w:t>
      </w:r>
      <w:r w:rsidRPr="00F43FE8">
        <w:rPr>
          <w:i/>
          <w:iCs/>
        </w:rPr>
        <w:t>h the City of</w:t>
      </w:r>
      <w:r w:rsidRPr="00F43FE8">
        <w:rPr>
          <w:i/>
          <w:iCs/>
          <w:spacing w:val="4"/>
        </w:rPr>
        <w:t xml:space="preserve"> </w:t>
      </w:r>
      <w:r w:rsidRPr="00F43FE8">
        <w:rPr>
          <w:i/>
          <w:iCs/>
        </w:rPr>
        <w:t>V</w:t>
      </w:r>
      <w:r w:rsidRPr="00F43FE8">
        <w:rPr>
          <w:i/>
          <w:iCs/>
          <w:spacing w:val="-1"/>
        </w:rPr>
        <w:t>e</w:t>
      </w:r>
      <w:r w:rsidRPr="00F43FE8">
        <w:rPr>
          <w:i/>
          <w:iCs/>
        </w:rPr>
        <w:t>ro</w:t>
      </w:r>
      <w:r w:rsidRPr="00F43FE8">
        <w:rPr>
          <w:i/>
          <w:iCs/>
          <w:spacing w:val="2"/>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w:t>
      </w:r>
      <w:r w:rsidRPr="00F43FE8">
        <w:rPr>
          <w:i/>
          <w:iCs/>
          <w:spacing w:val="3"/>
        </w:rPr>
        <w:t xml:space="preserve"> </w:t>
      </w:r>
      <w:r w:rsidRPr="00F43FE8">
        <w:rPr>
          <w:i/>
          <w:iCs/>
        </w:rPr>
        <w:t>Flor</w:t>
      </w:r>
      <w:r w:rsidRPr="00F43FE8">
        <w:rPr>
          <w:i/>
          <w:iCs/>
          <w:spacing w:val="1"/>
        </w:rPr>
        <w:t>i</w:t>
      </w:r>
      <w:r w:rsidRPr="00F43FE8">
        <w:rPr>
          <w:i/>
          <w:iCs/>
        </w:rPr>
        <w:t>d</w:t>
      </w:r>
      <w:r w:rsidRPr="00F43FE8">
        <w:rPr>
          <w:i/>
          <w:iCs/>
          <w:spacing w:val="3"/>
        </w:rPr>
        <w:t>a</w:t>
      </w:r>
      <w:r w:rsidRPr="00F43FE8">
        <w:rPr>
          <w:iCs/>
          <w:spacing w:val="3"/>
        </w:rPr>
        <w:t xml:space="preserve">; </w:t>
      </w:r>
      <w:r w:rsidRPr="00F43FE8">
        <w:t>O</w:t>
      </w:r>
      <w:r w:rsidRPr="00F43FE8">
        <w:rPr>
          <w:spacing w:val="-1"/>
        </w:rPr>
        <w:t>r</w:t>
      </w:r>
      <w:r w:rsidRPr="00F43FE8">
        <w:rPr>
          <w:spacing w:val="2"/>
        </w:rPr>
        <w:t>d</w:t>
      </w:r>
      <w:r w:rsidRPr="00F43FE8">
        <w:rPr>
          <w:spacing w:val="-1"/>
        </w:rPr>
        <w:t>e</w:t>
      </w:r>
      <w:r w:rsidRPr="00F43FE8">
        <w:t>r</w:t>
      </w:r>
      <w:r w:rsidRPr="00F43FE8">
        <w:rPr>
          <w:spacing w:val="29"/>
        </w:rPr>
        <w:t xml:space="preserve"> </w:t>
      </w:r>
      <w:r w:rsidRPr="00F43FE8">
        <w:rPr>
          <w:spacing w:val="2"/>
        </w:rPr>
        <w:t>N</w:t>
      </w:r>
      <w:r w:rsidRPr="00F43FE8">
        <w:t>o.</w:t>
      </w:r>
      <w:r w:rsidRPr="00F43FE8">
        <w:rPr>
          <w:spacing w:val="33"/>
        </w:rPr>
        <w:t xml:space="preserve"> </w:t>
      </w:r>
      <w:r w:rsidRPr="00F43FE8">
        <w:t>10382, issued Nov</w:t>
      </w:r>
      <w:r w:rsidRPr="00F43FE8">
        <w:rPr>
          <w:spacing w:val="-1"/>
        </w:rPr>
        <w:t>e</w:t>
      </w:r>
      <w:r w:rsidRPr="00F43FE8">
        <w:t>mb</w:t>
      </w:r>
      <w:r w:rsidRPr="00F43FE8">
        <w:rPr>
          <w:spacing w:val="2"/>
        </w:rPr>
        <w:t>e</w:t>
      </w:r>
      <w:r w:rsidRPr="00F43FE8">
        <w:t xml:space="preserve">r 3, </w:t>
      </w:r>
      <w:r w:rsidRPr="00F43FE8">
        <w:rPr>
          <w:spacing w:val="-1"/>
        </w:rPr>
        <w:t>1</w:t>
      </w:r>
      <w:r w:rsidRPr="00F43FE8">
        <w:t>981 and O</w:t>
      </w:r>
      <w:r w:rsidRPr="00F43FE8">
        <w:rPr>
          <w:spacing w:val="-1"/>
        </w:rPr>
        <w:t>r</w:t>
      </w:r>
      <w:r w:rsidRPr="00F43FE8">
        <w:t>d</w:t>
      </w:r>
      <w:r w:rsidRPr="00F43FE8">
        <w:rPr>
          <w:spacing w:val="1"/>
        </w:rPr>
        <w:t>e</w:t>
      </w:r>
      <w:r w:rsidRPr="00F43FE8">
        <w:t>r</w:t>
      </w:r>
      <w:r w:rsidRPr="00F43FE8">
        <w:rPr>
          <w:spacing w:val="5"/>
        </w:rPr>
        <w:t xml:space="preserve"> </w:t>
      </w:r>
      <w:r w:rsidRPr="00F43FE8">
        <w:t>No</w:t>
      </w:r>
      <w:r w:rsidRPr="00F43FE8">
        <w:rPr>
          <w:spacing w:val="3"/>
        </w:rPr>
        <w:t xml:space="preserve">. </w:t>
      </w:r>
      <w:r w:rsidRPr="00F43FE8">
        <w:t xml:space="preserve">11580, </w:t>
      </w:r>
      <w:r w:rsidRPr="00F43FE8">
        <w:rPr>
          <w:spacing w:val="-1"/>
        </w:rPr>
        <w:t>issued Fe</w:t>
      </w:r>
      <w:r w:rsidRPr="00F43FE8">
        <w:t>b</w:t>
      </w:r>
      <w:r w:rsidRPr="00F43FE8">
        <w:rPr>
          <w:spacing w:val="-1"/>
        </w:rPr>
        <w:t>r</w:t>
      </w:r>
      <w:r w:rsidRPr="00F43FE8">
        <w:rPr>
          <w:spacing w:val="2"/>
        </w:rPr>
        <w:t>u</w:t>
      </w:r>
      <w:r w:rsidRPr="00F43FE8">
        <w:rPr>
          <w:spacing w:val="-1"/>
        </w:rPr>
        <w:t>a</w:t>
      </w:r>
      <w:r w:rsidRPr="00F43FE8">
        <w:rPr>
          <w:spacing w:val="4"/>
        </w:rPr>
        <w:t>r</w:t>
      </w:r>
      <w:r w:rsidRPr="00F43FE8">
        <w:t>y</w:t>
      </w:r>
      <w:r w:rsidRPr="00F43FE8">
        <w:rPr>
          <w:spacing w:val="-5"/>
        </w:rPr>
        <w:t xml:space="preserve"> </w:t>
      </w:r>
      <w:r w:rsidRPr="00F43FE8">
        <w:t>2, 19</w:t>
      </w:r>
      <w:r w:rsidRPr="00F43FE8">
        <w:rPr>
          <w:spacing w:val="2"/>
        </w:rPr>
        <w:t>8</w:t>
      </w:r>
      <w:r w:rsidRPr="00F43FE8">
        <w:t xml:space="preserve">3, in Docket No. 800596-EU, </w:t>
      </w:r>
      <w:r w:rsidRPr="00F43FE8">
        <w:rPr>
          <w:i/>
          <w:iCs/>
        </w:rPr>
        <w:t xml:space="preserve">In </w:t>
      </w:r>
      <w:r w:rsidRPr="00F43FE8">
        <w:rPr>
          <w:i/>
          <w:iCs/>
          <w:spacing w:val="1"/>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w:t>
      </w:r>
      <w:r w:rsidRPr="00F43FE8">
        <w:rPr>
          <w:i/>
          <w:iCs/>
          <w:spacing w:val="53"/>
        </w:rPr>
        <w:t xml:space="preserve"> </w:t>
      </w:r>
      <w:r w:rsidRPr="00F43FE8">
        <w:rPr>
          <w:i/>
          <w:iCs/>
        </w:rPr>
        <w:t>of</w:t>
      </w:r>
      <w:r w:rsidRPr="00F43FE8">
        <w:rPr>
          <w:i/>
          <w:iCs/>
          <w:spacing w:val="58"/>
        </w:rPr>
        <w:t xml:space="preserve"> </w:t>
      </w:r>
      <w:r w:rsidRPr="00F43FE8">
        <w:rPr>
          <w:i/>
          <w:iCs/>
        </w:rPr>
        <w:t>FPL</w:t>
      </w:r>
      <w:r w:rsidRPr="00F43FE8">
        <w:rPr>
          <w:i/>
          <w:iCs/>
          <w:spacing w:val="59"/>
        </w:rPr>
        <w:t xml:space="preserve"> </w:t>
      </w:r>
      <w:r w:rsidRPr="00F43FE8">
        <w:rPr>
          <w:i/>
          <w:iCs/>
        </w:rPr>
        <w:t xml:space="preserve">and </w:t>
      </w:r>
      <w:r w:rsidRPr="00F43FE8">
        <w:rPr>
          <w:i/>
          <w:iCs/>
          <w:spacing w:val="2"/>
        </w:rPr>
        <w:t xml:space="preserve"> the City</w:t>
      </w:r>
      <w:r w:rsidRPr="00F43FE8">
        <w:rPr>
          <w:i/>
          <w:iCs/>
          <w:spacing w:val="57"/>
        </w:rPr>
        <w:t xml:space="preserve"> </w:t>
      </w:r>
      <w:r w:rsidRPr="00F43FE8">
        <w:rPr>
          <w:i/>
          <w:iCs/>
        </w:rPr>
        <w:t>of</w:t>
      </w:r>
      <w:r w:rsidRPr="00F43FE8">
        <w:rPr>
          <w:i/>
          <w:iCs/>
          <w:spacing w:val="58"/>
        </w:rPr>
        <w:t xml:space="preserve"> </w:t>
      </w:r>
      <w:r w:rsidRPr="00F43FE8">
        <w:rPr>
          <w:i/>
          <w:iCs/>
          <w:spacing w:val="-3"/>
        </w:rPr>
        <w:t>V</w:t>
      </w:r>
      <w:r w:rsidRPr="00F43FE8">
        <w:rPr>
          <w:i/>
          <w:iCs/>
          <w:spacing w:val="-1"/>
        </w:rPr>
        <w:t>e</w:t>
      </w:r>
      <w:r w:rsidRPr="00F43FE8">
        <w:rPr>
          <w:i/>
          <w:iCs/>
        </w:rPr>
        <w:t>ro</w:t>
      </w:r>
      <w:r w:rsidRPr="00F43FE8">
        <w:rPr>
          <w:i/>
          <w:iCs/>
          <w:spacing w:val="59"/>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w:t>
      </w:r>
      <w:r w:rsidRPr="00F43FE8">
        <w:rPr>
          <w:i/>
          <w:iCs/>
          <w:spacing w:val="57"/>
        </w:rPr>
        <w:t xml:space="preserve"> </w:t>
      </w:r>
      <w:r w:rsidRPr="00F43FE8">
        <w:rPr>
          <w:i/>
          <w:iCs/>
        </w:rPr>
        <w:t>for  appro</w:t>
      </w:r>
      <w:r w:rsidRPr="00F43FE8">
        <w:rPr>
          <w:i/>
          <w:iCs/>
          <w:spacing w:val="-1"/>
        </w:rPr>
        <w:t>v</w:t>
      </w:r>
      <w:r w:rsidRPr="00F43FE8">
        <w:rPr>
          <w:i/>
          <w:iCs/>
        </w:rPr>
        <w:t xml:space="preserve">al </w:t>
      </w:r>
      <w:r w:rsidRPr="00F43FE8">
        <w:rPr>
          <w:i/>
          <w:iCs/>
          <w:spacing w:val="1"/>
        </w:rPr>
        <w:t xml:space="preserve"> </w:t>
      </w:r>
      <w:r w:rsidRPr="00F43FE8">
        <w:rPr>
          <w:i/>
          <w:iCs/>
        </w:rPr>
        <w:t xml:space="preserve">of </w:t>
      </w:r>
      <w:r w:rsidRPr="00F43FE8">
        <w:rPr>
          <w:i/>
          <w:iCs/>
          <w:spacing w:val="1"/>
        </w:rPr>
        <w:t xml:space="preserve"> </w:t>
      </w:r>
      <w:r w:rsidRPr="00F43FE8">
        <w:rPr>
          <w:i/>
          <w:iCs/>
        </w:rPr>
        <w:t>an agre</w:t>
      </w:r>
      <w:r w:rsidRPr="00F43FE8">
        <w:rPr>
          <w:i/>
          <w:iCs/>
          <w:spacing w:val="-2"/>
        </w:rPr>
        <w:t>e</w:t>
      </w:r>
      <w:r w:rsidRPr="00F43FE8">
        <w:rPr>
          <w:i/>
          <w:iCs/>
        </w:rPr>
        <w:t>m</w:t>
      </w:r>
      <w:r w:rsidRPr="00F43FE8">
        <w:rPr>
          <w:i/>
          <w:iCs/>
          <w:spacing w:val="-1"/>
        </w:rPr>
        <w:t>e</w:t>
      </w:r>
      <w:r w:rsidRPr="00F43FE8">
        <w:rPr>
          <w:i/>
          <w:iCs/>
        </w:rPr>
        <w:t>nt</w:t>
      </w:r>
      <w:r w:rsidRPr="00F43FE8">
        <w:rPr>
          <w:i/>
          <w:iCs/>
          <w:spacing w:val="24"/>
        </w:rPr>
        <w:t xml:space="preserve"> </w:t>
      </w:r>
      <w:r w:rsidRPr="00F43FE8">
        <w:rPr>
          <w:i/>
          <w:iCs/>
          <w:spacing w:val="2"/>
        </w:rPr>
        <w:t>r</w:t>
      </w:r>
      <w:r w:rsidRPr="00F43FE8">
        <w:rPr>
          <w:i/>
          <w:iCs/>
          <w:spacing w:val="-1"/>
        </w:rPr>
        <w:t>e</w:t>
      </w:r>
      <w:r w:rsidRPr="00F43FE8">
        <w:rPr>
          <w:i/>
          <w:iCs/>
        </w:rPr>
        <w:t>la</w:t>
      </w:r>
      <w:r w:rsidRPr="00F43FE8">
        <w:rPr>
          <w:i/>
          <w:iCs/>
          <w:spacing w:val="1"/>
        </w:rPr>
        <w:t>t</w:t>
      </w:r>
      <w:r w:rsidRPr="00F43FE8">
        <w:rPr>
          <w:i/>
          <w:iCs/>
        </w:rPr>
        <w:t>ive</w:t>
      </w:r>
      <w:r w:rsidRPr="00F43FE8">
        <w:rPr>
          <w:i/>
          <w:iCs/>
          <w:spacing w:val="24"/>
        </w:rPr>
        <w:t xml:space="preserve"> </w:t>
      </w:r>
      <w:r w:rsidRPr="00F43FE8">
        <w:rPr>
          <w:i/>
          <w:iCs/>
        </w:rPr>
        <w:t>to</w:t>
      </w:r>
      <w:r w:rsidRPr="00F43FE8">
        <w:rPr>
          <w:i/>
          <w:iCs/>
          <w:spacing w:val="29"/>
        </w:rPr>
        <w:t xml:space="preserve"> </w:t>
      </w:r>
      <w:r w:rsidRPr="00F43FE8">
        <w:rPr>
          <w:i/>
          <w:iCs/>
        </w:rPr>
        <w:t>s</w:t>
      </w:r>
      <w:r w:rsidRPr="00F43FE8">
        <w:rPr>
          <w:i/>
          <w:iCs/>
          <w:spacing w:val="1"/>
        </w:rPr>
        <w:t>e</w:t>
      </w:r>
      <w:r w:rsidRPr="00F43FE8">
        <w:rPr>
          <w:i/>
          <w:iCs/>
        </w:rPr>
        <w:t>r</w:t>
      </w:r>
      <w:r w:rsidRPr="00F43FE8">
        <w:rPr>
          <w:i/>
          <w:iCs/>
          <w:spacing w:val="-1"/>
        </w:rPr>
        <w:t>v</w:t>
      </w:r>
      <w:r w:rsidRPr="00F43FE8">
        <w:rPr>
          <w:i/>
          <w:iCs/>
        </w:rPr>
        <w:t>ice</w:t>
      </w:r>
      <w:r w:rsidRPr="00F43FE8">
        <w:rPr>
          <w:i/>
          <w:iCs/>
          <w:spacing w:val="27"/>
        </w:rPr>
        <w:t xml:space="preserve"> </w:t>
      </w:r>
      <w:r w:rsidRPr="00F43FE8">
        <w:rPr>
          <w:i/>
          <w:iCs/>
        </w:rPr>
        <w:t>area</w:t>
      </w:r>
      <w:r w:rsidRPr="00F43FE8">
        <w:rPr>
          <w:i/>
          <w:iCs/>
          <w:spacing w:val="2"/>
        </w:rPr>
        <w:t>s</w:t>
      </w:r>
      <w:r w:rsidRPr="00F43FE8">
        <w:rPr>
          <w:iCs/>
          <w:spacing w:val="2"/>
        </w:rPr>
        <w:t>; and</w:t>
      </w:r>
      <w:r w:rsidRPr="00F43FE8">
        <w:t xml:space="preserve"> O</w:t>
      </w:r>
      <w:r w:rsidRPr="00F43FE8">
        <w:rPr>
          <w:spacing w:val="-1"/>
        </w:rPr>
        <w:t>r</w:t>
      </w:r>
      <w:r w:rsidRPr="00F43FE8">
        <w:t>d</w:t>
      </w:r>
      <w:r w:rsidRPr="00F43FE8">
        <w:rPr>
          <w:spacing w:val="-1"/>
        </w:rPr>
        <w:t>e</w:t>
      </w:r>
      <w:r w:rsidRPr="00F43FE8">
        <w:t>r</w:t>
      </w:r>
      <w:r w:rsidRPr="00F43FE8">
        <w:rPr>
          <w:spacing w:val="4"/>
        </w:rPr>
        <w:t xml:space="preserve"> </w:t>
      </w:r>
      <w:r w:rsidRPr="00F43FE8">
        <w:t>No.</w:t>
      </w:r>
      <w:r w:rsidRPr="00F43FE8">
        <w:rPr>
          <w:spacing w:val="2"/>
        </w:rPr>
        <w:t xml:space="preserve"> </w:t>
      </w:r>
      <w:r w:rsidRPr="00F43FE8">
        <w:t xml:space="preserve">18834, issued </w:t>
      </w:r>
      <w:r w:rsidRPr="00F43FE8">
        <w:rPr>
          <w:spacing w:val="-1"/>
        </w:rPr>
        <w:t>Fe</w:t>
      </w:r>
      <w:r w:rsidRPr="00F43FE8">
        <w:t>b</w:t>
      </w:r>
      <w:r w:rsidRPr="00F43FE8">
        <w:rPr>
          <w:spacing w:val="-1"/>
        </w:rPr>
        <w:t>r</w:t>
      </w:r>
      <w:r w:rsidRPr="00F43FE8">
        <w:rPr>
          <w:spacing w:val="2"/>
        </w:rPr>
        <w:t>u</w:t>
      </w:r>
      <w:r w:rsidRPr="00F43FE8">
        <w:rPr>
          <w:spacing w:val="-1"/>
        </w:rPr>
        <w:t>a</w:t>
      </w:r>
      <w:r w:rsidRPr="00F43FE8">
        <w:rPr>
          <w:spacing w:val="4"/>
        </w:rPr>
        <w:t>r</w:t>
      </w:r>
      <w:r w:rsidRPr="00F43FE8">
        <w:t>y</w:t>
      </w:r>
      <w:r w:rsidRPr="00F43FE8">
        <w:rPr>
          <w:spacing w:val="-5"/>
        </w:rPr>
        <w:t xml:space="preserve"> </w:t>
      </w:r>
      <w:r w:rsidRPr="00F43FE8">
        <w:t>9, 1988, in Docket No. 871090-EU,</w:t>
      </w:r>
      <w:r w:rsidRPr="00F43FE8">
        <w:rPr>
          <w:spacing w:val="-1"/>
        </w:rPr>
        <w:t xml:space="preserve"> </w:t>
      </w:r>
      <w:r w:rsidRPr="00F43FE8">
        <w:rPr>
          <w:i/>
          <w:iCs/>
        </w:rPr>
        <w:t>In</w:t>
      </w:r>
      <w:r w:rsidRPr="00F43FE8">
        <w:rPr>
          <w:i/>
          <w:iCs/>
          <w:spacing w:val="21"/>
        </w:rPr>
        <w:t xml:space="preserve"> </w:t>
      </w:r>
      <w:r w:rsidRPr="00F43FE8">
        <w:rPr>
          <w:i/>
          <w:iCs/>
        </w:rPr>
        <w:t>r</w:t>
      </w:r>
      <w:r w:rsidRPr="00F43FE8">
        <w:rPr>
          <w:i/>
          <w:iCs/>
          <w:spacing w:val="-1"/>
        </w:rPr>
        <w:t>e</w:t>
      </w:r>
      <w:r w:rsidRPr="00F43FE8">
        <w:rPr>
          <w:i/>
          <w:iCs/>
        </w:rPr>
        <w:t>: Petition</w:t>
      </w:r>
      <w:r w:rsidRPr="00F43FE8">
        <w:rPr>
          <w:i/>
          <w:iCs/>
          <w:spacing w:val="16"/>
        </w:rPr>
        <w:t xml:space="preserve"> </w:t>
      </w:r>
      <w:r w:rsidRPr="00F43FE8">
        <w:rPr>
          <w:i/>
          <w:iCs/>
        </w:rPr>
        <w:t>of</w:t>
      </w:r>
      <w:r w:rsidRPr="00F43FE8">
        <w:rPr>
          <w:i/>
          <w:iCs/>
          <w:spacing w:val="20"/>
        </w:rPr>
        <w:t xml:space="preserve"> </w:t>
      </w:r>
      <w:r w:rsidRPr="00F43FE8">
        <w:rPr>
          <w:i/>
          <w:iCs/>
        </w:rPr>
        <w:t>Flor</w:t>
      </w:r>
      <w:r w:rsidRPr="00F43FE8">
        <w:rPr>
          <w:i/>
          <w:iCs/>
          <w:spacing w:val="1"/>
        </w:rPr>
        <w:t>i</w:t>
      </w:r>
      <w:r w:rsidRPr="00F43FE8">
        <w:rPr>
          <w:i/>
          <w:iCs/>
          <w:spacing w:val="-2"/>
        </w:rPr>
        <w:t>d</w:t>
      </w:r>
      <w:r w:rsidRPr="00F43FE8">
        <w:rPr>
          <w:i/>
          <w:iCs/>
        </w:rPr>
        <w:t>a</w:t>
      </w:r>
      <w:r w:rsidRPr="00F43FE8">
        <w:rPr>
          <w:i/>
          <w:iCs/>
          <w:spacing w:val="16"/>
        </w:rPr>
        <w:t xml:space="preserve"> </w:t>
      </w:r>
      <w:r w:rsidRPr="00F43FE8">
        <w:rPr>
          <w:i/>
          <w:iCs/>
        </w:rPr>
        <w:t>Power</w:t>
      </w:r>
      <w:r w:rsidRPr="00F43FE8">
        <w:rPr>
          <w:i/>
          <w:iCs/>
          <w:spacing w:val="18"/>
        </w:rPr>
        <w:t xml:space="preserve"> </w:t>
      </w:r>
      <w:r w:rsidRPr="00F43FE8">
        <w:rPr>
          <w:i/>
          <w:iCs/>
        </w:rPr>
        <w:t>&amp;</w:t>
      </w:r>
      <w:r w:rsidRPr="00F43FE8">
        <w:rPr>
          <w:i/>
          <w:iCs/>
          <w:spacing w:val="13"/>
        </w:rPr>
        <w:t xml:space="preserve"> </w:t>
      </w:r>
      <w:r w:rsidRPr="00F43FE8">
        <w:rPr>
          <w:i/>
          <w:iCs/>
          <w:spacing w:val="1"/>
        </w:rPr>
        <w:t>L</w:t>
      </w:r>
      <w:r w:rsidRPr="00F43FE8">
        <w:rPr>
          <w:i/>
          <w:iCs/>
        </w:rPr>
        <w:t>ight</w:t>
      </w:r>
      <w:r w:rsidRPr="00F43FE8">
        <w:rPr>
          <w:i/>
          <w:iCs/>
          <w:spacing w:val="18"/>
        </w:rPr>
        <w:t xml:space="preserve"> </w:t>
      </w:r>
      <w:r w:rsidRPr="00F43FE8">
        <w:rPr>
          <w:i/>
          <w:iCs/>
        </w:rPr>
        <w:t>Company</w:t>
      </w:r>
      <w:r w:rsidRPr="00F43FE8">
        <w:rPr>
          <w:i/>
          <w:iCs/>
          <w:spacing w:val="18"/>
        </w:rPr>
        <w:t xml:space="preserve"> </w:t>
      </w:r>
      <w:r w:rsidRPr="00F43FE8">
        <w:rPr>
          <w:i/>
          <w:iCs/>
        </w:rPr>
        <w:t>and</w:t>
      </w:r>
      <w:r w:rsidRPr="00F43FE8">
        <w:rPr>
          <w:i/>
          <w:iCs/>
          <w:spacing w:val="21"/>
        </w:rPr>
        <w:t xml:space="preserve"> the City</w:t>
      </w:r>
      <w:r w:rsidRPr="00F43FE8">
        <w:rPr>
          <w:i/>
          <w:iCs/>
          <w:spacing w:val="16"/>
        </w:rPr>
        <w:t xml:space="preserve"> </w:t>
      </w:r>
      <w:r w:rsidRPr="00F43FE8">
        <w:rPr>
          <w:i/>
          <w:iCs/>
        </w:rPr>
        <w:t>of</w:t>
      </w:r>
      <w:r w:rsidRPr="00F43FE8">
        <w:rPr>
          <w:i/>
          <w:iCs/>
          <w:spacing w:val="20"/>
        </w:rPr>
        <w:t xml:space="preserve"> </w:t>
      </w:r>
      <w:r w:rsidRPr="00F43FE8">
        <w:rPr>
          <w:i/>
          <w:iCs/>
        </w:rPr>
        <w:t>V</w:t>
      </w:r>
      <w:r w:rsidRPr="00F43FE8">
        <w:rPr>
          <w:i/>
          <w:iCs/>
          <w:spacing w:val="-1"/>
        </w:rPr>
        <w:t>e</w:t>
      </w:r>
      <w:r w:rsidRPr="00F43FE8">
        <w:rPr>
          <w:i/>
          <w:iCs/>
          <w:spacing w:val="-2"/>
        </w:rPr>
        <w:t>r</w:t>
      </w:r>
      <w:r w:rsidRPr="00F43FE8">
        <w:rPr>
          <w:i/>
          <w:iCs/>
        </w:rPr>
        <w:t>o</w:t>
      </w:r>
      <w:r w:rsidRPr="00F43FE8">
        <w:rPr>
          <w:i/>
          <w:iCs/>
          <w:spacing w:val="18"/>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 for</w:t>
      </w:r>
      <w:r w:rsidRPr="00F43FE8">
        <w:rPr>
          <w:i/>
          <w:iCs/>
          <w:spacing w:val="14"/>
        </w:rPr>
        <w:t xml:space="preserve"> a</w:t>
      </w:r>
      <w:r w:rsidRPr="00F43FE8">
        <w:rPr>
          <w:i/>
          <w:iCs/>
        </w:rPr>
        <w:t>ppro</w:t>
      </w:r>
      <w:r w:rsidRPr="00F43FE8">
        <w:rPr>
          <w:i/>
          <w:iCs/>
          <w:spacing w:val="-1"/>
        </w:rPr>
        <w:t>v</w:t>
      </w:r>
      <w:r w:rsidRPr="00F43FE8">
        <w:rPr>
          <w:i/>
          <w:iCs/>
        </w:rPr>
        <w:t>al</w:t>
      </w:r>
      <w:r w:rsidRPr="00F43FE8">
        <w:rPr>
          <w:i/>
          <w:iCs/>
          <w:spacing w:val="8"/>
        </w:rPr>
        <w:t xml:space="preserve"> </w:t>
      </w:r>
      <w:r w:rsidRPr="00F43FE8">
        <w:rPr>
          <w:i/>
          <w:iCs/>
        </w:rPr>
        <w:t>of</w:t>
      </w:r>
      <w:r w:rsidRPr="00F43FE8">
        <w:rPr>
          <w:i/>
          <w:iCs/>
          <w:spacing w:val="15"/>
        </w:rPr>
        <w:t xml:space="preserve"> </w:t>
      </w:r>
      <w:r w:rsidRPr="00F43FE8">
        <w:rPr>
          <w:i/>
          <w:iCs/>
        </w:rPr>
        <w:t>am</w:t>
      </w:r>
      <w:r w:rsidRPr="00F43FE8">
        <w:rPr>
          <w:i/>
          <w:iCs/>
          <w:spacing w:val="-2"/>
        </w:rPr>
        <w:t>e</w:t>
      </w:r>
      <w:r w:rsidRPr="00F43FE8">
        <w:rPr>
          <w:i/>
          <w:iCs/>
        </w:rPr>
        <w:t>nd</w:t>
      </w:r>
      <w:r w:rsidRPr="00F43FE8">
        <w:rPr>
          <w:i/>
          <w:iCs/>
          <w:spacing w:val="2"/>
        </w:rPr>
        <w:t>m</w:t>
      </w:r>
      <w:r w:rsidRPr="00F43FE8">
        <w:rPr>
          <w:i/>
          <w:iCs/>
          <w:spacing w:val="-1"/>
        </w:rPr>
        <w:t>e</w:t>
      </w:r>
      <w:r w:rsidRPr="00F43FE8">
        <w:rPr>
          <w:i/>
          <w:iCs/>
        </w:rPr>
        <w:t>nt</w:t>
      </w:r>
      <w:r w:rsidRPr="00F43FE8">
        <w:rPr>
          <w:i/>
          <w:iCs/>
          <w:spacing w:val="10"/>
        </w:rPr>
        <w:t xml:space="preserve"> </w:t>
      </w:r>
      <w:r w:rsidRPr="00F43FE8">
        <w:rPr>
          <w:i/>
          <w:iCs/>
        </w:rPr>
        <w:t>of</w:t>
      </w:r>
      <w:r w:rsidRPr="00F43FE8">
        <w:rPr>
          <w:i/>
          <w:iCs/>
          <w:spacing w:val="15"/>
        </w:rPr>
        <w:t xml:space="preserve"> </w:t>
      </w:r>
      <w:r w:rsidRPr="00F43FE8">
        <w:rPr>
          <w:i/>
          <w:iCs/>
        </w:rPr>
        <w:t>a</w:t>
      </w:r>
      <w:r w:rsidRPr="00F43FE8">
        <w:rPr>
          <w:i/>
          <w:iCs/>
          <w:spacing w:val="17"/>
        </w:rPr>
        <w:t xml:space="preserve"> </w:t>
      </w:r>
      <w:r w:rsidRPr="00F43FE8">
        <w:rPr>
          <w:i/>
          <w:iCs/>
          <w:spacing w:val="1"/>
        </w:rPr>
        <w:t>t</w:t>
      </w:r>
      <w:r w:rsidRPr="00F43FE8">
        <w:rPr>
          <w:i/>
          <w:iCs/>
          <w:spacing w:val="-1"/>
        </w:rPr>
        <w:t>e</w:t>
      </w:r>
      <w:r w:rsidRPr="00F43FE8">
        <w:rPr>
          <w:i/>
          <w:iCs/>
        </w:rPr>
        <w:t>rr</w:t>
      </w:r>
      <w:r w:rsidRPr="00F43FE8">
        <w:rPr>
          <w:i/>
          <w:iCs/>
          <w:spacing w:val="1"/>
        </w:rPr>
        <w:t>i</w:t>
      </w:r>
      <w:r w:rsidRPr="00F43FE8">
        <w:rPr>
          <w:i/>
          <w:iCs/>
        </w:rPr>
        <w:t>tor</w:t>
      </w:r>
      <w:r w:rsidRPr="00F43FE8">
        <w:rPr>
          <w:i/>
          <w:iCs/>
          <w:spacing w:val="1"/>
        </w:rPr>
        <w:t>i</w:t>
      </w:r>
      <w:r w:rsidRPr="00F43FE8">
        <w:rPr>
          <w:i/>
          <w:iCs/>
        </w:rPr>
        <w:t>al</w:t>
      </w:r>
      <w:r w:rsidRPr="00F43FE8">
        <w:rPr>
          <w:i/>
          <w:iCs/>
          <w:spacing w:val="11"/>
        </w:rPr>
        <w:t xml:space="preserve"> </w:t>
      </w:r>
      <w:r w:rsidRPr="00F43FE8">
        <w:rPr>
          <w:i/>
          <w:iCs/>
        </w:rPr>
        <w:t>agr</w:t>
      </w:r>
      <w:r w:rsidRPr="00F43FE8">
        <w:rPr>
          <w:i/>
          <w:iCs/>
          <w:spacing w:val="-3"/>
        </w:rPr>
        <w:t>e</w:t>
      </w:r>
      <w:r w:rsidRPr="00F43FE8">
        <w:rPr>
          <w:i/>
          <w:iCs/>
          <w:spacing w:val="-1"/>
        </w:rPr>
        <w:t>e</w:t>
      </w:r>
      <w:r w:rsidRPr="00F43FE8">
        <w:rPr>
          <w:i/>
          <w:iCs/>
        </w:rPr>
        <w:t>m</w:t>
      </w:r>
      <w:r w:rsidRPr="00F43FE8">
        <w:rPr>
          <w:i/>
          <w:iCs/>
          <w:spacing w:val="-1"/>
        </w:rPr>
        <w:t>e</w:t>
      </w:r>
      <w:r w:rsidRPr="00F43FE8">
        <w:rPr>
          <w:i/>
          <w:iCs/>
        </w:rPr>
        <w:t>nt</w:t>
      </w:r>
      <w:r w:rsidRPr="00F43FE8">
        <w:t>.</w:t>
      </w:r>
    </w:p>
  </w:footnote>
  <w:footnote w:id="2">
    <w:p w:rsidR="00BB03A9" w:rsidRDefault="00BB03A9" w:rsidP="00BB03A9">
      <w:pPr>
        <w:pStyle w:val="FootnoteText"/>
      </w:pPr>
      <w:r>
        <w:rPr>
          <w:rStyle w:val="FootnoteReference"/>
        </w:rPr>
        <w:footnoteRef/>
      </w:r>
      <w:r>
        <w:t xml:space="preserve"> </w:t>
      </w:r>
      <w:r w:rsidRPr="00796243">
        <w:t>Docket No. 20170236-EU</w:t>
      </w:r>
      <w:r>
        <w:t>.</w:t>
      </w:r>
    </w:p>
  </w:footnote>
  <w:footnote w:id="3">
    <w:p w:rsidR="00BB03A9" w:rsidRDefault="00BB03A9" w:rsidP="00BB03A9">
      <w:pPr>
        <w:pStyle w:val="FootnoteText"/>
      </w:pPr>
      <w:r>
        <w:rPr>
          <w:rStyle w:val="FootnoteReference"/>
        </w:rPr>
        <w:footnoteRef/>
      </w:r>
      <w:r>
        <w:t xml:space="preserve"> </w:t>
      </w:r>
      <w:r w:rsidRPr="00796243">
        <w:t>Docket No. 20170235-EI</w:t>
      </w:r>
      <w:r>
        <w:t>.</w:t>
      </w:r>
    </w:p>
  </w:footnote>
  <w:footnote w:id="4">
    <w:p w:rsidR="00BB03A9" w:rsidRDefault="00BB03A9" w:rsidP="00AA4CC4">
      <w:pPr>
        <w:pStyle w:val="FootnoteText"/>
      </w:pPr>
      <w:r>
        <w:rPr>
          <w:rStyle w:val="FootnoteReference"/>
        </w:rPr>
        <w:footnoteRef/>
      </w:r>
      <w:r>
        <w:t xml:space="preserve"> FPL’s initial petition calculated the estimated amount of the positive acquisition adjustment as $116.2 million. This amount was revised in FPL’s supplemental testimony to reflect the current request of $114 million. </w:t>
      </w:r>
    </w:p>
  </w:footnote>
  <w:footnote w:id="5">
    <w:p w:rsidR="00BB03A9" w:rsidRDefault="00BB03A9" w:rsidP="00AA4CC4">
      <w:pPr>
        <w:pStyle w:val="FootnoteText"/>
      </w:pPr>
      <w:r>
        <w:rPr>
          <w:rStyle w:val="FootnoteReference"/>
        </w:rPr>
        <w:footnoteRef/>
      </w:r>
      <w:r>
        <w:t xml:space="preserve"> Order No. PSC-2018-0336-PAA-EU.</w:t>
      </w:r>
    </w:p>
  </w:footnote>
  <w:footnote w:id="6">
    <w:p w:rsidR="00BB03A9" w:rsidRDefault="00BB03A9" w:rsidP="00AA4CC4">
      <w:pPr>
        <w:pStyle w:val="FootnoteText"/>
      </w:pPr>
      <w:r>
        <w:rPr>
          <w:rStyle w:val="FootnoteReference"/>
        </w:rPr>
        <w:footnoteRef/>
      </w:r>
      <w:r>
        <w:t xml:space="preserve"> We also received petitions requesting hearings on the PAA Order from Florida Industrial Power Users Group (FIPUG), Mr. Michael Moran, and Mr. Bill Heady. However, FIPUG withdrew its petition and Messrs. Moran and Heady were dismissed as parties for failure to attend the October 3, 2018 prehearing conference.</w:t>
      </w:r>
    </w:p>
  </w:footnote>
  <w:footnote w:id="7">
    <w:p w:rsidR="006B54C3" w:rsidRDefault="006B54C3">
      <w:pPr>
        <w:pStyle w:val="FootnoteText"/>
      </w:pPr>
      <w:r>
        <w:rPr>
          <w:rStyle w:val="FootnoteReference"/>
        </w:rPr>
        <w:footnoteRef/>
      </w:r>
      <w:r>
        <w:t xml:space="preserve"> </w:t>
      </w:r>
      <w:r>
        <w:rPr>
          <w:i/>
        </w:rPr>
        <w:t>See</w:t>
      </w:r>
      <w:r>
        <w:t xml:space="preserve"> </w:t>
      </w:r>
      <w:r w:rsidRPr="00ED1953">
        <w:t xml:space="preserve">Order No. PSC-92-1468-FOF–EU, issued December 17, 1992, in Docket No. 920949-EU, </w:t>
      </w:r>
      <w:r w:rsidRPr="00ED1953">
        <w:rPr>
          <w:i/>
        </w:rPr>
        <w:t>In re: Joint Petition of Florida Power Corporation and Sebring Utilities Commission for Approval of Certain Matters in Connection with the Sale of Assets by Sebring Utilities Commissi</w:t>
      </w:r>
      <w:r>
        <w:rPr>
          <w:i/>
        </w:rPr>
        <w:t>on to Florida Power Corporation</w:t>
      </w:r>
      <w:r>
        <w:t xml:space="preserve">, </w:t>
      </w:r>
      <w:r w:rsidRPr="0088502D">
        <w:rPr>
          <w:i/>
        </w:rPr>
        <w:t>affirmed, Action Group v. Deason</w:t>
      </w:r>
      <w:r>
        <w:t>, 615 So. 2d 683 (Fla. 1993)</w:t>
      </w:r>
      <w:r w:rsidRPr="00EB3C25">
        <w:t xml:space="preserve"> </w:t>
      </w:r>
      <w:r>
        <w:t>(FPC/Sebring Order)</w:t>
      </w:r>
    </w:p>
  </w:footnote>
  <w:footnote w:id="8">
    <w:p w:rsidR="00BB03A9" w:rsidRDefault="00BB03A9" w:rsidP="002144CA">
      <w:pPr>
        <w:pStyle w:val="FootnoteText"/>
      </w:pPr>
      <w:r>
        <w:rPr>
          <w:rStyle w:val="FootnoteReference"/>
        </w:rPr>
        <w:footnoteRef/>
      </w:r>
      <w:r>
        <w:t xml:space="preserve"> FPC/Sebring Order at pp. 1-2.</w:t>
      </w:r>
    </w:p>
  </w:footnote>
  <w:footnote w:id="9">
    <w:p w:rsidR="00BB03A9" w:rsidRDefault="00BB03A9" w:rsidP="002144CA">
      <w:pPr>
        <w:pStyle w:val="FootnoteText"/>
      </w:pPr>
      <w:r>
        <w:rPr>
          <w:rStyle w:val="FootnoteReference"/>
        </w:rPr>
        <w:footnoteRef/>
      </w:r>
      <w:r>
        <w:t xml:space="preserve"> FPC/Sebring Order at p. 11.</w:t>
      </w:r>
    </w:p>
  </w:footnote>
  <w:footnote w:id="10">
    <w:p w:rsidR="00BB03A9" w:rsidRDefault="00BB03A9" w:rsidP="002144CA">
      <w:pPr>
        <w:pStyle w:val="FootnoteText"/>
      </w:pPr>
      <w:r>
        <w:rPr>
          <w:rStyle w:val="FootnoteReference"/>
        </w:rPr>
        <w:footnoteRef/>
      </w:r>
      <w:r>
        <w:t>FPC/Sebring Order</w:t>
      </w:r>
      <w:r w:rsidR="006B54C3">
        <w:t xml:space="preserve"> at pp. 1-2.</w:t>
      </w:r>
    </w:p>
  </w:footnote>
  <w:footnote w:id="11">
    <w:p w:rsidR="00BB03A9" w:rsidRDefault="00BB03A9" w:rsidP="002144CA">
      <w:pPr>
        <w:pStyle w:val="FootnoteText"/>
      </w:pPr>
      <w:r>
        <w:rPr>
          <w:rStyle w:val="FootnoteReference"/>
        </w:rPr>
        <w:footnoteRef/>
      </w:r>
      <w:r>
        <w:t xml:space="preserve"> Docket No. 090524-EM, </w:t>
      </w:r>
      <w:r w:rsidRPr="00893F85">
        <w:rPr>
          <w:i/>
        </w:rPr>
        <w:t>In re:  Complaint of Stephen J. Faherty and Glenn Fraser Heran against the City of Vero Beach for unfair electric utility rates and charges</w:t>
      </w:r>
      <w:r>
        <w:t>.</w:t>
      </w:r>
      <w:r w:rsidRPr="00DA7929">
        <w:t xml:space="preserve"> </w:t>
      </w:r>
      <w:r>
        <w:t xml:space="preserve">This complaint was voluntarily dismissed in 2014 because of then on-going negotiations between FPL and COVB concerning the possible purchase and sale of COVB’s electric system. However, those negotiations did not result in a sale; Order No. PSC-15-0101-DS-EM, issued February 12, 2015, in Docket No. 140142-EM, </w:t>
      </w:r>
      <w:r w:rsidRPr="00893F85">
        <w:rPr>
          <w:i/>
        </w:rPr>
        <w:t>In</w:t>
      </w:r>
      <w:r>
        <w:rPr>
          <w:i/>
        </w:rPr>
        <w:t xml:space="preserve"> </w:t>
      </w:r>
      <w:r w:rsidRPr="00893F85">
        <w:rPr>
          <w:i/>
        </w:rPr>
        <w:t xml:space="preserve">re:  Petition for Declaratory Statement by the Board of </w:t>
      </w:r>
      <w:r>
        <w:rPr>
          <w:i/>
        </w:rPr>
        <w:t>C</w:t>
      </w:r>
      <w:r w:rsidRPr="00893F85">
        <w:rPr>
          <w:i/>
        </w:rPr>
        <w:t xml:space="preserve">ounty Commissioners, Indian River </w:t>
      </w:r>
      <w:r>
        <w:rPr>
          <w:i/>
        </w:rPr>
        <w:t>C</w:t>
      </w:r>
      <w:r w:rsidRPr="00893F85">
        <w:rPr>
          <w:i/>
        </w:rPr>
        <w:t>ounty</w:t>
      </w:r>
      <w:r w:rsidRPr="00893F85">
        <w:t xml:space="preserve">, </w:t>
      </w:r>
      <w:r w:rsidRPr="00893F85">
        <w:rPr>
          <w:i/>
        </w:rPr>
        <w:t>Florida</w:t>
      </w:r>
      <w:r>
        <w:t xml:space="preserve">;  Order No. PSC-15-0102-DS-EM, issued February 12, 1015, in </w:t>
      </w:r>
      <w:r w:rsidRPr="000F4F5B">
        <w:t>Docket No. 140244-EM</w:t>
      </w:r>
      <w:r>
        <w:t xml:space="preserve">, </w:t>
      </w:r>
      <w:r w:rsidRPr="00893F85">
        <w:rPr>
          <w:i/>
        </w:rPr>
        <w:t>In re:  Petition of Vero Beach for a Declaratory Statement Regarding Effect of Commission’s Orders Approving Territorial A</w:t>
      </w:r>
      <w:r>
        <w:rPr>
          <w:i/>
        </w:rPr>
        <w:t>greements in Indian River Count;</w:t>
      </w:r>
      <w:r w:rsidRPr="005969EA">
        <w:rPr>
          <w:i/>
        </w:rPr>
        <w:t xml:space="preserve"> </w:t>
      </w:r>
      <w:r w:rsidRPr="00E225F3">
        <w:rPr>
          <w:i/>
        </w:rPr>
        <w:t>Board of County Com</w:t>
      </w:r>
      <w:r>
        <w:rPr>
          <w:i/>
        </w:rPr>
        <w:t>missione</w:t>
      </w:r>
      <w:r w:rsidRPr="00E225F3">
        <w:rPr>
          <w:i/>
        </w:rPr>
        <w:t xml:space="preserve">rs </w:t>
      </w:r>
      <w:r>
        <w:rPr>
          <w:i/>
        </w:rPr>
        <w:t xml:space="preserve">of </w:t>
      </w:r>
      <w:r w:rsidRPr="00E225F3">
        <w:rPr>
          <w:i/>
        </w:rPr>
        <w:t>Indian River County v. Graham</w:t>
      </w:r>
      <w:r>
        <w:t>, 191 So. 3d 890 (Fla. 2016)(affirming Order Nos. PSC-15-0101-DS-EM</w:t>
      </w:r>
      <w:r w:rsidRPr="000D3101">
        <w:t xml:space="preserve"> </w:t>
      </w:r>
      <w:r>
        <w:t>and PSC-15-0102-DS-EM).</w:t>
      </w:r>
    </w:p>
  </w:footnote>
  <w:footnote w:id="12">
    <w:p w:rsidR="00BB03A9" w:rsidRDefault="00BB03A9" w:rsidP="002144CA">
      <w:pPr>
        <w:pStyle w:val="FootnoteText"/>
      </w:pPr>
      <w:r>
        <w:rPr>
          <w:rStyle w:val="FootnoteReference"/>
        </w:rPr>
        <w:footnoteRef/>
      </w:r>
      <w:r>
        <w:t xml:space="preserve"> </w:t>
      </w:r>
      <w:r w:rsidRPr="00F43FE8">
        <w:t>Order No. PSC-16-0093-FOF-EU</w:t>
      </w:r>
      <w:r>
        <w:t xml:space="preserve">, issued March 4, 2016, in Docket No. 160013-EU, </w:t>
      </w:r>
      <w:r w:rsidRPr="00893F85">
        <w:rPr>
          <w:i/>
        </w:rPr>
        <w:t xml:space="preserve">In re: Petition for declaratory statement regarding the Florida </w:t>
      </w:r>
      <w:r>
        <w:rPr>
          <w:i/>
        </w:rPr>
        <w:t>P</w:t>
      </w:r>
      <w:r w:rsidRPr="00893F85">
        <w:rPr>
          <w:i/>
        </w:rPr>
        <w:t>ublic Service Commission’s jurisdiction to adjudicate the Town of Indian River Shores’ constitutional rights</w:t>
      </w:r>
      <w:r w:rsidRPr="000F4F5B">
        <w:t>.</w:t>
      </w:r>
    </w:p>
  </w:footnote>
  <w:footnote w:id="13">
    <w:p w:rsidR="00BB03A9" w:rsidRDefault="00BB03A9" w:rsidP="002144CA">
      <w:pPr>
        <w:pStyle w:val="FootnoteText"/>
      </w:pPr>
      <w:r>
        <w:rPr>
          <w:rStyle w:val="FootnoteReference"/>
        </w:rPr>
        <w:footnoteRef/>
      </w:r>
      <w:r>
        <w:t xml:space="preserve"> Order No. PSC-16-0427-PAA-EU, issued October 4, 2016, in Docket No. 160049-EU, </w:t>
      </w:r>
      <w:r w:rsidRPr="00893F85">
        <w:rPr>
          <w:i/>
        </w:rPr>
        <w:t>In re:  Petition for modification of territorial order based on changed legal circumstances emanating from Article VIII, Section 2(c) of the Florida Constitution, by the Town of Indian River Shores</w:t>
      </w:r>
      <w:r>
        <w:t>.</w:t>
      </w:r>
    </w:p>
  </w:footnote>
  <w:footnote w:id="14">
    <w:p w:rsidR="00BB03A9" w:rsidRDefault="00BB03A9" w:rsidP="002144CA">
      <w:pPr>
        <w:pStyle w:val="FootnoteText"/>
      </w:pPr>
      <w:r>
        <w:rPr>
          <w:rStyle w:val="FootnoteReference"/>
        </w:rPr>
        <w:footnoteRef/>
      </w:r>
      <w:r>
        <w:t xml:space="preserve"> FPC/Sebring Order at</w:t>
      </w:r>
      <w:r w:rsidRPr="00D303EB">
        <w:t xml:space="preserve"> p. 8 (quoting the Florida Supreme Court in </w:t>
      </w:r>
      <w:r w:rsidRPr="00D303EB">
        <w:rPr>
          <w:i/>
        </w:rPr>
        <w:t>C.F. Industries, Inc. v. Nichols</w:t>
      </w:r>
      <w:r w:rsidRPr="00D303EB">
        <w:t xml:space="preserve">, 536 So. 2d 234, 238-39 (Fla. 1988), in which the Court affirmed </w:t>
      </w:r>
      <w:r>
        <w:t>our</w:t>
      </w:r>
      <w:r w:rsidRPr="00D303EB">
        <w:t xml:space="preserve"> approval of standby r</w:t>
      </w:r>
      <w:r>
        <w:t>ates to be charged cogenerators</w:t>
      </w:r>
      <w:r w:rsidRPr="00D303EB">
        <w:t>)</w:t>
      </w:r>
      <w:r>
        <w:t>.</w:t>
      </w:r>
      <w:r>
        <w:rPr>
          <w:sz w:val="24"/>
          <w:szCs w:val="24"/>
        </w:rPr>
        <w:t xml:space="preserve">  </w:t>
      </w:r>
    </w:p>
  </w:footnote>
  <w:footnote w:id="15">
    <w:p w:rsidR="00D66A2D" w:rsidRDefault="00D66A2D" w:rsidP="00D66A2D">
      <w:pPr>
        <w:pStyle w:val="FootnoteText"/>
      </w:pPr>
      <w:r>
        <w:rPr>
          <w:rStyle w:val="FootnoteReference"/>
        </w:rPr>
        <w:footnoteRef/>
      </w:r>
      <w:r>
        <w:t xml:space="preserve"> This amount is the difference between the negotiated purchase price between FPL and COVB of $185 million and the net book value of the acquired utility assets of approximately $71 million.</w:t>
      </w:r>
    </w:p>
  </w:footnote>
  <w:footnote w:id="16">
    <w:p w:rsidR="00BB03A9" w:rsidRDefault="00BB03A9" w:rsidP="000253AD">
      <w:pPr>
        <w:pStyle w:val="FootnoteText"/>
      </w:pPr>
      <w:r>
        <w:rPr>
          <w:rStyle w:val="FootnoteReference"/>
        </w:rPr>
        <w:footnoteRef/>
      </w:r>
      <w:r>
        <w:t xml:space="preserve"> </w:t>
      </w:r>
      <w:r w:rsidRPr="002A737C">
        <w:t xml:space="preserve">Order No. PSC-07-0913-PAA-GU, issued November 13, 2007, in Docket No. 060657-GU, </w:t>
      </w:r>
      <w:r w:rsidRPr="002A737C">
        <w:rPr>
          <w:i/>
        </w:rPr>
        <w:t>In re: Petition for approval of acquisition adjustment and recognition of regulatory asset to reflect purchase of Florida City Gas by AGL Resources, Inc.</w:t>
      </w:r>
      <w:r w:rsidRPr="002A737C">
        <w:t xml:space="preserve">; Order No. PSC-12-0010-PAA-GU, issued January 3, 2012, in Docket No. 110133-GU, </w:t>
      </w:r>
      <w:r w:rsidRPr="002A737C">
        <w:rPr>
          <w:i/>
        </w:rPr>
        <w:t xml:space="preserve">In re: Petition for approval of acquisition adjustment and recovery of regulatory assets, and request for consolidation of regulatory filings and records of Florida Public Utilities Company and Florida Division of Chesapeake Utilities Corporation.; </w:t>
      </w:r>
      <w:r w:rsidRPr="002A737C">
        <w:t xml:space="preserve">Order No. PSC-14-0015-PAA-GU, issued January 6, 2014, in Docket No. 120311-GU, </w:t>
      </w:r>
      <w:r w:rsidRPr="002A737C">
        <w:rPr>
          <w:i/>
        </w:rPr>
        <w:t>In re: Petition for approval of positive acquisition adjustment to reflect the acquisition of Indiantown Gas Company by Florida Public Utilities Company.</w:t>
      </w:r>
    </w:p>
  </w:footnote>
  <w:footnote w:id="17">
    <w:p w:rsidR="00BB03A9" w:rsidRDefault="00BB03A9" w:rsidP="007B272A">
      <w:pPr>
        <w:pStyle w:val="FootnoteText"/>
      </w:pPr>
      <w:r>
        <w:rPr>
          <w:rStyle w:val="FootnoteReference"/>
        </w:rPr>
        <w:footnoteRef/>
      </w:r>
      <w:r>
        <w:t xml:space="preserve"> Order No. PSC-2018-0028-FOF-EI, p</w:t>
      </w:r>
      <w:r w:rsidR="00882CC1">
        <w:t>p</w:t>
      </w:r>
      <w:r>
        <w:t>. 24 and 41.</w:t>
      </w:r>
    </w:p>
  </w:footnote>
  <w:footnote w:id="18">
    <w:p w:rsidR="00BB03A9" w:rsidRDefault="00BB03A9" w:rsidP="000253AD">
      <w:pPr>
        <w:pStyle w:val="FootnoteText"/>
      </w:pPr>
      <w:r>
        <w:rPr>
          <w:rStyle w:val="FootnoteReference"/>
        </w:rPr>
        <w:footnoteRef/>
      </w:r>
      <w:r>
        <w:t xml:space="preserve"> </w:t>
      </w:r>
      <w:r w:rsidRPr="006425BB">
        <w:t>Further attempts to pass Legislation to address the concerns of COVB electric customers living outside the City failed in 2010 (HB 725/SB 2632; HB 1397); 2011 (HB 899); 2013 (HB 733/SB 1620); 2014 (HB 813/SB 1248; HB 861/SB 1294); 2015 (HB 773; HB 337/SB 442); and 2016 (HB 5790/SB 840).</w:t>
      </w:r>
    </w:p>
  </w:footnote>
  <w:footnote w:id="19">
    <w:p w:rsidR="00BB03A9" w:rsidRDefault="00BB03A9" w:rsidP="000253AD">
      <w:pPr>
        <w:pStyle w:val="FootnoteText"/>
      </w:pPr>
      <w:r>
        <w:rPr>
          <w:rStyle w:val="FootnoteReference"/>
        </w:rPr>
        <w:footnoteRef/>
      </w:r>
      <w:r>
        <w:t xml:space="preserve"> Docket No. 090524-EM, </w:t>
      </w:r>
      <w:r w:rsidRPr="00893F85">
        <w:rPr>
          <w:i/>
        </w:rPr>
        <w:t>In re:  Complaint of Stephen J. Faherty and Glenn Fraser Heran against the City of Vero Beach for unfair electric utility rates and charges</w:t>
      </w:r>
      <w:r>
        <w:t>.</w:t>
      </w:r>
      <w:r w:rsidRPr="00DA7929">
        <w:t xml:space="preserve"> </w:t>
      </w:r>
      <w:r>
        <w:t xml:space="preserve">This complaint was voluntarily dismissed in 2014 because of then on-going negotiations between FPL and COVB concerning the possible purchase and sale of COVB’s electric system. However, those negotiations did not result in a sale; Order No. PSC-15-0101-DS-EM, issued February 12, 2015, in Docket No. 140142-EM, </w:t>
      </w:r>
      <w:r w:rsidRPr="00893F85">
        <w:rPr>
          <w:i/>
        </w:rPr>
        <w:t>In</w:t>
      </w:r>
      <w:r>
        <w:rPr>
          <w:i/>
        </w:rPr>
        <w:t xml:space="preserve"> </w:t>
      </w:r>
      <w:r w:rsidRPr="00893F85">
        <w:rPr>
          <w:i/>
        </w:rPr>
        <w:t xml:space="preserve">re:  Petition for Declaratory Statement by the Board of </w:t>
      </w:r>
      <w:r>
        <w:rPr>
          <w:i/>
        </w:rPr>
        <w:t>C</w:t>
      </w:r>
      <w:r w:rsidRPr="00893F85">
        <w:rPr>
          <w:i/>
        </w:rPr>
        <w:t xml:space="preserve">ounty Commissioners, Indian River </w:t>
      </w:r>
      <w:r>
        <w:rPr>
          <w:i/>
        </w:rPr>
        <w:t>C</w:t>
      </w:r>
      <w:r w:rsidRPr="00893F85">
        <w:rPr>
          <w:i/>
        </w:rPr>
        <w:t>ounty</w:t>
      </w:r>
      <w:r w:rsidRPr="00893F85">
        <w:t xml:space="preserve">, </w:t>
      </w:r>
      <w:r w:rsidRPr="00893F85">
        <w:rPr>
          <w:i/>
        </w:rPr>
        <w:t>Florida</w:t>
      </w:r>
      <w:r>
        <w:t xml:space="preserve">; Order No. PSC-15-0102-DS-EM, issued February 12, 1015, in </w:t>
      </w:r>
      <w:r w:rsidRPr="000F4F5B">
        <w:t>Docket No. 140244-EM</w:t>
      </w:r>
      <w:r>
        <w:t xml:space="preserve">, </w:t>
      </w:r>
      <w:r w:rsidRPr="00893F85">
        <w:rPr>
          <w:i/>
        </w:rPr>
        <w:t>In re:  Petition of Vero Beach for a Declaratory Statement Regarding Effect of Commission’s Orders Approving Territorial A</w:t>
      </w:r>
      <w:r>
        <w:rPr>
          <w:i/>
        </w:rPr>
        <w:t>greements in Indian River Count;</w:t>
      </w:r>
      <w:r w:rsidRPr="005969EA">
        <w:rPr>
          <w:i/>
        </w:rPr>
        <w:t xml:space="preserve"> </w:t>
      </w:r>
      <w:r w:rsidRPr="00E225F3">
        <w:rPr>
          <w:i/>
        </w:rPr>
        <w:t>Board of County Com</w:t>
      </w:r>
      <w:r>
        <w:rPr>
          <w:i/>
        </w:rPr>
        <w:t>missione</w:t>
      </w:r>
      <w:r w:rsidRPr="00E225F3">
        <w:rPr>
          <w:i/>
        </w:rPr>
        <w:t xml:space="preserve">rs </w:t>
      </w:r>
      <w:r>
        <w:rPr>
          <w:i/>
        </w:rPr>
        <w:t xml:space="preserve">of </w:t>
      </w:r>
      <w:r w:rsidRPr="00E225F3">
        <w:rPr>
          <w:i/>
        </w:rPr>
        <w:t>Indian River County v. Graham</w:t>
      </w:r>
      <w:r>
        <w:t>, 191 So. 3d 890 (Fla. 2016)(affirming Commission Order Nos. PSC-15-0101-DS-EM</w:t>
      </w:r>
      <w:r w:rsidRPr="000D3101">
        <w:t xml:space="preserve"> </w:t>
      </w:r>
      <w:r>
        <w:t>and PSC-15-0102-DS-EM);</w:t>
      </w:r>
      <w:r w:rsidRPr="0023704D">
        <w:t xml:space="preserve"> </w:t>
      </w:r>
      <w:r w:rsidRPr="00F43FE8">
        <w:t>Order No. PSC-16-0093-FOF-EU</w:t>
      </w:r>
      <w:r>
        <w:t xml:space="preserve">, issued March 4, 2016, in Docket No. 160013-EU, </w:t>
      </w:r>
      <w:r w:rsidRPr="00893F85">
        <w:rPr>
          <w:i/>
        </w:rPr>
        <w:t xml:space="preserve">In re: Petition for declaratory statement regarding the Florida </w:t>
      </w:r>
      <w:r>
        <w:rPr>
          <w:i/>
        </w:rPr>
        <w:t>P</w:t>
      </w:r>
      <w:r w:rsidRPr="00893F85">
        <w:rPr>
          <w:i/>
        </w:rPr>
        <w:t>ublic Service Commission’s jurisdiction to adjudicate the Town of Indian River Shores’ constitutional rights</w:t>
      </w:r>
      <w:r w:rsidRPr="000F4F5B">
        <w:t>.</w:t>
      </w:r>
    </w:p>
  </w:footnote>
  <w:footnote w:id="20">
    <w:p w:rsidR="00BB03A9" w:rsidRDefault="00BB03A9" w:rsidP="000253AD">
      <w:pPr>
        <w:pStyle w:val="FootnoteText"/>
      </w:pPr>
      <w:r>
        <w:rPr>
          <w:rStyle w:val="FootnoteReference"/>
        </w:rPr>
        <w:footnoteRef/>
      </w:r>
      <w:r>
        <w:t xml:space="preserve"> Order No. PSC-16-0427-PAA-EU, issued October 4, 2016, in Docket No. 160049-EU, </w:t>
      </w:r>
      <w:r>
        <w:rPr>
          <w:i/>
        </w:rPr>
        <w:t>In re: Petition for modification of territorial order based on changed legal circumstances emanating from Article VIII, Section 2(c) of the Florida Constitution, by the Town of Indian River Shores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A9" w:rsidRDefault="00BB03A9">
    <w:pPr>
      <w:pStyle w:val="OrderHeader"/>
    </w:pPr>
    <w:r>
      <w:t xml:space="preserve">ORDER NO. </w:t>
    </w:r>
    <w:fldSimple w:instr=" REF OrderNo0566 ">
      <w:r w:rsidR="00C869F4">
        <w:t>PSC-2018-0566-FOF-EU</w:t>
      </w:r>
    </w:fldSimple>
  </w:p>
  <w:p w:rsidR="00BB03A9" w:rsidRDefault="00BB03A9">
    <w:pPr>
      <w:pStyle w:val="OrderHeader"/>
    </w:pPr>
    <w:bookmarkStart w:id="10" w:name="HeaderDocketNo"/>
    <w:bookmarkEnd w:id="10"/>
    <w:r>
      <w:t>DOCKET NOS. 20170235-EI, 20170236-EU</w:t>
    </w:r>
  </w:p>
  <w:p w:rsidR="00BB03A9" w:rsidRDefault="00BB03A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69F4">
      <w:rPr>
        <w:rStyle w:val="PageNumber"/>
        <w:noProof/>
      </w:rPr>
      <w:t>14</w:t>
    </w:r>
    <w:r>
      <w:rPr>
        <w:rStyle w:val="PageNumber"/>
      </w:rPr>
      <w:fldChar w:fldCharType="end"/>
    </w:r>
  </w:p>
  <w:p w:rsidR="00BB03A9" w:rsidRDefault="00BB03A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141"/>
    <w:multiLevelType w:val="hybridMultilevel"/>
    <w:tmpl w:val="80B89EFA"/>
    <w:lvl w:ilvl="0" w:tplc="6840BF0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5148E1"/>
    <w:multiLevelType w:val="hybridMultilevel"/>
    <w:tmpl w:val="FDD0D3E8"/>
    <w:lvl w:ilvl="0" w:tplc="ADEE2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20170236-EU"/>
  </w:docVars>
  <w:rsids>
    <w:rsidRoot w:val="006505D0"/>
    <w:rsid w:val="000022B8"/>
    <w:rsid w:val="000253AD"/>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39D7"/>
    <w:rsid w:val="00126593"/>
    <w:rsid w:val="00142A96"/>
    <w:rsid w:val="001513DE"/>
    <w:rsid w:val="001549A2"/>
    <w:rsid w:val="00154A71"/>
    <w:rsid w:val="00187E32"/>
    <w:rsid w:val="00194E81"/>
    <w:rsid w:val="001A15E7"/>
    <w:rsid w:val="001A33C9"/>
    <w:rsid w:val="001A58F3"/>
    <w:rsid w:val="001C2847"/>
    <w:rsid w:val="001C3F8C"/>
    <w:rsid w:val="001C6097"/>
    <w:rsid w:val="001D008A"/>
    <w:rsid w:val="001E0152"/>
    <w:rsid w:val="001E0FF5"/>
    <w:rsid w:val="002002ED"/>
    <w:rsid w:val="0020255B"/>
    <w:rsid w:val="002144CA"/>
    <w:rsid w:val="002170E5"/>
    <w:rsid w:val="00220D57"/>
    <w:rsid w:val="0022721A"/>
    <w:rsid w:val="00230BB9"/>
    <w:rsid w:val="00241CEF"/>
    <w:rsid w:val="0025124E"/>
    <w:rsid w:val="00252B30"/>
    <w:rsid w:val="002613E4"/>
    <w:rsid w:val="0026544B"/>
    <w:rsid w:val="00276CDC"/>
    <w:rsid w:val="00277655"/>
    <w:rsid w:val="002824B7"/>
    <w:rsid w:val="00282AC4"/>
    <w:rsid w:val="00292C61"/>
    <w:rsid w:val="002A11AC"/>
    <w:rsid w:val="002A6F30"/>
    <w:rsid w:val="002B3111"/>
    <w:rsid w:val="002C7908"/>
    <w:rsid w:val="002D391B"/>
    <w:rsid w:val="002D4B1F"/>
    <w:rsid w:val="002D7D15"/>
    <w:rsid w:val="002E1B2E"/>
    <w:rsid w:val="002E27EB"/>
    <w:rsid w:val="002E7844"/>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759CD"/>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1807"/>
    <w:rsid w:val="0055595D"/>
    <w:rsid w:val="00556A10"/>
    <w:rsid w:val="00557F50"/>
    <w:rsid w:val="00571D3D"/>
    <w:rsid w:val="0058264B"/>
    <w:rsid w:val="005868AA"/>
    <w:rsid w:val="00590845"/>
    <w:rsid w:val="005963C2"/>
    <w:rsid w:val="005A0D69"/>
    <w:rsid w:val="005A31F4"/>
    <w:rsid w:val="005A7263"/>
    <w:rsid w:val="005A73EA"/>
    <w:rsid w:val="005B45F7"/>
    <w:rsid w:val="005B63EA"/>
    <w:rsid w:val="005C1A88"/>
    <w:rsid w:val="005C5033"/>
    <w:rsid w:val="005E751B"/>
    <w:rsid w:val="005E7B05"/>
    <w:rsid w:val="005F3354"/>
    <w:rsid w:val="0060005E"/>
    <w:rsid w:val="0060095B"/>
    <w:rsid w:val="00601266"/>
    <w:rsid w:val="00610E73"/>
    <w:rsid w:val="00616DF2"/>
    <w:rsid w:val="0063168D"/>
    <w:rsid w:val="006326AB"/>
    <w:rsid w:val="006361A2"/>
    <w:rsid w:val="006505D0"/>
    <w:rsid w:val="006531A4"/>
    <w:rsid w:val="00660774"/>
    <w:rsid w:val="0066389A"/>
    <w:rsid w:val="0066495C"/>
    <w:rsid w:val="00665CC7"/>
    <w:rsid w:val="00672612"/>
    <w:rsid w:val="00677F18"/>
    <w:rsid w:val="00693483"/>
    <w:rsid w:val="006A0BF3"/>
    <w:rsid w:val="006B0DA6"/>
    <w:rsid w:val="006B54C3"/>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272A"/>
    <w:rsid w:val="007C0FBC"/>
    <w:rsid w:val="007C36E3"/>
    <w:rsid w:val="007C7134"/>
    <w:rsid w:val="007D3D20"/>
    <w:rsid w:val="007D742E"/>
    <w:rsid w:val="007E3AFD"/>
    <w:rsid w:val="00801DAD"/>
    <w:rsid w:val="00802484"/>
    <w:rsid w:val="00803189"/>
    <w:rsid w:val="00804E7A"/>
    <w:rsid w:val="00805FBB"/>
    <w:rsid w:val="008169A4"/>
    <w:rsid w:val="008278FE"/>
    <w:rsid w:val="00832598"/>
    <w:rsid w:val="0083397E"/>
    <w:rsid w:val="0083534B"/>
    <w:rsid w:val="00842602"/>
    <w:rsid w:val="00847B45"/>
    <w:rsid w:val="00862876"/>
    <w:rsid w:val="00863A66"/>
    <w:rsid w:val="008703D7"/>
    <w:rsid w:val="00874429"/>
    <w:rsid w:val="00882CC1"/>
    <w:rsid w:val="00883D9A"/>
    <w:rsid w:val="008919EF"/>
    <w:rsid w:val="00892B20"/>
    <w:rsid w:val="008A12EC"/>
    <w:rsid w:val="008C21C8"/>
    <w:rsid w:val="008C6375"/>
    <w:rsid w:val="008C6A5B"/>
    <w:rsid w:val="008D4F65"/>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363C"/>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4CC4"/>
    <w:rsid w:val="00AA73F1"/>
    <w:rsid w:val="00AB0E1A"/>
    <w:rsid w:val="00AB1A30"/>
    <w:rsid w:val="00AB3C36"/>
    <w:rsid w:val="00AB5E7B"/>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0D3A"/>
    <w:rsid w:val="00B51074"/>
    <w:rsid w:val="00B54DAA"/>
    <w:rsid w:val="00B55AB0"/>
    <w:rsid w:val="00B55EE5"/>
    <w:rsid w:val="00B71D1F"/>
    <w:rsid w:val="00B73DE6"/>
    <w:rsid w:val="00B761CD"/>
    <w:rsid w:val="00B86EF0"/>
    <w:rsid w:val="00B96969"/>
    <w:rsid w:val="00B97900"/>
    <w:rsid w:val="00BA1229"/>
    <w:rsid w:val="00BA44A8"/>
    <w:rsid w:val="00BA58AE"/>
    <w:rsid w:val="00BB03A9"/>
    <w:rsid w:val="00BD116B"/>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69F4"/>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6A2D"/>
    <w:rsid w:val="00D70752"/>
    <w:rsid w:val="00D80E2D"/>
    <w:rsid w:val="00D84D5E"/>
    <w:rsid w:val="00D8560E"/>
    <w:rsid w:val="00D8758F"/>
    <w:rsid w:val="00D9750D"/>
    <w:rsid w:val="00DA4EDD"/>
    <w:rsid w:val="00DA6B78"/>
    <w:rsid w:val="00DC1AB1"/>
    <w:rsid w:val="00DC1D94"/>
    <w:rsid w:val="00DC42CF"/>
    <w:rsid w:val="00DE057F"/>
    <w:rsid w:val="00DE2082"/>
    <w:rsid w:val="00DE2289"/>
    <w:rsid w:val="00DF09A7"/>
    <w:rsid w:val="00DF64F5"/>
    <w:rsid w:val="00DF7DE3"/>
    <w:rsid w:val="00E001D6"/>
    <w:rsid w:val="00E03A76"/>
    <w:rsid w:val="00E04410"/>
    <w:rsid w:val="00E05675"/>
    <w:rsid w:val="00E07484"/>
    <w:rsid w:val="00E11351"/>
    <w:rsid w:val="00E15543"/>
    <w:rsid w:val="00E230EB"/>
    <w:rsid w:val="00E4225C"/>
    <w:rsid w:val="00E44879"/>
    <w:rsid w:val="00E576B4"/>
    <w:rsid w:val="00E72914"/>
    <w:rsid w:val="00E75AE0"/>
    <w:rsid w:val="00E83599"/>
    <w:rsid w:val="00E83C1F"/>
    <w:rsid w:val="00E9416D"/>
    <w:rsid w:val="00EA172C"/>
    <w:rsid w:val="00EA259B"/>
    <w:rsid w:val="00EA35A3"/>
    <w:rsid w:val="00EA3E6A"/>
    <w:rsid w:val="00EB18EF"/>
    <w:rsid w:val="00EB7951"/>
    <w:rsid w:val="00EC5F07"/>
    <w:rsid w:val="00EC6150"/>
    <w:rsid w:val="00ED6A79"/>
    <w:rsid w:val="00EE17DF"/>
    <w:rsid w:val="00EF4621"/>
    <w:rsid w:val="00EF4D52"/>
    <w:rsid w:val="00EF6312"/>
    <w:rsid w:val="00F02568"/>
    <w:rsid w:val="00F038B0"/>
    <w:rsid w:val="00F1354B"/>
    <w:rsid w:val="00F22B27"/>
    <w:rsid w:val="00F234A7"/>
    <w:rsid w:val="00F277B6"/>
    <w:rsid w:val="00F27DA5"/>
    <w:rsid w:val="00F37E07"/>
    <w:rsid w:val="00F4182A"/>
    <w:rsid w:val="00F54380"/>
    <w:rsid w:val="00F54B47"/>
    <w:rsid w:val="00F61247"/>
    <w:rsid w:val="00F6195D"/>
    <w:rsid w:val="00F6702E"/>
    <w:rsid w:val="00F70E84"/>
    <w:rsid w:val="00FA092B"/>
    <w:rsid w:val="00FA4F6C"/>
    <w:rsid w:val="00FA6EFD"/>
    <w:rsid w:val="00FB74EA"/>
    <w:rsid w:val="00FD2C9E"/>
    <w:rsid w:val="00FD4786"/>
    <w:rsid w:val="00FD616C"/>
    <w:rsid w:val="00FE53F2"/>
    <w:rsid w:val="00FE7C0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A4CC4"/>
    <w:pPr>
      <w:ind w:left="720"/>
      <w:contextualSpacing/>
    </w:pPr>
  </w:style>
  <w:style w:type="paragraph" w:customStyle="1" w:styleId="StyleHeading1BoldUnderline">
    <w:name w:val="Style Heading 1 + Bold Underline"/>
    <w:basedOn w:val="Heading1"/>
    <w:link w:val="StyleHeading1BoldUnderlineChar"/>
    <w:rsid w:val="00AA4CC4"/>
    <w:pPr>
      <w:keepNext w:val="0"/>
      <w:spacing w:before="240"/>
    </w:pPr>
    <w:rPr>
      <w:b/>
      <w:u w:val="single"/>
    </w:rPr>
  </w:style>
  <w:style w:type="character" w:customStyle="1" w:styleId="StyleHeading1BoldUnderlineChar">
    <w:name w:val="Style Heading 1 + Bold Underline Char"/>
    <w:link w:val="StyleHeading1BoldUnderline"/>
    <w:rsid w:val="00AA4CC4"/>
    <w:rPr>
      <w:rFonts w:cs="Arial"/>
      <w:b/>
      <w:bCs/>
      <w:kern w:val="32"/>
      <w:sz w:val="24"/>
      <w:szCs w:val="32"/>
      <w:u w:val="single"/>
    </w:rPr>
  </w:style>
  <w:style w:type="character" w:customStyle="1" w:styleId="FootnoteTextChar">
    <w:name w:val="Footnote Text Char"/>
    <w:link w:val="FootnoteText"/>
    <w:uiPriority w:val="99"/>
    <w:rsid w:val="00AA4CC4"/>
  </w:style>
  <w:style w:type="paragraph" w:styleId="BalloonText">
    <w:name w:val="Balloon Text"/>
    <w:basedOn w:val="Normal"/>
    <w:link w:val="BalloonTextChar"/>
    <w:rsid w:val="00862876"/>
    <w:rPr>
      <w:rFonts w:ascii="Tahoma" w:hAnsi="Tahoma" w:cs="Tahoma"/>
      <w:sz w:val="16"/>
      <w:szCs w:val="16"/>
    </w:rPr>
  </w:style>
  <w:style w:type="character" w:customStyle="1" w:styleId="BalloonTextChar">
    <w:name w:val="Balloon Text Char"/>
    <w:basedOn w:val="DefaultParagraphFont"/>
    <w:link w:val="BalloonText"/>
    <w:rsid w:val="00862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A4CC4"/>
    <w:pPr>
      <w:ind w:left="720"/>
      <w:contextualSpacing/>
    </w:pPr>
  </w:style>
  <w:style w:type="paragraph" w:customStyle="1" w:styleId="StyleHeading1BoldUnderline">
    <w:name w:val="Style Heading 1 + Bold Underline"/>
    <w:basedOn w:val="Heading1"/>
    <w:link w:val="StyleHeading1BoldUnderlineChar"/>
    <w:rsid w:val="00AA4CC4"/>
    <w:pPr>
      <w:keepNext w:val="0"/>
      <w:spacing w:before="240"/>
    </w:pPr>
    <w:rPr>
      <w:b/>
      <w:u w:val="single"/>
    </w:rPr>
  </w:style>
  <w:style w:type="character" w:customStyle="1" w:styleId="StyleHeading1BoldUnderlineChar">
    <w:name w:val="Style Heading 1 + Bold Underline Char"/>
    <w:link w:val="StyleHeading1BoldUnderline"/>
    <w:rsid w:val="00AA4CC4"/>
    <w:rPr>
      <w:rFonts w:cs="Arial"/>
      <w:b/>
      <w:bCs/>
      <w:kern w:val="32"/>
      <w:sz w:val="24"/>
      <w:szCs w:val="32"/>
      <w:u w:val="single"/>
    </w:rPr>
  </w:style>
  <w:style w:type="character" w:customStyle="1" w:styleId="FootnoteTextChar">
    <w:name w:val="Footnote Text Char"/>
    <w:link w:val="FootnoteText"/>
    <w:uiPriority w:val="99"/>
    <w:rsid w:val="00AA4CC4"/>
  </w:style>
  <w:style w:type="paragraph" w:styleId="BalloonText">
    <w:name w:val="Balloon Text"/>
    <w:basedOn w:val="Normal"/>
    <w:link w:val="BalloonTextChar"/>
    <w:rsid w:val="00862876"/>
    <w:rPr>
      <w:rFonts w:ascii="Tahoma" w:hAnsi="Tahoma" w:cs="Tahoma"/>
      <w:sz w:val="16"/>
      <w:szCs w:val="16"/>
    </w:rPr>
  </w:style>
  <w:style w:type="character" w:customStyle="1" w:styleId="BalloonTextChar">
    <w:name w:val="Balloon Text Char"/>
    <w:basedOn w:val="DefaultParagraphFont"/>
    <w:link w:val="BalloonText"/>
    <w:rsid w:val="00862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F2EC-B048-4EE6-80A6-BC3AEE9F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5820</Words>
  <Characters>31510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2018-11-30T20:37:00Z</dcterms:created>
  <dcterms:modified xsi:type="dcterms:W3CDTF">2018-11-30T20:46:00Z</dcterms:modified>
</cp:coreProperties>
</file>