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594975" w:rsidP="00594975">
      <w:pPr>
        <w:pStyle w:val="OrderHeading"/>
      </w:pPr>
      <w:r>
        <w:t>BEFORE THE FLORIDA PUBLIC SERVICE COMMISSION</w:t>
      </w:r>
    </w:p>
    <w:p w:rsidR="00594975" w:rsidRDefault="00594975" w:rsidP="00594975">
      <w:pPr>
        <w:pStyle w:val="OrderBody"/>
      </w:pPr>
    </w:p>
    <w:p w:rsidR="00594975" w:rsidRDefault="00594975" w:rsidP="00594975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94975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594975" w:rsidRDefault="0059497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authority to transfer water and wastewater Certificate Nos. 577-W and 498-S in Manatee County, from Heather Hills Estates Utilities, LLC to Heather Hills Utilities,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594975" w:rsidRDefault="00594975" w:rsidP="00594975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20170151-WS</w:t>
            </w:r>
          </w:p>
          <w:p w:rsidR="00594975" w:rsidRDefault="0059497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61"/>
            <w:r w:rsidR="00332CC7">
              <w:t>PSC-2018-0561A-PAA-WS</w:t>
            </w:r>
            <w:bookmarkEnd w:id="2"/>
          </w:p>
          <w:p w:rsidR="00594975" w:rsidRDefault="0059497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32CC7">
              <w:t>December 21, 2018</w:t>
            </w:r>
          </w:p>
        </w:tc>
      </w:tr>
    </w:tbl>
    <w:p w:rsidR="00594975" w:rsidRDefault="00594975" w:rsidP="00594975"/>
    <w:p w:rsidR="00CB5276" w:rsidRDefault="00594975" w:rsidP="00594975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594975" w:rsidRDefault="00594975" w:rsidP="00594975">
      <w:pPr>
        <w:pStyle w:val="CenterUnderline"/>
      </w:pPr>
    </w:p>
    <w:p w:rsidR="00594975" w:rsidRDefault="00594975" w:rsidP="00594975">
      <w:pPr>
        <w:pStyle w:val="OrderBody"/>
      </w:pPr>
      <w:r>
        <w:t>BY THE COMMISSION:</w:t>
      </w:r>
    </w:p>
    <w:p w:rsidR="00594975" w:rsidRDefault="00594975" w:rsidP="00594975">
      <w:pPr>
        <w:pStyle w:val="OrderBody"/>
      </w:pPr>
    </w:p>
    <w:p w:rsidR="00594975" w:rsidRPr="00096D60" w:rsidRDefault="00594975" w:rsidP="00594975">
      <w:pPr>
        <w:ind w:firstLine="720"/>
        <w:jc w:val="both"/>
      </w:pPr>
      <w:bookmarkStart w:id="5" w:name="OrderText"/>
      <w:bookmarkEnd w:id="5"/>
      <w:r w:rsidRPr="00096D60">
        <w:t xml:space="preserve">On </w:t>
      </w:r>
      <w:r w:rsidR="001D22A9">
        <w:t>November 26, 2018</w:t>
      </w:r>
      <w:r w:rsidRPr="00096D60">
        <w:t xml:space="preserve">, we issued Order No. </w:t>
      </w:r>
      <w:r w:rsidRPr="001D22A9">
        <w:rPr>
          <w:bCs/>
        </w:rPr>
        <w:t>PSC-</w:t>
      </w:r>
      <w:r w:rsidR="001D22A9" w:rsidRPr="001D22A9">
        <w:rPr>
          <w:bCs/>
        </w:rPr>
        <w:t>2018-0561</w:t>
      </w:r>
      <w:r w:rsidRPr="001D22A9">
        <w:rPr>
          <w:bCs/>
        </w:rPr>
        <w:t>-</w:t>
      </w:r>
      <w:r w:rsidR="001D22A9" w:rsidRPr="001D22A9">
        <w:rPr>
          <w:bCs/>
        </w:rPr>
        <w:t>PAA</w:t>
      </w:r>
      <w:r w:rsidRPr="001D22A9">
        <w:rPr>
          <w:bCs/>
        </w:rPr>
        <w:t>-</w:t>
      </w:r>
      <w:r w:rsidR="001D22A9" w:rsidRPr="001D22A9">
        <w:rPr>
          <w:bCs/>
        </w:rPr>
        <w:t xml:space="preserve">WS, establishing net book value </w:t>
      </w:r>
      <w:r w:rsidR="00ED5E1A">
        <w:rPr>
          <w:bCs/>
        </w:rPr>
        <w:t xml:space="preserve">of the water and wastewater systems </w:t>
      </w:r>
      <w:r w:rsidR="001D22A9" w:rsidRPr="001D22A9">
        <w:rPr>
          <w:bCs/>
        </w:rPr>
        <w:t>for tran</w:t>
      </w:r>
      <w:r w:rsidR="001D22A9">
        <w:rPr>
          <w:bCs/>
        </w:rPr>
        <w:t>s</w:t>
      </w:r>
      <w:r w:rsidR="001D22A9" w:rsidRPr="001D22A9">
        <w:rPr>
          <w:bCs/>
        </w:rPr>
        <w:t xml:space="preserve">fer purposes and approving the transfer of </w:t>
      </w:r>
      <w:r w:rsidR="001D22A9" w:rsidRPr="001D22A9">
        <w:t>Certificate Nos. 577-W and 498-S in Manatee County, t</w:t>
      </w:r>
      <w:r w:rsidR="001D22A9">
        <w:t>o Heather Hills Utilities, LLC.</w:t>
      </w:r>
      <w:r w:rsidRPr="00096D60">
        <w:rPr>
          <w:b/>
          <w:bCs/>
          <w:i/>
          <w:iCs/>
        </w:rPr>
        <w:t xml:space="preserve"> </w:t>
      </w:r>
      <w:r w:rsidR="00ED5E1A">
        <w:rPr>
          <w:bCs/>
          <w:iCs/>
        </w:rPr>
        <w:t>D</w:t>
      </w:r>
      <w:r w:rsidRPr="00096D60">
        <w:t xml:space="preserve">ue to a scrivener’s error, </w:t>
      </w:r>
      <w:r w:rsidR="001D22A9">
        <w:t xml:space="preserve">a 6,000 </w:t>
      </w:r>
      <w:r w:rsidR="00706B70">
        <w:t xml:space="preserve">gallon </w:t>
      </w:r>
      <w:r w:rsidR="001D22A9">
        <w:t xml:space="preserve">cap was </w:t>
      </w:r>
      <w:r w:rsidR="00ED5E1A">
        <w:t>listed</w:t>
      </w:r>
      <w:r w:rsidR="001D22A9">
        <w:t xml:space="preserve"> on page 2 of 2, </w:t>
      </w:r>
      <w:r w:rsidR="00ED5E1A">
        <w:t>of</w:t>
      </w:r>
      <w:r w:rsidR="001D22A9">
        <w:t xml:space="preserve"> Schedule 3, Quarterly Wastewater Rates, on page 24 of the order</w:t>
      </w:r>
      <w:r w:rsidRPr="00096D60">
        <w:t xml:space="preserve">. </w:t>
      </w:r>
      <w:r w:rsidR="00ED5E1A">
        <w:t>There is no 6,000 gallon cap; t</w:t>
      </w:r>
      <w:r w:rsidRPr="00096D60">
        <w:t xml:space="preserve">herefore, </w:t>
      </w:r>
      <w:r w:rsidR="00ED5E1A">
        <w:t xml:space="preserve">the 6,000 gallon cap is amended to strike the reference to the 6,000 gallon cap from </w:t>
      </w:r>
      <w:r w:rsidRPr="00096D60">
        <w:t xml:space="preserve">Order No. </w:t>
      </w:r>
      <w:r w:rsidR="001D22A9" w:rsidRPr="001D22A9">
        <w:rPr>
          <w:bCs/>
        </w:rPr>
        <w:t>PSC-2018-0561-PAA-WS</w:t>
      </w:r>
      <w:r w:rsidR="001D22A9">
        <w:t xml:space="preserve">. </w:t>
      </w:r>
      <w:bookmarkStart w:id="6" w:name="_GoBack"/>
      <w:bookmarkEnd w:id="6"/>
    </w:p>
    <w:p w:rsidR="00594975" w:rsidRPr="00096D60" w:rsidRDefault="00594975" w:rsidP="00594975">
      <w:pPr>
        <w:jc w:val="both"/>
      </w:pPr>
    </w:p>
    <w:p w:rsidR="00594975" w:rsidRPr="00096D60" w:rsidRDefault="00594975" w:rsidP="00594975">
      <w:pPr>
        <w:jc w:val="both"/>
      </w:pPr>
      <w:r w:rsidRPr="00096D60">
        <w:tab/>
        <w:t>Based on the foregoing, it is</w:t>
      </w:r>
    </w:p>
    <w:p w:rsidR="00594975" w:rsidRPr="00096D60" w:rsidRDefault="00594975" w:rsidP="00594975">
      <w:pPr>
        <w:jc w:val="both"/>
      </w:pPr>
    </w:p>
    <w:p w:rsidR="00594975" w:rsidRPr="00096D60" w:rsidRDefault="00594975" w:rsidP="00594975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1D22A9" w:rsidRPr="001D22A9">
        <w:rPr>
          <w:bCs/>
        </w:rPr>
        <w:t>PSC-2018-0561-PAA-WS</w:t>
      </w:r>
      <w:r w:rsidR="001D22A9" w:rsidRPr="00096D60">
        <w:rPr>
          <w:b/>
          <w:bCs/>
        </w:rPr>
        <w:t xml:space="preserve"> </w:t>
      </w:r>
      <w:r w:rsidRPr="00096D60">
        <w:t xml:space="preserve">is hereby amended to reflect </w:t>
      </w:r>
      <w:r w:rsidR="001D22A9">
        <w:t>the removal of the 6,000 gallon cap from Schedule 3, the Quarterly Wastewater Rates.</w:t>
      </w:r>
      <w:r w:rsidRPr="00096D60">
        <w:t xml:space="preserve">  It is further</w:t>
      </w:r>
    </w:p>
    <w:p w:rsidR="00594975" w:rsidRPr="00096D60" w:rsidRDefault="00594975" w:rsidP="00594975">
      <w:pPr>
        <w:jc w:val="both"/>
      </w:pPr>
      <w:r w:rsidRPr="00096D60">
        <w:tab/>
      </w:r>
    </w:p>
    <w:p w:rsidR="00594975" w:rsidRPr="00096D60" w:rsidRDefault="00594975" w:rsidP="00594975">
      <w:pPr>
        <w:jc w:val="both"/>
      </w:pPr>
      <w:r w:rsidRPr="00096D60">
        <w:tab/>
        <w:t xml:space="preserve">ORDERED that Order No. </w:t>
      </w:r>
      <w:r w:rsidR="001D22A9" w:rsidRPr="001D22A9">
        <w:rPr>
          <w:bCs/>
        </w:rPr>
        <w:t>PSC-2018-0561-PAA-WS</w:t>
      </w:r>
      <w:r w:rsidR="001D22A9" w:rsidRPr="00096D60">
        <w:rPr>
          <w:b/>
          <w:bCs/>
        </w:rPr>
        <w:t xml:space="preserve"> </w:t>
      </w:r>
      <w:r w:rsidR="00706B70">
        <w:rPr>
          <w:bCs/>
        </w:rPr>
        <w:t>i</w:t>
      </w:r>
      <w:r w:rsidRPr="00096D60">
        <w:t>s reaffirmed in all other respects.</w:t>
      </w:r>
    </w:p>
    <w:p w:rsidR="001D22A9" w:rsidRDefault="00594975" w:rsidP="00594975">
      <w:pPr>
        <w:keepNext/>
        <w:keepLines/>
      </w:pPr>
      <w:r>
        <w:tab/>
      </w:r>
    </w:p>
    <w:p w:rsidR="00594975" w:rsidRDefault="00594975" w:rsidP="00332CC7">
      <w:pPr>
        <w:keepNext/>
        <w:keepLines/>
        <w:ind w:firstLine="720"/>
      </w:pPr>
      <w:r>
        <w:t xml:space="preserve">By ORDER of the Florida Public Service Commission this </w:t>
      </w:r>
      <w:bookmarkStart w:id="7" w:name="replaceDate"/>
      <w:bookmarkEnd w:id="7"/>
      <w:r w:rsidR="00332CC7">
        <w:rPr>
          <w:u w:val="single"/>
        </w:rPr>
        <w:t>21st</w:t>
      </w:r>
      <w:r w:rsidR="00332CC7">
        <w:t xml:space="preserve"> day of </w:t>
      </w:r>
      <w:r w:rsidR="00332CC7">
        <w:rPr>
          <w:u w:val="single"/>
        </w:rPr>
        <w:t>December</w:t>
      </w:r>
      <w:r w:rsidR="00332CC7">
        <w:t xml:space="preserve">, </w:t>
      </w:r>
      <w:r w:rsidR="00332CC7">
        <w:rPr>
          <w:u w:val="single"/>
        </w:rPr>
        <w:t>2018</w:t>
      </w:r>
      <w:r w:rsidR="00332CC7">
        <w:t>.</w:t>
      </w:r>
    </w:p>
    <w:p w:rsidR="00332CC7" w:rsidRDefault="00332CC7" w:rsidP="00332CC7">
      <w:pPr>
        <w:keepNext/>
        <w:keepLines/>
        <w:ind w:firstLine="720"/>
      </w:pPr>
    </w:p>
    <w:p w:rsidR="00332CC7" w:rsidRPr="00332CC7" w:rsidRDefault="00332CC7" w:rsidP="00332CC7">
      <w:pPr>
        <w:keepNext/>
        <w:keepLines/>
        <w:ind w:firstLine="720"/>
      </w:pPr>
    </w:p>
    <w:p w:rsidR="00594975" w:rsidRDefault="00594975" w:rsidP="00594975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94975" w:rsidTr="00594975">
        <w:tc>
          <w:tcPr>
            <w:tcW w:w="720" w:type="dxa"/>
            <w:shd w:val="clear" w:color="auto" w:fill="auto"/>
          </w:tcPr>
          <w:p w:rsidR="00594975" w:rsidRDefault="00594975" w:rsidP="00594975">
            <w:pPr>
              <w:keepNext/>
              <w:keepLines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94975" w:rsidRDefault="006810AD" w:rsidP="006810AD">
            <w:pPr>
              <w:keepNext/>
              <w:keepLines/>
            </w:pPr>
            <w:r>
              <w:t>/s/ Adam J. Teitzman</w:t>
            </w:r>
          </w:p>
        </w:tc>
      </w:tr>
      <w:bookmarkEnd w:id="8"/>
      <w:tr w:rsidR="00594975" w:rsidTr="00594975">
        <w:tc>
          <w:tcPr>
            <w:tcW w:w="720" w:type="dxa"/>
            <w:shd w:val="clear" w:color="auto" w:fill="auto"/>
          </w:tcPr>
          <w:p w:rsidR="00594975" w:rsidRDefault="00594975" w:rsidP="00594975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594975" w:rsidRDefault="006810AD" w:rsidP="00594975">
            <w:pPr>
              <w:keepNext/>
              <w:keepLines/>
            </w:pPr>
            <w:r>
              <w:t>ADAM J. TEITZMAN</w:t>
            </w:r>
          </w:p>
          <w:p w:rsidR="00594975" w:rsidRDefault="00594975" w:rsidP="00594975">
            <w:pPr>
              <w:keepNext/>
              <w:keepLines/>
            </w:pPr>
            <w:r>
              <w:t>Commission Clerk</w:t>
            </w:r>
          </w:p>
        </w:tc>
      </w:tr>
    </w:tbl>
    <w:p w:rsidR="00594975" w:rsidRDefault="00594975" w:rsidP="00594975">
      <w:pPr>
        <w:pStyle w:val="OrderSigInfo"/>
        <w:keepNext/>
        <w:keepLines/>
      </w:pPr>
      <w:r>
        <w:t>Florida Public Service Commission</w:t>
      </w:r>
    </w:p>
    <w:p w:rsidR="00594975" w:rsidRDefault="00594975" w:rsidP="00594975">
      <w:pPr>
        <w:pStyle w:val="OrderSigInfo"/>
        <w:keepNext/>
        <w:keepLines/>
      </w:pPr>
      <w:r>
        <w:t>2540 Shumard Oak Boulevard</w:t>
      </w:r>
    </w:p>
    <w:p w:rsidR="00594975" w:rsidRDefault="00594975" w:rsidP="00594975">
      <w:pPr>
        <w:pStyle w:val="OrderSigInfo"/>
        <w:keepNext/>
        <w:keepLines/>
      </w:pPr>
      <w:r>
        <w:t>Tallahassee, Florida 32399</w:t>
      </w:r>
    </w:p>
    <w:p w:rsidR="00594975" w:rsidRDefault="00594975" w:rsidP="00594975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94975" w:rsidRDefault="00594975" w:rsidP="00594975">
      <w:pPr>
        <w:pStyle w:val="OrderSigInfo"/>
        <w:keepNext/>
        <w:keepLines/>
      </w:pPr>
      <w:r>
        <w:t>www.floridapsc.com</w:t>
      </w:r>
    </w:p>
    <w:p w:rsidR="00594975" w:rsidRDefault="00594975" w:rsidP="00594975">
      <w:pPr>
        <w:pStyle w:val="OrderSigInfo"/>
        <w:keepNext/>
        <w:keepLines/>
      </w:pPr>
    </w:p>
    <w:p w:rsidR="00594975" w:rsidRDefault="00594975" w:rsidP="00594975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8D39D8" w:rsidRDefault="008D39D8" w:rsidP="008D39D8">
      <w:pPr>
        <w:pStyle w:val="OrderBody"/>
        <w:sectPr w:rsidR="008D39D8">
          <w:headerReference w:type="default" r:id="rId7"/>
          <w:foot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WLT</w:t>
      </w:r>
    </w:p>
    <w:p w:rsidR="008D39D8" w:rsidRPr="00E837EC" w:rsidRDefault="008D39D8" w:rsidP="008D39D8">
      <w:pPr>
        <w:jc w:val="center"/>
        <w:rPr>
          <w:rFonts w:ascii="Arial" w:hAnsi="Arial" w:cs="Arial"/>
          <w:b/>
          <w:caps/>
        </w:rPr>
      </w:pPr>
      <w:r w:rsidRPr="00E837EC">
        <w:rPr>
          <w:rFonts w:ascii="Arial" w:hAnsi="Arial" w:cs="Arial"/>
          <w:b/>
        </w:rPr>
        <w:lastRenderedPageBreak/>
        <w:t>Heather Hills Utilities, LLC</w:t>
      </w:r>
      <w:r w:rsidRPr="00E837EC">
        <w:rPr>
          <w:rFonts w:ascii="Arial" w:hAnsi="Arial" w:cs="Arial"/>
          <w:b/>
        </w:rPr>
        <w:br/>
        <w:t>Quarterly Wastewater Rates</w:t>
      </w:r>
      <w:r w:rsidRPr="00E837EC">
        <w:br/>
      </w:r>
    </w:p>
    <w:p w:rsidR="008D39D8" w:rsidRPr="00E837EC" w:rsidRDefault="008D39D8" w:rsidP="008D39D8">
      <w:pPr>
        <w:rPr>
          <w:spacing w:val="-5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59"/>
        <w:gridCol w:w="1260"/>
        <w:gridCol w:w="2071"/>
      </w:tblGrid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pPr>
              <w:rPr>
                <w:rFonts w:ascii="Arial" w:hAnsi="Arial" w:cs="Arial"/>
                <w:b/>
                <w:spacing w:val="-5"/>
              </w:rPr>
            </w:pPr>
            <w:r w:rsidRPr="00E837EC">
              <w:rPr>
                <w:rFonts w:ascii="Arial" w:hAnsi="Arial" w:cs="Arial"/>
                <w:b/>
                <w:spacing w:val="-5"/>
              </w:rPr>
              <w:t>Residential Service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pPr>
              <w:rPr>
                <w:spacing w:val="-5"/>
              </w:rPr>
            </w:pPr>
            <w:r w:rsidRPr="00E837EC">
              <w:rPr>
                <w:spacing w:val="-5"/>
              </w:rPr>
              <w:t>Base Facility Charge – All Meter Sizes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  <w:r w:rsidRPr="00E837EC">
              <w:rPr>
                <w:spacing w:val="-5"/>
              </w:rPr>
              <w:t>$36.79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  <w:r w:rsidRPr="00E837EC">
              <w:rPr>
                <w:spacing w:val="-5"/>
              </w:rPr>
              <w:t>Charge Per 1,000 gallons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  <w:r w:rsidRPr="00E837EC">
              <w:rPr>
                <w:spacing w:val="-5"/>
              </w:rPr>
              <w:t xml:space="preserve">$7.19            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rFonts w:ascii="Arial" w:hAnsi="Arial" w:cs="Arial"/>
                <w:b/>
                <w:spacing w:val="-5"/>
              </w:rPr>
            </w:pPr>
            <w:r w:rsidRPr="00E837EC">
              <w:rPr>
                <w:rFonts w:ascii="Arial" w:hAnsi="Arial" w:cs="Arial"/>
                <w:b/>
                <w:spacing w:val="-5"/>
              </w:rPr>
              <w:t>General Service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rPr>
          <w:trHeight w:val="180"/>
        </w:trPr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pPr>
              <w:rPr>
                <w:spacing w:val="-5"/>
              </w:rPr>
            </w:pPr>
            <w:r w:rsidRPr="00E837EC">
              <w:rPr>
                <w:spacing w:val="-5"/>
              </w:rPr>
              <w:t>Base Facility Charge by Meter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5/8” x 3/4"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$36.79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1”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$55.18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1 1/2"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$91.97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2”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$183.94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3”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$294.30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4”</w:t>
            </w:r>
          </w:p>
        </w:tc>
        <w:tc>
          <w:tcPr>
            <w:tcW w:w="1260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$588.60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6”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8D39D8" w:rsidRPr="00E837EC" w:rsidRDefault="008D39D8" w:rsidP="00791474">
            <w:pPr>
              <w:jc w:val="right"/>
            </w:pPr>
            <w:r w:rsidRPr="00E837EC">
              <w:t>$919.69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</w:tcPr>
          <w:p w:rsidR="008D39D8" w:rsidRPr="00E837EC" w:rsidRDefault="008D39D8" w:rsidP="00791474">
            <w:r w:rsidRPr="00E837EC">
              <w:t>8”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  <w:r w:rsidRPr="00E837EC">
              <w:rPr>
                <w:spacing w:val="-5"/>
              </w:rPr>
              <w:t>$1,839.38</w:t>
            </w: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</w:tr>
      <w:tr w:rsidR="008D39D8" w:rsidRPr="00E837EC" w:rsidTr="00791474">
        <w:tc>
          <w:tcPr>
            <w:tcW w:w="6259" w:type="dxa"/>
            <w:shd w:val="clear" w:color="auto" w:fill="auto"/>
            <w:vAlign w:val="bottom"/>
          </w:tcPr>
          <w:p w:rsidR="008D39D8" w:rsidRPr="00E837EC" w:rsidRDefault="008D39D8" w:rsidP="00791474">
            <w:pPr>
              <w:rPr>
                <w:spacing w:val="-5"/>
              </w:rPr>
            </w:pPr>
            <w:r w:rsidRPr="00E837EC">
              <w:rPr>
                <w:spacing w:val="-5"/>
              </w:rPr>
              <w:t xml:space="preserve">Charge Per 1,000 gallons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8D39D8" w:rsidRPr="00E837EC" w:rsidRDefault="008D39D8" w:rsidP="00791474">
            <w:pPr>
              <w:jc w:val="right"/>
              <w:rPr>
                <w:spacing w:val="-5"/>
              </w:rPr>
            </w:pPr>
            <w:r w:rsidRPr="00E837EC">
              <w:rPr>
                <w:spacing w:val="-5"/>
              </w:rPr>
              <w:t>$8.49</w:t>
            </w:r>
          </w:p>
        </w:tc>
      </w:tr>
    </w:tbl>
    <w:p w:rsidR="008D39D8" w:rsidRPr="00E837EC" w:rsidRDefault="008D39D8" w:rsidP="008D39D8"/>
    <w:tbl>
      <w:tblPr>
        <w:tblW w:w="5057" w:type="pct"/>
        <w:jc w:val="center"/>
        <w:tblLook w:val="0000" w:firstRow="0" w:lastRow="0" w:firstColumn="0" w:lastColumn="0" w:noHBand="0" w:noVBand="0"/>
      </w:tblPr>
      <w:tblGrid>
        <w:gridCol w:w="4842"/>
        <w:gridCol w:w="1584"/>
        <w:gridCol w:w="969"/>
        <w:gridCol w:w="2253"/>
        <w:gridCol w:w="37"/>
      </w:tblGrid>
      <w:tr w:rsidR="008D39D8" w:rsidRPr="00E837EC" w:rsidTr="00791474">
        <w:trPr>
          <w:trHeight w:val="230"/>
          <w:jc w:val="center"/>
        </w:trPr>
        <w:tc>
          <w:tcPr>
            <w:tcW w:w="5000" w:type="pct"/>
            <w:gridSpan w:val="5"/>
          </w:tcPr>
          <w:p w:rsidR="008D39D8" w:rsidRPr="00E837EC" w:rsidRDefault="008D39D8" w:rsidP="007914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39D8" w:rsidRPr="00E837EC" w:rsidRDefault="008D39D8" w:rsidP="00791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7EC">
              <w:rPr>
                <w:rFonts w:ascii="Arial" w:hAnsi="Arial" w:cs="Arial"/>
                <w:b/>
                <w:bCs/>
              </w:rPr>
              <w:t>Miscellaneous Service Charges</w:t>
            </w:r>
          </w:p>
        </w:tc>
      </w:tr>
      <w:tr w:rsidR="008D39D8" w:rsidRPr="00E837EC" w:rsidTr="00791474">
        <w:trPr>
          <w:gridAfter w:val="1"/>
          <w:wAfter w:w="19" w:type="pct"/>
          <w:trHeight w:val="230"/>
          <w:jc w:val="center"/>
        </w:trPr>
        <w:tc>
          <w:tcPr>
            <w:tcW w:w="2500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spacing w:before="120"/>
            </w:pPr>
          </w:p>
        </w:tc>
        <w:tc>
          <w:tcPr>
            <w:tcW w:w="818" w:type="pct"/>
            <w:vAlign w:val="bottom"/>
          </w:tcPr>
          <w:p w:rsidR="008D39D8" w:rsidRPr="00E837EC" w:rsidRDefault="008D39D8" w:rsidP="00791474">
            <w:pPr>
              <w:spacing w:before="120"/>
              <w:jc w:val="right"/>
            </w:pPr>
            <w:r w:rsidRPr="00E837EC">
              <w:t>Normal hours</w:t>
            </w:r>
          </w:p>
        </w:tc>
        <w:tc>
          <w:tcPr>
            <w:tcW w:w="500" w:type="pct"/>
          </w:tcPr>
          <w:p w:rsidR="008D39D8" w:rsidRPr="00E837EC" w:rsidRDefault="008D39D8" w:rsidP="00791474">
            <w:pPr>
              <w:spacing w:before="120"/>
              <w:jc w:val="right"/>
            </w:pP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spacing w:before="120"/>
              <w:jc w:val="right"/>
            </w:pPr>
            <w:r w:rsidRPr="00E837EC">
              <w:t>After Hours</w:t>
            </w:r>
          </w:p>
        </w:tc>
      </w:tr>
      <w:tr w:rsidR="008D39D8" w:rsidRPr="00E837EC" w:rsidTr="00791474">
        <w:trPr>
          <w:gridAfter w:val="1"/>
          <w:wAfter w:w="19" w:type="pct"/>
          <w:trHeight w:val="230"/>
          <w:jc w:val="center"/>
        </w:trPr>
        <w:tc>
          <w:tcPr>
            <w:tcW w:w="2500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spacing w:before="120"/>
            </w:pPr>
            <w:r w:rsidRPr="00E837EC">
              <w:t>Initial Connection Charge</w:t>
            </w:r>
          </w:p>
        </w:tc>
        <w:tc>
          <w:tcPr>
            <w:tcW w:w="818" w:type="pct"/>
            <w:vAlign w:val="bottom"/>
          </w:tcPr>
          <w:p w:rsidR="008D39D8" w:rsidRPr="00E837EC" w:rsidRDefault="008D39D8" w:rsidP="00791474">
            <w:pPr>
              <w:spacing w:before="120"/>
              <w:jc w:val="right"/>
            </w:pPr>
            <w:r w:rsidRPr="00E837EC">
              <w:t>$26.00</w:t>
            </w:r>
          </w:p>
        </w:tc>
        <w:tc>
          <w:tcPr>
            <w:tcW w:w="500" w:type="pct"/>
          </w:tcPr>
          <w:p w:rsidR="008D39D8" w:rsidRPr="00E837EC" w:rsidRDefault="008D39D8" w:rsidP="00791474">
            <w:pPr>
              <w:spacing w:before="120"/>
              <w:jc w:val="right"/>
            </w:pP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spacing w:before="120"/>
              <w:jc w:val="right"/>
            </w:pPr>
            <w:r w:rsidRPr="00E837EC">
              <w:t>$40.00</w:t>
            </w:r>
          </w:p>
        </w:tc>
      </w:tr>
      <w:tr w:rsidR="008D39D8" w:rsidRPr="00E837EC" w:rsidTr="00791474">
        <w:trPr>
          <w:gridAfter w:val="1"/>
          <w:wAfter w:w="19" w:type="pct"/>
          <w:trHeight w:val="230"/>
          <w:jc w:val="center"/>
        </w:trPr>
        <w:tc>
          <w:tcPr>
            <w:tcW w:w="2500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rPr>
                <w:bCs/>
              </w:rPr>
            </w:pPr>
            <w:r w:rsidRPr="00E837EC">
              <w:t>Normal Reconnection Charge</w:t>
            </w:r>
          </w:p>
        </w:tc>
        <w:tc>
          <w:tcPr>
            <w:tcW w:w="818" w:type="pct"/>
            <w:vAlign w:val="bottom"/>
          </w:tcPr>
          <w:p w:rsidR="008D39D8" w:rsidRPr="00E837EC" w:rsidRDefault="008D39D8" w:rsidP="00791474">
            <w:pPr>
              <w:jc w:val="right"/>
            </w:pPr>
            <w:r w:rsidRPr="00E837EC">
              <w:t>$26.00</w:t>
            </w:r>
          </w:p>
        </w:tc>
        <w:tc>
          <w:tcPr>
            <w:tcW w:w="500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jc w:val="right"/>
            </w:pPr>
            <w:r w:rsidRPr="00E837EC">
              <w:t xml:space="preserve"> $40.00</w:t>
            </w:r>
          </w:p>
        </w:tc>
      </w:tr>
      <w:tr w:rsidR="008D39D8" w:rsidRPr="00E837EC" w:rsidTr="00791474">
        <w:trPr>
          <w:gridAfter w:val="1"/>
          <w:wAfter w:w="19" w:type="pct"/>
          <w:trHeight w:val="230"/>
          <w:jc w:val="center"/>
        </w:trPr>
        <w:tc>
          <w:tcPr>
            <w:tcW w:w="2500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rPr>
                <w:bCs/>
              </w:rPr>
            </w:pPr>
            <w:r w:rsidRPr="00E837EC">
              <w:t>Violation Reconnection Charge</w:t>
            </w:r>
          </w:p>
        </w:tc>
        <w:tc>
          <w:tcPr>
            <w:tcW w:w="818" w:type="pct"/>
            <w:vAlign w:val="bottom"/>
          </w:tcPr>
          <w:p w:rsidR="008D39D8" w:rsidRPr="00E837EC" w:rsidRDefault="008D39D8" w:rsidP="00791474">
            <w:pPr>
              <w:jc w:val="right"/>
            </w:pPr>
            <w:r w:rsidRPr="00E837EC">
              <w:t>Actual Cost</w:t>
            </w:r>
          </w:p>
        </w:tc>
        <w:tc>
          <w:tcPr>
            <w:tcW w:w="500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jc w:val="right"/>
            </w:pPr>
            <w:r w:rsidRPr="00E837EC">
              <w:t>Actual Cost</w:t>
            </w:r>
          </w:p>
        </w:tc>
      </w:tr>
      <w:tr w:rsidR="008D39D8" w:rsidRPr="00E837EC" w:rsidTr="00791474">
        <w:trPr>
          <w:gridAfter w:val="1"/>
          <w:wAfter w:w="19" w:type="pct"/>
          <w:trHeight w:val="230"/>
          <w:jc w:val="center"/>
        </w:trPr>
        <w:tc>
          <w:tcPr>
            <w:tcW w:w="2500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r w:rsidRPr="00E837EC">
              <w:t>Premises Visit Charge (in lieu of disconnection)</w:t>
            </w:r>
          </w:p>
        </w:tc>
        <w:tc>
          <w:tcPr>
            <w:tcW w:w="818" w:type="pct"/>
          </w:tcPr>
          <w:p w:rsidR="008D39D8" w:rsidRPr="00E837EC" w:rsidRDefault="008D39D8" w:rsidP="00791474">
            <w:pPr>
              <w:jc w:val="right"/>
            </w:pPr>
            <w:r w:rsidRPr="00E837EC">
              <w:t>$14.00</w:t>
            </w:r>
          </w:p>
        </w:tc>
        <w:tc>
          <w:tcPr>
            <w:tcW w:w="500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1163" w:type="pct"/>
            <w:shd w:val="clear" w:color="auto" w:fill="auto"/>
            <w:noWrap/>
          </w:tcPr>
          <w:p w:rsidR="008D39D8" w:rsidRPr="00E837EC" w:rsidRDefault="008D39D8" w:rsidP="00791474">
            <w:pPr>
              <w:jc w:val="right"/>
            </w:pPr>
            <w:r w:rsidRPr="00E837EC">
              <w:t>$27.00</w:t>
            </w:r>
          </w:p>
        </w:tc>
      </w:tr>
      <w:tr w:rsidR="008D39D8" w:rsidRPr="00E837EC" w:rsidTr="00791474">
        <w:trPr>
          <w:gridAfter w:val="1"/>
          <w:wAfter w:w="19" w:type="pct"/>
          <w:trHeight w:val="153"/>
          <w:jc w:val="center"/>
        </w:trPr>
        <w:tc>
          <w:tcPr>
            <w:tcW w:w="2500" w:type="pct"/>
            <w:shd w:val="clear" w:color="auto" w:fill="auto"/>
            <w:noWrap/>
          </w:tcPr>
          <w:p w:rsidR="008D39D8" w:rsidRPr="00E837EC" w:rsidRDefault="008D39D8" w:rsidP="00791474"/>
        </w:tc>
        <w:tc>
          <w:tcPr>
            <w:tcW w:w="818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500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jc w:val="right"/>
            </w:pPr>
          </w:p>
        </w:tc>
      </w:tr>
      <w:tr w:rsidR="008D39D8" w:rsidRPr="00E837EC" w:rsidTr="00791474">
        <w:trPr>
          <w:gridAfter w:val="1"/>
          <w:wAfter w:w="19" w:type="pct"/>
          <w:trHeight w:val="153"/>
          <w:jc w:val="center"/>
        </w:trPr>
        <w:tc>
          <w:tcPr>
            <w:tcW w:w="2500" w:type="pct"/>
            <w:shd w:val="clear" w:color="auto" w:fill="auto"/>
            <w:noWrap/>
          </w:tcPr>
          <w:p w:rsidR="008D39D8" w:rsidRPr="00E837EC" w:rsidRDefault="008D39D8" w:rsidP="00791474">
            <w:r w:rsidRPr="00E837EC">
              <w:t>Late Payment Charge</w:t>
            </w:r>
          </w:p>
        </w:tc>
        <w:tc>
          <w:tcPr>
            <w:tcW w:w="818" w:type="pct"/>
          </w:tcPr>
          <w:p w:rsidR="008D39D8" w:rsidRPr="00E837EC" w:rsidRDefault="008D39D8" w:rsidP="00791474">
            <w:pPr>
              <w:jc w:val="right"/>
            </w:pPr>
          </w:p>
        </w:tc>
        <w:tc>
          <w:tcPr>
            <w:tcW w:w="500" w:type="pct"/>
          </w:tcPr>
          <w:p w:rsidR="008D39D8" w:rsidRPr="00E837EC" w:rsidRDefault="008D39D8" w:rsidP="00791474">
            <w:pPr>
              <w:jc w:val="right"/>
            </w:pPr>
            <w:r w:rsidRPr="00E837EC">
              <w:t>$5.00</w:t>
            </w:r>
          </w:p>
        </w:tc>
        <w:tc>
          <w:tcPr>
            <w:tcW w:w="1163" w:type="pct"/>
            <w:shd w:val="clear" w:color="auto" w:fill="auto"/>
            <w:noWrap/>
            <w:vAlign w:val="bottom"/>
          </w:tcPr>
          <w:p w:rsidR="008D39D8" w:rsidRPr="00E837EC" w:rsidRDefault="008D39D8" w:rsidP="00791474">
            <w:pPr>
              <w:jc w:val="right"/>
            </w:pPr>
          </w:p>
        </w:tc>
      </w:tr>
    </w:tbl>
    <w:p w:rsidR="008D39D8" w:rsidRPr="00EF4EB0" w:rsidRDefault="008D39D8" w:rsidP="008D39D8"/>
    <w:p w:rsidR="008D39D8" w:rsidRPr="008D39D8" w:rsidRDefault="008D39D8" w:rsidP="008D39D8">
      <w:pPr>
        <w:pStyle w:val="OrderBody"/>
      </w:pPr>
    </w:p>
    <w:sectPr w:rsidR="008D39D8" w:rsidRPr="008D39D8" w:rsidSect="00EF4EB0">
      <w:headerReference w:type="default" r:id="rId9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75" w:rsidRDefault="00594975">
      <w:r>
        <w:separator/>
      </w:r>
    </w:p>
  </w:endnote>
  <w:endnote w:type="continuationSeparator" w:id="0">
    <w:p w:rsidR="00594975" w:rsidRDefault="0059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75" w:rsidRDefault="00594975">
      <w:r>
        <w:separator/>
      </w:r>
    </w:p>
  </w:footnote>
  <w:footnote w:type="continuationSeparator" w:id="0">
    <w:p w:rsidR="00594975" w:rsidRDefault="0059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61 ">
      <w:r w:rsidR="00157670">
        <w:t>PSC-2018-0561A-PAA-WS</w:t>
      </w:r>
    </w:fldSimple>
  </w:p>
  <w:p w:rsidR="00FA6EFD" w:rsidRDefault="00594975">
    <w:pPr>
      <w:pStyle w:val="OrderHeader"/>
    </w:pPr>
    <w:bookmarkStart w:id="9" w:name="HeaderDocketNo"/>
    <w:bookmarkEnd w:id="9"/>
    <w:r>
      <w:t>DOCKET NO. 20170151-WS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2CC7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2" w:rsidRDefault="008D39D8">
    <w:pPr>
      <w:pStyle w:val="OrderHeader"/>
    </w:pPr>
    <w:r>
      <w:t>ORDER NO.</w:t>
    </w:r>
    <w:r w:rsidR="00157670">
      <w:t xml:space="preserve"> </w:t>
    </w:r>
    <w:r w:rsidR="00157670">
      <w:t>PSC-2018-0561A-PAA-WS</w:t>
    </w:r>
    <w:r>
      <w:tab/>
    </w:r>
    <w:r>
      <w:tab/>
      <w:t>Schedule No. 3</w:t>
    </w:r>
  </w:p>
  <w:p w:rsidR="00A13AA2" w:rsidRDefault="008D39D8">
    <w:pPr>
      <w:pStyle w:val="OrderHeader"/>
    </w:pPr>
    <w:r>
      <w:t>DOCKET NO. 20170151-WS</w:t>
    </w:r>
    <w:r>
      <w:tab/>
    </w:r>
    <w:r>
      <w:tab/>
      <w:t>Page 2 of 2</w:t>
    </w:r>
  </w:p>
  <w:p w:rsidR="00A13AA2" w:rsidRDefault="008D39D8">
    <w:pPr>
      <w:pStyle w:val="OrderHeader"/>
      <w:rPr>
        <w:rStyle w:val="PageNumber"/>
      </w:rPr>
    </w:pPr>
    <w:r>
      <w:t xml:space="preserve">PAGE </w:t>
    </w:r>
    <w:r w:rsidR="006F5D4E">
      <w:rPr>
        <w:rStyle w:val="PageNumber"/>
      </w:rPr>
      <w:t>24</w:t>
    </w:r>
  </w:p>
  <w:p w:rsidR="00A13AA2" w:rsidRDefault="00157670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151-WS"/>
  </w:docVars>
  <w:rsids>
    <w:rsidRoot w:val="00594975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57670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D22A9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77AD0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2CC7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497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810AD"/>
    <w:rsid w:val="00693483"/>
    <w:rsid w:val="006A0BF3"/>
    <w:rsid w:val="006B0DA6"/>
    <w:rsid w:val="006C547E"/>
    <w:rsid w:val="006D2B51"/>
    <w:rsid w:val="006D5575"/>
    <w:rsid w:val="006E1A42"/>
    <w:rsid w:val="006E42BE"/>
    <w:rsid w:val="006F5D4E"/>
    <w:rsid w:val="00704C5D"/>
    <w:rsid w:val="00706B70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A1DA4"/>
    <w:rsid w:val="008C21C8"/>
    <w:rsid w:val="008C6375"/>
    <w:rsid w:val="008C6A5B"/>
    <w:rsid w:val="008D39D8"/>
    <w:rsid w:val="008D7A1C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AFE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2957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A172C"/>
    <w:rsid w:val="00EA259B"/>
    <w:rsid w:val="00EA35A3"/>
    <w:rsid w:val="00EA3E6A"/>
    <w:rsid w:val="00EB18EF"/>
    <w:rsid w:val="00EB7951"/>
    <w:rsid w:val="00ED5E1A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27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27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346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2018-12-21T17:43:00Z</dcterms:created>
  <dcterms:modified xsi:type="dcterms:W3CDTF">2018-12-21T19:48:00Z</dcterms:modified>
</cp:coreProperties>
</file>