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6E08CB">
            <w:pPr>
              <w:pStyle w:val="MastHeadState"/>
              <w:jc w:val="right"/>
            </w:pPr>
            <w:bookmarkStart w:id="0" w:name="_GoBack"/>
            <w:bookmarkEnd w:id="0"/>
            <w:r>
              <w:t>State of Florida</w:t>
            </w:r>
          </w:p>
          <w:p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F34437">
            <w:pPr>
              <w:pStyle w:val="MemoHeading"/>
            </w:pPr>
            <w:bookmarkStart w:id="1" w:name="FilingDate"/>
            <w:r>
              <w:t>January 24, 2019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4E69B5">
              <w:t>Teitzman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F34437" w:rsidRDefault="00F34437">
            <w:pPr>
              <w:pStyle w:val="MemoHeading"/>
            </w:pPr>
            <w:bookmarkStart w:id="2" w:name="From"/>
            <w:r>
              <w:t>Office of the General Counsel (King)</w:t>
            </w:r>
          </w:p>
          <w:p w:rsidR="007C0528" w:rsidRDefault="00F34437">
            <w:pPr>
              <w:pStyle w:val="MemoHeading"/>
            </w:pPr>
            <w:r>
              <w:t>Division of Economics (DiPietro, Higgins)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F34437">
            <w:pPr>
              <w:pStyle w:val="MemoHeadingRe"/>
            </w:pPr>
            <w:bookmarkStart w:id="3" w:name="Re"/>
            <w:r>
              <w:t>Docket No. 20180230-GU – Petition for temporary waiver of Rule 25-7.045, F.A.C., by Florida Public Utilities Company.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F34437">
            <w:pPr>
              <w:pStyle w:val="MemoHeading"/>
            </w:pPr>
            <w:bookmarkStart w:id="4" w:name="AgendaDate"/>
            <w:r>
              <w:t>02/05/19</w:t>
            </w:r>
            <w:bookmarkEnd w:id="4"/>
            <w:r w:rsidR="007C0528">
              <w:t xml:space="preserve"> – </w:t>
            </w:r>
            <w:bookmarkStart w:id="5" w:name="PermittedStatus"/>
            <w:r>
              <w:t xml:space="preserve">Regular Agenda – </w:t>
            </w:r>
            <w:r w:rsidR="002F6C08">
              <w:t xml:space="preserve">Proposed Agency Action </w:t>
            </w:r>
            <w:r w:rsidR="002F6C08">
              <w:softHyphen/>
              <w:t xml:space="preserve">– </w:t>
            </w:r>
            <w:r>
              <w:t>Interested Persons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F34437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F34437">
            <w:pPr>
              <w:pStyle w:val="MemoHeading"/>
            </w:pPr>
            <w:bookmarkStart w:id="7" w:name="PrehearingOfficer"/>
            <w:r>
              <w:t>Administrative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2F6C08">
            <w:pPr>
              <w:pStyle w:val="MemoHeading"/>
            </w:pPr>
            <w:r>
              <w:t xml:space="preserve">03/26/19 (date by which the petition </w:t>
            </w:r>
            <w:r w:rsidR="0096180C">
              <w:t xml:space="preserve">must be </w:t>
            </w:r>
            <w:r>
              <w:t>ruled upon pursuant to Section 120.542, F.S.)</w:t>
            </w:r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F34437">
            <w:pPr>
              <w:pStyle w:val="MemoHeading"/>
            </w:pPr>
            <w:bookmarkStart w:id="9" w:name="SpecialInstructions"/>
            <w:r>
              <w:t>None</w:t>
            </w:r>
            <w:bookmarkEnd w:id="9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0" w:name="RecToC"/>
      <w:bookmarkEnd w:id="10"/>
      <w:r>
        <w:t xml:space="preserve"> </w:t>
      </w:r>
      <w:bookmarkStart w:id="11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2" w:name="_Toc94516455"/>
      <w:r>
        <w:instrText>Case Background</w:instrText>
      </w:r>
      <w:bookmarkEnd w:id="12"/>
      <w:r>
        <w:instrText xml:space="preserve">" \l 1 </w:instrText>
      </w:r>
      <w:r>
        <w:fldChar w:fldCharType="end"/>
      </w:r>
    </w:p>
    <w:p w:rsidR="009944E0" w:rsidRDefault="009944E0" w:rsidP="002F6C08">
      <w:pPr>
        <w:pStyle w:val="BodyText"/>
      </w:pPr>
      <w:r>
        <w:t xml:space="preserve">On December 26, 2018, Florida Public Utilities Company (FPUC) filed a petition to </w:t>
      </w:r>
      <w:r w:rsidR="00EC47D0">
        <w:t xml:space="preserve">temporarily </w:t>
      </w:r>
      <w:r>
        <w:t>waive Rule 25-7.045(4</w:t>
      </w:r>
      <w:proofErr w:type="gramStart"/>
      <w:r>
        <w:t>)(</w:t>
      </w:r>
      <w:proofErr w:type="gramEnd"/>
      <w:r>
        <w:t>a)</w:t>
      </w:r>
      <w:r w:rsidR="00BF52CA">
        <w:t>,</w:t>
      </w:r>
      <w:r>
        <w:t xml:space="preserve"> Florida Administrative Code (F.A.C.).</w:t>
      </w:r>
      <w:r w:rsidR="00BF52CA">
        <w:rPr>
          <w:rStyle w:val="FootnoteReference"/>
        </w:rPr>
        <w:footnoteReference w:id="1"/>
      </w:r>
      <w:r w:rsidR="00BF52CA">
        <w:t xml:space="preserve"> The</w:t>
      </w:r>
      <w:r>
        <w:t xml:space="preserve"> rule requires </w:t>
      </w:r>
      <w:r w:rsidR="007E6E2F">
        <w:t>natural gas distribution utilities</w:t>
      </w:r>
      <w:r>
        <w:t xml:space="preserve"> to file a depreciation study </w:t>
      </w:r>
      <w:r w:rsidR="00BB4B27">
        <w:t xml:space="preserve">at least once </w:t>
      </w:r>
      <w:r>
        <w:t xml:space="preserve">every five years. </w:t>
      </w:r>
      <w:r w:rsidR="00BF52CA">
        <w:t xml:space="preserve">FPUC’s next study was due January 14, 2019. </w:t>
      </w:r>
      <w:r>
        <w:t>FPUC is requesting that it be permitted to submit its study no later than March 4, 2019. It also</w:t>
      </w:r>
      <w:r w:rsidR="00BF52CA">
        <w:t xml:space="preserve"> requests that </w:t>
      </w:r>
      <w:r w:rsidR="00EC47D0">
        <w:t>subsequent due dates be based on the March filing date</w:t>
      </w:r>
      <w:r>
        <w:t>.</w:t>
      </w:r>
    </w:p>
    <w:p w:rsidR="009944E0" w:rsidRDefault="00BF52CA" w:rsidP="002F6C08">
      <w:pPr>
        <w:pStyle w:val="BodyText"/>
      </w:pPr>
      <w:r>
        <w:t>N</w:t>
      </w:r>
      <w:r w:rsidR="009944E0">
        <w:t xml:space="preserve">otice of FPUC’s petition was </w:t>
      </w:r>
      <w:r w:rsidR="002F6C08">
        <w:t>published</w:t>
      </w:r>
      <w:r w:rsidR="009944E0">
        <w:t xml:space="preserve"> in the January 4, 2019, </w:t>
      </w:r>
      <w:r w:rsidR="002F6C08">
        <w:t xml:space="preserve">edition of the </w:t>
      </w:r>
      <w:r w:rsidR="009944E0">
        <w:t xml:space="preserve">Florida Administrative </w:t>
      </w:r>
      <w:r w:rsidR="002F6C08">
        <w:t>Register, Vol. 45, No. 3,</w:t>
      </w:r>
      <w:r w:rsidR="000C5672">
        <w:t xml:space="preserve"> as required by S</w:t>
      </w:r>
      <w:r>
        <w:t>ection 120.542(6), Florida Statutes (F.S.)</w:t>
      </w:r>
      <w:r w:rsidR="009944E0">
        <w:t xml:space="preserve">. No one commented on the petition within the 14-day comment period provided by Rule </w:t>
      </w:r>
      <w:r w:rsidR="009944E0" w:rsidRPr="00F333BD">
        <w:lastRenderedPageBreak/>
        <w:t>28-104.003</w:t>
      </w:r>
      <w:r w:rsidR="009944E0">
        <w:t xml:space="preserve">, F.A.C. In accordance with section 120.542(8), </w:t>
      </w:r>
      <w:r w:rsidR="000C5672">
        <w:t xml:space="preserve">F.S., </w:t>
      </w:r>
      <w:r w:rsidR="009944E0">
        <w:t xml:space="preserve">the petition is deemed approved if the Commission does not approve or deny it by March </w:t>
      </w:r>
      <w:r>
        <w:t>26</w:t>
      </w:r>
      <w:r w:rsidR="009944E0">
        <w:t>, 2019.</w:t>
      </w:r>
    </w:p>
    <w:p w:rsidR="009944E0" w:rsidRDefault="009944E0" w:rsidP="002F6C08">
      <w:pPr>
        <w:pStyle w:val="BodyText"/>
      </w:pPr>
      <w:r>
        <w:t>The Commission has ju</w:t>
      </w:r>
      <w:r w:rsidR="000C5672">
        <w:t>risdiction under S</w:t>
      </w:r>
      <w:r>
        <w:t>ections 120.542, 350.115, 366.04, .05, and .06, F.S.</w:t>
      </w:r>
    </w:p>
    <w:p w:rsidR="007C0528" w:rsidRDefault="007C0528" w:rsidP="0068481F"/>
    <w:bookmarkEnd w:id="11"/>
    <w:p w:rsidR="00EA2273" w:rsidRDefault="00EA2273">
      <w:pPr>
        <w:pStyle w:val="RecommendationMajorSectionHeading"/>
        <w:sectPr w:rsidR="00EA2273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5" w:name="DiscussionOfIssues"/>
      <w:r>
        <w:lastRenderedPageBreak/>
        <w:t>Discussion of Issues</w:t>
      </w:r>
    </w:p>
    <w:bookmarkEnd w:id="15"/>
    <w:p w:rsidR="00F34437" w:rsidRDefault="00F34437">
      <w:pPr>
        <w:pStyle w:val="IssueHeading"/>
        <w:rPr>
          <w:vanish/>
          <w:specVanish/>
        </w:rPr>
      </w:pPr>
      <w:r w:rsidRPr="004C3641">
        <w:t xml:space="preserve">Issue </w:t>
      </w:r>
      <w:r w:rsidR="004F04D5">
        <w:fldChar w:fldCharType="begin"/>
      </w:r>
      <w:r w:rsidR="004F04D5">
        <w:instrText xml:space="preserve"> SEQ Issue \* MERGEFORMAT </w:instrText>
      </w:r>
      <w:r w:rsidR="004F04D5">
        <w:fldChar w:fldCharType="separate"/>
      </w:r>
      <w:r w:rsidR="00B127CE">
        <w:rPr>
          <w:noProof/>
        </w:rPr>
        <w:t>1</w:t>
      </w:r>
      <w:r w:rsidR="004F04D5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B127CE">
        <w:rPr>
          <w:noProof/>
        </w:rPr>
        <w:instrText>1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9944E0" w:rsidRDefault="00F34437" w:rsidP="009944E0">
      <w:pPr>
        <w:pStyle w:val="BodyText"/>
        <w:ind w:firstLine="720"/>
      </w:pPr>
      <w:r>
        <w:t> </w:t>
      </w:r>
      <w:r w:rsidR="009944E0">
        <w:t xml:space="preserve">Should the Commission grant FPUC’s request for a </w:t>
      </w:r>
      <w:r w:rsidR="00F333BD">
        <w:t xml:space="preserve">temporary </w:t>
      </w:r>
      <w:r w:rsidR="009944E0">
        <w:t>waiver from Rule 25-7.045(4</w:t>
      </w:r>
      <w:proofErr w:type="gramStart"/>
      <w:r w:rsidR="009944E0">
        <w:t>)(</w:t>
      </w:r>
      <w:proofErr w:type="gramEnd"/>
      <w:r w:rsidR="009944E0">
        <w:t>a), F.A.C.?</w:t>
      </w:r>
    </w:p>
    <w:p w:rsidR="00F34437" w:rsidRPr="004C3641" w:rsidRDefault="00F34437">
      <w:pPr>
        <w:pStyle w:val="IssueSubsectionHeading"/>
        <w:rPr>
          <w:vanish/>
          <w:specVanish/>
        </w:rPr>
      </w:pPr>
      <w:r w:rsidRPr="004C3641">
        <w:t>Recommendation: </w:t>
      </w:r>
    </w:p>
    <w:p w:rsidR="00F34437" w:rsidRDefault="00F34437">
      <w:pPr>
        <w:pStyle w:val="BodyText"/>
      </w:pPr>
      <w:r>
        <w:t> </w:t>
      </w:r>
      <w:r w:rsidR="009944E0">
        <w:t xml:space="preserve">Yes. </w:t>
      </w:r>
      <w:r w:rsidR="0096180C">
        <w:t>T</w:t>
      </w:r>
      <w:r w:rsidR="009944E0">
        <w:t xml:space="preserve">he Commission should grant FPUC’s petition and require that FPUC file its depreciation study no later than March 4, 2019. </w:t>
      </w:r>
      <w:r w:rsidR="0096180C">
        <w:t>T</w:t>
      </w:r>
      <w:r w:rsidR="00BF52CA">
        <w:t xml:space="preserve">he Commission should also </w:t>
      </w:r>
      <w:r w:rsidR="007E6E2F">
        <w:t>order</w:t>
      </w:r>
      <w:r w:rsidR="00BF52CA">
        <w:t xml:space="preserve"> that FPUC’s next depreciation study will be due within five years </w:t>
      </w:r>
      <w:r w:rsidR="007E6E2F">
        <w:t>from</w:t>
      </w:r>
      <w:r w:rsidR="00BF52CA">
        <w:t xml:space="preserve"> the date that it files </w:t>
      </w:r>
      <w:r w:rsidR="0096180C">
        <w:t xml:space="preserve">its </w:t>
      </w:r>
      <w:r w:rsidR="000C5672">
        <w:t xml:space="preserve">March 2019 </w:t>
      </w:r>
      <w:r w:rsidR="0096180C">
        <w:t>depreciation</w:t>
      </w:r>
      <w:r w:rsidR="00BF52CA">
        <w:t xml:space="preserve"> study</w:t>
      </w:r>
      <w:r w:rsidR="009944E0">
        <w:t>.</w:t>
      </w:r>
      <w:r>
        <w:t xml:space="preserve"> </w:t>
      </w:r>
      <w:r w:rsidR="00EC47D0">
        <w:t xml:space="preserve">(King, </w:t>
      </w:r>
      <w:r w:rsidR="002F6C08">
        <w:t>DiPietro</w:t>
      </w:r>
      <w:r w:rsidR="00EC47D0">
        <w:t>)</w:t>
      </w:r>
    </w:p>
    <w:p w:rsidR="00F34437" w:rsidRPr="004C3641" w:rsidRDefault="00F34437">
      <w:pPr>
        <w:pStyle w:val="IssueSubsectionHeading"/>
        <w:rPr>
          <w:vanish/>
          <w:specVanish/>
        </w:rPr>
      </w:pPr>
      <w:r w:rsidRPr="004C3641">
        <w:t>Staff Analysis: </w:t>
      </w:r>
    </w:p>
    <w:p w:rsidR="002F6C08" w:rsidRDefault="00F34437" w:rsidP="009944E0">
      <w:pPr>
        <w:pStyle w:val="BodyText"/>
      </w:pPr>
      <w:r>
        <w:t> </w:t>
      </w:r>
      <w:r w:rsidR="002F6C08">
        <w:t xml:space="preserve">FPUC is requesting that the Commission grant </w:t>
      </w:r>
      <w:r w:rsidR="007C7EE1">
        <w:t xml:space="preserve">it </w:t>
      </w:r>
      <w:r w:rsidR="002F6C08">
        <w:t>a temporary waiv</w:t>
      </w:r>
      <w:r w:rsidR="000C5672">
        <w:t>er of</w:t>
      </w:r>
      <w:r w:rsidR="007E6E2F">
        <w:t xml:space="preserve"> Rule 25-7.045(4</w:t>
      </w:r>
      <w:proofErr w:type="gramStart"/>
      <w:r w:rsidR="007E6E2F">
        <w:t>)(</w:t>
      </w:r>
      <w:proofErr w:type="gramEnd"/>
      <w:r w:rsidR="007E6E2F">
        <w:t>a), F.A.C. Pursuant to the rule,</w:t>
      </w:r>
      <w:r w:rsidR="000C5672">
        <w:t xml:space="preserve"> </w:t>
      </w:r>
      <w:r w:rsidR="007C7EE1">
        <w:t xml:space="preserve">FPUC </w:t>
      </w:r>
      <w:r w:rsidR="007E6E2F">
        <w:t xml:space="preserve">was required </w:t>
      </w:r>
      <w:r w:rsidR="007C7EE1">
        <w:t>to file a</w:t>
      </w:r>
      <w:r w:rsidR="002F6C08">
        <w:t xml:space="preserve"> depreciation study by January 14, 2019.</w:t>
      </w:r>
    </w:p>
    <w:p w:rsidR="00AA524A" w:rsidRDefault="00AA524A" w:rsidP="00AA524A">
      <w:pPr>
        <w:pStyle w:val="First-LevelSubheading"/>
      </w:pPr>
      <w:r>
        <w:t>Legal Standard for Rule Waivers</w:t>
      </w:r>
    </w:p>
    <w:p w:rsidR="009944E0" w:rsidRDefault="007C7EE1" w:rsidP="009944E0">
      <w:pPr>
        <w:pStyle w:val="BodyText"/>
      </w:pPr>
      <w:r>
        <w:t xml:space="preserve">Pursuant to </w:t>
      </w:r>
      <w:r w:rsidR="002F6C08">
        <w:t>Section 120.542(2), F.S., t</w:t>
      </w:r>
      <w:r w:rsidR="00BF52CA">
        <w:t xml:space="preserve">he Commission </w:t>
      </w:r>
      <w:r>
        <w:t>is required to</w:t>
      </w:r>
      <w:r w:rsidR="00BF52CA">
        <w:t xml:space="preserve"> grant w</w:t>
      </w:r>
      <w:r w:rsidR="009944E0">
        <w:t xml:space="preserve">aivers and variances from </w:t>
      </w:r>
      <w:r w:rsidR="00BF52CA">
        <w:t>its</w:t>
      </w:r>
      <w:r w:rsidR="00E11FB5">
        <w:t xml:space="preserve"> rules </w:t>
      </w:r>
      <w:r w:rsidR="009944E0">
        <w:t>“when the person subject t</w:t>
      </w:r>
      <w:r w:rsidR="002F6C08">
        <w:t>o the rule demonstrates that</w:t>
      </w:r>
      <w:r w:rsidR="009944E0">
        <w:t xml:space="preserve"> the purpose of the underlying statute will be or has been achieved by other </w:t>
      </w:r>
      <w:r w:rsidR="002F6C08">
        <w:t>means by the person and when</w:t>
      </w:r>
      <w:r w:rsidR="009944E0">
        <w:t xml:space="preserve"> application of a rule would create a substantial hardship or would violate principles of fairness.”</w:t>
      </w:r>
      <w:r w:rsidR="0096180C">
        <w:t xml:space="preserve"> </w:t>
      </w:r>
      <w:r w:rsidR="002F6C08">
        <w:t>The section defines a “substantial hardship” a</w:t>
      </w:r>
      <w:r w:rsidR="009944E0">
        <w:t>s a “demonstrated economic, technological, legal, or other type of</w:t>
      </w:r>
      <w:r w:rsidR="0096180C">
        <w:t xml:space="preserve"> hardship.</w:t>
      </w:r>
      <w:r w:rsidR="002F6C08">
        <w:t>”</w:t>
      </w:r>
    </w:p>
    <w:p w:rsidR="00104424" w:rsidRDefault="007C7EE1" w:rsidP="009944E0">
      <w:pPr>
        <w:pStyle w:val="BodyText"/>
      </w:pPr>
      <w:r>
        <w:t xml:space="preserve">Under </w:t>
      </w:r>
      <w:r w:rsidR="00104424">
        <w:t>Rule 25-7.045(4)(a), F.A.C.</w:t>
      </w:r>
      <w:r>
        <w:t>,</w:t>
      </w:r>
      <w:r w:rsidR="00104424">
        <w:t xml:space="preserve"> </w:t>
      </w:r>
      <w:r w:rsidR="000C5672">
        <w:t xml:space="preserve">natural gas distribution </w:t>
      </w:r>
      <w:r>
        <w:t xml:space="preserve">utilities are required to submit a depreciation study </w:t>
      </w:r>
      <w:r w:rsidR="000C5672">
        <w:t>for</w:t>
      </w:r>
      <w:r>
        <w:t xml:space="preserve"> Commission</w:t>
      </w:r>
      <w:r w:rsidR="000C5672">
        <w:t xml:space="preserve"> review at least once</w:t>
      </w:r>
      <w:r>
        <w:t xml:space="preserve"> every five years. The rule </w:t>
      </w:r>
      <w:r w:rsidR="00104424">
        <w:t xml:space="preserve">implements several statutes. </w:t>
      </w:r>
      <w:r w:rsidR="006B7A5E">
        <w:t xml:space="preserve">Section 350.115, F.S., allows the Commission to “approve or establish adequate, fair, and reasonable </w:t>
      </w:r>
      <w:r w:rsidR="00903EC3">
        <w:t>depreciation</w:t>
      </w:r>
      <w:r w:rsidR="006B7A5E">
        <w:t xml:space="preserve"> rates and charges.” Section 366.06(1), F.S., requires the Commission to “</w:t>
      </w:r>
      <w:r w:rsidR="006B7A5E" w:rsidRPr="006B7A5E">
        <w:t xml:space="preserve">investigate and determine the actual legitimate costs of the property of each utility </w:t>
      </w:r>
      <w:proofErr w:type="gramStart"/>
      <w:r w:rsidR="006B7A5E" w:rsidRPr="006B7A5E">
        <w:t>company</w:t>
      </w:r>
      <w:r w:rsidR="006B7A5E">
        <w:t>, . . .</w:t>
      </w:r>
      <w:proofErr w:type="gramEnd"/>
      <w:r w:rsidR="006B7A5E">
        <w:t xml:space="preserve"> less accrued </w:t>
      </w:r>
      <w:r w:rsidR="00903EC3">
        <w:t>depreciation</w:t>
      </w:r>
      <w:r w:rsidR="006B7A5E">
        <w:t>.” T</w:t>
      </w:r>
      <w:r>
        <w:t>o accomplish the</w:t>
      </w:r>
      <w:r w:rsidR="006B7A5E">
        <w:t>s</w:t>
      </w:r>
      <w:r>
        <w:t>e</w:t>
      </w:r>
      <w:r w:rsidR="006B7A5E">
        <w:t xml:space="preserve"> task</w:t>
      </w:r>
      <w:r>
        <w:t>s</w:t>
      </w:r>
      <w:r w:rsidR="006B7A5E">
        <w:t>, the Commission is permitted under Section 366.04(2</w:t>
      </w:r>
      <w:proofErr w:type="gramStart"/>
      <w:r w:rsidR="006B7A5E">
        <w:t>)(</w:t>
      </w:r>
      <w:proofErr w:type="gramEnd"/>
      <w:r w:rsidR="006B7A5E">
        <w:t>f), F.S., to “</w:t>
      </w:r>
      <w:r w:rsidR="006B7A5E" w:rsidRPr="006B7A5E">
        <w:t>prescribe and require the filing of periodic reports and other data as may be reasonably available</w:t>
      </w:r>
      <w:r w:rsidR="006B7A5E">
        <w:t>.”</w:t>
      </w:r>
    </w:p>
    <w:p w:rsidR="00AA524A" w:rsidRDefault="00AA524A" w:rsidP="00AA524A">
      <w:pPr>
        <w:pStyle w:val="First-LevelSubheading"/>
      </w:pPr>
      <w:r>
        <w:t>FPUC’s Petition</w:t>
      </w:r>
    </w:p>
    <w:p w:rsidR="003069B7" w:rsidRDefault="009944E0" w:rsidP="009944E0">
      <w:pPr>
        <w:pStyle w:val="BodyText"/>
      </w:pPr>
      <w:r>
        <w:t xml:space="preserve">FPUC’s </w:t>
      </w:r>
      <w:r w:rsidR="0096180C">
        <w:t>current</w:t>
      </w:r>
      <w:r w:rsidR="003069B7">
        <w:t xml:space="preserve"> depreciation </w:t>
      </w:r>
      <w:r>
        <w:t xml:space="preserve">study was due on January 14, 2019, but it claims that preparing the study would </w:t>
      </w:r>
      <w:r w:rsidR="00104424">
        <w:t>create</w:t>
      </w:r>
      <w:r>
        <w:t xml:space="preserve"> a substantial hardship. FPUC </w:t>
      </w:r>
      <w:r w:rsidR="00104424">
        <w:t xml:space="preserve">states that it </w:t>
      </w:r>
      <w:r>
        <w:t xml:space="preserve">was severely affected by Hurricane Michael, which wreaked havoc in several counties </w:t>
      </w:r>
      <w:r w:rsidR="00F333BD">
        <w:t xml:space="preserve">it serves </w:t>
      </w:r>
      <w:r>
        <w:t>in the Florida pa</w:t>
      </w:r>
      <w:r w:rsidR="00E11FB5">
        <w:t>nhandle.</w:t>
      </w:r>
      <w:r>
        <w:t xml:space="preserve"> FPUC argues that </w:t>
      </w:r>
      <w:r w:rsidR="004A2134">
        <w:t xml:space="preserve">due to the effects of Hurricane Michael, </w:t>
      </w:r>
      <w:r>
        <w:t xml:space="preserve">its “plant </w:t>
      </w:r>
      <w:proofErr w:type="gramStart"/>
      <w:r>
        <w:t>accounting [personnel] have</w:t>
      </w:r>
      <w:proofErr w:type="gramEnd"/>
      <w:r>
        <w:t xml:space="preserve"> been faced with an unusually increased workload, some of which is outside t</w:t>
      </w:r>
      <w:r w:rsidR="004A2134">
        <w:t>he scope of their typical tasks.</w:t>
      </w:r>
      <w:r>
        <w:t xml:space="preserve">” </w:t>
      </w:r>
      <w:r w:rsidR="00F333BD">
        <w:t xml:space="preserve">FPUC claims that preparing the </w:t>
      </w:r>
      <w:r w:rsidR="003069B7">
        <w:t>depreciation</w:t>
      </w:r>
      <w:r w:rsidR="00F333BD">
        <w:t xml:space="preserve"> study is a “time-consuming, difficult task” under ordinary circumstances, but m</w:t>
      </w:r>
      <w:r>
        <w:t>arshalling its already strained resources to complete the study</w:t>
      </w:r>
      <w:r w:rsidR="004A2134">
        <w:t xml:space="preserve"> before the </w:t>
      </w:r>
      <w:r w:rsidR="00F333BD">
        <w:t>recently passed</w:t>
      </w:r>
      <w:r w:rsidR="004A2134">
        <w:t xml:space="preserve"> deadline</w:t>
      </w:r>
      <w:r w:rsidR="00F333BD">
        <w:t xml:space="preserve"> under current circumstances</w:t>
      </w:r>
      <w:r>
        <w:t xml:space="preserve"> would </w:t>
      </w:r>
      <w:r w:rsidR="00F333BD">
        <w:t>have resulted in</w:t>
      </w:r>
      <w:r>
        <w:t xml:space="preserve"> an undue hardship.</w:t>
      </w:r>
      <w:r w:rsidR="003069B7" w:rsidRPr="003069B7">
        <w:t xml:space="preserve"> </w:t>
      </w:r>
    </w:p>
    <w:p w:rsidR="009944E0" w:rsidRDefault="003069B7" w:rsidP="009944E0">
      <w:pPr>
        <w:pStyle w:val="BodyText"/>
      </w:pPr>
      <w:r>
        <w:t>FPUC also argues that the purpose of the underlying statutes will still be fulfilled should the Commission grant the waiver.</w:t>
      </w:r>
      <w:r w:rsidR="00C577D1">
        <w:t xml:space="preserve"> FPUC will still furnish the Commission with the required data</w:t>
      </w:r>
      <w:r w:rsidR="00915DAA">
        <w:t>, albeit slightly delayed</w:t>
      </w:r>
      <w:r w:rsidR="00C577D1">
        <w:t>.</w:t>
      </w:r>
    </w:p>
    <w:p w:rsidR="0096180C" w:rsidRDefault="00653344" w:rsidP="009944E0">
      <w:pPr>
        <w:pStyle w:val="BodyText"/>
      </w:pPr>
      <w:r>
        <w:lastRenderedPageBreak/>
        <w:t>FPUC has asked that it be permitted to submit its study on or before March 4, 2019.</w:t>
      </w:r>
      <w:r w:rsidRPr="00653344">
        <w:t xml:space="preserve"> </w:t>
      </w:r>
      <w:r>
        <w:t xml:space="preserve">FPUC has also requested that its next </w:t>
      </w:r>
      <w:r w:rsidR="000C5672">
        <w:t xml:space="preserve">depreciation </w:t>
      </w:r>
      <w:r>
        <w:t>study be due within five years of the extended March 2019 filing date.</w:t>
      </w:r>
    </w:p>
    <w:p w:rsidR="00AA524A" w:rsidRDefault="00AA524A" w:rsidP="00AA524A">
      <w:pPr>
        <w:pStyle w:val="First-LevelSubheading"/>
      </w:pPr>
      <w:r>
        <w:t>Conclusion</w:t>
      </w:r>
    </w:p>
    <w:p w:rsidR="009944E0" w:rsidRPr="009944E0" w:rsidRDefault="003069B7" w:rsidP="003557F7">
      <w:pPr>
        <w:pStyle w:val="BodyText"/>
      </w:pPr>
      <w:r>
        <w:t>The Commission has</w:t>
      </w:r>
      <w:r w:rsidR="009944E0">
        <w:t xml:space="preserve"> previously determined that staffing limitations can create substantial hardships in</w:t>
      </w:r>
      <w:r w:rsidR="00B16D85">
        <w:t xml:space="preserve"> the</w:t>
      </w:r>
      <w:r w:rsidR="009944E0">
        <w:t xml:space="preserve"> timely filing</w:t>
      </w:r>
      <w:r w:rsidR="00B16D85">
        <w:t xml:space="preserve"> of</w:t>
      </w:r>
      <w:r w:rsidR="009944E0">
        <w:t xml:space="preserve"> depreciation studies.</w:t>
      </w:r>
      <w:r w:rsidR="000C5672">
        <w:rPr>
          <w:rStyle w:val="FootnoteReference"/>
        </w:rPr>
        <w:footnoteReference w:id="2"/>
      </w:r>
      <w:r w:rsidR="009944E0">
        <w:t xml:space="preserve"> </w:t>
      </w:r>
      <w:r>
        <w:t>The Commission has</w:t>
      </w:r>
      <w:r w:rsidR="00F333BD">
        <w:t xml:space="preserve"> </w:t>
      </w:r>
      <w:r w:rsidR="000626B8">
        <w:t xml:space="preserve">also </w:t>
      </w:r>
      <w:r w:rsidR="00F333BD">
        <w:t>recently granted FPUC a waiver from the rule requiring it to send out monthl</w:t>
      </w:r>
      <w:r>
        <w:t>y billing statements under Rule</w:t>
      </w:r>
      <w:r w:rsidR="00F333BD">
        <w:t xml:space="preserve"> 25-6.100(1), F.A.C., based on the effects of Hurricane Michael.</w:t>
      </w:r>
      <w:r w:rsidR="000C5672">
        <w:rPr>
          <w:rStyle w:val="FootnoteReference"/>
        </w:rPr>
        <w:footnoteReference w:id="3"/>
      </w:r>
      <w:r w:rsidR="00F333BD">
        <w:t xml:space="preserve"> </w:t>
      </w:r>
      <w:r>
        <w:t xml:space="preserve">Staff believes </w:t>
      </w:r>
      <w:r w:rsidR="003557F7">
        <w:t>a staffing limitation caused by Hurricane Michael constitute</w:t>
      </w:r>
      <w:r w:rsidR="000C5672">
        <w:t>s</w:t>
      </w:r>
      <w:r w:rsidR="003557F7">
        <w:t xml:space="preserve"> a substantial hardship under the statute.</w:t>
      </w:r>
    </w:p>
    <w:p w:rsidR="00F34437" w:rsidRDefault="00C577D1" w:rsidP="009944E0">
      <w:pPr>
        <w:pStyle w:val="BodyText"/>
      </w:pPr>
      <w:r>
        <w:t xml:space="preserve">Section 366.04(2)(f), F.S., allows the </w:t>
      </w:r>
      <w:r w:rsidR="00903EC3">
        <w:t>Commission</w:t>
      </w:r>
      <w:r>
        <w:t xml:space="preserve"> to require </w:t>
      </w:r>
      <w:r w:rsidR="00903EC3">
        <w:t>a utility</w:t>
      </w:r>
      <w:r>
        <w:t xml:space="preserve"> to periodically file depreciation studies in order to facilitate the Commission’s duty under Sections 350.115 and 366.06(1), F.S., to determine accurate </w:t>
      </w:r>
      <w:r w:rsidR="00903EC3">
        <w:t>depreciation</w:t>
      </w:r>
      <w:r>
        <w:t xml:space="preserve"> costs</w:t>
      </w:r>
      <w:r w:rsidR="00903EC3">
        <w:t xml:space="preserve"> for the utility</w:t>
      </w:r>
      <w:r>
        <w:t xml:space="preserve">. </w:t>
      </w:r>
      <w:r w:rsidR="003557F7">
        <w:t xml:space="preserve">The short delay will not affect the Commission’s ability to establish adequate, fair, and reasonable </w:t>
      </w:r>
      <w:r w:rsidR="00903EC3">
        <w:t>depreciation</w:t>
      </w:r>
      <w:r w:rsidR="000C5672">
        <w:t xml:space="preserve"> rates and charges. FPUC has not submitted any </w:t>
      </w:r>
      <w:r w:rsidR="005A21E9">
        <w:t xml:space="preserve">customer </w:t>
      </w:r>
      <w:r w:rsidR="000C5672">
        <w:t>rate requests to the Commission on or since January 14, 2019, nor has it submitted a test year not</w:t>
      </w:r>
      <w:r w:rsidR="005A21E9">
        <w:t xml:space="preserve">ification letter under Rule 25-7.140, F.A.C. </w:t>
      </w:r>
      <w:r w:rsidR="00BB4B27">
        <w:t>For these reasons</w:t>
      </w:r>
      <w:r w:rsidR="003557F7">
        <w:t>, the</w:t>
      </w:r>
      <w:r w:rsidR="009944E0">
        <w:t xml:space="preserve"> purpose </w:t>
      </w:r>
      <w:r w:rsidR="003557F7">
        <w:t xml:space="preserve">of the statute </w:t>
      </w:r>
      <w:r w:rsidR="009944E0">
        <w:t>will still be achieved if FPUC is granted a seven-week extension to submit its study.</w:t>
      </w:r>
    </w:p>
    <w:p w:rsidR="00B16D85" w:rsidRDefault="00653344" w:rsidP="009944E0">
      <w:pPr>
        <w:pStyle w:val="BodyText"/>
      </w:pPr>
      <w:r>
        <w:t xml:space="preserve">Staff believes </w:t>
      </w:r>
      <w:r w:rsidR="00AA3F42">
        <w:t xml:space="preserve">that </w:t>
      </w:r>
      <w:r w:rsidR="000C5672">
        <w:t>FPUC’s request to</w:t>
      </w:r>
      <w:r>
        <w:t xml:space="preserve"> file its study on or before M</w:t>
      </w:r>
      <w:r w:rsidR="00AA3F42">
        <w:t xml:space="preserve">arch 4, 2019, is reasonable and that </w:t>
      </w:r>
      <w:r>
        <w:t xml:space="preserve">FPUC should be granted a temporary rule waiver until this date. Moreover, the Commission should </w:t>
      </w:r>
      <w:r w:rsidR="007E6E2F">
        <w:t>order</w:t>
      </w:r>
      <w:r>
        <w:t xml:space="preserve"> that FPUC’s next depreciation study </w:t>
      </w:r>
      <w:r w:rsidR="007E6E2F">
        <w:t>will be due</w:t>
      </w:r>
      <w:r>
        <w:t xml:space="preserve"> </w:t>
      </w:r>
      <w:r w:rsidR="000C5672">
        <w:t xml:space="preserve">within </w:t>
      </w:r>
      <w:r>
        <w:t xml:space="preserve">five years from the date that it files its </w:t>
      </w:r>
      <w:r w:rsidR="007E6E2F">
        <w:t>March 2019</w:t>
      </w:r>
      <w:r w:rsidR="000C5672">
        <w:t xml:space="preserve"> </w:t>
      </w:r>
      <w:r>
        <w:t>depreciation study.</w:t>
      </w:r>
    </w:p>
    <w:p w:rsidR="00F34437" w:rsidRDefault="00F34437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r w:rsidR="004F04D5">
        <w:fldChar w:fldCharType="begin"/>
      </w:r>
      <w:r w:rsidR="004F04D5">
        <w:instrText xml:space="preserve"> SEQ Issue \* MERGEFORMAT </w:instrText>
      </w:r>
      <w:r w:rsidR="004F04D5">
        <w:fldChar w:fldCharType="separate"/>
      </w:r>
      <w:r w:rsidR="00B127CE">
        <w:rPr>
          <w:noProof/>
        </w:rPr>
        <w:t>2</w:t>
      </w:r>
      <w:r w:rsidR="004F04D5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B127CE">
        <w:rPr>
          <w:noProof/>
        </w:rPr>
        <w:instrText>2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F34437" w:rsidRDefault="00F34437">
      <w:pPr>
        <w:pStyle w:val="BodyText"/>
      </w:pPr>
      <w:r>
        <w:t> Should this docket be closed?</w:t>
      </w:r>
    </w:p>
    <w:p w:rsidR="00F34437" w:rsidRPr="004C3641" w:rsidRDefault="00F34437">
      <w:pPr>
        <w:pStyle w:val="IssueSubsectionHeading"/>
        <w:rPr>
          <w:vanish/>
          <w:specVanish/>
        </w:rPr>
      </w:pPr>
      <w:r w:rsidRPr="004C3641">
        <w:t>Recommendation: </w:t>
      </w:r>
    </w:p>
    <w:p w:rsidR="00F34437" w:rsidRDefault="00F34437">
      <w:pPr>
        <w:pStyle w:val="BodyText"/>
      </w:pPr>
      <w:r>
        <w:t> </w:t>
      </w:r>
      <w:r w:rsidR="00EC47D0">
        <w:t>Yes.</w:t>
      </w:r>
      <w:r w:rsidR="00903EC3">
        <w:t xml:space="preserve"> If no person whose substantial interests are affected by the proposed agency action files a protest within 21 days of the issuance of the order, a consummating order should be issued and this docket should be closed.</w:t>
      </w:r>
    </w:p>
    <w:p w:rsidR="00F34437" w:rsidRPr="004C3641" w:rsidRDefault="00F34437">
      <w:pPr>
        <w:pStyle w:val="IssueSubsectionHeading"/>
        <w:rPr>
          <w:vanish/>
          <w:specVanish/>
        </w:rPr>
      </w:pPr>
      <w:r w:rsidRPr="004C3641">
        <w:t>Staff Analysis: </w:t>
      </w:r>
    </w:p>
    <w:p w:rsidR="00F34437" w:rsidRDefault="00F34437">
      <w:pPr>
        <w:pStyle w:val="BodyText"/>
      </w:pPr>
      <w:r>
        <w:t> </w:t>
      </w:r>
      <w:r w:rsidR="00EC47D0">
        <w:t>If no person whose substantial intere</w:t>
      </w:r>
      <w:r w:rsidR="00903EC3">
        <w:t>s</w:t>
      </w:r>
      <w:r w:rsidR="00EC47D0">
        <w:t>ts are affected by the proposed agency action files a protest within 21 days of the issuance of the order,</w:t>
      </w:r>
      <w:r w:rsidR="00903EC3">
        <w:t xml:space="preserve"> a consummating order</w:t>
      </w:r>
      <w:r w:rsidR="00EC47D0">
        <w:t xml:space="preserve"> </w:t>
      </w:r>
      <w:r w:rsidR="00903EC3">
        <w:t xml:space="preserve">should be issued and </w:t>
      </w:r>
      <w:r w:rsidR="00EC47D0">
        <w:t>this docket should be closed. (King)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2"/>
      <w:headerReference w:type="first" r:id="rId13"/>
      <w:footerReference w:type="first" r:id="rId14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437" w:rsidRDefault="00F34437">
      <w:r>
        <w:separator/>
      </w:r>
    </w:p>
  </w:endnote>
  <w:endnote w:type="continuationSeparator" w:id="0">
    <w:p w:rsidR="00F34437" w:rsidRDefault="00F3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3955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437" w:rsidRDefault="00F34437">
      <w:r>
        <w:separator/>
      </w:r>
    </w:p>
  </w:footnote>
  <w:footnote w:type="continuationSeparator" w:id="0">
    <w:p w:rsidR="00F34437" w:rsidRDefault="00F34437">
      <w:r>
        <w:continuationSeparator/>
      </w:r>
    </w:p>
  </w:footnote>
  <w:footnote w:id="1">
    <w:p w:rsidR="00BF52CA" w:rsidRDefault="00BF52CA" w:rsidP="00BF52CA">
      <w:pPr>
        <w:pStyle w:val="FootnoteText"/>
      </w:pPr>
      <w:r>
        <w:rPr>
          <w:rStyle w:val="FootnoteReference"/>
        </w:rPr>
        <w:footnoteRef/>
      </w:r>
      <w:r>
        <w:t xml:space="preserve"> FPUC cites paragraph (8</w:t>
      </w:r>
      <w:proofErr w:type="gramStart"/>
      <w:r>
        <w:t>)(</w:t>
      </w:r>
      <w:proofErr w:type="gramEnd"/>
      <w:r>
        <w:t xml:space="preserve">a) of Rule 25-7.045, </w:t>
      </w:r>
      <w:r w:rsidR="000C5672">
        <w:t xml:space="preserve">F.A.C., </w:t>
      </w:r>
      <w:r>
        <w:t>but that paragraph no longer exists. It was renumbered as paragraph (4</w:t>
      </w:r>
      <w:proofErr w:type="gramStart"/>
      <w:r>
        <w:t>)(</w:t>
      </w:r>
      <w:proofErr w:type="gramEnd"/>
      <w:r>
        <w:t xml:space="preserve">a) when the rule was amended in 2016. </w:t>
      </w:r>
    </w:p>
  </w:footnote>
  <w:footnote w:id="2">
    <w:p w:rsidR="000C5672" w:rsidRDefault="000C56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Order No.</w:t>
      </w:r>
      <w:proofErr w:type="gramEnd"/>
      <w:r>
        <w:t xml:space="preserve"> PSC-02-</w:t>
      </w:r>
      <w:r w:rsidR="005A21E9">
        <w:t>0</w:t>
      </w:r>
      <w:r>
        <w:t xml:space="preserve">242-PAA-EI, issued Feb. 25, 2002, in Docket No. </w:t>
      </w:r>
      <w:r w:rsidRPr="003069B7">
        <w:t>011611-EI</w:t>
      </w:r>
      <w:r>
        <w:t xml:space="preserve">, </w:t>
      </w:r>
      <w:r w:rsidRPr="00104424">
        <w:rPr>
          <w:i/>
        </w:rPr>
        <w:t>In Re: Petition for Waiver of Depreciation Study Filing Requirement in Rule 25-6.0436(8</w:t>
      </w:r>
      <w:proofErr w:type="gramStart"/>
      <w:r w:rsidRPr="00104424">
        <w:rPr>
          <w:i/>
        </w:rPr>
        <w:t>)(</w:t>
      </w:r>
      <w:proofErr w:type="gramEnd"/>
      <w:r w:rsidRPr="00104424">
        <w:rPr>
          <w:i/>
        </w:rPr>
        <w:t>a), F.A.C., by Florida Power Corporation</w:t>
      </w:r>
      <w:r>
        <w:t>.</w:t>
      </w:r>
    </w:p>
  </w:footnote>
  <w:footnote w:id="3">
    <w:p w:rsidR="000C5672" w:rsidRDefault="000C56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Order </w:t>
      </w:r>
      <w:r w:rsidR="000A7616">
        <w:t>No.</w:t>
      </w:r>
      <w:proofErr w:type="gramEnd"/>
      <w:r w:rsidR="000A7616">
        <w:t xml:space="preserve"> PSC-2018-0529-PAA-EI, Nov. </w:t>
      </w:r>
      <w:r>
        <w:t xml:space="preserve">8, 2018, in Docket No. 20180195-EI, </w:t>
      </w:r>
      <w:r w:rsidRPr="00104424">
        <w:rPr>
          <w:i/>
        </w:rPr>
        <w:t>In re: Petition for temporary waiver of Rule 25-6.100, F.A.C., by Florida Public Utilities Company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F34437" w:rsidP="00220732">
    <w:pPr>
      <w:pStyle w:val="Header"/>
      <w:tabs>
        <w:tab w:val="clear" w:pos="4320"/>
        <w:tab w:val="clear" w:pos="8640"/>
        <w:tab w:val="right" w:pos="9360"/>
      </w:tabs>
    </w:pPr>
    <w:bookmarkStart w:id="13" w:name="DocketLabel"/>
    <w:r>
      <w:t>Docket No.</w:t>
    </w:r>
    <w:bookmarkEnd w:id="13"/>
    <w:r w:rsidR="00BC402E">
      <w:t xml:space="preserve"> </w:t>
    </w:r>
    <w:bookmarkStart w:id="14" w:name="DocketList"/>
    <w:r>
      <w:t>20180230-GU</w:t>
    </w:r>
    <w:bookmarkEnd w:id="14"/>
  </w:p>
  <w:p w:rsidR="00BC402E" w:rsidRDefault="00BC402E">
    <w:pPr>
      <w:pStyle w:val="Header"/>
    </w:pPr>
    <w:r>
      <w:t xml:space="preserve">Date: </w:t>
    </w:r>
    <w:r w:rsidR="004F04D5">
      <w:fldChar w:fldCharType="begin"/>
    </w:r>
    <w:r w:rsidR="004F04D5">
      <w:instrText xml:space="preserve"> REF FilingDate </w:instrText>
    </w:r>
    <w:r w:rsidR="004F04D5">
      <w:fldChar w:fldCharType="separate"/>
    </w:r>
    <w:r w:rsidR="00B127CE">
      <w:t>January 24, 2019</w:t>
    </w:r>
    <w:r w:rsidR="004F04D5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B127CE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B127CE">
      <w:t>20180230-GU</w:t>
    </w:r>
    <w:r>
      <w:fldChar w:fldCharType="end"/>
    </w:r>
    <w:r>
      <w:tab/>
      <w:t xml:space="preserve">Issue </w:t>
    </w:r>
    <w:r w:rsidR="004F04D5">
      <w:fldChar w:fldCharType="begin"/>
    </w:r>
    <w:r w:rsidR="004F04D5">
      <w:instrText xml:space="preserve"> Seq Issue \c \* Arabic </w:instrText>
    </w:r>
    <w:r w:rsidR="004F04D5">
      <w:fldChar w:fldCharType="separate"/>
    </w:r>
    <w:r w:rsidR="00F23955">
      <w:rPr>
        <w:noProof/>
      </w:rPr>
      <w:t>2</w:t>
    </w:r>
    <w:r w:rsidR="004F04D5">
      <w:rPr>
        <w:noProof/>
      </w:rPr>
      <w:fldChar w:fldCharType="end"/>
    </w:r>
  </w:p>
  <w:p w:rsidR="00BC402E" w:rsidRDefault="00BC402E">
    <w:pPr>
      <w:pStyle w:val="Header"/>
    </w:pPr>
    <w:r>
      <w:t xml:space="preserve">Date: </w:t>
    </w:r>
    <w:r w:rsidR="004F04D5">
      <w:fldChar w:fldCharType="begin"/>
    </w:r>
    <w:r w:rsidR="004F04D5">
      <w:instrText xml:space="preserve"> REF FilingDate </w:instrText>
    </w:r>
    <w:r w:rsidR="004F04D5">
      <w:fldChar w:fldCharType="separate"/>
    </w:r>
    <w:r w:rsidR="00B127CE">
      <w:t>January 24, 2019</w:t>
    </w:r>
    <w:r w:rsidR="004F04D5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F34437"/>
    <w:rsid w:val="000043D5"/>
    <w:rsid w:val="00006170"/>
    <w:rsid w:val="00010E37"/>
    <w:rsid w:val="000172DA"/>
    <w:rsid w:val="000247C5"/>
    <w:rsid w:val="000277C2"/>
    <w:rsid w:val="00035B48"/>
    <w:rsid w:val="00036CE2"/>
    <w:rsid w:val="000437FE"/>
    <w:rsid w:val="000513BE"/>
    <w:rsid w:val="000626B8"/>
    <w:rsid w:val="00065A06"/>
    <w:rsid w:val="000666F3"/>
    <w:rsid w:val="00070DCB"/>
    <w:rsid w:val="00072CCA"/>
    <w:rsid w:val="00073120"/>
    <w:rsid w:val="000764D0"/>
    <w:rsid w:val="000828D3"/>
    <w:rsid w:val="000A2B57"/>
    <w:rsid w:val="000A418B"/>
    <w:rsid w:val="000A7616"/>
    <w:rsid w:val="000C4431"/>
    <w:rsid w:val="000C5672"/>
    <w:rsid w:val="000D07DF"/>
    <w:rsid w:val="000D1C06"/>
    <w:rsid w:val="000D4319"/>
    <w:rsid w:val="000F374A"/>
    <w:rsid w:val="00104424"/>
    <w:rsid w:val="001076AF"/>
    <w:rsid w:val="00117C8C"/>
    <w:rsid w:val="00124E2E"/>
    <w:rsid w:val="00125ED4"/>
    <w:rsid w:val="001305E9"/>
    <w:rsid w:val="001307AF"/>
    <w:rsid w:val="00135687"/>
    <w:rsid w:val="0015506E"/>
    <w:rsid w:val="00163031"/>
    <w:rsid w:val="00171A90"/>
    <w:rsid w:val="00180254"/>
    <w:rsid w:val="00191E1F"/>
    <w:rsid w:val="00192943"/>
    <w:rsid w:val="001A7406"/>
    <w:rsid w:val="001B4FEE"/>
    <w:rsid w:val="001B51C5"/>
    <w:rsid w:val="001B6F3F"/>
    <w:rsid w:val="001C52B5"/>
    <w:rsid w:val="001D0D3E"/>
    <w:rsid w:val="001F2245"/>
    <w:rsid w:val="001F2C63"/>
    <w:rsid w:val="001F48C7"/>
    <w:rsid w:val="001F6DA1"/>
    <w:rsid w:val="002044E6"/>
    <w:rsid w:val="00205C82"/>
    <w:rsid w:val="00205DC2"/>
    <w:rsid w:val="00212B17"/>
    <w:rsid w:val="002163B6"/>
    <w:rsid w:val="00220732"/>
    <w:rsid w:val="00221D32"/>
    <w:rsid w:val="00225C3F"/>
    <w:rsid w:val="00263D44"/>
    <w:rsid w:val="002702AD"/>
    <w:rsid w:val="00292D82"/>
    <w:rsid w:val="002963CB"/>
    <w:rsid w:val="002D226D"/>
    <w:rsid w:val="002F6030"/>
    <w:rsid w:val="002F6C08"/>
    <w:rsid w:val="003037E1"/>
    <w:rsid w:val="003069B7"/>
    <w:rsid w:val="00307E51"/>
    <w:rsid w:val="003103EC"/>
    <w:rsid w:val="003144EF"/>
    <w:rsid w:val="00322F74"/>
    <w:rsid w:val="00340073"/>
    <w:rsid w:val="003557F7"/>
    <w:rsid w:val="003632FD"/>
    <w:rsid w:val="00372805"/>
    <w:rsid w:val="00373180"/>
    <w:rsid w:val="00375AB9"/>
    <w:rsid w:val="003821A0"/>
    <w:rsid w:val="00385B04"/>
    <w:rsid w:val="003864CF"/>
    <w:rsid w:val="003A22A6"/>
    <w:rsid w:val="003A5494"/>
    <w:rsid w:val="003B2510"/>
    <w:rsid w:val="003C2CC4"/>
    <w:rsid w:val="003C3710"/>
    <w:rsid w:val="003E0EFC"/>
    <w:rsid w:val="003E4A2B"/>
    <w:rsid w:val="003E76C2"/>
    <w:rsid w:val="003F1679"/>
    <w:rsid w:val="003F21EB"/>
    <w:rsid w:val="003F4A35"/>
    <w:rsid w:val="003F7FDD"/>
    <w:rsid w:val="00402481"/>
    <w:rsid w:val="004042B4"/>
    <w:rsid w:val="00410DC4"/>
    <w:rsid w:val="00412DAE"/>
    <w:rsid w:val="004242E6"/>
    <w:rsid w:val="00431598"/>
    <w:rsid w:val="004319AD"/>
    <w:rsid w:val="004426B8"/>
    <w:rsid w:val="00444432"/>
    <w:rsid w:val="00467918"/>
    <w:rsid w:val="00471860"/>
    <w:rsid w:val="00477026"/>
    <w:rsid w:val="004A2134"/>
    <w:rsid w:val="004A744D"/>
    <w:rsid w:val="004B18AD"/>
    <w:rsid w:val="004B60BD"/>
    <w:rsid w:val="004C3150"/>
    <w:rsid w:val="004C3641"/>
    <w:rsid w:val="004C4390"/>
    <w:rsid w:val="004C4AF7"/>
    <w:rsid w:val="004D2881"/>
    <w:rsid w:val="004D385F"/>
    <w:rsid w:val="004D5B39"/>
    <w:rsid w:val="004E330D"/>
    <w:rsid w:val="004E5147"/>
    <w:rsid w:val="004E69B5"/>
    <w:rsid w:val="004F5C43"/>
    <w:rsid w:val="0050652D"/>
    <w:rsid w:val="00506C03"/>
    <w:rsid w:val="00511A11"/>
    <w:rsid w:val="00516496"/>
    <w:rsid w:val="00523B11"/>
    <w:rsid w:val="0052572A"/>
    <w:rsid w:val="00543CB3"/>
    <w:rsid w:val="005442E4"/>
    <w:rsid w:val="0055529B"/>
    <w:rsid w:val="00560FF0"/>
    <w:rsid w:val="005614BD"/>
    <w:rsid w:val="0057154F"/>
    <w:rsid w:val="00580F69"/>
    <w:rsid w:val="00581CA3"/>
    <w:rsid w:val="00587A44"/>
    <w:rsid w:val="00597730"/>
    <w:rsid w:val="005977EC"/>
    <w:rsid w:val="00597DE7"/>
    <w:rsid w:val="005A21E9"/>
    <w:rsid w:val="005A4AA2"/>
    <w:rsid w:val="005B34B6"/>
    <w:rsid w:val="005B6C8F"/>
    <w:rsid w:val="005B6EC3"/>
    <w:rsid w:val="005D0F74"/>
    <w:rsid w:val="005D2E7D"/>
    <w:rsid w:val="005D4A8F"/>
    <w:rsid w:val="005D561B"/>
    <w:rsid w:val="005D5ECF"/>
    <w:rsid w:val="005F468D"/>
    <w:rsid w:val="005F69A3"/>
    <w:rsid w:val="00604CC7"/>
    <w:rsid w:val="00615423"/>
    <w:rsid w:val="006165B2"/>
    <w:rsid w:val="00617276"/>
    <w:rsid w:val="0062527B"/>
    <w:rsid w:val="00625D97"/>
    <w:rsid w:val="00625F1C"/>
    <w:rsid w:val="006279E1"/>
    <w:rsid w:val="00630CEB"/>
    <w:rsid w:val="00632264"/>
    <w:rsid w:val="006470BC"/>
    <w:rsid w:val="00653344"/>
    <w:rsid w:val="006554D3"/>
    <w:rsid w:val="00661DD5"/>
    <w:rsid w:val="00667036"/>
    <w:rsid w:val="00673BDB"/>
    <w:rsid w:val="00674341"/>
    <w:rsid w:val="006771B8"/>
    <w:rsid w:val="006843B6"/>
    <w:rsid w:val="0068481F"/>
    <w:rsid w:val="00692D9B"/>
    <w:rsid w:val="00696F5D"/>
    <w:rsid w:val="00697249"/>
    <w:rsid w:val="006A3A98"/>
    <w:rsid w:val="006B3947"/>
    <w:rsid w:val="006B4293"/>
    <w:rsid w:val="006B624F"/>
    <w:rsid w:val="006B7A5E"/>
    <w:rsid w:val="006C0C95"/>
    <w:rsid w:val="006C31E3"/>
    <w:rsid w:val="006C5CB6"/>
    <w:rsid w:val="006D18D3"/>
    <w:rsid w:val="006E08CB"/>
    <w:rsid w:val="006E598D"/>
    <w:rsid w:val="0070437D"/>
    <w:rsid w:val="00704CF1"/>
    <w:rsid w:val="00705B04"/>
    <w:rsid w:val="00724992"/>
    <w:rsid w:val="00734820"/>
    <w:rsid w:val="007349DC"/>
    <w:rsid w:val="0074365E"/>
    <w:rsid w:val="00744B55"/>
    <w:rsid w:val="00744C5A"/>
    <w:rsid w:val="007515FD"/>
    <w:rsid w:val="00760D80"/>
    <w:rsid w:val="00780C09"/>
    <w:rsid w:val="00780DDF"/>
    <w:rsid w:val="007834E9"/>
    <w:rsid w:val="00787DBC"/>
    <w:rsid w:val="0079019A"/>
    <w:rsid w:val="00792935"/>
    <w:rsid w:val="007A04A1"/>
    <w:rsid w:val="007A1840"/>
    <w:rsid w:val="007C0528"/>
    <w:rsid w:val="007C3D38"/>
    <w:rsid w:val="007C7EE1"/>
    <w:rsid w:val="007D0F35"/>
    <w:rsid w:val="007D4FEB"/>
    <w:rsid w:val="007D6146"/>
    <w:rsid w:val="007E0CE7"/>
    <w:rsid w:val="007E6E2F"/>
    <w:rsid w:val="007F1193"/>
    <w:rsid w:val="007F417F"/>
    <w:rsid w:val="007F7185"/>
    <w:rsid w:val="007F7644"/>
    <w:rsid w:val="008042BD"/>
    <w:rsid w:val="00816624"/>
    <w:rsid w:val="00822427"/>
    <w:rsid w:val="00822562"/>
    <w:rsid w:val="00823663"/>
    <w:rsid w:val="00832DDC"/>
    <w:rsid w:val="00850BAC"/>
    <w:rsid w:val="00854A3E"/>
    <w:rsid w:val="00855D08"/>
    <w:rsid w:val="00874344"/>
    <w:rsid w:val="00882155"/>
    <w:rsid w:val="0088233B"/>
    <w:rsid w:val="0088599E"/>
    <w:rsid w:val="00886C37"/>
    <w:rsid w:val="00892D99"/>
    <w:rsid w:val="00893315"/>
    <w:rsid w:val="008B62AE"/>
    <w:rsid w:val="008C04B5"/>
    <w:rsid w:val="008C14FA"/>
    <w:rsid w:val="008C7B0B"/>
    <w:rsid w:val="008D4057"/>
    <w:rsid w:val="008D7B13"/>
    <w:rsid w:val="008E1F19"/>
    <w:rsid w:val="008F2262"/>
    <w:rsid w:val="008F4D2B"/>
    <w:rsid w:val="008F7736"/>
    <w:rsid w:val="0090019E"/>
    <w:rsid w:val="00901086"/>
    <w:rsid w:val="00901C8A"/>
    <w:rsid w:val="00903EC3"/>
    <w:rsid w:val="00905886"/>
    <w:rsid w:val="009070D6"/>
    <w:rsid w:val="009076C6"/>
    <w:rsid w:val="0091019E"/>
    <w:rsid w:val="009106F1"/>
    <w:rsid w:val="00912404"/>
    <w:rsid w:val="009145D6"/>
    <w:rsid w:val="00915DAA"/>
    <w:rsid w:val="00920E64"/>
    <w:rsid w:val="00922002"/>
    <w:rsid w:val="00924020"/>
    <w:rsid w:val="009271A7"/>
    <w:rsid w:val="0093658B"/>
    <w:rsid w:val="009429FF"/>
    <w:rsid w:val="00945BD6"/>
    <w:rsid w:val="009479FB"/>
    <w:rsid w:val="00951C45"/>
    <w:rsid w:val="0096180C"/>
    <w:rsid w:val="009656F2"/>
    <w:rsid w:val="00966A08"/>
    <w:rsid w:val="00971207"/>
    <w:rsid w:val="00975CB4"/>
    <w:rsid w:val="009863B0"/>
    <w:rsid w:val="00987DE1"/>
    <w:rsid w:val="00990571"/>
    <w:rsid w:val="009944E0"/>
    <w:rsid w:val="0099673A"/>
    <w:rsid w:val="009A3330"/>
    <w:rsid w:val="009A7C96"/>
    <w:rsid w:val="009C3DB9"/>
    <w:rsid w:val="009C4991"/>
    <w:rsid w:val="009D46E5"/>
    <w:rsid w:val="009D568A"/>
    <w:rsid w:val="009F04EC"/>
    <w:rsid w:val="009F2A7C"/>
    <w:rsid w:val="009F3B36"/>
    <w:rsid w:val="00A019B9"/>
    <w:rsid w:val="00A12508"/>
    <w:rsid w:val="00A1282B"/>
    <w:rsid w:val="00A13A27"/>
    <w:rsid w:val="00A175B6"/>
    <w:rsid w:val="00A21835"/>
    <w:rsid w:val="00A2374B"/>
    <w:rsid w:val="00A27D6E"/>
    <w:rsid w:val="00A328EC"/>
    <w:rsid w:val="00A33A51"/>
    <w:rsid w:val="00A41CA6"/>
    <w:rsid w:val="00A47927"/>
    <w:rsid w:val="00A47FFC"/>
    <w:rsid w:val="00A5442F"/>
    <w:rsid w:val="00A54FF9"/>
    <w:rsid w:val="00A56765"/>
    <w:rsid w:val="00A675AC"/>
    <w:rsid w:val="00A7581F"/>
    <w:rsid w:val="00A92FB1"/>
    <w:rsid w:val="00A95A0C"/>
    <w:rsid w:val="00AA2765"/>
    <w:rsid w:val="00AA3F42"/>
    <w:rsid w:val="00AA524A"/>
    <w:rsid w:val="00AA77B5"/>
    <w:rsid w:val="00AB6C5D"/>
    <w:rsid w:val="00AC3401"/>
    <w:rsid w:val="00AC51A7"/>
    <w:rsid w:val="00AD444B"/>
    <w:rsid w:val="00AD5614"/>
    <w:rsid w:val="00AD6C78"/>
    <w:rsid w:val="00AE2EAB"/>
    <w:rsid w:val="00AE653B"/>
    <w:rsid w:val="00AF5F89"/>
    <w:rsid w:val="00AF73CB"/>
    <w:rsid w:val="00B002D6"/>
    <w:rsid w:val="00B03379"/>
    <w:rsid w:val="00B05B51"/>
    <w:rsid w:val="00B127CE"/>
    <w:rsid w:val="00B13CE4"/>
    <w:rsid w:val="00B14E5A"/>
    <w:rsid w:val="00B15370"/>
    <w:rsid w:val="00B16D85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516ED"/>
    <w:rsid w:val="00B57A6A"/>
    <w:rsid w:val="00B760F1"/>
    <w:rsid w:val="00B7669E"/>
    <w:rsid w:val="00B77DA1"/>
    <w:rsid w:val="00B822A0"/>
    <w:rsid w:val="00B858AE"/>
    <w:rsid w:val="00B85964"/>
    <w:rsid w:val="00B96250"/>
    <w:rsid w:val="00BA0D55"/>
    <w:rsid w:val="00BA37B3"/>
    <w:rsid w:val="00BA4CC6"/>
    <w:rsid w:val="00BB3493"/>
    <w:rsid w:val="00BB4B27"/>
    <w:rsid w:val="00BB7468"/>
    <w:rsid w:val="00BC188A"/>
    <w:rsid w:val="00BC402E"/>
    <w:rsid w:val="00BD0F48"/>
    <w:rsid w:val="00BE6DDB"/>
    <w:rsid w:val="00BF5010"/>
    <w:rsid w:val="00BF52CA"/>
    <w:rsid w:val="00C01409"/>
    <w:rsid w:val="00C03D5F"/>
    <w:rsid w:val="00C13791"/>
    <w:rsid w:val="00C31BB3"/>
    <w:rsid w:val="00C36977"/>
    <w:rsid w:val="00C467DA"/>
    <w:rsid w:val="00C477D9"/>
    <w:rsid w:val="00C577D1"/>
    <w:rsid w:val="00C60BA3"/>
    <w:rsid w:val="00C623F7"/>
    <w:rsid w:val="00C75BC5"/>
    <w:rsid w:val="00C81670"/>
    <w:rsid w:val="00C81773"/>
    <w:rsid w:val="00C82861"/>
    <w:rsid w:val="00C86896"/>
    <w:rsid w:val="00C907A8"/>
    <w:rsid w:val="00C93211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E2BF8"/>
    <w:rsid w:val="00CE484E"/>
    <w:rsid w:val="00CE656F"/>
    <w:rsid w:val="00CF0DA8"/>
    <w:rsid w:val="00CF2E25"/>
    <w:rsid w:val="00CF4453"/>
    <w:rsid w:val="00CF5D94"/>
    <w:rsid w:val="00CF7E0F"/>
    <w:rsid w:val="00D034D7"/>
    <w:rsid w:val="00D04BE4"/>
    <w:rsid w:val="00D06FC7"/>
    <w:rsid w:val="00D12565"/>
    <w:rsid w:val="00D14127"/>
    <w:rsid w:val="00D60B16"/>
    <w:rsid w:val="00D60F02"/>
    <w:rsid w:val="00D66E49"/>
    <w:rsid w:val="00D70D71"/>
    <w:rsid w:val="00D72F74"/>
    <w:rsid w:val="00D81563"/>
    <w:rsid w:val="00D85907"/>
    <w:rsid w:val="00D9073E"/>
    <w:rsid w:val="00D9221D"/>
    <w:rsid w:val="00D958DF"/>
    <w:rsid w:val="00D96DA1"/>
    <w:rsid w:val="00DA51E7"/>
    <w:rsid w:val="00DB0260"/>
    <w:rsid w:val="00DB1C78"/>
    <w:rsid w:val="00DB7D96"/>
    <w:rsid w:val="00DC23FE"/>
    <w:rsid w:val="00DC59E6"/>
    <w:rsid w:val="00DD150B"/>
    <w:rsid w:val="00DD5025"/>
    <w:rsid w:val="00DF1510"/>
    <w:rsid w:val="00E02F1F"/>
    <w:rsid w:val="00E06484"/>
    <w:rsid w:val="00E10887"/>
    <w:rsid w:val="00E11FB5"/>
    <w:rsid w:val="00E20A7D"/>
    <w:rsid w:val="00E275D8"/>
    <w:rsid w:val="00E30F6A"/>
    <w:rsid w:val="00E3117C"/>
    <w:rsid w:val="00E375CA"/>
    <w:rsid w:val="00E567E8"/>
    <w:rsid w:val="00E64679"/>
    <w:rsid w:val="00E65EBC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A2273"/>
    <w:rsid w:val="00EA7C3C"/>
    <w:rsid w:val="00EB2DB3"/>
    <w:rsid w:val="00EC3FBB"/>
    <w:rsid w:val="00EC47D0"/>
    <w:rsid w:val="00EC6B7A"/>
    <w:rsid w:val="00ED3A87"/>
    <w:rsid w:val="00ED5B67"/>
    <w:rsid w:val="00EF264C"/>
    <w:rsid w:val="00EF3FEE"/>
    <w:rsid w:val="00F04B59"/>
    <w:rsid w:val="00F11741"/>
    <w:rsid w:val="00F12B1C"/>
    <w:rsid w:val="00F13CF8"/>
    <w:rsid w:val="00F15855"/>
    <w:rsid w:val="00F227DC"/>
    <w:rsid w:val="00F23955"/>
    <w:rsid w:val="00F32978"/>
    <w:rsid w:val="00F333BD"/>
    <w:rsid w:val="00F34437"/>
    <w:rsid w:val="00F45CB2"/>
    <w:rsid w:val="00F544C0"/>
    <w:rsid w:val="00F55332"/>
    <w:rsid w:val="00F6504A"/>
    <w:rsid w:val="00F65519"/>
    <w:rsid w:val="00F713C0"/>
    <w:rsid w:val="00F75DDC"/>
    <w:rsid w:val="00F7792F"/>
    <w:rsid w:val="00F842AA"/>
    <w:rsid w:val="00F8476F"/>
    <w:rsid w:val="00F853E1"/>
    <w:rsid w:val="00F85604"/>
    <w:rsid w:val="00F94B7A"/>
    <w:rsid w:val="00FA17AC"/>
    <w:rsid w:val="00FA32DE"/>
    <w:rsid w:val="00FA3382"/>
    <w:rsid w:val="00FA59CD"/>
    <w:rsid w:val="00FB1740"/>
    <w:rsid w:val="00FC5469"/>
    <w:rsid w:val="00FC6D7D"/>
    <w:rsid w:val="00FD16B0"/>
    <w:rsid w:val="00FD4FED"/>
    <w:rsid w:val="00FE0577"/>
    <w:rsid w:val="00FE59EC"/>
    <w:rsid w:val="00FE5B67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uiPriority w:val="99"/>
    <w:rsid w:val="008D7B13"/>
    <w:rPr>
      <w:color w:val="0000FF"/>
      <w:u w:val="non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customStyle="1" w:styleId="FootnoteTextChar">
    <w:name w:val="Footnote Text Char"/>
    <w:basedOn w:val="DefaultParagraphFont"/>
    <w:link w:val="FootnoteText"/>
    <w:rsid w:val="009944E0"/>
  </w:style>
  <w:style w:type="character" w:styleId="FootnoteReference">
    <w:name w:val="footnote reference"/>
    <w:basedOn w:val="DefaultParagraphFont"/>
    <w:rsid w:val="009944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uiPriority w:val="99"/>
    <w:rsid w:val="008D7B13"/>
    <w:rPr>
      <w:color w:val="0000FF"/>
      <w:u w:val="non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customStyle="1" w:styleId="FootnoteTextChar">
    <w:name w:val="Footnote Text Char"/>
    <w:basedOn w:val="DefaultParagraphFont"/>
    <w:link w:val="FootnoteText"/>
    <w:rsid w:val="009944E0"/>
  </w:style>
  <w:style w:type="character" w:styleId="FootnoteReference">
    <w:name w:val="footnote reference"/>
    <w:basedOn w:val="DefaultParagraphFont"/>
    <w:rsid w:val="009944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9486-43AF-490E-8F3F-778B5674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(Regular).dotm</Template>
  <TotalTime>0</TotalTime>
  <Pages>5</Pages>
  <Words>1055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Julie Phillips</dc:creator>
  <cp:lastModifiedBy>Julie Phillips</cp:lastModifiedBy>
  <cp:revision>2</cp:revision>
  <cp:lastPrinted>2019-01-24T14:21:00Z</cp:lastPrinted>
  <dcterms:created xsi:type="dcterms:W3CDTF">2019-01-24T14:54:00Z</dcterms:created>
  <dcterms:modified xsi:type="dcterms:W3CDTF">2019-01-24T14:54:00Z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20180230-GU</vt:lpwstr>
  </property>
  <property fmtid="{D5CDD505-2E9C-101B-9397-08002B2CF9AE}" pid="3" name="MasterDocument">
    <vt:bool>false</vt:bool>
  </property>
</Properties>
</file>