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D4A4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42EC4">
            <w:pPr>
              <w:pStyle w:val="MemoHeading"/>
            </w:pPr>
            <w:r>
              <w:t>February 21, 2019</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222BB0">
            <w:pPr>
              <w:pStyle w:val="MemoHeading"/>
            </w:pPr>
            <w:r>
              <w:t>Office of Commission Clerk (</w:t>
            </w:r>
            <w:r w:rsidR="00222BB0">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285E7D">
            <w:pPr>
              <w:pStyle w:val="MemoHeading"/>
            </w:pPr>
            <w:bookmarkStart w:id="1" w:name="From"/>
            <w:r>
              <w:t>Office of the General Counsel (Schrader, Crawford, Nieves)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85E7D">
            <w:pPr>
              <w:pStyle w:val="MemoHeadingRe"/>
            </w:pPr>
            <w:bookmarkStart w:id="2" w:name="Re"/>
            <w:r>
              <w:t>Docket No. 20170086-SU – Investigation into the billing practices of K W Resort Utilities Corp. in Monroe County.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D1B94" w:rsidP="00477DD7">
            <w:pPr>
              <w:pStyle w:val="MemoHeading"/>
            </w:pPr>
            <w:r>
              <w:t>3/5/2019</w:t>
            </w:r>
            <w:r w:rsidR="007C0528">
              <w:t xml:space="preserve"> – </w:t>
            </w:r>
            <w:bookmarkStart w:id="3" w:name="PermittedStatus"/>
            <w:r w:rsidR="00285E7D">
              <w:t>Regular Agenda –</w:t>
            </w:r>
            <w:r w:rsidR="0038067C">
              <w:t xml:space="preserve"> Or</w:t>
            </w:r>
            <w:r w:rsidR="00477DD7">
              <w:t>al Argument Requested</w:t>
            </w:r>
            <w:r w:rsidR="0038067C">
              <w:t xml:space="preserve"> – </w:t>
            </w:r>
            <w:bookmarkEnd w:id="3"/>
            <w:r w:rsidR="00905D8B">
              <w:t>Participation at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85E7D">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85E7D">
            <w:pPr>
              <w:pStyle w:val="MemoHeading"/>
            </w:pPr>
            <w:bookmarkStart w:id="5" w:name="PrehearingOfficer"/>
            <w:r>
              <w:t>Brown</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285E7D">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85E7D">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951485" w:rsidRDefault="00A623FB" w:rsidP="008D1B94">
      <w:pPr>
        <w:keepNext/>
        <w:autoSpaceDE w:val="0"/>
        <w:autoSpaceDN w:val="0"/>
        <w:adjustRightInd w:val="0"/>
        <w:jc w:val="both"/>
      </w:pPr>
      <w:r>
        <w:t xml:space="preserve">K W Resort Utilities Corporation (KWRU or Utility) is a Class A utility providing wastewater service to approximately 1,865 customers in Monroe County. Water service is provided by the Florida Keys Aqueduct Authority (FKAA). </w:t>
      </w:r>
      <w:r w:rsidR="00951485">
        <w:t>During KWRU’s 2015 rate case, the Commission fo</w:t>
      </w:r>
      <w:r w:rsidR="00956903">
        <w:t>u</w:t>
      </w:r>
      <w:r w:rsidR="00951485">
        <w:t>nd that KWRU had engaged in billing practices that appeared to be inconsistent with its tariff.</w:t>
      </w:r>
      <w:r w:rsidR="00951485">
        <w:rPr>
          <w:rStyle w:val="FootnoteReference"/>
        </w:rPr>
        <w:footnoteReference w:id="1"/>
      </w:r>
      <w:r w:rsidR="00951485">
        <w:t xml:space="preserve"> Subsequently</w:t>
      </w:r>
      <w:r w:rsidR="00792B15">
        <w:t>, in that rate case docket</w:t>
      </w:r>
      <w:r w:rsidR="00951485">
        <w:t xml:space="preserve">, the Commission ordered </w:t>
      </w:r>
      <w:r w:rsidR="00DB0C1D">
        <w:t xml:space="preserve">this docket opened and ordered </w:t>
      </w:r>
      <w:r w:rsidR="00951485">
        <w:t>Commission staff to conduct a full audit of KWRU’s billing practices to determine if</w:t>
      </w:r>
      <w:r w:rsidR="008D1B94">
        <w:t xml:space="preserve"> KWRU had violated</w:t>
      </w:r>
      <w:r w:rsidR="00951485">
        <w:t xml:space="preserve"> any of the Commission’s</w:t>
      </w:r>
      <w:r w:rsidR="008D1B94">
        <w:t xml:space="preserve"> o</w:t>
      </w:r>
      <w:r w:rsidR="00951485" w:rsidRPr="00951485">
        <w:t>rders, rules, o</w:t>
      </w:r>
      <w:r w:rsidR="008D1B94">
        <w:t>r statutes</w:t>
      </w:r>
      <w:r w:rsidR="00951485">
        <w:t>.</w:t>
      </w:r>
      <w:r w:rsidR="00951485">
        <w:rPr>
          <w:rStyle w:val="FootnoteReference"/>
        </w:rPr>
        <w:footnoteReference w:id="2"/>
      </w:r>
      <w:r w:rsidR="00951485">
        <w:t xml:space="preserve"> Staff subsequently conducted an audit</w:t>
      </w:r>
      <w:r w:rsidR="00956903">
        <w:t xml:space="preserve"> and investigation</w:t>
      </w:r>
      <w:r w:rsidR="00951485">
        <w:t xml:space="preserve"> of KWRU’s billing practices for the period of April 2013 </w:t>
      </w:r>
      <w:r w:rsidR="00951485">
        <w:lastRenderedPageBreak/>
        <w:t>through March 2017.</w:t>
      </w:r>
      <w:r w:rsidR="001E6686">
        <w:rPr>
          <w:rStyle w:val="FootnoteReference"/>
        </w:rPr>
        <w:footnoteReference w:id="3"/>
      </w:r>
      <w:r w:rsidR="008F2D5F">
        <w:t xml:space="preserve"> This audit found several instances where KWRU charged rates inconsistent with its tariff. </w:t>
      </w:r>
    </w:p>
    <w:p w:rsidR="00951485" w:rsidRDefault="00951485" w:rsidP="00A623FB">
      <w:pPr>
        <w:autoSpaceDE w:val="0"/>
        <w:autoSpaceDN w:val="0"/>
        <w:adjustRightInd w:val="0"/>
        <w:jc w:val="both"/>
      </w:pPr>
    </w:p>
    <w:p w:rsidR="00143A09" w:rsidRDefault="00143A09" w:rsidP="00B744C7">
      <w:pPr>
        <w:autoSpaceDE w:val="0"/>
        <w:autoSpaceDN w:val="0"/>
        <w:adjustRightInd w:val="0"/>
        <w:jc w:val="both"/>
      </w:pPr>
      <w:r>
        <w:t>On May 17, 2017, Commission staff sent KWRU</w:t>
      </w:r>
      <w:r w:rsidR="00216E3E">
        <w:t xml:space="preserve"> a Notice of Apparent Violation (NOAV). The NOAV identified several instances where KWRU was in</w:t>
      </w:r>
      <w:r w:rsidR="008F2D5F">
        <w:t xml:space="preserve"> apparent</w:t>
      </w:r>
      <w:r w:rsidR="00216E3E">
        <w:t xml:space="preserve"> non-compliance with regard to Commission statutes, rules, and orders. Specifically, the </w:t>
      </w:r>
      <w:r w:rsidR="00654330">
        <w:t>Commission staff identified</w:t>
      </w:r>
      <w:r w:rsidR="0062239C">
        <w:t xml:space="preserve"> instance</w:t>
      </w:r>
      <w:r w:rsidR="00654330">
        <w:t>s</w:t>
      </w:r>
      <w:r w:rsidR="0062239C">
        <w:t xml:space="preserve"> where</w:t>
      </w:r>
      <w:r w:rsidR="0083194A">
        <w:t xml:space="preserve"> it appeared</w:t>
      </w:r>
      <w:r w:rsidR="0062239C">
        <w:t xml:space="preserve"> KWRU charged an unauthorized flat rate, charged unauthorized pool charges, and violated base facility charge</w:t>
      </w:r>
      <w:r w:rsidR="0037192E">
        <w:t xml:space="preserve"> (BFC)</w:t>
      </w:r>
      <w:r w:rsidR="0062239C">
        <w:t xml:space="preserve"> billing practices. In KWRU’s response to the NOAV, filed July 17, 2018,</w:t>
      </w:r>
      <w:r w:rsidR="0062239C">
        <w:rPr>
          <w:rStyle w:val="FootnoteReference"/>
        </w:rPr>
        <w:footnoteReference w:id="4"/>
      </w:r>
      <w:r w:rsidR="00B744C7">
        <w:t xml:space="preserve"> KWRU stated that it mistakenly believed that its revision to </w:t>
      </w:r>
      <w:r w:rsidR="00654330">
        <w:t>a</w:t>
      </w:r>
      <w:r w:rsidR="00B744C7">
        <w:t xml:space="preserve"> bulk wastewate</w:t>
      </w:r>
      <w:r w:rsidR="00746F7F">
        <w:t>r rate had been accepted by the</w:t>
      </w:r>
      <w:r w:rsidR="00B744C7">
        <w:t xml:space="preserve"> Commission, similar to a developer’s agreement for service. Additionally, in its response, KWRU pointed out that at the end of 2009, management was moved in-house and has since routinely</w:t>
      </w:r>
      <w:r w:rsidR="00746F7F">
        <w:t xml:space="preserve"> brought all matters before the</w:t>
      </w:r>
      <w:r w:rsidR="00B744C7">
        <w:t xml:space="preserve"> Commission. Further, KWRU indicated it believed the pool charges were implemented reasonably under the tariff and were only implemented after consulting with Commission staff. KWRU responded to the apparent violation of BFC billing practices by admitting it had billed several general service customers incorrect BFCs and stated it was an error that occurred in switching KWRU’s billing system after the 2009 rate case. KWRU also asserted that “</w:t>
      </w:r>
      <w:r w:rsidR="00B744C7" w:rsidRPr="00B744C7">
        <w:t>KWRU did not over earn based on this error.</w:t>
      </w:r>
      <w:r w:rsidR="00B744C7">
        <w:t>” KWRU also addressed</w:t>
      </w:r>
      <w:r w:rsidR="00654330">
        <w:t xml:space="preserve"> the billing discrepancy with</w:t>
      </w:r>
      <w:r w:rsidR="00B744C7">
        <w:t xml:space="preserve"> Roy’s Trailer Park in its response, and explained that </w:t>
      </w:r>
      <w:r w:rsidR="00654330">
        <w:t>KWRU</w:t>
      </w:r>
      <w:r w:rsidR="00B744C7">
        <w:t xml:space="preserve"> had engaged in numerous discussions to mitigate the customer’s outstanding balance owed to the Utility consistent with KWRU’s approved tariffs.</w:t>
      </w:r>
    </w:p>
    <w:p w:rsidR="008F2D5F" w:rsidRDefault="008F2D5F" w:rsidP="00B744C7">
      <w:pPr>
        <w:autoSpaceDE w:val="0"/>
        <w:autoSpaceDN w:val="0"/>
        <w:adjustRightInd w:val="0"/>
        <w:jc w:val="both"/>
      </w:pPr>
    </w:p>
    <w:p w:rsidR="008F2D5F" w:rsidRPr="008F2D5F" w:rsidRDefault="008F2D5F" w:rsidP="008F2D5F">
      <w:pPr>
        <w:pStyle w:val="First-LevelSubheading"/>
      </w:pPr>
      <w:r>
        <w:t>Proposed Agency Action Order and Order to Show Cause</w:t>
      </w:r>
    </w:p>
    <w:p w:rsidR="00143A09" w:rsidRDefault="00143A09" w:rsidP="00A623FB">
      <w:pPr>
        <w:autoSpaceDE w:val="0"/>
        <w:autoSpaceDN w:val="0"/>
        <w:adjustRightInd w:val="0"/>
        <w:jc w:val="both"/>
      </w:pPr>
    </w:p>
    <w:p w:rsidR="00A623FB" w:rsidRDefault="001B6EE0" w:rsidP="00262195">
      <w:pPr>
        <w:autoSpaceDE w:val="0"/>
        <w:autoSpaceDN w:val="0"/>
        <w:adjustRightInd w:val="0"/>
        <w:jc w:val="both"/>
      </w:pPr>
      <w:r>
        <w:t>On August 31, 2018, the Commission issued</w:t>
      </w:r>
      <w:r w:rsidR="0062009B">
        <w:t xml:space="preserve"> its</w:t>
      </w:r>
      <w:r>
        <w:t xml:space="preserve"> Proposed Agency Action Order</w:t>
      </w:r>
      <w:r w:rsidR="0062009B">
        <w:t xml:space="preserve"> and Order to Show Cause</w:t>
      </w:r>
      <w:r>
        <w:t xml:space="preserve"> No. PSC-2018-0444-PAA-SU</w:t>
      </w:r>
      <w:r w:rsidR="00302471">
        <w:t>. The Order had two portions, the first was a Show Cause Order directing</w:t>
      </w:r>
      <w:r w:rsidR="00943BB3">
        <w:t xml:space="preserve"> </w:t>
      </w:r>
      <w:r w:rsidR="00951485">
        <w:t xml:space="preserve">KWRU </w:t>
      </w:r>
      <w:r>
        <w:t xml:space="preserve">to show cause why it should not be fined a penalty in the amount of $10,000.00 for its </w:t>
      </w:r>
      <w:r w:rsidR="00F10188">
        <w:t xml:space="preserve">apparent </w:t>
      </w:r>
      <w:r>
        <w:t>violation of Sections 367.081(1) and 367.091(3), Florida Statutes (F.S.)</w:t>
      </w:r>
      <w:r w:rsidR="00DF2C97">
        <w:t>. T</w:t>
      </w:r>
      <w:r w:rsidR="00EF602E">
        <w:t xml:space="preserve">he </w:t>
      </w:r>
      <w:r w:rsidR="00302471">
        <w:t>PAA</w:t>
      </w:r>
      <w:r w:rsidR="00DF2C97">
        <w:t xml:space="preserve"> portion of the</w:t>
      </w:r>
      <w:r w:rsidR="00302471">
        <w:t xml:space="preserve"> Order</w:t>
      </w:r>
      <w:r w:rsidR="00DF2C97">
        <w:t xml:space="preserve"> (PAA Order)</w:t>
      </w:r>
      <w:r w:rsidR="00EF602E">
        <w:t xml:space="preserve"> found that </w:t>
      </w:r>
      <w:r w:rsidR="0037192E">
        <w:t>(</w:t>
      </w:r>
      <w:r w:rsidR="00EF602E">
        <w:t xml:space="preserve">1) the April 2013 through March 2017 audit period utilized by </w:t>
      </w:r>
      <w:r w:rsidR="00DF2C97">
        <w:t>Commission staff was reasonable;</w:t>
      </w:r>
      <w:r w:rsidR="00EF602E">
        <w:t xml:space="preserve"> </w:t>
      </w:r>
      <w:r w:rsidR="0037192E">
        <w:t>(</w:t>
      </w:r>
      <w:r w:rsidR="00EF602E">
        <w:t>2) the appropriate time period for the refunds was April 2013 through March 2016</w:t>
      </w:r>
      <w:r w:rsidR="00DF2C97">
        <w:t>;</w:t>
      </w:r>
      <w:r w:rsidR="00EF602E">
        <w:t xml:space="preserve"> </w:t>
      </w:r>
      <w:r w:rsidR="0037192E">
        <w:t>(</w:t>
      </w:r>
      <w:r w:rsidR="00EF602E">
        <w:t xml:space="preserve">3) KWRU should refund Safe Harbor </w:t>
      </w:r>
      <w:r w:rsidR="00EF602E" w:rsidRPr="00EF602E">
        <w:t>$26,408 with interest</w:t>
      </w:r>
      <w:r w:rsidR="00EF602E">
        <w:t xml:space="preserve"> in accordance with Rule 25-30.360, </w:t>
      </w:r>
      <w:r w:rsidR="00222BB0">
        <w:t>Florida Administrative Code (</w:t>
      </w:r>
      <w:r w:rsidR="00EF602E">
        <w:t>F.A.C.</w:t>
      </w:r>
      <w:r w:rsidR="00222BB0">
        <w:t>)</w:t>
      </w:r>
      <w:r w:rsidR="00DF2C97">
        <w:t>;</w:t>
      </w:r>
      <w:r w:rsidR="00EF602E">
        <w:t xml:space="preserve"> </w:t>
      </w:r>
      <w:r w:rsidR="0037192E">
        <w:t>(</w:t>
      </w:r>
      <w:r w:rsidR="00EF602E">
        <w:t xml:space="preserve">4) KWRU should refund Sunset </w:t>
      </w:r>
      <w:r w:rsidR="00EF602E" w:rsidRPr="00EF602E">
        <w:t>$41,034 with interest in accordance with Rule 25-30.360</w:t>
      </w:r>
      <w:r w:rsidR="00EF602E">
        <w:t>, F.A.C</w:t>
      </w:r>
      <w:r w:rsidR="00742890">
        <w:t>.</w:t>
      </w:r>
      <w:r w:rsidR="00DF2C97">
        <w:t>;</w:t>
      </w:r>
      <w:r w:rsidR="00EF602E">
        <w:t xml:space="preserve"> </w:t>
      </w:r>
      <w:r w:rsidR="0037192E">
        <w:t>(</w:t>
      </w:r>
      <w:r w:rsidR="00EF602E">
        <w:t xml:space="preserve">5) KWRU was not required to refund rates charged for pools </w:t>
      </w:r>
      <w:r w:rsidR="00262195">
        <w:t>because KWRU believed that a</w:t>
      </w:r>
      <w:r w:rsidR="00D75310">
        <w:t>n</w:t>
      </w:r>
      <w:r w:rsidR="00262195">
        <w:t xml:space="preserve"> approved tariff for pools the Utility had for  Key West Golf Club–HOA “was applicable to any additional customers with pools</w:t>
      </w:r>
      <w:r w:rsidR="00DF2C97">
        <w:t>;</w:t>
      </w:r>
      <w:r w:rsidR="00262195">
        <w:t xml:space="preserve">” </w:t>
      </w:r>
      <w:r w:rsidR="0037192E">
        <w:t>(</w:t>
      </w:r>
      <w:r w:rsidR="00262195">
        <w:t xml:space="preserve">6)  KWRU did not have to refund general service customers that were billed </w:t>
      </w:r>
      <w:r w:rsidR="0037192E">
        <w:t>BFC</w:t>
      </w:r>
      <w:r w:rsidR="00262195">
        <w:t xml:space="preserve">s based on units instead of Florida Keys Aqueduct Authority (FKAA) metered rates because KWRU had corrected its billing practices following the implementation of </w:t>
      </w:r>
      <w:r w:rsidR="004E4B3E">
        <w:t xml:space="preserve">Order </w:t>
      </w:r>
      <w:r w:rsidR="00262195">
        <w:t>No. PSC-16-0123-PAA-SU</w:t>
      </w:r>
      <w:r w:rsidR="004E4B3E">
        <w:t xml:space="preserve"> issued March 23, 2016, in Docket No. 150071-SU, </w:t>
      </w:r>
      <w:r w:rsidR="004E4B3E" w:rsidRPr="00951485">
        <w:rPr>
          <w:i/>
        </w:rPr>
        <w:t>In re: Application for</w:t>
      </w:r>
      <w:r w:rsidR="004E4B3E">
        <w:rPr>
          <w:i/>
        </w:rPr>
        <w:t xml:space="preserve"> </w:t>
      </w:r>
      <w:r w:rsidR="004E4B3E" w:rsidRPr="00951485">
        <w:rPr>
          <w:i/>
        </w:rPr>
        <w:t>increase in wastewater rates in Monroe County by K W Resort Utilities, Corp</w:t>
      </w:r>
      <w:r w:rsidR="00742890">
        <w:rPr>
          <w:i/>
        </w:rPr>
        <w:t>.</w:t>
      </w:r>
      <w:r w:rsidR="00DF2C97">
        <w:t>;</w:t>
      </w:r>
      <w:r w:rsidR="004E4B3E">
        <w:t xml:space="preserve"> and </w:t>
      </w:r>
      <w:r w:rsidR="00DF2C97">
        <w:t>(</w:t>
      </w:r>
      <w:r w:rsidR="004E4B3E">
        <w:t xml:space="preserve">7) that KWRU’s settlement with Roy’s Trailer Park was a </w:t>
      </w:r>
      <w:r w:rsidR="004E4B3E">
        <w:lastRenderedPageBreak/>
        <w:t xml:space="preserve">reasonable solution to </w:t>
      </w:r>
      <w:r w:rsidR="004E4B3E" w:rsidRPr="004E4B3E">
        <w:t xml:space="preserve">address </w:t>
      </w:r>
      <w:r w:rsidR="004E4B3E">
        <w:t xml:space="preserve">that customer’s </w:t>
      </w:r>
      <w:r w:rsidR="004E4B3E" w:rsidRPr="004E4B3E">
        <w:t>corrected outstanding balance</w:t>
      </w:r>
      <w:r w:rsidR="004E4B3E">
        <w:t xml:space="preserve"> from being billed</w:t>
      </w:r>
      <w:r w:rsidR="00575045">
        <w:t xml:space="preserve"> by KWRU</w:t>
      </w:r>
      <w:r w:rsidR="004E4B3E">
        <w:t xml:space="preserve"> based o</w:t>
      </w:r>
      <w:r w:rsidR="00FE0706">
        <w:t>n units instead of FKAA meters</w:t>
      </w:r>
      <w:r w:rsidR="004E4B3E">
        <w:t>.</w:t>
      </w:r>
    </w:p>
    <w:p w:rsidR="00951485" w:rsidRDefault="00951485" w:rsidP="00A623FB">
      <w:pPr>
        <w:autoSpaceDE w:val="0"/>
        <w:autoSpaceDN w:val="0"/>
        <w:adjustRightInd w:val="0"/>
        <w:jc w:val="both"/>
      </w:pPr>
    </w:p>
    <w:p w:rsidR="0061001C" w:rsidRDefault="00951485" w:rsidP="00432ABB">
      <w:pPr>
        <w:autoSpaceDE w:val="0"/>
        <w:autoSpaceDN w:val="0"/>
        <w:adjustRightInd w:val="0"/>
        <w:jc w:val="both"/>
      </w:pPr>
      <w:r>
        <w:t xml:space="preserve">In the </w:t>
      </w:r>
      <w:r w:rsidR="00302471">
        <w:t>PAA</w:t>
      </w:r>
      <w:r w:rsidR="0062009B">
        <w:t xml:space="preserve"> Order</w:t>
      </w:r>
      <w:r>
        <w:t xml:space="preserve">, the Commission </w:t>
      </w:r>
      <w:r w:rsidR="00432ABB">
        <w:t>also</w:t>
      </w:r>
      <w:r w:rsidR="00943BB3">
        <w:t xml:space="preserve"> discussed</w:t>
      </w:r>
      <w:r w:rsidR="00432ABB">
        <w:t xml:space="preserve"> a letter, sent by the Office of Public Counsel (OPC) on June 12, 2018, </w:t>
      </w:r>
      <w:r w:rsidR="007633A6">
        <w:t xml:space="preserve">which argued </w:t>
      </w:r>
      <w:r w:rsidR="00432ABB">
        <w:t xml:space="preserve">that the audit of KWRU did </w:t>
      </w:r>
      <w:r w:rsidR="00262E3B">
        <w:t>“</w:t>
      </w:r>
      <w:r w:rsidR="00432ABB">
        <w:t>not go back to the final order issued in the 2009 rate case when KWRU started incorrectly billing</w:t>
      </w:r>
      <w:r w:rsidR="00262E3B">
        <w:t>”</w:t>
      </w:r>
      <w:r w:rsidR="00432ABB">
        <w:t xml:space="preserve"> customers.</w:t>
      </w:r>
      <w:r w:rsidR="00262E3B">
        <w:rPr>
          <w:rStyle w:val="FootnoteReference"/>
        </w:rPr>
        <w:footnoteReference w:id="5"/>
      </w:r>
      <w:r w:rsidR="00432ABB">
        <w:t xml:space="preserve"> </w:t>
      </w:r>
      <w:r w:rsidR="0083194A">
        <w:t>In its order, t</w:t>
      </w:r>
      <w:r w:rsidR="00432ABB">
        <w:t>he Commission</w:t>
      </w:r>
      <w:r w:rsidR="0083194A">
        <w:t xml:space="preserve"> disagreed and</w:t>
      </w:r>
      <w:r w:rsidR="00432ABB">
        <w:t xml:space="preserve"> stated that it found the “time period covered by the audit is a reasonable remedy to mitigate the Utility’s incorrect billing practices</w:t>
      </w:r>
      <w:r w:rsidR="00BB2DDF">
        <w:t>”</w:t>
      </w:r>
      <w:r w:rsidR="00432ABB">
        <w:t xml:space="preserve"> </w:t>
      </w:r>
      <w:r w:rsidR="00BB2DDF">
        <w:t>and that KWRU had already corrected its</w:t>
      </w:r>
      <w:r w:rsidR="00432ABB">
        <w:t xml:space="preserve"> billing practices.</w:t>
      </w:r>
      <w:r w:rsidR="00432ABB">
        <w:rPr>
          <w:rStyle w:val="FootnoteReference"/>
        </w:rPr>
        <w:footnoteReference w:id="6"/>
      </w:r>
    </w:p>
    <w:p w:rsidR="008F2D5F" w:rsidRDefault="008F2D5F" w:rsidP="00432ABB">
      <w:pPr>
        <w:autoSpaceDE w:val="0"/>
        <w:autoSpaceDN w:val="0"/>
        <w:adjustRightInd w:val="0"/>
        <w:jc w:val="both"/>
      </w:pPr>
    </w:p>
    <w:p w:rsidR="00A623FB" w:rsidRDefault="0062009B" w:rsidP="0062009B">
      <w:pPr>
        <w:pStyle w:val="First-LevelSubheading"/>
        <w:keepNext/>
      </w:pPr>
      <w:r>
        <w:t xml:space="preserve">Motions Subsequent to </w:t>
      </w:r>
      <w:r w:rsidR="008F2D5F">
        <w:t>Proposed Agency Action Order and Order to Show Cause</w:t>
      </w:r>
    </w:p>
    <w:p w:rsidR="009A1C38" w:rsidRDefault="005D326B" w:rsidP="0062009B">
      <w:pPr>
        <w:keepNext/>
        <w:autoSpaceDE w:val="0"/>
        <w:autoSpaceDN w:val="0"/>
        <w:adjustRightInd w:val="0"/>
        <w:jc w:val="both"/>
      </w:pPr>
      <w:r>
        <w:br/>
      </w:r>
      <w:r w:rsidR="00432ABB">
        <w:t xml:space="preserve">On September 21, 2018, OPC </w:t>
      </w:r>
      <w:r w:rsidR="001B6EE0">
        <w:t xml:space="preserve">filed a </w:t>
      </w:r>
      <w:r w:rsidR="00943BB3">
        <w:t>p</w:t>
      </w:r>
      <w:r w:rsidR="00F10188">
        <w:t>etition</w:t>
      </w:r>
      <w:r w:rsidR="001B6EE0">
        <w:t xml:space="preserve"> requesting an evidentiary hearing </w:t>
      </w:r>
      <w:r w:rsidR="006517C9">
        <w:t xml:space="preserve">protesting portions of the </w:t>
      </w:r>
      <w:r w:rsidR="00302471">
        <w:t>PAA</w:t>
      </w:r>
      <w:r w:rsidR="0062009B">
        <w:t xml:space="preserve"> Order</w:t>
      </w:r>
      <w:r w:rsidR="006517C9">
        <w:t xml:space="preserve"> </w:t>
      </w:r>
      <w:r w:rsidR="009337DD">
        <w:t>(</w:t>
      </w:r>
      <w:r w:rsidR="007F5298">
        <w:t>OPC Petition</w:t>
      </w:r>
      <w:r w:rsidR="00432ABB">
        <w:t>)</w:t>
      </w:r>
      <w:r w:rsidR="006517C9">
        <w:t>. Specifically, OPC protested the portions of the order limiting the time period for the audit of KWRU and the time period for which KWRU would be responsible for issuing refunds. OPC</w:t>
      </w:r>
      <w:r w:rsidR="00432ABB">
        <w:t xml:space="preserve"> </w:t>
      </w:r>
      <w:r w:rsidR="006517C9">
        <w:t xml:space="preserve">argues that </w:t>
      </w:r>
      <w:r w:rsidR="00432ABB" w:rsidRPr="00432ABB">
        <w:t xml:space="preserve">KWRU </w:t>
      </w:r>
      <w:r w:rsidR="006517C9">
        <w:t>should have been required “</w:t>
      </w:r>
      <w:r w:rsidR="00432ABB" w:rsidRPr="00432ABB">
        <w:t>to issue refunds for the entire time period that KW</w:t>
      </w:r>
      <w:r w:rsidR="00432ABB">
        <w:t>RU incorrectly billed customers” and that</w:t>
      </w:r>
      <w:r w:rsidR="00432ABB" w:rsidRPr="00432ABB">
        <w:t xml:space="preserve"> </w:t>
      </w:r>
      <w:r w:rsidR="00432ABB">
        <w:t>R</w:t>
      </w:r>
      <w:r w:rsidR="00432ABB" w:rsidRPr="00432ABB">
        <w:t>ule 25-30.350, F.A.C.</w:t>
      </w:r>
      <w:r w:rsidR="00F10188">
        <w:t>,</w:t>
      </w:r>
      <w:r w:rsidR="0076427C">
        <w:t xml:space="preserve"> “</w:t>
      </w:r>
      <w:r w:rsidR="00432ABB" w:rsidRPr="00432ABB">
        <w:t>requires that customers shall be refunded the full amount of unauthorized billing.</w:t>
      </w:r>
      <w:r w:rsidR="00432ABB">
        <w:t>”</w:t>
      </w:r>
      <w:r w:rsidR="0076427C">
        <w:rPr>
          <w:rStyle w:val="FootnoteReference"/>
        </w:rPr>
        <w:footnoteReference w:id="7"/>
      </w:r>
      <w:r w:rsidR="00432ABB" w:rsidRPr="00432ABB">
        <w:t xml:space="preserve"> </w:t>
      </w:r>
    </w:p>
    <w:p w:rsidR="009A1C38" w:rsidRDefault="009A1C38" w:rsidP="0062009B">
      <w:pPr>
        <w:keepNext/>
        <w:autoSpaceDE w:val="0"/>
        <w:autoSpaceDN w:val="0"/>
        <w:adjustRightInd w:val="0"/>
        <w:jc w:val="both"/>
      </w:pPr>
    </w:p>
    <w:p w:rsidR="001B6EE0" w:rsidRDefault="00B04C15" w:rsidP="007633A6">
      <w:pPr>
        <w:keepNext/>
        <w:autoSpaceDE w:val="0"/>
        <w:autoSpaceDN w:val="0"/>
        <w:adjustRightInd w:val="0"/>
        <w:jc w:val="both"/>
      </w:pPr>
      <w:r>
        <w:t>In response</w:t>
      </w:r>
      <w:r w:rsidR="001B6EE0">
        <w:t xml:space="preserve">, on October 1, 2018, KWRU filed a Motion to Dismiss, or in the Alternative to Strike, </w:t>
      </w:r>
      <w:r w:rsidR="002C1D9D">
        <w:t>OPC’s</w:t>
      </w:r>
      <w:r w:rsidR="001B6EE0">
        <w:t xml:space="preserve"> Petition (Motion to Dismiss</w:t>
      </w:r>
      <w:r w:rsidR="00BA7160">
        <w:t xml:space="preserve"> or Strike</w:t>
      </w:r>
      <w:r w:rsidR="0076427C">
        <w:t xml:space="preserve">) arguing, in part, that OPC lacks standing in this case and is not entitled to a hearing. </w:t>
      </w:r>
      <w:r w:rsidR="001B6EE0">
        <w:t xml:space="preserve">Also, on </w:t>
      </w:r>
      <w:r w:rsidR="00216E3E">
        <w:t>October 1, 2018</w:t>
      </w:r>
      <w:r w:rsidR="001B6EE0">
        <w:t>, KWRU filed a cross-</w:t>
      </w:r>
      <w:r w:rsidR="00216E3E">
        <w:t>petition</w:t>
      </w:r>
      <w:r w:rsidR="001B6EE0">
        <w:t xml:space="preserve"> </w:t>
      </w:r>
      <w:r w:rsidR="00943BB3">
        <w:t>seeking</w:t>
      </w:r>
      <w:r w:rsidR="001B6EE0">
        <w:t xml:space="preserve"> a formal administrative hearing protesting the </w:t>
      </w:r>
      <w:r w:rsidR="00302471">
        <w:t>PAA</w:t>
      </w:r>
      <w:r w:rsidR="0062009B">
        <w:t xml:space="preserve"> Order</w:t>
      </w:r>
      <w:r w:rsidR="00216E3E">
        <w:t xml:space="preserve"> (KWRU Cross-Petition)</w:t>
      </w:r>
      <w:r w:rsidR="001B6EE0">
        <w:t>.</w:t>
      </w:r>
      <w:r w:rsidR="00216E3E">
        <w:t xml:space="preserve"> </w:t>
      </w:r>
      <w:r w:rsidR="00B744C7">
        <w:t xml:space="preserve">KWRU’s Cross-Petition argues that </w:t>
      </w:r>
      <w:r w:rsidR="002A2132">
        <w:t>(</w:t>
      </w:r>
      <w:r w:rsidR="00654330">
        <w:t xml:space="preserve">1) while the </w:t>
      </w:r>
      <w:r w:rsidR="00302471">
        <w:t>PAA</w:t>
      </w:r>
      <w:r w:rsidR="0062009B">
        <w:t xml:space="preserve"> Order</w:t>
      </w:r>
      <w:r w:rsidR="002C1D9D">
        <w:t xml:space="preserve"> required refunds to certain customers</w:t>
      </w:r>
      <w:r w:rsidR="00654330">
        <w:t>,</w:t>
      </w:r>
      <w:r w:rsidR="002C1D9D">
        <w:t xml:space="preserve"> it failed to require other customers to pay back over-refunds</w:t>
      </w:r>
      <w:r w:rsidR="00654330">
        <w:t xml:space="preserve"> previously made by KWRU,</w:t>
      </w:r>
      <w:r w:rsidR="002C1D9D">
        <w:t xml:space="preserve"> </w:t>
      </w:r>
      <w:r w:rsidR="00654330">
        <w:t>thus</w:t>
      </w:r>
      <w:r w:rsidR="002C1D9D">
        <w:t xml:space="preserve"> such customers erron</w:t>
      </w:r>
      <w:r w:rsidR="00654330">
        <w:t xml:space="preserve">eously benefitted from the </w:t>
      </w:r>
      <w:r w:rsidR="00302471">
        <w:t>PAA</w:t>
      </w:r>
      <w:r w:rsidR="0062009B">
        <w:t xml:space="preserve"> Order</w:t>
      </w:r>
      <w:r w:rsidR="00654330">
        <w:t xml:space="preserve">, </w:t>
      </w:r>
      <w:r w:rsidR="002A2132">
        <w:t>(</w:t>
      </w:r>
      <w:r w:rsidR="00654330">
        <w:t xml:space="preserve">2) </w:t>
      </w:r>
      <w:r w:rsidR="002C1D9D">
        <w:t>the Commission failed to consider mitigating circumstances in imposin</w:t>
      </w:r>
      <w:r w:rsidR="00654330">
        <w:t xml:space="preserve">g on KWRU an unreasonably high penalty, and </w:t>
      </w:r>
      <w:r w:rsidR="002A2132">
        <w:t>(</w:t>
      </w:r>
      <w:r w:rsidR="00654330">
        <w:t xml:space="preserve">3) </w:t>
      </w:r>
      <w:r w:rsidR="002C1D9D">
        <w:t xml:space="preserve">the rate </w:t>
      </w:r>
      <w:r w:rsidR="00654330">
        <w:t xml:space="preserve">KWRU </w:t>
      </w:r>
      <w:r w:rsidR="002C1D9D">
        <w:t>charg</w:t>
      </w:r>
      <w:r w:rsidR="00654330">
        <w:t xml:space="preserve">ed to Safe Harbor </w:t>
      </w:r>
      <w:r w:rsidR="002C1D9D">
        <w:t xml:space="preserve">was in compliance with the intent of </w:t>
      </w:r>
      <w:r w:rsidR="00654330">
        <w:t>KWRU’s</w:t>
      </w:r>
      <w:r w:rsidR="002C1D9D">
        <w:t xml:space="preserve"> approved </w:t>
      </w:r>
      <w:r w:rsidR="00654330">
        <w:t>tariff</w:t>
      </w:r>
      <w:r w:rsidR="002C1D9D">
        <w:t xml:space="preserve"> and the negotiated amount between the </w:t>
      </w:r>
      <w:r w:rsidR="00654330">
        <w:t>KWRU and Safe Harbor</w:t>
      </w:r>
      <w:r w:rsidR="0099558E">
        <w:t xml:space="preserve"> (</w:t>
      </w:r>
      <w:r w:rsidR="002C1D9D">
        <w:t xml:space="preserve">of which </w:t>
      </w:r>
      <w:r w:rsidR="006552EA">
        <w:t>the Commission was aware in</w:t>
      </w:r>
      <w:r w:rsidR="002C1D9D">
        <w:t xml:space="preserve"> 2009</w:t>
      </w:r>
      <w:r w:rsidR="0099558E">
        <w:t>)</w:t>
      </w:r>
      <w:r w:rsidR="002C1D9D">
        <w:t xml:space="preserve"> evidenced that intent.</w:t>
      </w:r>
      <w:r w:rsidR="002C1D9D">
        <w:rPr>
          <w:rStyle w:val="FootnoteReference"/>
        </w:rPr>
        <w:footnoteReference w:id="8"/>
      </w:r>
      <w:r w:rsidR="0041703E">
        <w:t xml:space="preserve"> </w:t>
      </w:r>
      <w:r w:rsidR="00885F87">
        <w:t xml:space="preserve">KWRU’s argument disputing the amount of the penalty </w:t>
      </w:r>
      <w:r w:rsidR="00A8454D">
        <w:t>addresses</w:t>
      </w:r>
      <w:r w:rsidR="00885F87">
        <w:t xml:space="preserve"> the </w:t>
      </w:r>
      <w:r w:rsidR="00A8454D">
        <w:t>s</w:t>
      </w:r>
      <w:r w:rsidR="00885F87">
        <w:t xml:space="preserve">how </w:t>
      </w:r>
      <w:r w:rsidR="00A8454D">
        <w:t>c</w:t>
      </w:r>
      <w:r w:rsidR="00885F87">
        <w:t>ause portion of this docket,</w:t>
      </w:r>
      <w:r w:rsidR="0041703E">
        <w:t xml:space="preserve"> </w:t>
      </w:r>
      <w:r w:rsidR="00A8454D">
        <w:t xml:space="preserve">which </w:t>
      </w:r>
      <w:r w:rsidR="0041703E">
        <w:t>will be addressed at a later date</w:t>
      </w:r>
      <w:r w:rsidR="00297546">
        <w:t xml:space="preserve"> and is not </w:t>
      </w:r>
      <w:r w:rsidR="00A8454D">
        <w:t>part of this r</w:t>
      </w:r>
      <w:r w:rsidR="00885F87">
        <w:t>ecommendation</w:t>
      </w:r>
      <w:r w:rsidR="0041703E">
        <w:t>.</w:t>
      </w:r>
    </w:p>
    <w:p w:rsidR="001B6EE0" w:rsidRDefault="001B6EE0" w:rsidP="00B744C7">
      <w:pPr>
        <w:pStyle w:val="Default"/>
        <w:jc w:val="both"/>
      </w:pPr>
    </w:p>
    <w:p w:rsidR="001B6EE0" w:rsidRDefault="001B6EE0" w:rsidP="00A623FB">
      <w:pPr>
        <w:pStyle w:val="Default"/>
        <w:jc w:val="both"/>
      </w:pPr>
      <w:r w:rsidRPr="00EB20E3">
        <w:t>On</w:t>
      </w:r>
      <w:r w:rsidRPr="000D6F99">
        <w:t xml:space="preserve"> </w:t>
      </w:r>
      <w:r>
        <w:t>November 19, 2018, OPC</w:t>
      </w:r>
      <w:r>
        <w:rPr>
          <w:sz w:val="23"/>
          <w:szCs w:val="23"/>
        </w:rPr>
        <w:t xml:space="preserve"> filed a Motion for Partial Summary Final Order to the Protested Portions of the </w:t>
      </w:r>
      <w:r w:rsidR="00302471">
        <w:rPr>
          <w:sz w:val="23"/>
          <w:szCs w:val="23"/>
        </w:rPr>
        <w:t>PAA</w:t>
      </w:r>
      <w:r w:rsidR="0062009B">
        <w:rPr>
          <w:sz w:val="23"/>
          <w:szCs w:val="23"/>
        </w:rPr>
        <w:t xml:space="preserve"> Order</w:t>
      </w:r>
      <w:r>
        <w:rPr>
          <w:sz w:val="23"/>
          <w:szCs w:val="23"/>
        </w:rPr>
        <w:t xml:space="preserve"> and a Memorandum in Support of the Motion (OPC Motion for Partial Summary Final Order).  In its Motion, OPC asserts that because its protest of the </w:t>
      </w:r>
      <w:r w:rsidR="00302471">
        <w:rPr>
          <w:sz w:val="23"/>
          <w:szCs w:val="23"/>
        </w:rPr>
        <w:t>PAA</w:t>
      </w:r>
      <w:r w:rsidR="0062009B">
        <w:rPr>
          <w:sz w:val="23"/>
          <w:szCs w:val="23"/>
        </w:rPr>
        <w:t xml:space="preserve"> Order</w:t>
      </w:r>
      <w:r>
        <w:rPr>
          <w:sz w:val="23"/>
          <w:szCs w:val="23"/>
        </w:rPr>
        <w:t xml:space="preserve"> hinges on a straig</w:t>
      </w:r>
      <w:r w:rsidR="000F6F99">
        <w:rPr>
          <w:sz w:val="23"/>
          <w:szCs w:val="23"/>
        </w:rPr>
        <w:t>htforward legal issue,</w:t>
      </w:r>
      <w:r>
        <w:rPr>
          <w:sz w:val="23"/>
          <w:szCs w:val="23"/>
        </w:rPr>
        <w:t xml:space="preserve"> the resolution of that issue may be dispositive of O</w:t>
      </w:r>
      <w:r w:rsidR="00F10188">
        <w:rPr>
          <w:sz w:val="23"/>
          <w:szCs w:val="23"/>
        </w:rPr>
        <w:t xml:space="preserve">PC’s </w:t>
      </w:r>
      <w:r w:rsidR="007F5298">
        <w:rPr>
          <w:sz w:val="23"/>
          <w:szCs w:val="23"/>
        </w:rPr>
        <w:t xml:space="preserve">Petition </w:t>
      </w:r>
      <w:r w:rsidR="00F10188">
        <w:rPr>
          <w:sz w:val="23"/>
          <w:szCs w:val="23"/>
        </w:rPr>
        <w:t xml:space="preserve">of the </w:t>
      </w:r>
      <w:r w:rsidR="00302471">
        <w:rPr>
          <w:sz w:val="23"/>
          <w:szCs w:val="23"/>
        </w:rPr>
        <w:t>PAA</w:t>
      </w:r>
      <w:r w:rsidR="0062009B">
        <w:rPr>
          <w:sz w:val="23"/>
          <w:szCs w:val="23"/>
        </w:rPr>
        <w:t xml:space="preserve"> Order</w:t>
      </w:r>
      <w:r w:rsidR="00F10188">
        <w:rPr>
          <w:sz w:val="23"/>
          <w:szCs w:val="23"/>
        </w:rPr>
        <w:t>.</w:t>
      </w:r>
    </w:p>
    <w:p w:rsidR="001B6EE0" w:rsidRDefault="001B6EE0" w:rsidP="001B6EE0">
      <w:pPr>
        <w:pStyle w:val="Default"/>
        <w:ind w:firstLine="720"/>
        <w:jc w:val="both"/>
      </w:pPr>
    </w:p>
    <w:p w:rsidR="00943BB3" w:rsidRDefault="001B6EE0" w:rsidP="00943BB3">
      <w:pPr>
        <w:pStyle w:val="Default"/>
        <w:jc w:val="both"/>
      </w:pPr>
      <w:r>
        <w:lastRenderedPageBreak/>
        <w:t>On November 29</w:t>
      </w:r>
      <w:r w:rsidRPr="000D6F99">
        <w:t>, 2018, KW</w:t>
      </w:r>
      <w:r>
        <w:t>RU</w:t>
      </w:r>
      <w:r w:rsidRPr="000D6F99">
        <w:t xml:space="preserve"> fi</w:t>
      </w:r>
      <w:r w:rsidRPr="00EB20E3">
        <w:t xml:space="preserve">led </w:t>
      </w:r>
      <w:r w:rsidR="00F10188">
        <w:t>its</w:t>
      </w:r>
      <w:r>
        <w:t xml:space="preserve"> response</w:t>
      </w:r>
      <w:r w:rsidR="00CE5B44">
        <w:t xml:space="preserve"> in opposition</w:t>
      </w:r>
      <w:r>
        <w:t xml:space="preserve"> to the OPC Motion </w:t>
      </w:r>
      <w:r>
        <w:rPr>
          <w:sz w:val="23"/>
          <w:szCs w:val="23"/>
        </w:rPr>
        <w:t>for Partial Summary Final Order</w:t>
      </w:r>
      <w:r>
        <w:t>, included its own Cross-Motion for Summary Final Order</w:t>
      </w:r>
      <w:r w:rsidR="00E0420A">
        <w:t xml:space="preserve">, and separately filed a request for oral argument </w:t>
      </w:r>
      <w:r w:rsidR="0076427C">
        <w:t>on the</w:t>
      </w:r>
      <w:r w:rsidR="00E0420A" w:rsidRPr="00E0420A">
        <w:t xml:space="preserve"> </w:t>
      </w:r>
      <w:r w:rsidR="0076427C">
        <w:rPr>
          <w:sz w:val="23"/>
          <w:szCs w:val="23"/>
        </w:rPr>
        <w:t>OPC Motion for Partial Summary Final Order</w:t>
      </w:r>
      <w:r w:rsidR="0076427C">
        <w:t>,</w:t>
      </w:r>
      <w:r w:rsidR="00E0420A" w:rsidRPr="00E0420A">
        <w:t xml:space="preserve"> </w:t>
      </w:r>
      <w:r w:rsidR="0076427C">
        <w:t>KWRU’s</w:t>
      </w:r>
      <w:r w:rsidR="00E0420A">
        <w:t xml:space="preserve"> own</w:t>
      </w:r>
      <w:r w:rsidR="001B7E7C">
        <w:t xml:space="preserve"> Cross-M</w:t>
      </w:r>
      <w:r w:rsidR="00E0420A" w:rsidRPr="00E0420A">
        <w:t xml:space="preserve">otion for </w:t>
      </w:r>
      <w:r w:rsidR="001B7E7C">
        <w:t>S</w:t>
      </w:r>
      <w:r w:rsidR="00E0420A" w:rsidRPr="00E0420A">
        <w:t>ummary</w:t>
      </w:r>
      <w:r w:rsidR="00E0420A">
        <w:t xml:space="preserve"> </w:t>
      </w:r>
      <w:r w:rsidR="001B7E7C">
        <w:t>F</w:t>
      </w:r>
      <w:r w:rsidR="00CE5B44">
        <w:t xml:space="preserve">inal </w:t>
      </w:r>
      <w:r w:rsidR="001B7E7C">
        <w:t>O</w:t>
      </w:r>
      <w:r w:rsidR="00CE5B44">
        <w:t>rder</w:t>
      </w:r>
      <w:r w:rsidR="0076427C">
        <w:t>, and KWRU’s Motion to Dismiss or Strike</w:t>
      </w:r>
      <w:r w:rsidRPr="00B106DB">
        <w:t>.</w:t>
      </w:r>
      <w:r w:rsidR="00943BB3">
        <w:br/>
      </w:r>
    </w:p>
    <w:p w:rsidR="00943BB3" w:rsidRDefault="00943BB3" w:rsidP="00943BB3">
      <w:pPr>
        <w:pStyle w:val="Default"/>
        <w:jc w:val="both"/>
      </w:pPr>
      <w:r>
        <w:t>Issue 1 addresses KWRU’s request for oral argument. Issue 2 addresses KWR</w:t>
      </w:r>
      <w:r w:rsidR="00635EFB">
        <w:t>U’s Motion to Dismiss or Strike.</w:t>
      </w:r>
      <w:r>
        <w:t xml:space="preserve"> Issue 3 addresses OPC’s Motion for Partial Summary Final Order, and KWRU’s Cross-Motion for Summary Final Order. The Commission has jurisdiction</w:t>
      </w:r>
      <w:r w:rsidR="009C1D99">
        <w:t xml:space="preserve"> </w:t>
      </w:r>
      <w:r w:rsidR="00F10188">
        <w:t>over these</w:t>
      </w:r>
      <w:r w:rsidR="009C1D99">
        <w:t xml:space="preserve"> matter</w:t>
      </w:r>
      <w:r w:rsidR="00F10188">
        <w:t>s</w:t>
      </w:r>
      <w:r>
        <w:t xml:space="preserve"> pursuant to </w:t>
      </w:r>
      <w:r w:rsidRPr="00943BB3">
        <w:t>Sections 367.081, 367.091, and 367.161, F.S.</w:t>
      </w:r>
    </w:p>
    <w:bookmarkEnd w:id="10"/>
    <w:p w:rsidR="00EA2273" w:rsidRDefault="00EA2273" w:rsidP="009C1D99">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1D4A46" w:rsidRDefault="001D4A46">
      <w:pPr>
        <w:pStyle w:val="IssueHeading"/>
        <w:rPr>
          <w:vanish/>
          <w:specVanish/>
        </w:rPr>
      </w:pPr>
      <w:r w:rsidRPr="004C3641">
        <w:t xml:space="preserve">Issue </w:t>
      </w:r>
      <w:r w:rsidR="003E16BC">
        <w:fldChar w:fldCharType="begin"/>
      </w:r>
      <w:r w:rsidR="003E16BC">
        <w:instrText xml:space="preserve"> SEQ Issue \* MERGEFORMAT </w:instrText>
      </w:r>
      <w:r w:rsidR="003E16BC">
        <w:fldChar w:fldCharType="separate"/>
      </w:r>
      <w:r w:rsidR="00311658">
        <w:rPr>
          <w:noProof/>
        </w:rPr>
        <w:t>1</w:t>
      </w:r>
      <w:r w:rsidR="003E16B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11658">
        <w:rPr>
          <w:noProof/>
        </w:rPr>
        <w:instrText>1</w:instrText>
      </w:r>
      <w:r>
        <w:fldChar w:fldCharType="end"/>
      </w:r>
      <w:r>
        <w:tab/>
        <w:instrText xml:space="preserve">" \l 1 </w:instrText>
      </w:r>
      <w:r>
        <w:fldChar w:fldCharType="end"/>
      </w:r>
      <w:r>
        <w:t> </w:t>
      </w:r>
    </w:p>
    <w:p w:rsidR="001D4A46" w:rsidRDefault="003E4149">
      <w:pPr>
        <w:pStyle w:val="BodyText"/>
      </w:pPr>
      <w:r>
        <w:t> Should KWRU’s request for oral argument be granted?</w:t>
      </w:r>
    </w:p>
    <w:p w:rsidR="001D4A46" w:rsidRPr="004C3641" w:rsidRDefault="001D4A46">
      <w:pPr>
        <w:pStyle w:val="IssueSubsectionHeading"/>
        <w:rPr>
          <w:vanish/>
          <w:specVanish/>
        </w:rPr>
      </w:pPr>
      <w:r w:rsidRPr="004C3641">
        <w:t>Recommendation: </w:t>
      </w:r>
    </w:p>
    <w:p w:rsidR="00AD2CCD" w:rsidRDefault="001D4A46" w:rsidP="00AD2CCD">
      <w:pPr>
        <w:pStyle w:val="IssueSubsectionHeading"/>
        <w:rPr>
          <w:vanish/>
          <w:specVanish/>
        </w:rPr>
      </w:pPr>
      <w:r>
        <w:t> </w:t>
      </w:r>
      <w:r w:rsidR="00AD2CCD">
        <w:t> </w:t>
      </w:r>
    </w:p>
    <w:p w:rsidR="001D4A46" w:rsidRDefault="00AD2CCD">
      <w:pPr>
        <w:pStyle w:val="BodyText"/>
      </w:pPr>
      <w:r>
        <w:t xml:space="preserve"> Yes. KWRU’s </w:t>
      </w:r>
      <w:r w:rsidR="00AD332E">
        <w:t>R</w:t>
      </w:r>
      <w:r>
        <w:t xml:space="preserve">equest for </w:t>
      </w:r>
      <w:r w:rsidR="00AD332E">
        <w:t>O</w:t>
      </w:r>
      <w:r>
        <w:t xml:space="preserve">ral </w:t>
      </w:r>
      <w:r w:rsidR="00AD332E">
        <w:t>A</w:t>
      </w:r>
      <w:r>
        <w:t xml:space="preserve">rgument </w:t>
      </w:r>
      <w:r w:rsidR="00AD332E">
        <w:t>should be</w:t>
      </w:r>
      <w:r>
        <w:t xml:space="preserve"> granted</w:t>
      </w:r>
      <w:r w:rsidR="002C1D9D">
        <w:t>.</w:t>
      </w:r>
      <w:r>
        <w:t xml:space="preserve"> The parties should be allowed 5 minutes, total, per side, </w:t>
      </w:r>
      <w:r w:rsidR="00262E3B">
        <w:t xml:space="preserve">to argue </w:t>
      </w:r>
      <w:r w:rsidR="002C1D9D">
        <w:t>all of the</w:t>
      </w:r>
      <w:r w:rsidR="00262E3B">
        <w:t xml:space="preserve"> motions</w:t>
      </w:r>
      <w:r w:rsidR="002C1D9D">
        <w:t xml:space="preserve"> at issue in Issues 2 and 3</w:t>
      </w:r>
      <w:r>
        <w:t>. (Schrader)</w:t>
      </w:r>
    </w:p>
    <w:p w:rsidR="00AD2CCD" w:rsidRPr="00AD2CCD" w:rsidRDefault="001D4A46" w:rsidP="00AD2CCD">
      <w:pPr>
        <w:pStyle w:val="IssueSubsectionHeading"/>
        <w:rPr>
          <w:rFonts w:ascii="Times New Roman" w:hAnsi="Times New Roman" w:cs="Times New Roman"/>
          <w:b w:val="0"/>
          <w:i w:val="0"/>
        </w:rPr>
      </w:pPr>
      <w:r w:rsidRPr="004C3641">
        <w:t>Staff Analysis: </w:t>
      </w:r>
      <w:r w:rsidR="00336AEB">
        <w:t xml:space="preserve"> </w:t>
      </w:r>
      <w:r w:rsidR="00AD2CCD" w:rsidRPr="00AD2CCD">
        <w:rPr>
          <w:rFonts w:ascii="Times New Roman" w:hAnsi="Times New Roman" w:cs="Times New Roman"/>
          <w:b w:val="0"/>
          <w:i w:val="0"/>
        </w:rPr>
        <w:t xml:space="preserve">Rule 25-22.0021(3), </w:t>
      </w:r>
      <w:r w:rsidR="0076427C">
        <w:rPr>
          <w:rFonts w:ascii="Times New Roman" w:hAnsi="Times New Roman" w:cs="Times New Roman"/>
          <w:b w:val="0"/>
          <w:i w:val="0"/>
        </w:rPr>
        <w:t>F.A.C.</w:t>
      </w:r>
      <w:r w:rsidR="00AD2CCD" w:rsidRPr="00AD2CCD">
        <w:rPr>
          <w:rFonts w:ascii="Times New Roman" w:hAnsi="Times New Roman" w:cs="Times New Roman"/>
          <w:b w:val="0"/>
          <w:i w:val="0"/>
        </w:rPr>
        <w:t>, specifies that informal participation is not permitted on dispositive motions and participation on such is governed by Rule 25-22.0022, F.A.C. Rule 25-22.0022(7), F.A.C., states that oral argument at Agenda Conference will only be entertained for dispositive motions, such as a motion for summary final order.</w:t>
      </w:r>
    </w:p>
    <w:p w:rsidR="00AD2CCD" w:rsidRDefault="00AD2CCD" w:rsidP="00AD2CCD">
      <w:pPr>
        <w:pStyle w:val="BodyText"/>
      </w:pPr>
      <w:r>
        <w:t xml:space="preserve">Rule 25-22.0022(1), F.A.C., </w:t>
      </w:r>
      <w:r w:rsidR="00146735" w:rsidRPr="007B3B5E">
        <w:t xml:space="preserve">provides that a request for oral argument should be timely filed and </w:t>
      </w:r>
      <w:r w:rsidR="00146735">
        <w:t>must</w:t>
      </w:r>
      <w:r w:rsidR="00146735" w:rsidRPr="007B3B5E">
        <w:t xml:space="preserve"> state with particularity why oral argument would aid the Commission in understanding and evaluating the issues to be decided</w:t>
      </w:r>
      <w:r>
        <w:t>.</w:t>
      </w:r>
      <w:r w:rsidRPr="00C74CB7">
        <w:t xml:space="preserve"> </w:t>
      </w:r>
      <w:r>
        <w:t xml:space="preserve">The request must also state </w:t>
      </w:r>
      <w:r w:rsidRPr="00C74CB7">
        <w:t>the amount of time requested for oral argument</w:t>
      </w:r>
      <w:r w:rsidRPr="005D4CCD">
        <w:t>. Failure to file a timely request for oral argument constitutes waiver of that request.</w:t>
      </w:r>
      <w:r>
        <w:t xml:space="preserve"> </w:t>
      </w:r>
      <w:r w:rsidR="00146735" w:rsidRPr="007B3B5E">
        <w:t>Rule 25-22.0022(3), F.A.C.</w:t>
      </w:r>
      <w:r w:rsidR="00146735">
        <w:t>,</w:t>
      </w:r>
      <w:r w:rsidR="00146735" w:rsidRPr="007B3B5E">
        <w:t xml:space="preserve"> provides that granting or denying a request for oral argument is within the sole discretion of the Commission.</w:t>
      </w:r>
    </w:p>
    <w:p w:rsidR="00AD2CCD" w:rsidRDefault="00365819" w:rsidP="00AD2CCD">
      <w:pPr>
        <w:pStyle w:val="BodyText"/>
      </w:pPr>
      <w:r>
        <w:t>KWRU’s</w:t>
      </w:r>
      <w:r w:rsidR="00AD2CCD">
        <w:t xml:space="preserve"> Request for Oral Argument </w:t>
      </w:r>
      <w:r>
        <w:t xml:space="preserve">on OPC’s Motion for Partial Summary Disposition and KWRU’s Cross-Motion for Summary Disposition (Request for Oral Argument) </w:t>
      </w:r>
      <w:r w:rsidR="00BB2DDF">
        <w:t>was timely filed and did</w:t>
      </w:r>
      <w:r w:rsidR="00A623FB">
        <w:t xml:space="preserve"> state why oral argument would aid the Commission in understanding the issues to be decided in this case.</w:t>
      </w:r>
      <w:r w:rsidR="00CB0B77">
        <w:t xml:space="preserve"> However, the request does not</w:t>
      </w:r>
      <w:r w:rsidR="00AD2CCD">
        <w:t xml:space="preserve"> specify the amount of time requested for oral argument. </w:t>
      </w:r>
      <w:r>
        <w:t>KWRU also acknowledges that neither party timely requested oral argument regarding KWRU’s Motion to Dismiss or Strike</w:t>
      </w:r>
      <w:r w:rsidR="00370751">
        <w:t>, but KWRU “</w:t>
      </w:r>
      <w:r w:rsidR="00370751" w:rsidRPr="00370751">
        <w:t>believes the Commission can benefit for oral argument on that Motion as well</w:t>
      </w:r>
      <w:r w:rsidR="00AD2CCD">
        <w:t>.</w:t>
      </w:r>
      <w:r w:rsidR="00370751">
        <w:t>”</w:t>
      </w:r>
    </w:p>
    <w:p w:rsidR="00AD2CCD" w:rsidRPr="00AD2CCD" w:rsidRDefault="001A5A23" w:rsidP="00AD2CCD">
      <w:pPr>
        <w:pStyle w:val="BodyText"/>
      </w:pPr>
      <w:r>
        <w:t>S</w:t>
      </w:r>
      <w:r w:rsidR="00AD2CCD">
        <w:t xml:space="preserve">taff </w:t>
      </w:r>
      <w:r w:rsidR="000F6F99">
        <w:t>recommends</w:t>
      </w:r>
      <w:r w:rsidR="00AD2CCD">
        <w:t xml:space="preserve"> that,</w:t>
      </w:r>
      <w:r w:rsidR="00AD2CCD" w:rsidRPr="003C5217">
        <w:t xml:space="preserve"> </w:t>
      </w:r>
      <w:r w:rsidR="00AD2CCD">
        <w:t>due to the complexity of this case, oral argument would be helpful for the Commission to better understand the entirety of the series of events and legal issues. Thus, staff recommends that the Commission</w:t>
      </w:r>
      <w:r w:rsidR="009C1D99">
        <w:t xml:space="preserve"> </w:t>
      </w:r>
      <w:r w:rsidR="00CA2A4B">
        <w:t>allow 5 minutes</w:t>
      </w:r>
      <w:r w:rsidR="00B04C15">
        <w:t xml:space="preserve"> per side</w:t>
      </w:r>
      <w:r w:rsidR="00CA2A4B">
        <w:t xml:space="preserve"> for oral argument on </w:t>
      </w:r>
      <w:r w:rsidR="000F6F99">
        <w:t xml:space="preserve">all </w:t>
      </w:r>
      <w:r w:rsidR="00CA2A4B">
        <w:t>out</w:t>
      </w:r>
      <w:r w:rsidR="006927C3">
        <w:t>standing motions in this case (</w:t>
      </w:r>
      <w:r w:rsidR="00A623FB">
        <w:t>OPC’s Motion for Partial Summary Final Order</w:t>
      </w:r>
      <w:r w:rsidR="00CA2A4B">
        <w:t>,</w:t>
      </w:r>
      <w:r w:rsidR="00A623FB">
        <w:t xml:space="preserve"> KWRU’s Cross</w:t>
      </w:r>
      <w:r w:rsidR="00CA2A4B">
        <w:t>-Motion for Summary Final Order,</w:t>
      </w:r>
      <w:r w:rsidR="00A623FB">
        <w:t xml:space="preserve"> and KWRU’s Motion to Dismiss or Strike</w:t>
      </w:r>
      <w:r w:rsidR="006927C3">
        <w:t>)</w:t>
      </w:r>
      <w:r w:rsidR="00AD2CCD">
        <w:t>.</w:t>
      </w:r>
    </w:p>
    <w:p w:rsidR="00AD2CCD" w:rsidRPr="00AD2CCD" w:rsidRDefault="00AD2CCD" w:rsidP="00AD2CCD">
      <w:pPr>
        <w:pStyle w:val="BodyText"/>
      </w:pPr>
    </w:p>
    <w:p w:rsidR="00602158" w:rsidRDefault="00602158" w:rsidP="00B27D82">
      <w:pPr>
        <w:pStyle w:val="BodyText"/>
        <w:sectPr w:rsidR="00602158" w:rsidSect="0068481F">
          <w:headerReference w:type="default" r:id="rId12"/>
          <w:pgSz w:w="12240" w:h="15840" w:code="1"/>
          <w:pgMar w:top="1584" w:right="1440" w:bottom="1440" w:left="1440" w:header="720" w:footer="720" w:gutter="0"/>
          <w:cols w:space="720"/>
          <w:formProt w:val="0"/>
          <w:docGrid w:linePitch="360"/>
        </w:sectPr>
      </w:pPr>
    </w:p>
    <w:p w:rsidR="00E0420A" w:rsidRDefault="00E0420A" w:rsidP="00E0420A">
      <w:pPr>
        <w:pStyle w:val="IssueHeading"/>
        <w:rPr>
          <w:vanish/>
          <w:specVanish/>
        </w:rPr>
      </w:pPr>
      <w:r w:rsidRPr="004C3641">
        <w:lastRenderedPageBreak/>
        <w:t xml:space="preserve">Issue </w:t>
      </w:r>
      <w:r w:rsidR="00602158">
        <w:t>2</w:t>
      </w:r>
      <w:r w:rsidRPr="004C3641">
        <w:t>:</w:t>
      </w:r>
      <w:r>
        <w:fldChar w:fldCharType="begin"/>
      </w:r>
      <w:r>
        <w:instrText xml:space="preserve"> TC "</w:instrText>
      </w:r>
      <w:r>
        <w:fldChar w:fldCharType="begin"/>
      </w:r>
      <w:r>
        <w:instrText xml:space="preserve"> SEQ issue \c </w:instrText>
      </w:r>
      <w:r>
        <w:fldChar w:fldCharType="separate"/>
      </w:r>
      <w:r w:rsidR="00311658">
        <w:rPr>
          <w:noProof/>
        </w:rPr>
        <w:instrText>1</w:instrText>
      </w:r>
      <w:r>
        <w:fldChar w:fldCharType="end"/>
      </w:r>
      <w:r>
        <w:tab/>
        <w:instrText xml:space="preserve">" \l 1 </w:instrText>
      </w:r>
      <w:r>
        <w:fldChar w:fldCharType="end"/>
      </w:r>
      <w:r>
        <w:t> </w:t>
      </w:r>
    </w:p>
    <w:p w:rsidR="00E0420A" w:rsidRDefault="00E0420A" w:rsidP="00E0420A">
      <w:pPr>
        <w:pStyle w:val="BodyText"/>
      </w:pPr>
      <w:r>
        <w:t> </w:t>
      </w:r>
      <w:r w:rsidR="00FC2FFF">
        <w:t>S</w:t>
      </w:r>
      <w:r w:rsidR="00926E4C">
        <w:t xml:space="preserve">hould the Commission grant KWRU’s </w:t>
      </w:r>
      <w:r w:rsidR="00BA7160">
        <w:t>Motion to Dismiss or Strike</w:t>
      </w:r>
      <w:r w:rsidR="00926E4C">
        <w:t>?</w:t>
      </w:r>
    </w:p>
    <w:p w:rsidR="00E0420A" w:rsidRPr="004C3641" w:rsidRDefault="00E0420A" w:rsidP="00E0420A">
      <w:pPr>
        <w:pStyle w:val="IssueSubsectionHeading"/>
        <w:rPr>
          <w:vanish/>
          <w:specVanish/>
        </w:rPr>
      </w:pPr>
      <w:r w:rsidRPr="004C3641">
        <w:t>Recommendation: </w:t>
      </w:r>
    </w:p>
    <w:p w:rsidR="00E0420A" w:rsidRDefault="00E0420A" w:rsidP="00E0420A">
      <w:pPr>
        <w:pStyle w:val="BodyText"/>
      </w:pPr>
      <w:r>
        <w:t> </w:t>
      </w:r>
      <w:r w:rsidR="009B5421">
        <w:t xml:space="preserve">No. </w:t>
      </w:r>
      <w:r w:rsidR="00CD6AD3">
        <w:t xml:space="preserve">The Commission should </w:t>
      </w:r>
      <w:r w:rsidR="002C1D9D">
        <w:t>deny</w:t>
      </w:r>
      <w:r w:rsidR="00CD6AD3">
        <w:t xml:space="preserve"> KWRU’s Motion to Dismiss or Strike.</w:t>
      </w:r>
      <w:r w:rsidR="009B5421">
        <w:t xml:space="preserve"> (Schrader)</w:t>
      </w:r>
    </w:p>
    <w:p w:rsidR="00E0420A" w:rsidRPr="004C3641" w:rsidRDefault="00E0420A" w:rsidP="00E0420A">
      <w:pPr>
        <w:pStyle w:val="IssueSubsectionHeading"/>
        <w:rPr>
          <w:vanish/>
          <w:specVanish/>
        </w:rPr>
      </w:pPr>
      <w:r w:rsidRPr="004C3641">
        <w:t>Staff Analysis: </w:t>
      </w:r>
    </w:p>
    <w:p w:rsidR="00AD2CCD" w:rsidRDefault="00AD2CCD" w:rsidP="00CE5B44">
      <w:pPr>
        <w:pStyle w:val="IssueSubsectionHeading"/>
      </w:pPr>
    </w:p>
    <w:p w:rsidR="00AD2CCD" w:rsidRDefault="00AD2CCD" w:rsidP="00AD2CCD">
      <w:pPr>
        <w:pStyle w:val="BodyText"/>
        <w:rPr>
          <w:rFonts w:ascii="Arial" w:hAnsi="Arial" w:cs="Arial"/>
          <w:b/>
        </w:rPr>
      </w:pPr>
      <w:r w:rsidRPr="00CF4773">
        <w:rPr>
          <w:rFonts w:ascii="Arial" w:hAnsi="Arial" w:cs="Arial"/>
          <w:b/>
        </w:rPr>
        <w:t xml:space="preserve">Motion </w:t>
      </w:r>
      <w:r>
        <w:rPr>
          <w:rFonts w:ascii="Arial" w:hAnsi="Arial" w:cs="Arial"/>
          <w:b/>
        </w:rPr>
        <w:t>to Dismiss</w:t>
      </w:r>
    </w:p>
    <w:p w:rsidR="00E37E7D" w:rsidRPr="00BA7160" w:rsidRDefault="00BA7160" w:rsidP="000727B1">
      <w:pPr>
        <w:pStyle w:val="BodyText"/>
      </w:pPr>
      <w:r>
        <w:t xml:space="preserve">From KWRU’s Motion to Dismiss or Strike it is unclear what type of dismissal KWRU seeks. </w:t>
      </w:r>
      <w:r w:rsidR="007A70C7">
        <w:t>KWRU</w:t>
      </w:r>
      <w:r>
        <w:t xml:space="preserve"> </w:t>
      </w:r>
      <w:r w:rsidR="00CE5B44">
        <w:t>argues</w:t>
      </w:r>
      <w:r>
        <w:t xml:space="preserve"> that </w:t>
      </w:r>
      <w:r w:rsidR="009C1D99">
        <w:t xml:space="preserve">OPC’s </w:t>
      </w:r>
      <w:r w:rsidR="007F5298">
        <w:t>Petition</w:t>
      </w:r>
      <w:r w:rsidR="000727B1">
        <w:t xml:space="preserve"> “fail</w:t>
      </w:r>
      <w:r w:rsidR="00D05670">
        <w:t>[s]</w:t>
      </w:r>
      <w:r w:rsidR="000727B1">
        <w:t xml:space="preserve"> to state claims upon which relief may be granted as OPC lacks standing and should not be provided an evidentiary hearing, and should be dismissed.”</w:t>
      </w:r>
      <w:r w:rsidR="000727B1">
        <w:rPr>
          <w:rStyle w:val="FootnoteReference"/>
        </w:rPr>
        <w:footnoteReference w:id="9"/>
      </w:r>
      <w:r w:rsidR="00590B6B">
        <w:t xml:space="preserve"> KWRU’s Motion also cites </w:t>
      </w:r>
      <w:r w:rsidR="007A14CC" w:rsidRPr="007A14CC">
        <w:rPr>
          <w:i/>
        </w:rPr>
        <w:t>Huet v. Mike Shad Ford, Inc.</w:t>
      </w:r>
      <w:r w:rsidR="007A14CC" w:rsidRPr="007A14CC">
        <w:t>, 915 So. 2d 723, 725 (Fla. 5th DCA 2005)</w:t>
      </w:r>
      <w:r w:rsidR="009C1D99">
        <w:t>.</w:t>
      </w:r>
      <w:r w:rsidR="00F6734C">
        <w:t xml:space="preserve"> </w:t>
      </w:r>
      <w:r w:rsidR="00262E3B" w:rsidRPr="00262E3B">
        <w:rPr>
          <w:i/>
        </w:rPr>
        <w:t>Huet</w:t>
      </w:r>
      <w:r w:rsidR="004F56C1">
        <w:t xml:space="preserve"> involves the dismissal of a claim that fails to sufficiently state a cause of action</w:t>
      </w:r>
      <w:r w:rsidR="00B04C15">
        <w:t>. KWRU also cites</w:t>
      </w:r>
      <w:r w:rsidR="004F5196">
        <w:t xml:space="preserve"> </w:t>
      </w:r>
      <w:r w:rsidR="004F5196" w:rsidRPr="004F5196">
        <w:rPr>
          <w:i/>
        </w:rPr>
        <w:t>Ginsberg v. Lennar Fla. Holdings Inc.</w:t>
      </w:r>
      <w:r w:rsidR="004F5196" w:rsidRPr="004F5196">
        <w:t>, 645 So. 2d 490, 501 (Fla. 3d DCA 1994)</w:t>
      </w:r>
      <w:r w:rsidR="002C1D9D">
        <w:t>,</w:t>
      </w:r>
      <w:r w:rsidR="004F5196" w:rsidRPr="004F5196">
        <w:t xml:space="preserve"> to support </w:t>
      </w:r>
      <w:r w:rsidR="004F5196">
        <w:t>the idea that “a</w:t>
      </w:r>
      <w:r w:rsidR="004F5196" w:rsidRPr="004F5196">
        <w:t xml:space="preserve"> party does not state a cause of action by asserting bare legal conclusions without supporting factual allegations</w:t>
      </w:r>
      <w:r w:rsidR="004F56C1">
        <w:t>.</w:t>
      </w:r>
      <w:r w:rsidR="004F5196">
        <w:t>”</w:t>
      </w:r>
      <w:r w:rsidR="004F5196">
        <w:rPr>
          <w:rStyle w:val="FootnoteReference"/>
        </w:rPr>
        <w:footnoteReference w:id="10"/>
      </w:r>
      <w:r w:rsidR="004F5196">
        <w:t xml:space="preserve"> </w:t>
      </w:r>
      <w:r w:rsidR="00262E3B">
        <w:t xml:space="preserve">Despite its citations to </w:t>
      </w:r>
      <w:r w:rsidR="00262E3B">
        <w:rPr>
          <w:i/>
        </w:rPr>
        <w:t xml:space="preserve">Huet </w:t>
      </w:r>
      <w:r w:rsidR="00262E3B">
        <w:t xml:space="preserve">and </w:t>
      </w:r>
      <w:r w:rsidR="00262E3B">
        <w:rPr>
          <w:i/>
        </w:rPr>
        <w:t>Ginsberg</w:t>
      </w:r>
      <w:r w:rsidR="004F56C1">
        <w:t>, KWRU’s main arguments are based upon OPC</w:t>
      </w:r>
      <w:r w:rsidR="00B04C15">
        <w:t xml:space="preserve"> allegedly</w:t>
      </w:r>
      <w:r w:rsidR="004F56C1">
        <w:t xml:space="preserve"> lacking standing</w:t>
      </w:r>
      <w:r w:rsidR="00FC4231">
        <w:t>,</w:t>
      </w:r>
      <w:r w:rsidR="004F56C1">
        <w:t xml:space="preserve"> and </w:t>
      </w:r>
      <w:r w:rsidR="0028707B">
        <w:t xml:space="preserve">KWRU </w:t>
      </w:r>
      <w:r w:rsidR="004F56C1">
        <w:t>seeks</w:t>
      </w:r>
      <w:r w:rsidR="0028707B">
        <w:t xml:space="preserve"> the</w:t>
      </w:r>
      <w:r w:rsidR="004F56C1">
        <w:t xml:space="preserve"> dismissal</w:t>
      </w:r>
      <w:r w:rsidR="0028707B">
        <w:t xml:space="preserve"> of OPC</w:t>
      </w:r>
      <w:r w:rsidR="004F56C1">
        <w:t xml:space="preserve"> on those grounds. </w:t>
      </w:r>
      <w:r w:rsidR="00262E3B">
        <w:t>Given these circumstances, s</w:t>
      </w:r>
      <w:r w:rsidR="00D37645">
        <w:t>taff is unclear whether KWRU asserts a Motion to Dismiss for Failure to State a Cause of Action or if KWRU asserts a Motion to Dismiss for Lack of Jurisdiction. Therefore</w:t>
      </w:r>
      <w:r w:rsidR="004F56C1">
        <w:t>, staff analyzed KWRU’s Motion on both bases below.</w:t>
      </w:r>
    </w:p>
    <w:p w:rsidR="00AD2CCD" w:rsidRDefault="00AD2CCD" w:rsidP="00AD2CCD">
      <w:pPr>
        <w:pStyle w:val="BodyText"/>
        <w:rPr>
          <w:rFonts w:ascii="Arial" w:hAnsi="Arial" w:cs="Arial"/>
          <w:b/>
          <w:i/>
        </w:rPr>
      </w:pPr>
      <w:r>
        <w:rPr>
          <w:rFonts w:ascii="Arial" w:hAnsi="Arial" w:cs="Arial"/>
          <w:b/>
        </w:rPr>
        <w:tab/>
      </w:r>
      <w:r>
        <w:rPr>
          <w:rFonts w:ascii="Arial" w:hAnsi="Arial" w:cs="Arial"/>
          <w:b/>
          <w:i/>
        </w:rPr>
        <w:t>Motion to Dismiss</w:t>
      </w:r>
      <w:r w:rsidR="007A14CC">
        <w:rPr>
          <w:rFonts w:ascii="Arial" w:hAnsi="Arial" w:cs="Arial"/>
          <w:b/>
          <w:i/>
        </w:rPr>
        <w:t xml:space="preserve"> for Failure to State a Cause of Action</w:t>
      </w:r>
    </w:p>
    <w:p w:rsidR="00D37645" w:rsidRDefault="001D3073" w:rsidP="00AD2CCD">
      <w:pPr>
        <w:pStyle w:val="BodyText"/>
      </w:pPr>
      <w:r>
        <w:t>In making a Motion to Dismiss for Failure to State a Cause of Action</w:t>
      </w:r>
      <w:r w:rsidR="0037391B">
        <w:t>, the burden is on the moving party to show that even if the facts in a complaint</w:t>
      </w:r>
      <w:r w:rsidR="00262E3B">
        <w:t xml:space="preserve"> (in this case</w:t>
      </w:r>
      <w:r w:rsidR="009041C7">
        <w:t>,</w:t>
      </w:r>
      <w:r w:rsidR="00262E3B">
        <w:t xml:space="preserve"> OPC’s </w:t>
      </w:r>
      <w:r w:rsidR="007F5298">
        <w:t>Petition</w:t>
      </w:r>
      <w:r w:rsidR="00262E3B">
        <w:t>)</w:t>
      </w:r>
      <w:r w:rsidR="0037391B">
        <w:t xml:space="preserve"> are true</w:t>
      </w:r>
      <w:r w:rsidR="00881DA1">
        <w:t xml:space="preserve">, the complainant would not be entitled to </w:t>
      </w:r>
      <w:r w:rsidR="00206EB7">
        <w:t xml:space="preserve">the </w:t>
      </w:r>
      <w:r w:rsidR="00881DA1">
        <w:t>relief requested.</w:t>
      </w:r>
      <w:r w:rsidR="00672FEF">
        <w:rPr>
          <w:rStyle w:val="FootnoteReference"/>
        </w:rPr>
        <w:footnoteReference w:id="11"/>
      </w:r>
      <w:r w:rsidR="00672FEF">
        <w:t xml:space="preserve"> In ruling on such a motion, the well-pled allegations of the complaint (or</w:t>
      </w:r>
      <w:r w:rsidR="00206EB7">
        <w:t xml:space="preserve"> the</w:t>
      </w:r>
      <w:r w:rsidR="009C1D99">
        <w:t xml:space="preserve"> </w:t>
      </w:r>
      <w:r w:rsidR="00206EB7">
        <w:t>p</w:t>
      </w:r>
      <w:r w:rsidR="007F5298">
        <w:t>etition</w:t>
      </w:r>
      <w:r w:rsidR="00672FEF">
        <w:t xml:space="preserve"> in this case) must be taken as true, and any allegations must be construed in the light most favorable to the non-moving party.</w:t>
      </w:r>
      <w:r w:rsidR="00672FEF">
        <w:rPr>
          <w:rStyle w:val="FootnoteReference"/>
        </w:rPr>
        <w:footnoteReference w:id="12"/>
      </w:r>
      <w:r w:rsidR="00672FEF">
        <w:t xml:space="preserve"> </w:t>
      </w:r>
      <w:r w:rsidR="00E37E7D">
        <w:t>A motion to dismiss is not a substitute for a motion for summary judgment and a</w:t>
      </w:r>
      <w:r w:rsidR="00672FEF">
        <w:t xml:space="preserve"> ruling </w:t>
      </w:r>
      <w:r w:rsidR="00E37E7D">
        <w:t xml:space="preserve">on a motion to dismiss </w:t>
      </w:r>
      <w:r w:rsidR="00672FEF">
        <w:t>should be based solely upon the “four corners” of the complaint</w:t>
      </w:r>
      <w:r w:rsidR="00E37E7D">
        <w:t>.</w:t>
      </w:r>
      <w:r w:rsidR="00672FEF">
        <w:rPr>
          <w:rStyle w:val="FootnoteReference"/>
        </w:rPr>
        <w:footnoteReference w:id="13"/>
      </w:r>
      <w:r w:rsidR="00672FEF">
        <w:t xml:space="preserve"> </w:t>
      </w:r>
      <w:r w:rsidR="00E37E7D">
        <w:t>Such a ruling</w:t>
      </w:r>
      <w:r w:rsidR="00672FEF">
        <w:t xml:space="preserve"> may not be based upon any speculation of what is true or may be ultimately proven.</w:t>
      </w:r>
      <w:r w:rsidR="00136866">
        <w:rPr>
          <w:rStyle w:val="FootnoteReference"/>
        </w:rPr>
        <w:footnoteReference w:id="14"/>
      </w:r>
    </w:p>
    <w:p w:rsidR="0081788D" w:rsidRDefault="00D37645" w:rsidP="00AD2CCD">
      <w:pPr>
        <w:pStyle w:val="BodyText"/>
      </w:pPr>
      <w:r>
        <w:t xml:space="preserve">KWRU, by citing to </w:t>
      </w:r>
      <w:r>
        <w:rPr>
          <w:i/>
        </w:rPr>
        <w:t>Ginsberg</w:t>
      </w:r>
      <w:r>
        <w:t xml:space="preserve"> and </w:t>
      </w:r>
      <w:r>
        <w:rPr>
          <w:i/>
        </w:rPr>
        <w:t>Huet</w:t>
      </w:r>
      <w:r w:rsidR="007729E9">
        <w:t>,</w:t>
      </w:r>
      <w:r>
        <w:t xml:space="preserve"> appears to</w:t>
      </w:r>
      <w:r w:rsidR="00475BF3">
        <w:t xml:space="preserve"> argue</w:t>
      </w:r>
      <w:r>
        <w:t xml:space="preserve"> that </w:t>
      </w:r>
      <w:r w:rsidR="009C1D99">
        <w:t xml:space="preserve">OPC’s </w:t>
      </w:r>
      <w:r w:rsidR="007F5298">
        <w:t>Petition</w:t>
      </w:r>
      <w:r w:rsidR="00862D56">
        <w:t xml:space="preserve"> </w:t>
      </w:r>
      <w:r>
        <w:t xml:space="preserve">failed to properly allege facts to support </w:t>
      </w:r>
      <w:r w:rsidR="00862D56">
        <w:t>its</w:t>
      </w:r>
      <w:r>
        <w:t xml:space="preserve"> legal c</w:t>
      </w:r>
      <w:r w:rsidR="00862D56">
        <w:t>onclusions</w:t>
      </w:r>
      <w:r w:rsidR="007633A6">
        <w:t xml:space="preserve">; </w:t>
      </w:r>
      <w:r w:rsidR="00F953BD">
        <w:t>thus</w:t>
      </w:r>
      <w:r w:rsidR="007633A6">
        <w:t xml:space="preserve"> KWRU is</w:t>
      </w:r>
      <w:r w:rsidR="00F953BD">
        <w:t xml:space="preserve"> arguing that</w:t>
      </w:r>
      <w:r w:rsidR="001D3073">
        <w:t xml:space="preserve"> OPC’</w:t>
      </w:r>
      <w:r w:rsidR="002B0F6F">
        <w:t>s allegations are not “well-ple</w:t>
      </w:r>
      <w:r w:rsidR="00B04C15">
        <w:t>d.</w:t>
      </w:r>
      <w:r w:rsidR="007633A6">
        <w:t>”</w:t>
      </w:r>
      <w:r w:rsidR="00862D56">
        <w:t xml:space="preserve"> However, KWRU does not specify which legal conclusions of OPC are not supported by alleged facts. OPC res</w:t>
      </w:r>
      <w:r w:rsidR="00E31188">
        <w:t xml:space="preserve">ponded to KWRU by stating that </w:t>
      </w:r>
      <w:r w:rsidR="00862D56" w:rsidRPr="00862D56">
        <w:t xml:space="preserve">all of the requisite facts at issue are clearly outlined in OPC’s </w:t>
      </w:r>
      <w:r w:rsidR="007F5298">
        <w:t>Petition</w:t>
      </w:r>
      <w:r w:rsidR="00AA18EC">
        <w:t>.</w:t>
      </w:r>
      <w:r w:rsidR="00987D3E">
        <w:rPr>
          <w:rStyle w:val="FootnoteReference"/>
        </w:rPr>
        <w:footnoteReference w:id="15"/>
      </w:r>
      <w:r w:rsidR="00987D3E">
        <w:t xml:space="preserve"> OPC alleges </w:t>
      </w:r>
      <w:r w:rsidR="00862D56" w:rsidRPr="00862D56">
        <w:t xml:space="preserve">the Commission arbitrarily cut off the </w:t>
      </w:r>
      <w:r w:rsidR="00862D56" w:rsidRPr="00862D56">
        <w:lastRenderedPageBreak/>
        <w:t xml:space="preserve">time frame covered by its audit, rather than including the full time frame of the incorrect billing, </w:t>
      </w:r>
      <w:r w:rsidR="00776DEE">
        <w:t xml:space="preserve">arguing </w:t>
      </w:r>
      <w:r w:rsidR="00862D56" w:rsidRPr="00862D56">
        <w:t>that Rule 25-30.350, F.A.C., requires that the entirety of any incorrect charges must be refunded.</w:t>
      </w:r>
      <w:r w:rsidR="00262E3B">
        <w:rPr>
          <w:rStyle w:val="FootnoteReference"/>
        </w:rPr>
        <w:footnoteReference w:id="16"/>
      </w:r>
      <w:r w:rsidR="0007167F">
        <w:t xml:space="preserve"> </w:t>
      </w:r>
    </w:p>
    <w:p w:rsidR="00677102" w:rsidRDefault="0007167F" w:rsidP="00AD2CCD">
      <w:pPr>
        <w:pStyle w:val="BodyText"/>
      </w:pPr>
      <w:r>
        <w:t xml:space="preserve">In reviewing OPC’s petition, </w:t>
      </w:r>
      <w:r w:rsidR="0081788D">
        <w:t>OPC’s</w:t>
      </w:r>
      <w:r>
        <w:t xml:space="preserve"> primary legal conclusion is that the Commission should have conducted </w:t>
      </w:r>
      <w:r w:rsidR="00016D9E">
        <w:t>an</w:t>
      </w:r>
      <w:r>
        <w:t xml:space="preserve"> audit of KWRU</w:t>
      </w:r>
      <w:r w:rsidR="007A70C7">
        <w:t xml:space="preserve"> that covered a longer period</w:t>
      </w:r>
      <w:r>
        <w:t xml:space="preserve"> and </w:t>
      </w:r>
      <w:r w:rsidR="0081788D">
        <w:t>that Rule 25-</w:t>
      </w:r>
      <w:r w:rsidR="00C61EFB">
        <w:t>30.</w:t>
      </w:r>
      <w:r w:rsidR="0081788D">
        <w:t>350, F.A.C.</w:t>
      </w:r>
      <w:r w:rsidR="006927C3">
        <w:t>,</w:t>
      </w:r>
      <w:r>
        <w:t xml:space="preserve"> </w:t>
      </w:r>
      <w:r w:rsidR="0081788D">
        <w:t xml:space="preserve">required </w:t>
      </w:r>
      <w:r>
        <w:t>additional refunds from KWRU</w:t>
      </w:r>
      <w:r w:rsidR="0081788D">
        <w:t xml:space="preserve">. </w:t>
      </w:r>
      <w:r>
        <w:t>OPC supports this conclusion by alleging that KWRU</w:t>
      </w:r>
      <w:r w:rsidR="007A70C7">
        <w:t>’s</w:t>
      </w:r>
      <w:r w:rsidR="0081788D">
        <w:t xml:space="preserve"> irregular billing practices were for a longer period than what was covered in the audit and refunds</w:t>
      </w:r>
      <w:r w:rsidR="00862D56">
        <w:t xml:space="preserve">. </w:t>
      </w:r>
      <w:r w:rsidR="0081788D">
        <w:t xml:space="preserve">Therefore, staff </w:t>
      </w:r>
      <w:r>
        <w:t>r</w:t>
      </w:r>
      <w:r w:rsidR="00DC5A57">
        <w:t>ecommend</w:t>
      </w:r>
      <w:r w:rsidR="00475BF3">
        <w:t>s that</w:t>
      </w:r>
      <w:r w:rsidR="00DC5A57">
        <w:t xml:space="preserve"> the Commission find</w:t>
      </w:r>
      <w:r w:rsidR="00862D56">
        <w:t xml:space="preserve"> that </w:t>
      </w:r>
      <w:r w:rsidR="0081788D">
        <w:t xml:space="preserve">OPC has alleged sufficient facts to </w:t>
      </w:r>
      <w:r w:rsidR="00862D56">
        <w:t>support its legal conclusions</w:t>
      </w:r>
      <w:r w:rsidR="00677102">
        <w:t>.</w:t>
      </w:r>
    </w:p>
    <w:p w:rsidR="00D37645" w:rsidRPr="00D37645" w:rsidRDefault="00677102" w:rsidP="00AD2CCD">
      <w:pPr>
        <w:pStyle w:val="BodyText"/>
      </w:pPr>
      <w:r>
        <w:t xml:space="preserve">Given </w:t>
      </w:r>
      <w:r w:rsidR="007A70C7">
        <w:t xml:space="preserve">that OPC has </w:t>
      </w:r>
      <w:r w:rsidR="007729E9">
        <w:t>alleged sufficient facts</w:t>
      </w:r>
      <w:r w:rsidR="00961265">
        <w:t xml:space="preserve"> to support its legal conclusions</w:t>
      </w:r>
      <w:r>
        <w:t xml:space="preserve">, the next question is whether, </w:t>
      </w:r>
      <w:r w:rsidR="009B5421">
        <w:t xml:space="preserve">if </w:t>
      </w:r>
      <w:r>
        <w:t xml:space="preserve">OPC’s allegations are true, </w:t>
      </w:r>
      <w:r w:rsidR="002B0F6F">
        <w:t>i</w:t>
      </w:r>
      <w:r>
        <w:t xml:space="preserve">t </w:t>
      </w:r>
      <w:r w:rsidR="002B0F6F">
        <w:t xml:space="preserve">would </w:t>
      </w:r>
      <w:r>
        <w:t>be entitled to the relief it requests. In this case, if</w:t>
      </w:r>
      <w:r w:rsidR="0010202E">
        <w:t>, as OPC asserts,</w:t>
      </w:r>
      <w:r>
        <w:t xml:space="preserve"> </w:t>
      </w:r>
      <w:r w:rsidR="0010202E">
        <w:t xml:space="preserve">the </w:t>
      </w:r>
      <w:r>
        <w:t>time frame of the audit of KWRU</w:t>
      </w:r>
      <w:r w:rsidR="007729E9">
        <w:t xml:space="preserve"> should have been longer</w:t>
      </w:r>
      <w:r w:rsidR="0010202E">
        <w:t>,</w:t>
      </w:r>
      <w:r>
        <w:t xml:space="preserve"> and if </w:t>
      </w:r>
      <w:r w:rsidR="0010202E">
        <w:t>OPC’s</w:t>
      </w:r>
      <w:r w:rsidR="00961265">
        <w:t xml:space="preserve"> application of </w:t>
      </w:r>
      <w:r>
        <w:t>Rule 25-30.350, F.A.C.</w:t>
      </w:r>
      <w:r w:rsidR="00317D9D">
        <w:t>,</w:t>
      </w:r>
      <w:r w:rsidR="00961265">
        <w:t xml:space="preserve"> is correct</w:t>
      </w:r>
      <w:r w:rsidR="0010202E">
        <w:t>, then it is possible that KWRU could</w:t>
      </w:r>
      <w:r>
        <w:t xml:space="preserve"> owe additional refunds </w:t>
      </w:r>
      <w:r w:rsidR="00961265">
        <w:t>to customers</w:t>
      </w:r>
      <w:r>
        <w:t xml:space="preserve">. Therefore, staff recommends that </w:t>
      </w:r>
      <w:r w:rsidR="00987D3E">
        <w:t>KWRU’s Motion to Dismiss should not be granted on the basis of OPC failing to state a cause of action</w:t>
      </w:r>
      <w:r>
        <w:t>.</w:t>
      </w:r>
    </w:p>
    <w:p w:rsidR="00AD2CCD" w:rsidRDefault="00AD2CCD" w:rsidP="00AD2CCD">
      <w:pPr>
        <w:pStyle w:val="BodyText"/>
        <w:rPr>
          <w:rFonts w:ascii="Arial" w:hAnsi="Arial" w:cs="Arial"/>
          <w:b/>
          <w:i/>
        </w:rPr>
      </w:pPr>
      <w:r>
        <w:tab/>
      </w:r>
      <w:r w:rsidR="00A57EDF">
        <w:rPr>
          <w:rFonts w:ascii="Arial" w:hAnsi="Arial" w:cs="Arial"/>
          <w:b/>
          <w:i/>
        </w:rPr>
        <w:t>Motion to Dismiss for Lack of</w:t>
      </w:r>
      <w:r>
        <w:rPr>
          <w:rFonts w:ascii="Arial" w:hAnsi="Arial" w:cs="Arial"/>
          <w:b/>
          <w:i/>
        </w:rPr>
        <w:t xml:space="preserve"> Standing</w:t>
      </w:r>
    </w:p>
    <w:p w:rsidR="001D51D5" w:rsidRDefault="001D51D5" w:rsidP="00AD2CCD">
      <w:pPr>
        <w:pStyle w:val="BodyText"/>
      </w:pPr>
      <w:r>
        <w:t>As with motions to dismiss for failure to state a cause of action, review of motions to dismis</w:t>
      </w:r>
      <w:r w:rsidR="00CF52CF">
        <w:t xml:space="preserve">s for lack of standing must be </w:t>
      </w:r>
      <w:r>
        <w:t>confined to the four corners of the complaint, all inferences must be drawn in favor of the party pleading the complaint, and all well-pled allegations in the complaint must be accepted as true.</w:t>
      </w:r>
      <w:r>
        <w:rPr>
          <w:rStyle w:val="FootnoteReference"/>
        </w:rPr>
        <w:footnoteReference w:id="17"/>
      </w:r>
    </w:p>
    <w:p w:rsidR="00AD2CCD" w:rsidRDefault="00381328" w:rsidP="00AD2CCD">
      <w:pPr>
        <w:pStyle w:val="BodyText"/>
      </w:pPr>
      <w:r>
        <w:t>Florida’s Administrative Procedure Act</w:t>
      </w:r>
      <w:r w:rsidR="00AA36DE">
        <w:t>, in Section 120.52</w:t>
      </w:r>
      <w:r w:rsidR="007D5AEA">
        <w:t>(13)</w:t>
      </w:r>
      <w:r w:rsidR="00AA36DE">
        <w:t>, F.S.,</w:t>
      </w:r>
      <w:r>
        <w:t xml:space="preserve"> defines “party,” in part, as:</w:t>
      </w:r>
    </w:p>
    <w:p w:rsidR="00381328" w:rsidRDefault="00AA36DE" w:rsidP="00475BF3">
      <w:pPr>
        <w:pStyle w:val="BodyText"/>
        <w:ind w:left="720" w:right="720"/>
      </w:pPr>
      <w:r>
        <w:t>(a) Specifically named persons whose substantial interests are being determined in the proceeding.</w:t>
      </w:r>
      <w:r>
        <w:br/>
        <w:t xml:space="preserve">(b) Any other person who, as a matter of constitutional right, provision of statute, or provision of agency regulation, is entitled to participate in whole or in part in the proceeding, or whose substantial interests will be affected by proposed agency action, and who </w:t>
      </w:r>
      <w:r w:rsidR="005729C6">
        <w:t>makes an appearance as a party.</w:t>
      </w:r>
    </w:p>
    <w:p w:rsidR="00EB55EA" w:rsidRPr="005D326B" w:rsidRDefault="00B179CE" w:rsidP="00D26578">
      <w:pPr>
        <w:pStyle w:val="BodyText"/>
      </w:pPr>
      <w:r>
        <w:t>KWRU argues</w:t>
      </w:r>
      <w:r w:rsidR="00DE555E">
        <w:t xml:space="preserve"> that OPC lacks standing in this case because it does not meet the</w:t>
      </w:r>
      <w:r w:rsidR="00987D3E">
        <w:t xml:space="preserve"> two-part</w:t>
      </w:r>
      <w:r w:rsidR="00DE555E">
        <w:t xml:space="preserve"> “substantial interest”</w:t>
      </w:r>
      <w:r w:rsidR="00E11E65">
        <w:t xml:space="preserve"> test</w:t>
      </w:r>
      <w:r w:rsidR="00DE555E">
        <w:t xml:space="preserve"> as established in</w:t>
      </w:r>
      <w:r>
        <w:t xml:space="preserve"> </w:t>
      </w:r>
      <w:r w:rsidRPr="00AA36DE">
        <w:rPr>
          <w:i/>
        </w:rPr>
        <w:t>Agrico Chem. Co. v. Dep't of Envtl. Regulation</w:t>
      </w:r>
      <w:r>
        <w:t>, 406 So. 2d 478 (Fla. 2d DCA 1981)</w:t>
      </w:r>
      <w:r w:rsidR="00DE555E">
        <w:t>.</w:t>
      </w:r>
      <w:r w:rsidR="00DE555E">
        <w:rPr>
          <w:rStyle w:val="FootnoteReference"/>
        </w:rPr>
        <w:footnoteReference w:id="18"/>
      </w:r>
      <w:r>
        <w:t xml:space="preserve"> </w:t>
      </w:r>
      <w:r w:rsidR="00DE555E">
        <w:t xml:space="preserve">However, </w:t>
      </w:r>
      <w:r w:rsidR="001612F3">
        <w:t xml:space="preserve">as </w:t>
      </w:r>
      <w:r w:rsidR="00475BF3">
        <w:t xml:space="preserve">Section </w:t>
      </w:r>
      <w:r w:rsidR="00DD4E84">
        <w:t>120.52(13)(b)</w:t>
      </w:r>
      <w:r w:rsidR="007638A5">
        <w:t>,</w:t>
      </w:r>
      <w:r w:rsidR="00475BF3">
        <w:t xml:space="preserve"> F.S.,</w:t>
      </w:r>
      <w:r w:rsidR="00DD4E84">
        <w:t xml:space="preserve"> </w:t>
      </w:r>
      <w:r w:rsidR="00F56035">
        <w:t>indicate</w:t>
      </w:r>
      <w:r w:rsidR="001612F3">
        <w:t>s</w:t>
      </w:r>
      <w:r w:rsidR="00F56035">
        <w:t xml:space="preserve">, </w:t>
      </w:r>
      <w:r w:rsidR="000A4BE3">
        <w:t>one may be a party to an administrative proceeding simply by provision of statute.</w:t>
      </w:r>
      <w:r w:rsidR="000A4BE3">
        <w:rPr>
          <w:rStyle w:val="FootnoteReference"/>
        </w:rPr>
        <w:footnoteReference w:id="19"/>
      </w:r>
    </w:p>
    <w:p w:rsidR="007D5AEA" w:rsidRDefault="00987D3E" w:rsidP="00DA057B">
      <w:pPr>
        <w:pStyle w:val="BodyText"/>
      </w:pPr>
      <w:r>
        <w:lastRenderedPageBreak/>
        <w:t xml:space="preserve">OPC </w:t>
      </w:r>
      <w:r w:rsidR="0099558E">
        <w:t>is entitled to party</w:t>
      </w:r>
      <w:r w:rsidR="00EB55EA">
        <w:t xml:space="preserve"> status in Commission proceedings by statute. </w:t>
      </w:r>
      <w:r w:rsidR="00DE555E">
        <w:t xml:space="preserve">Section 350.0611(1), F.S., states </w:t>
      </w:r>
      <w:r w:rsidR="00F019EC">
        <w:t>that OPC has the power</w:t>
      </w:r>
      <w:r w:rsidR="00DE555E">
        <w:t xml:space="preserve"> “</w:t>
      </w:r>
      <w:r w:rsidR="00DE555E" w:rsidRPr="00B179CE">
        <w:t>to appear, in the name of the state or its citizens, in any proceeding or action before the commission</w:t>
      </w:r>
      <w:r w:rsidR="00291C78">
        <w:t>...</w:t>
      </w:r>
      <w:r w:rsidR="00DE555E" w:rsidRPr="00B179CE">
        <w:t>and urge therein any position which he or she deems to be in the public interest</w:t>
      </w:r>
      <w:r w:rsidR="00DE555E">
        <w:t>.”</w:t>
      </w:r>
      <w:r w:rsidR="0099558E">
        <w:t xml:space="preserve"> Therefore, staff recommends that KWRU’s Motion to Dismiss should not be granted on the basis of lack of standing.</w:t>
      </w:r>
    </w:p>
    <w:p w:rsidR="00AD2CCD" w:rsidRDefault="00AD2CCD" w:rsidP="00B27D82">
      <w:pPr>
        <w:pStyle w:val="BodyText"/>
        <w:keepNext/>
      </w:pPr>
      <w:r>
        <w:rPr>
          <w:rFonts w:ascii="Arial" w:hAnsi="Arial" w:cs="Arial"/>
          <w:b/>
          <w:i/>
        </w:rPr>
        <w:tab/>
        <w:t>Conclusion</w:t>
      </w:r>
    </w:p>
    <w:p w:rsidR="00D26578" w:rsidRDefault="00AD2CCD" w:rsidP="004F53B3">
      <w:pPr>
        <w:pStyle w:val="BodyText"/>
        <w:keepNext/>
      </w:pPr>
      <w:r>
        <w:t>KWRU’s Motion to Dismiss OPC from this case should be denied</w:t>
      </w:r>
      <w:r w:rsidR="00597DBE">
        <w:t xml:space="preserve"> because OPC has not</w:t>
      </w:r>
      <w:r w:rsidR="00137328">
        <w:t xml:space="preserve"> fail</w:t>
      </w:r>
      <w:r w:rsidR="00597DBE">
        <w:t>ed</w:t>
      </w:r>
      <w:r w:rsidR="00137328">
        <w:t xml:space="preserve"> to state a cause of action</w:t>
      </w:r>
      <w:r w:rsidR="00597DBE">
        <w:t xml:space="preserve"> and because</w:t>
      </w:r>
      <w:r w:rsidR="00CD6AD3">
        <w:t xml:space="preserve"> </w:t>
      </w:r>
      <w:r w:rsidR="00137328">
        <w:t>OPC</w:t>
      </w:r>
      <w:r w:rsidR="00D26578">
        <w:t xml:space="preserve"> has statutory authority</w:t>
      </w:r>
      <w:r w:rsidR="00CD6AD3">
        <w:t xml:space="preserve"> under </w:t>
      </w:r>
      <w:r w:rsidR="00137328">
        <w:t>Section 350.0611(1), F.S.</w:t>
      </w:r>
      <w:r w:rsidR="009B5421">
        <w:t>,</w:t>
      </w:r>
      <w:r w:rsidR="00137328">
        <w:t xml:space="preserve"> to appear in any proceeding o</w:t>
      </w:r>
      <w:r w:rsidR="004F53B3">
        <w:t>r action before the Commission.</w:t>
      </w:r>
    </w:p>
    <w:p w:rsidR="00AD2CCD" w:rsidRDefault="00AD2CCD" w:rsidP="00AD2CCD">
      <w:pPr>
        <w:pStyle w:val="BodyText"/>
      </w:pPr>
      <w:r w:rsidRPr="00DC08E7">
        <w:rPr>
          <w:rFonts w:ascii="Arial" w:hAnsi="Arial" w:cs="Arial"/>
          <w:b/>
        </w:rPr>
        <w:t>Motion to Strike</w:t>
      </w:r>
    </w:p>
    <w:p w:rsidR="00C12242" w:rsidRDefault="00C12242" w:rsidP="00E8437B">
      <w:pPr>
        <w:pStyle w:val="BodyText"/>
      </w:pPr>
      <w:r>
        <w:t xml:space="preserve">In the alternative </w:t>
      </w:r>
      <w:r w:rsidR="00317D9D">
        <w:t>to</w:t>
      </w:r>
      <w:r>
        <w:t xml:space="preserve"> its Motion to Dismiss, KWRU asserts that </w:t>
      </w:r>
      <w:r w:rsidRPr="00C12242">
        <w:t xml:space="preserve">OPC’s </w:t>
      </w:r>
      <w:r w:rsidR="007F5298">
        <w:t>Petition</w:t>
      </w:r>
      <w:r w:rsidRPr="00C12242">
        <w:t xml:space="preserve"> should be stricken as immaterial.</w:t>
      </w:r>
      <w:r>
        <w:rPr>
          <w:rStyle w:val="FootnoteReference"/>
        </w:rPr>
        <w:footnoteReference w:id="20"/>
      </w:r>
      <w:r w:rsidR="00270CFC">
        <w:t xml:space="preserve"> KWRU also alleges that </w:t>
      </w:r>
      <w:r w:rsidRPr="00C12242">
        <w:t>OPC (1) has no right to an evidentiary hearing, (2) does not require an evidentiary hearing,</w:t>
      </w:r>
      <w:r w:rsidR="00F134F6">
        <w:t xml:space="preserve"> </w:t>
      </w:r>
      <w:r w:rsidRPr="00C12242">
        <w:t>(3) has petitioned for one without consulti</w:t>
      </w:r>
      <w:r w:rsidR="00597DBE">
        <w:t xml:space="preserve">ng </w:t>
      </w:r>
      <w:r w:rsidR="00270CFC">
        <w:t xml:space="preserve">the relevant ratepayers, and </w:t>
      </w:r>
      <w:r w:rsidRPr="00C12242">
        <w:t>(4)</w:t>
      </w:r>
      <w:r w:rsidR="00270CFC">
        <w:t xml:space="preserve"> is </w:t>
      </w:r>
      <w:r w:rsidRPr="00C12242">
        <w:t>requesting this evidentiary hearing without the approval of the affected ratepayers</w:t>
      </w:r>
      <w:r w:rsidR="00270CFC">
        <w:t>.</w:t>
      </w:r>
      <w:r>
        <w:rPr>
          <w:rStyle w:val="FootnoteReference"/>
        </w:rPr>
        <w:footnoteReference w:id="21"/>
      </w:r>
    </w:p>
    <w:p w:rsidR="000721C3" w:rsidRDefault="00347F65" w:rsidP="00E8437B">
      <w:pPr>
        <w:pStyle w:val="BodyText"/>
      </w:pPr>
      <w:r>
        <w:t>I</w:t>
      </w:r>
      <w:r w:rsidR="00CD0398">
        <w:t>n its Motion to Strike,</w:t>
      </w:r>
      <w:r>
        <w:t xml:space="preserve"> </w:t>
      </w:r>
      <w:r w:rsidR="00016D9E">
        <w:t>KWRU</w:t>
      </w:r>
      <w:r>
        <w:t xml:space="preserve"> </w:t>
      </w:r>
      <w:r w:rsidR="00CD0398">
        <w:t>alleges that “</w:t>
      </w:r>
      <w:r w:rsidR="00CD0398" w:rsidRPr="00CD0398">
        <w:t>there is neither a need nor a requirement for an evidentiary hearing, and OPC’s demand for an evidentiary hearing should be stricken as it does not comport with basic elements of due process and the Florida Supreme Court has stated that there is no need for an evidentiary hearing.</w:t>
      </w:r>
      <w:r w:rsidR="00CD0398">
        <w:t>”</w:t>
      </w:r>
      <w:r w:rsidR="00C12242">
        <w:rPr>
          <w:rStyle w:val="FootnoteReference"/>
        </w:rPr>
        <w:footnoteReference w:id="22"/>
      </w:r>
      <w:r w:rsidR="00E8437B">
        <w:t xml:space="preserve"> In support of this allegation, KWRU </w:t>
      </w:r>
      <w:r w:rsidR="00E356AB">
        <w:t>relies on</w:t>
      </w:r>
      <w:r w:rsidR="00E8437B">
        <w:t xml:space="preserve"> </w:t>
      </w:r>
      <w:r w:rsidR="00E8437B" w:rsidRPr="00E8437B">
        <w:rPr>
          <w:i/>
        </w:rPr>
        <w:t>S. Fla. Hosp. &amp; Healthcare Ass’n v. Jaber</w:t>
      </w:r>
      <w:r w:rsidR="00E8437B" w:rsidRPr="00E8437B">
        <w:t>, 887 So. 2d 1210, 1212 (Fla. 2004)</w:t>
      </w:r>
      <w:r w:rsidR="00E356AB">
        <w:t>,</w:t>
      </w:r>
      <w:r w:rsidR="00E8437B">
        <w:t xml:space="preserve"> for the proposition that the Commission “</w:t>
      </w:r>
      <w:r w:rsidR="00E8437B" w:rsidRPr="00E8437B">
        <w:t>is not required to hold an evidentiary hearing for a negotiated settlement</w:t>
      </w:r>
      <w:r w:rsidR="00E8437B">
        <w:t xml:space="preserve">,” and </w:t>
      </w:r>
      <w:r w:rsidR="00E8437B" w:rsidRPr="00E8437B">
        <w:rPr>
          <w:i/>
        </w:rPr>
        <w:t>Citizens of State v. Fla. Public Srvc. Com’n.</w:t>
      </w:r>
      <w:r w:rsidR="00E8437B" w:rsidRPr="00E8437B">
        <w:t>, 146 So. 3d 1143, 1150 (2014)</w:t>
      </w:r>
      <w:r w:rsidR="00E356AB">
        <w:t>,</w:t>
      </w:r>
      <w:r w:rsidR="00E8437B">
        <w:t xml:space="preserve"> for the proposition that the Commission “can approve settlement without evidentiary hearings, and non-unanimous settlements.”</w:t>
      </w:r>
      <w:r w:rsidR="007A0979">
        <w:rPr>
          <w:rStyle w:val="FootnoteReference"/>
        </w:rPr>
        <w:footnoteReference w:id="23"/>
      </w:r>
      <w:r w:rsidR="00E8437B">
        <w:t xml:space="preserve"> </w:t>
      </w:r>
    </w:p>
    <w:p w:rsidR="00AB1045" w:rsidRDefault="006A64F4" w:rsidP="00586B26">
      <w:pPr>
        <w:pStyle w:val="BodyText"/>
      </w:pPr>
      <w:r>
        <w:t>Staff believes</w:t>
      </w:r>
      <w:r w:rsidR="000721C3">
        <w:t xml:space="preserve"> </w:t>
      </w:r>
      <w:r>
        <w:t>KWRU’s reliance on these cases</w:t>
      </w:r>
      <w:r w:rsidR="000721C3">
        <w:t xml:space="preserve"> </w:t>
      </w:r>
      <w:r>
        <w:t>is</w:t>
      </w:r>
      <w:r w:rsidR="000721C3">
        <w:t xml:space="preserve"> not relevant to the matter at hand. Both </w:t>
      </w:r>
      <w:r w:rsidR="000721C3" w:rsidRPr="00E8437B">
        <w:rPr>
          <w:i/>
        </w:rPr>
        <w:t>S. Fla. Hosp. &amp; Healthcare Ass’n v. Jaber</w:t>
      </w:r>
      <w:r w:rsidR="000721C3">
        <w:rPr>
          <w:i/>
        </w:rPr>
        <w:t xml:space="preserve"> </w:t>
      </w:r>
      <w:r w:rsidR="000721C3">
        <w:t xml:space="preserve">and </w:t>
      </w:r>
      <w:r w:rsidR="000721C3" w:rsidRPr="00E8437B">
        <w:rPr>
          <w:i/>
        </w:rPr>
        <w:t>Citizens of State v. Fla. Public Srvc. Com’n.</w:t>
      </w:r>
      <w:r w:rsidR="000721C3">
        <w:t xml:space="preserve"> involve settlement agreements presented to</w:t>
      </w:r>
      <w:r w:rsidR="00E11E65">
        <w:t>,</w:t>
      </w:r>
      <w:r w:rsidR="000721C3">
        <w:t xml:space="preserve"> and approved by</w:t>
      </w:r>
      <w:r w:rsidR="00E11E65">
        <w:t>,</w:t>
      </w:r>
      <w:r w:rsidR="000721C3">
        <w:t xml:space="preserve"> the Commission.</w:t>
      </w:r>
      <w:r w:rsidR="00143E76">
        <w:t xml:space="preserve"> KWRU’s argument on dismissing OPC from this case is primarily based upon the allegation that KWRU has</w:t>
      </w:r>
      <w:r w:rsidR="00347F65">
        <w:t xml:space="preserve"> privately</w:t>
      </w:r>
      <w:r w:rsidR="00143E76">
        <w:t xml:space="preserve"> settled with the “only two affected ratepayers” in this case—Sunset and Safe Harbor.</w:t>
      </w:r>
      <w:r w:rsidR="00143E76">
        <w:rPr>
          <w:rStyle w:val="FootnoteReference"/>
        </w:rPr>
        <w:footnoteReference w:id="24"/>
      </w:r>
      <w:r w:rsidR="00586B26">
        <w:t xml:space="preserve"> In support of this, on October 26, 2018</w:t>
      </w:r>
      <w:r w:rsidR="0036560B">
        <w:t>,</w:t>
      </w:r>
      <w:r w:rsidR="00347F65">
        <w:t xml:space="preserve"> KWRU filed</w:t>
      </w:r>
      <w:r w:rsidR="00E50284">
        <w:t xml:space="preserve"> a copy of settlement agreements it had reached with Sunset and Safe Harbor.</w:t>
      </w:r>
      <w:r w:rsidR="00E50284">
        <w:rPr>
          <w:rStyle w:val="FootnoteReference"/>
        </w:rPr>
        <w:footnoteReference w:id="25"/>
      </w:r>
      <w:r w:rsidR="00586B26">
        <w:t xml:space="preserve"> These settlements purport to resolve any</w:t>
      </w:r>
      <w:r w:rsidR="00347F65">
        <w:t xml:space="preserve"> disputes regarding</w:t>
      </w:r>
      <w:r w:rsidR="00586B26">
        <w:t xml:space="preserve"> </w:t>
      </w:r>
      <w:r w:rsidR="00347F65">
        <w:t>s</w:t>
      </w:r>
      <w:r w:rsidR="00586B26">
        <w:t xml:space="preserve">ervice </w:t>
      </w:r>
      <w:r w:rsidR="00347F65">
        <w:t>a</w:t>
      </w:r>
      <w:r w:rsidR="00586B26">
        <w:t xml:space="preserve">vailability </w:t>
      </w:r>
      <w:r w:rsidR="00347F65">
        <w:t>f</w:t>
      </w:r>
      <w:r w:rsidR="00586B26">
        <w:t xml:space="preserve">ees and </w:t>
      </w:r>
      <w:r w:rsidR="00347F65">
        <w:t>c</w:t>
      </w:r>
      <w:r w:rsidR="00586B26">
        <w:t xml:space="preserve">harges, and prior invoices for wastewater service </w:t>
      </w:r>
      <w:r w:rsidR="00347F65">
        <w:t>with</w:t>
      </w:r>
      <w:r w:rsidR="00D9792B">
        <w:t xml:space="preserve"> </w:t>
      </w:r>
      <w:r w:rsidR="00586B26">
        <w:t>Sunset</w:t>
      </w:r>
      <w:r w:rsidR="00D9792B">
        <w:t xml:space="preserve"> and Safe Harbor</w:t>
      </w:r>
      <w:r w:rsidR="00586B26">
        <w:t xml:space="preserve">. </w:t>
      </w:r>
      <w:r w:rsidR="00B75A63">
        <w:t xml:space="preserve">Unlike in </w:t>
      </w:r>
      <w:r w:rsidR="00B75A63" w:rsidRPr="00E8437B">
        <w:rPr>
          <w:i/>
        </w:rPr>
        <w:t>S. Fla. Hosp. &amp; Healthcare Ass’n v. Jaber</w:t>
      </w:r>
      <w:r w:rsidR="00B75A63">
        <w:rPr>
          <w:i/>
        </w:rPr>
        <w:t xml:space="preserve"> </w:t>
      </w:r>
      <w:r w:rsidR="00B75A63">
        <w:t xml:space="preserve">and </w:t>
      </w:r>
      <w:r w:rsidR="00B75A63" w:rsidRPr="00E8437B">
        <w:rPr>
          <w:i/>
        </w:rPr>
        <w:t xml:space="preserve">Citizens of </w:t>
      </w:r>
      <w:r w:rsidR="00B75A63" w:rsidRPr="00E8437B">
        <w:rPr>
          <w:i/>
        </w:rPr>
        <w:lastRenderedPageBreak/>
        <w:t>State v. Fla. Public Srvc. Com’n.</w:t>
      </w:r>
      <w:r w:rsidR="00B75A63">
        <w:t>, the</w:t>
      </w:r>
      <w:r w:rsidR="000721C3">
        <w:t xml:space="preserve"> settlements</w:t>
      </w:r>
      <w:r w:rsidR="00B75A63">
        <w:t xml:space="preserve"> with Sunset and Safe Harbor</w:t>
      </w:r>
      <w:r w:rsidR="000721C3">
        <w:t xml:space="preserve"> have not been presented</w:t>
      </w:r>
      <w:r w:rsidR="00BF40BF">
        <w:t xml:space="preserve"> for approval by the Commission. Furthermore</w:t>
      </w:r>
      <w:r w:rsidR="00C40E84">
        <w:t>,</w:t>
      </w:r>
      <w:r w:rsidR="00BF40BF">
        <w:t xml:space="preserve"> OPC alleges in its </w:t>
      </w:r>
      <w:r w:rsidR="007F5298">
        <w:t>Petition</w:t>
      </w:r>
      <w:r w:rsidR="00BF40BF">
        <w:t xml:space="preserve"> that more ratepayers than Sunset and Safe Harbor are due refunds in this case. Thus, even if the </w:t>
      </w:r>
      <w:r w:rsidR="00561C56">
        <w:t xml:space="preserve">KWRU </w:t>
      </w:r>
      <w:r w:rsidR="00BF40BF">
        <w:t xml:space="preserve">“settlements” with Sunset and Safe Harbor were approved by the Commission, </w:t>
      </w:r>
      <w:r w:rsidR="00C40E84">
        <w:t xml:space="preserve">OPC’s </w:t>
      </w:r>
      <w:r w:rsidR="0016146E">
        <w:t>Petition</w:t>
      </w:r>
      <w:r w:rsidR="00C40E84">
        <w:t xml:space="preserve"> raises the argument that </w:t>
      </w:r>
      <w:r w:rsidR="00C12242">
        <w:t>additional ratepayer</w:t>
      </w:r>
      <w:r w:rsidR="00C40E84">
        <w:t xml:space="preserve">s may be </w:t>
      </w:r>
      <w:r w:rsidR="00C12242">
        <w:t>affected</w:t>
      </w:r>
      <w:r w:rsidR="00E356AB">
        <w:t>.</w:t>
      </w:r>
    </w:p>
    <w:p w:rsidR="00AB1045" w:rsidRDefault="00C40E84" w:rsidP="00781D4E">
      <w:pPr>
        <w:pStyle w:val="BodyText"/>
      </w:pPr>
      <w:r>
        <w:t xml:space="preserve">As </w:t>
      </w:r>
      <w:r w:rsidR="00347F65">
        <w:t xml:space="preserve">to KWRU’s allegation that OPC </w:t>
      </w:r>
      <w:r w:rsidR="00AB1045" w:rsidRPr="00C12242">
        <w:t>does not require an evidentiary hearing</w:t>
      </w:r>
      <w:r w:rsidR="00347F65">
        <w:t>,</w:t>
      </w:r>
      <w:r>
        <w:t xml:space="preserve"> w</w:t>
      </w:r>
      <w:r w:rsidR="00AB1045">
        <w:t>hile OPC</w:t>
      </w:r>
      <w:r w:rsidR="0016146E">
        <w:t xml:space="preserve"> does ask for a ruling on a preliminary legal issue, </w:t>
      </w:r>
      <w:r w:rsidR="007E0607">
        <w:t>OPC</w:t>
      </w:r>
      <w:r w:rsidR="0016146E">
        <w:t xml:space="preserve"> also</w:t>
      </w:r>
      <w:r w:rsidR="00AB1045">
        <w:t xml:space="preserve"> states in its petition that it protests </w:t>
      </w:r>
      <w:r w:rsidR="00781D4E" w:rsidRPr="00781D4E">
        <w:t>the determination of the refund amounts ordered in the PAA</w:t>
      </w:r>
      <w:r w:rsidR="0016146E">
        <w:t xml:space="preserve"> </w:t>
      </w:r>
      <w:r w:rsidR="00823FE1">
        <w:t xml:space="preserve">Order </w:t>
      </w:r>
      <w:r w:rsidR="0016146E">
        <w:t>and</w:t>
      </w:r>
      <w:r>
        <w:t xml:space="preserve"> </w:t>
      </w:r>
      <w:r w:rsidR="00781D4E">
        <w:t>the appropriate amounts to be refunded to all affected customers</w:t>
      </w:r>
      <w:r w:rsidR="0016146E">
        <w:t>. OPC also argues that refunds may also be due to customers other than Sunset and Safe Harbor.</w:t>
      </w:r>
      <w:r w:rsidR="00781D4E">
        <w:rPr>
          <w:rStyle w:val="FootnoteReference"/>
        </w:rPr>
        <w:footnoteReference w:id="26"/>
      </w:r>
    </w:p>
    <w:p w:rsidR="00F134F6" w:rsidRDefault="00F134F6" w:rsidP="00781D4E">
      <w:pPr>
        <w:pStyle w:val="BodyText"/>
      </w:pPr>
      <w:r>
        <w:t>Finally, KWRU’s assertion that OPC</w:t>
      </w:r>
      <w:r w:rsidRPr="00F134F6">
        <w:t xml:space="preserve"> has petitioned for </w:t>
      </w:r>
      <w:r>
        <w:t>an evidentiary hearing</w:t>
      </w:r>
      <w:r w:rsidRPr="00F134F6">
        <w:t xml:space="preserve"> without consulting</w:t>
      </w:r>
      <w:r w:rsidR="00C40E84">
        <w:t xml:space="preserve"> with, or being approved by,</w:t>
      </w:r>
      <w:r w:rsidRPr="00F134F6">
        <w:t xml:space="preserve"> the </w:t>
      </w:r>
      <w:r>
        <w:t>relevant ratepayers</w:t>
      </w:r>
      <w:r w:rsidR="00C40E84">
        <w:t xml:space="preserve"> is </w:t>
      </w:r>
      <w:r>
        <w:t xml:space="preserve">irrelevant. </w:t>
      </w:r>
      <w:r w:rsidR="00DD2C6B">
        <w:t>Under</w:t>
      </w:r>
      <w:r w:rsidR="00561C56">
        <w:t xml:space="preserve"> Section</w:t>
      </w:r>
      <w:r w:rsidR="00DD2C6B">
        <w:t xml:space="preserve"> 350.0611, F.S., the Legislature has vested </w:t>
      </w:r>
      <w:r w:rsidR="00E356AB">
        <w:t>the Public Counsel</w:t>
      </w:r>
      <w:r w:rsidR="00C40E84">
        <w:t xml:space="preserve"> with </w:t>
      </w:r>
      <w:r w:rsidR="00DD2C6B">
        <w:t>broad powers “</w:t>
      </w:r>
      <w:r w:rsidR="00DD2C6B" w:rsidRPr="00DD2C6B">
        <w:t>to carry out the duties of his or her office</w:t>
      </w:r>
      <w:r w:rsidR="00DD2C6B">
        <w:t>.” None of this authority is predicated upon seeking prior approval of the state or its citizens in carrying out those duties.</w:t>
      </w:r>
      <w:r w:rsidR="00E356AB">
        <w:t xml:space="preserve"> </w:t>
      </w:r>
      <w:r>
        <w:t xml:space="preserve">For all the reasons stated above, Commission staff </w:t>
      </w:r>
      <w:r w:rsidR="00561C56">
        <w:t>recommends that</w:t>
      </w:r>
      <w:r>
        <w:t xml:space="preserve"> KWRU’s Motion to Strike OPC’s </w:t>
      </w:r>
      <w:r w:rsidR="007F5298">
        <w:t>Petition</w:t>
      </w:r>
      <w:r w:rsidR="00324BCD">
        <w:t xml:space="preserve"> should be denied</w:t>
      </w:r>
      <w:r>
        <w:t>.</w:t>
      </w:r>
    </w:p>
    <w:p w:rsidR="00F134F6" w:rsidRPr="000721C3" w:rsidRDefault="00F134F6" w:rsidP="00781D4E">
      <w:pPr>
        <w:pStyle w:val="BodyText"/>
        <w:sectPr w:rsidR="00F134F6" w:rsidRPr="000721C3" w:rsidSect="0068481F">
          <w:headerReference w:type="default" r:id="rId13"/>
          <w:pgSz w:w="12240" w:h="15840" w:code="1"/>
          <w:pgMar w:top="1584" w:right="1440" w:bottom="1440" w:left="1440" w:header="720" w:footer="720" w:gutter="0"/>
          <w:cols w:space="720"/>
          <w:formProt w:val="0"/>
          <w:docGrid w:linePitch="360"/>
        </w:sectPr>
      </w:pPr>
    </w:p>
    <w:p w:rsidR="00E0420A" w:rsidRPr="00602158" w:rsidRDefault="00E0420A" w:rsidP="009F6F95">
      <w:pPr>
        <w:pStyle w:val="IssueHeading"/>
        <w:rPr>
          <w:vanish/>
          <w:specVanish/>
        </w:rPr>
      </w:pPr>
      <w:r w:rsidRPr="00602158">
        <w:lastRenderedPageBreak/>
        <w:t xml:space="preserve">Issue </w:t>
      </w:r>
      <w:r w:rsidR="00602158">
        <w:t>3</w:t>
      </w:r>
      <w:r w:rsidRPr="00602158">
        <w:t>:</w:t>
      </w:r>
      <w:r w:rsidRPr="00602158">
        <w:fldChar w:fldCharType="begin"/>
      </w:r>
      <w:r w:rsidRPr="00602158">
        <w:instrText xml:space="preserve"> TC "</w:instrText>
      </w:r>
      <w:r w:rsidRPr="00602158">
        <w:fldChar w:fldCharType="begin"/>
      </w:r>
      <w:r w:rsidRPr="00602158">
        <w:instrText xml:space="preserve"> SEQ issue \c </w:instrText>
      </w:r>
      <w:r w:rsidRPr="00602158">
        <w:fldChar w:fldCharType="separate"/>
      </w:r>
      <w:r w:rsidR="00311658">
        <w:rPr>
          <w:noProof/>
        </w:rPr>
        <w:instrText>1</w:instrText>
      </w:r>
      <w:r w:rsidRPr="00602158">
        <w:fldChar w:fldCharType="end"/>
      </w:r>
      <w:r w:rsidRPr="00602158">
        <w:tab/>
        <w:instrText xml:space="preserve">" \l 1 </w:instrText>
      </w:r>
      <w:r w:rsidRPr="00602158">
        <w:fldChar w:fldCharType="end"/>
      </w:r>
      <w:r w:rsidRPr="00602158">
        <w:t> </w:t>
      </w:r>
    </w:p>
    <w:p w:rsidR="00E0420A" w:rsidRDefault="00E0420A" w:rsidP="009F6F95">
      <w:r w:rsidRPr="00602158">
        <w:t> Should the Commission</w:t>
      </w:r>
      <w:r w:rsidR="009B5421">
        <w:t xml:space="preserve"> grant the</w:t>
      </w:r>
      <w:r w:rsidRPr="00602158">
        <w:t xml:space="preserve"> Office of Publi</w:t>
      </w:r>
      <w:r w:rsidR="00FF7A44">
        <w:t>c Counsel's M</w:t>
      </w:r>
      <w:r w:rsidRPr="00602158">
        <w:t>otion for Partial Summary Final Order</w:t>
      </w:r>
      <w:r w:rsidR="000805F4">
        <w:t xml:space="preserve"> or KWRU’s Cross-Motion for Summary Final Order</w:t>
      </w:r>
      <w:r w:rsidRPr="00602158">
        <w:t xml:space="preserve">? </w:t>
      </w:r>
    </w:p>
    <w:p w:rsidR="009F6F95" w:rsidRPr="00602158" w:rsidRDefault="009F6F95" w:rsidP="009F6F95"/>
    <w:p w:rsidR="00E0420A" w:rsidRPr="004C3641" w:rsidRDefault="00E0420A" w:rsidP="00E0420A">
      <w:pPr>
        <w:pStyle w:val="IssueSubsectionHeading"/>
        <w:rPr>
          <w:vanish/>
          <w:specVanish/>
        </w:rPr>
      </w:pPr>
      <w:r w:rsidRPr="004C3641">
        <w:t>Recommendation: </w:t>
      </w:r>
    </w:p>
    <w:p w:rsidR="00E0420A" w:rsidRDefault="00E0420A" w:rsidP="00E0420A">
      <w:pPr>
        <w:pStyle w:val="BodyText"/>
      </w:pPr>
      <w:r>
        <w:t> </w:t>
      </w:r>
      <w:r w:rsidR="006D68A1">
        <w:t>No</w:t>
      </w:r>
      <w:r w:rsidR="00FF7A44">
        <w:t>, OPC’s Motion for Partial Summary Final Order</w:t>
      </w:r>
      <w:r w:rsidR="000805F4">
        <w:t xml:space="preserve"> and KWRU’s Motion for Summary Final Order</w:t>
      </w:r>
      <w:r w:rsidR="00FF7A44">
        <w:t xml:space="preserve"> should be denied.</w:t>
      </w:r>
      <w:r w:rsidR="009D2ADB">
        <w:t xml:space="preserve"> </w:t>
      </w:r>
      <w:r w:rsidR="009B5421">
        <w:t>(Schrader)</w:t>
      </w:r>
    </w:p>
    <w:p w:rsidR="00E0420A" w:rsidRDefault="00E0420A" w:rsidP="00E0420A">
      <w:pPr>
        <w:pStyle w:val="IssueSubsectionHeading"/>
      </w:pPr>
      <w:r w:rsidRPr="004C3641">
        <w:t>Staff Analysis: </w:t>
      </w:r>
    </w:p>
    <w:p w:rsidR="001D4A91" w:rsidRDefault="001D4A91" w:rsidP="001D4A91">
      <w:pPr>
        <w:pStyle w:val="BodyText"/>
        <w:rPr>
          <w:rFonts w:ascii="Arial" w:hAnsi="Arial" w:cs="Arial"/>
          <w:b/>
        </w:rPr>
      </w:pPr>
      <w:r>
        <w:rPr>
          <w:rFonts w:ascii="Arial" w:hAnsi="Arial" w:cs="Arial"/>
          <w:b/>
        </w:rPr>
        <w:t>Standard for Motion for Summary Final Order</w:t>
      </w:r>
    </w:p>
    <w:p w:rsidR="001D4A91" w:rsidRDefault="001D4A91" w:rsidP="001D4A91">
      <w:pPr>
        <w:pStyle w:val="BodyText"/>
      </w:pPr>
      <w:r>
        <w:t>Section 120.57(1)(h), F.S., requires that, in order to grant a motion for summary final order, it must be determined from “</w:t>
      </w:r>
      <w:r w:rsidRPr="00CF4773">
        <w:t>pleadings, depositions, answers to interrogatories, and admissions on file, together with affidavits, if any, that no genuine issue as to any material fact exists and that the moving party is entitled as a matter of law to the entry of a final order</w:t>
      </w:r>
      <w:r>
        <w:t>.” The Commission has previously stated that “the standard for granting a summary final order is very high.”</w:t>
      </w:r>
      <w:r>
        <w:rPr>
          <w:rStyle w:val="FootnoteReference"/>
        </w:rPr>
        <w:footnoteReference w:id="27"/>
      </w:r>
      <w:r>
        <w:t xml:space="preserve"> </w:t>
      </w:r>
    </w:p>
    <w:p w:rsidR="001D4A91" w:rsidRDefault="001D4A91" w:rsidP="000805F4">
      <w:pPr>
        <w:pStyle w:val="BodyText"/>
      </w:pPr>
      <w:r>
        <w:t>In general, “a summary judgment should not be granted unless the facts are so crystalized that nothing remains but questions of law,” and “</w:t>
      </w:r>
      <w:r w:rsidRPr="003C7D73">
        <w:t>must show conclusively the absence of any genuine issue of material fact and the court must draw every possible inference in favor of the party against whom a summary judgment is sought</w:t>
      </w:r>
      <w:r>
        <w:t xml:space="preserve">.”  </w:t>
      </w:r>
      <w:r w:rsidRPr="00EF0435">
        <w:rPr>
          <w:i/>
        </w:rPr>
        <w:t>M</w:t>
      </w:r>
      <w:r>
        <w:rPr>
          <w:i/>
        </w:rPr>
        <w:t xml:space="preserve">oore v. Morris, </w:t>
      </w:r>
      <w:r w:rsidRPr="00EF0435">
        <w:t>475 So. 2d 666, 668 (Fla. 1985);</w:t>
      </w:r>
      <w:r w:rsidRPr="00EF0435">
        <w:rPr>
          <w:i/>
        </w:rPr>
        <w:t xml:space="preserve"> see also City of</w:t>
      </w:r>
      <w:r>
        <w:rPr>
          <w:i/>
        </w:rPr>
        <w:t xml:space="preserve"> Clermont, Fla. v. Lake City Util</w:t>
      </w:r>
      <w:r w:rsidRPr="00EF0435">
        <w:rPr>
          <w:i/>
        </w:rPr>
        <w:t xml:space="preserve">. Servs. , Inc., </w:t>
      </w:r>
      <w:r>
        <w:t xml:space="preserve">760 So. 2d 1123, </w:t>
      </w:r>
      <w:r w:rsidRPr="00866ACC">
        <w:t>1124 (</w:t>
      </w:r>
      <w:r w:rsidR="0092712F">
        <w:t xml:space="preserve">Fla. </w:t>
      </w:r>
      <w:r w:rsidRPr="00866ACC">
        <w:t>5th DCA 2000)</w:t>
      </w:r>
      <w:r>
        <w:t xml:space="preserve">, and </w:t>
      </w:r>
      <w:r w:rsidRPr="005B4998">
        <w:rPr>
          <w:i/>
        </w:rPr>
        <w:t>Wills v. Sears, Roebuck &amp; Co.</w:t>
      </w:r>
      <w:r>
        <w:t>, 351 So.</w:t>
      </w:r>
      <w:r w:rsidR="00E746EF">
        <w:t xml:space="preserve"> </w:t>
      </w:r>
      <w:r>
        <w:t>2d 29 (Fla.</w:t>
      </w:r>
      <w:r w:rsidR="00AA3F4B">
        <w:t xml:space="preserve"> </w:t>
      </w:r>
      <w:r>
        <w:t>1977). If the record "raises even the slightest doubt" that an issue of material fact may exist, a summary final order would not be appropriate.</w:t>
      </w:r>
      <w:r>
        <w:rPr>
          <w:rStyle w:val="FootnoteReference"/>
        </w:rPr>
        <w:footnoteReference w:id="28"/>
      </w:r>
      <w:r>
        <w:t xml:space="preserve"> Even if the parties agree as to the facts, “the remedy of summary judgment is not available if different inferences can be reasonably drawn from the uncontroverted facts."</w:t>
      </w:r>
      <w:r>
        <w:rPr>
          <w:rStyle w:val="FootnoteReference"/>
        </w:rPr>
        <w:footnoteReference w:id="29"/>
      </w:r>
      <w:r>
        <w:t xml:space="preserve"> The</w:t>
      </w:r>
      <w:r w:rsidRPr="00E212A2">
        <w:t xml:space="preserve"> Commission has also previously found that “it is premature to decide whether a genuine issue of material fact exists when [a party] has not had the opportunity to complete discovery and file testimony.”</w:t>
      </w:r>
      <w:r>
        <w:rPr>
          <w:rStyle w:val="FootnoteReference"/>
        </w:rPr>
        <w:footnoteReference w:id="30"/>
      </w:r>
      <w:r>
        <w:t xml:space="preserve"> </w:t>
      </w:r>
    </w:p>
    <w:p w:rsidR="0041703E" w:rsidRPr="00337D6E" w:rsidRDefault="0041703E" w:rsidP="0041703E">
      <w:pPr>
        <w:pStyle w:val="BodyText"/>
        <w:keepNext/>
        <w:rPr>
          <w:rFonts w:ascii="Arial" w:hAnsi="Arial" w:cs="Arial"/>
          <w:b/>
        </w:rPr>
      </w:pPr>
      <w:r w:rsidRPr="00337D6E">
        <w:rPr>
          <w:rFonts w:ascii="Arial" w:hAnsi="Arial" w:cs="Arial"/>
          <w:b/>
        </w:rPr>
        <w:t>Issues of Law in Dispute</w:t>
      </w:r>
    </w:p>
    <w:p w:rsidR="00FA3600" w:rsidRDefault="00A80E1C" w:rsidP="00FA3600">
      <w:pPr>
        <w:pStyle w:val="BodyText"/>
      </w:pPr>
      <w:r>
        <w:t xml:space="preserve">The </w:t>
      </w:r>
      <w:r w:rsidR="0041703E">
        <w:t>dispute</w:t>
      </w:r>
      <w:r>
        <w:t>d issues of law</w:t>
      </w:r>
      <w:r w:rsidR="00EE67FC">
        <w:t xml:space="preserve"> raised in the parties’ Motions</w:t>
      </w:r>
      <w:r w:rsidR="0041703E">
        <w:t xml:space="preserve"> </w:t>
      </w:r>
      <w:r>
        <w:t xml:space="preserve">relate to the </w:t>
      </w:r>
      <w:r w:rsidR="00EE67FC">
        <w:t>application</w:t>
      </w:r>
      <w:r w:rsidR="0041703E">
        <w:t xml:space="preserve"> </w:t>
      </w:r>
      <w:r w:rsidR="00317D9D">
        <w:t xml:space="preserve">of </w:t>
      </w:r>
      <w:r w:rsidR="0041703E">
        <w:t>Rule 25-30.350(2)</w:t>
      </w:r>
      <w:r w:rsidR="00C61EFB">
        <w:t>, F.A.C.</w:t>
      </w:r>
      <w:r w:rsidR="0041703E">
        <w:t xml:space="preserve">, </w:t>
      </w:r>
      <w:r>
        <w:t xml:space="preserve">to </w:t>
      </w:r>
      <w:r w:rsidR="00291C78">
        <w:t xml:space="preserve">the </w:t>
      </w:r>
      <w:r>
        <w:t>Commission ordered refunds under Rule 25-30.360, F.A.C.</w:t>
      </w:r>
      <w:r w:rsidR="0092712F">
        <w:t xml:space="preserve"> OPC argues that Rule 25-30.350, F.A.C., </w:t>
      </w:r>
      <w:r w:rsidR="0092712F" w:rsidRPr="0092712F">
        <w:t>Underbillings and Overbillings f</w:t>
      </w:r>
      <w:r w:rsidR="0092712F">
        <w:t xml:space="preserve">or Water and Wastewater Service, is controlling in this case. </w:t>
      </w:r>
      <w:r w:rsidR="00337D6E">
        <w:t>Rule 25-30.350(2)</w:t>
      </w:r>
      <w:r w:rsidR="00C61EFB">
        <w:t>, F.A.C.,</w:t>
      </w:r>
      <w:r w:rsidR="00337D6E">
        <w:t xml:space="preserve"> states that “i</w:t>
      </w:r>
      <w:r w:rsidR="00337D6E" w:rsidRPr="00337D6E">
        <w:t>n the event of an overbilling, the utility shall refund the overcharge to the customer based on available records. If the commencement date of the overbilling cannot be determined, then an estimate of the overbilling shall be made based on the customer's past consumption.</w:t>
      </w:r>
      <w:r w:rsidR="00337D6E">
        <w:t>”</w:t>
      </w:r>
    </w:p>
    <w:p w:rsidR="00A56451" w:rsidRDefault="0092712F" w:rsidP="00AC4216">
      <w:pPr>
        <w:pStyle w:val="BodyText"/>
        <w:keepNext/>
      </w:pPr>
      <w:r>
        <w:lastRenderedPageBreak/>
        <w:t xml:space="preserve">KWRU argues that </w:t>
      </w:r>
      <w:r w:rsidR="00A80E1C">
        <w:t>Rule 25-30.360, F.A.C.</w:t>
      </w:r>
      <w:r>
        <w:t>, Refunds, is controlling in this case. Rule 25-30.360, F.A.C.,</w:t>
      </w:r>
      <w:r w:rsidR="00A80E1C">
        <w:t xml:space="preserve"> states, in part, that</w:t>
      </w:r>
      <w:r w:rsidR="00A56451">
        <w:t>:</w:t>
      </w:r>
    </w:p>
    <w:p w:rsidR="00A80E1C" w:rsidRDefault="00A56451" w:rsidP="00AC4216">
      <w:pPr>
        <w:pStyle w:val="BodyText"/>
        <w:keepNext/>
        <w:ind w:left="720" w:right="720"/>
      </w:pPr>
      <w:r>
        <w:t>W</w:t>
      </w:r>
      <w:r w:rsidR="00A80E1C" w:rsidRPr="00A80E1C">
        <w:t>ith the exception of deposit refunds, all refunds ordered by the Commission shall be made in accordance with the provisions of this Rule, unless othe</w:t>
      </w:r>
      <w:r w:rsidR="00A80E1C">
        <w:t>rwise ordered by the Commission</w:t>
      </w:r>
      <w:r>
        <w:t>...</w:t>
      </w:r>
      <w:r w:rsidR="00317D9D">
        <w:t>.</w:t>
      </w:r>
      <w:r>
        <w:t>W</w:t>
      </w:r>
      <w:r w:rsidRPr="00A56451">
        <w:t xml:space="preserve">here the refund is the result of a specific rate change, including interim rate increases, and the refund can be computed on a per customer basis, that will be the basis of the refund. </w:t>
      </w:r>
      <w:r>
        <w:t>W</w:t>
      </w:r>
      <w:r w:rsidR="00A80E1C" w:rsidRPr="00A80E1C">
        <w:t>here the refund is not related to specific rate changes, such as a refund for overearnings, the refund shall be made to customers of record as of a date specified by the Commission. In such case, refunds shall be made on the basis of usage. Per customer refund refers to a refund to every customer receiving service during the refund period. Customer of record refund refers to a refund to every customer receiving service as of a date specified by the Commission.</w:t>
      </w:r>
    </w:p>
    <w:p w:rsidR="00CB2EF6" w:rsidRDefault="0041703E" w:rsidP="00FA3600">
      <w:pPr>
        <w:pStyle w:val="BodyText"/>
      </w:pPr>
      <w:r>
        <w:t>OPC asserts that b</w:t>
      </w:r>
      <w:r w:rsidRPr="007A11EB">
        <w:t xml:space="preserve">y electing not to audit the full time period for which </w:t>
      </w:r>
      <w:r w:rsidR="00AC4216">
        <w:t>the Commission</w:t>
      </w:r>
      <w:r w:rsidRPr="007A11EB">
        <w:t xml:space="preserve"> determined unauthorized billing occurred, and instead choosing to audit a shorter time period of April 2013 through March 2016, the Commission failed to comply with it</w:t>
      </w:r>
      <w:r w:rsidR="00490D4A">
        <w:t>s own Rule 25-30.350(2), F.A.C. Instead, the Commission should have made</w:t>
      </w:r>
      <w:r w:rsidRPr="007A11EB">
        <w:t xml:space="preserve"> an effort to determine what, if any, overbilling was committed by KWRU from 2009 through March 2013.</w:t>
      </w:r>
      <w:r>
        <w:t xml:space="preserve"> </w:t>
      </w:r>
    </w:p>
    <w:p w:rsidR="00FA3600" w:rsidRDefault="0041703E" w:rsidP="00FA3600">
      <w:pPr>
        <w:pStyle w:val="BodyText"/>
      </w:pPr>
      <w:r>
        <w:rPr>
          <w:sz w:val="23"/>
          <w:szCs w:val="23"/>
        </w:rPr>
        <w:t xml:space="preserve">OPC also asks </w:t>
      </w:r>
      <w:r>
        <w:t>whether it was correct for the Commission to “interpret [</w:t>
      </w:r>
      <w:r w:rsidRPr="00161E8A">
        <w:t>Rule 25-30.350, F.A.C.</w:t>
      </w:r>
      <w:r>
        <w:t>] in a way that allows KWRU to refund its customers an amount which is less than the full amount KWRU overcharged said customers.”</w:t>
      </w:r>
      <w:r>
        <w:rPr>
          <w:rStyle w:val="FootnoteReference"/>
        </w:rPr>
        <w:footnoteReference w:id="31"/>
      </w:r>
      <w:r>
        <w:t xml:space="preserve"> </w:t>
      </w:r>
      <w:r w:rsidR="00CB2EF6">
        <w:t>OPC argues that the plain language of the rule does not afford the Commission with discretion to</w:t>
      </w:r>
      <w:r w:rsidR="00EC77E1">
        <w:t xml:space="preserve"> “arbitrarily”</w:t>
      </w:r>
      <w:r w:rsidR="00CB2EF6">
        <w:t xml:space="preserve"> order refunds for a shorter period and contends that Rule 25-30.350, F.A.C., requires the Commission to order KWRU to refund all overcharges to its customers from the date overbilling began to the date overbilling ended.</w:t>
      </w:r>
    </w:p>
    <w:p w:rsidR="0041703E" w:rsidRPr="00FA3600" w:rsidRDefault="0041703E" w:rsidP="00FA3600">
      <w:pPr>
        <w:pStyle w:val="BodyText"/>
      </w:pPr>
      <w:r>
        <w:t>KWRU argues</w:t>
      </w:r>
      <w:r w:rsidR="00FA3600">
        <w:t xml:space="preserve"> </w:t>
      </w:r>
      <w:r>
        <w:t>that</w:t>
      </w:r>
      <w:r w:rsidR="00EC77E1">
        <w:t xml:space="preserve"> the Commission has </w:t>
      </w:r>
      <w:r w:rsidR="00A80E1C">
        <w:t>the discretion to determine the proper time frame for an audit and the amount of refunds</w:t>
      </w:r>
      <w:r w:rsidR="00FA3600">
        <w:t>.</w:t>
      </w:r>
      <w:r w:rsidR="00FA3600">
        <w:rPr>
          <w:rStyle w:val="FootnoteReference"/>
        </w:rPr>
        <w:footnoteReference w:id="32"/>
      </w:r>
      <w:r w:rsidR="00EC77E1">
        <w:t xml:space="preserve"> </w:t>
      </w:r>
      <w:r w:rsidR="00A56451">
        <w:t xml:space="preserve">KWRU further argues that </w:t>
      </w:r>
      <w:r w:rsidR="00EC77E1">
        <w:t>Rule 25-30.350, F.A.C.</w:t>
      </w:r>
      <w:r w:rsidR="00AC4216">
        <w:t>,</w:t>
      </w:r>
      <w:r w:rsidR="00EC77E1">
        <w:t xml:space="preserve"> would not apply to this case since it is a rule that applies to</w:t>
      </w:r>
      <w:r w:rsidR="00A80E1C">
        <w:t xml:space="preserve"> overbilling in regards to individual</w:t>
      </w:r>
      <w:r w:rsidR="00EC77E1">
        <w:t xml:space="preserve"> complaints and customer service, and not</w:t>
      </w:r>
      <w:r w:rsidR="00A80E1C">
        <w:t xml:space="preserve"> Commission ordered refunds</w:t>
      </w:r>
      <w:r w:rsidR="00A56451">
        <w:t xml:space="preserve"> issued pursuant to</w:t>
      </w:r>
      <w:r w:rsidR="00A56451" w:rsidRPr="00A56451">
        <w:t xml:space="preserve"> Rule 25-30.360</w:t>
      </w:r>
      <w:r w:rsidR="00A56451">
        <w:t>, F.A.C.</w:t>
      </w:r>
      <w:r w:rsidR="00A56451">
        <w:rPr>
          <w:rStyle w:val="FootnoteReference"/>
        </w:rPr>
        <w:footnoteReference w:id="33"/>
      </w:r>
      <w:r w:rsidR="00A56451">
        <w:t xml:space="preserve"> KWRU states that the 2013 revisions to Rule 25-30.350</w:t>
      </w:r>
      <w:r w:rsidR="000E70D7">
        <w:t>, F.A.C.,</w:t>
      </w:r>
      <w:r w:rsidR="00A56451">
        <w:t xml:space="preserve"> that </w:t>
      </w:r>
      <w:r w:rsidR="000E70D7">
        <w:t>added the new provisions for overbilling</w:t>
      </w:r>
      <w:r w:rsidR="00892094">
        <w:t>,</w:t>
      </w:r>
      <w:r w:rsidR="00B13802">
        <w:t xml:space="preserve"> were part of a number of rule </w:t>
      </w:r>
      <w:r w:rsidR="000E70D7" w:rsidRPr="000E70D7">
        <w:t>amendments related to individual customer service</w:t>
      </w:r>
      <w:r w:rsidR="000E70D7">
        <w:rPr>
          <w:rStyle w:val="FootnoteReference"/>
        </w:rPr>
        <w:footnoteReference w:id="34"/>
      </w:r>
      <w:r w:rsidR="000E70D7">
        <w:t xml:space="preserve"> and that Rule 25-30.360, F.A.C., states that “</w:t>
      </w:r>
      <w:r w:rsidR="000E70D7" w:rsidRPr="00A80E1C">
        <w:t>all refunds ordered by the Commission shall be made in accordance with the provisions of this Rule</w:t>
      </w:r>
      <w:r w:rsidR="000E70D7">
        <w:t>.”</w:t>
      </w:r>
      <w:r w:rsidR="00331293">
        <w:rPr>
          <w:rStyle w:val="FootnoteReference"/>
        </w:rPr>
        <w:footnoteReference w:id="35"/>
      </w:r>
      <w:r w:rsidR="000E70D7">
        <w:t xml:space="preserve"> Finally, KWRU argues that </w:t>
      </w:r>
      <w:r w:rsidR="00B13802">
        <w:t xml:space="preserve">Florida </w:t>
      </w:r>
      <w:r w:rsidR="000E70D7">
        <w:t xml:space="preserve">Supreme Court </w:t>
      </w:r>
      <w:r w:rsidR="00B13802">
        <w:t>found in</w:t>
      </w:r>
      <w:r w:rsidR="000E70D7">
        <w:t xml:space="preserve"> </w:t>
      </w:r>
      <w:r w:rsidR="000E70D7" w:rsidRPr="000E70D7">
        <w:rPr>
          <w:i/>
        </w:rPr>
        <w:t>Citizens of State v. Fla. Public Srvc. Com’n.</w:t>
      </w:r>
      <w:r w:rsidR="000E70D7" w:rsidRPr="000E70D7">
        <w:t>, 146 So. 3d 1143 (Fla. 2014)</w:t>
      </w:r>
      <w:r w:rsidR="000E70D7">
        <w:t>, that the Commission “acts in the public inte</w:t>
      </w:r>
      <w:r w:rsidR="00331293">
        <w:t>rest, and is accorded deference</w:t>
      </w:r>
      <w:r w:rsidR="00D93225">
        <w:t>.</w:t>
      </w:r>
      <w:r w:rsidR="00331293">
        <w:t>”</w:t>
      </w:r>
      <w:r w:rsidR="000E70D7">
        <w:t xml:space="preserve"> </w:t>
      </w:r>
      <w:r w:rsidR="00D93225">
        <w:lastRenderedPageBreak/>
        <w:t>T</w:t>
      </w:r>
      <w:r w:rsidR="000E70D7">
        <w:t>hus</w:t>
      </w:r>
      <w:r w:rsidR="00B13802">
        <w:t>, KWRU argues, based on this deference,</w:t>
      </w:r>
      <w:r w:rsidR="000E70D7">
        <w:t xml:space="preserve"> the</w:t>
      </w:r>
      <w:r w:rsidR="00331293">
        <w:t xml:space="preserve"> Commission is allowed to determine the relevant time period for an audit.</w:t>
      </w:r>
      <w:r w:rsidR="00331293">
        <w:rPr>
          <w:rStyle w:val="FootnoteReference"/>
        </w:rPr>
        <w:footnoteReference w:id="36"/>
      </w:r>
      <w:r w:rsidR="000E70D7">
        <w:t xml:space="preserve"> </w:t>
      </w:r>
    </w:p>
    <w:p w:rsidR="00465496" w:rsidRPr="00FA3600" w:rsidRDefault="00465496" w:rsidP="00FA3600">
      <w:pPr>
        <w:pStyle w:val="BodyText"/>
        <w:keepNext/>
      </w:pPr>
      <w:r w:rsidRPr="00FA3600">
        <w:rPr>
          <w:rFonts w:ascii="Arial" w:hAnsi="Arial" w:cs="Arial"/>
          <w:b/>
        </w:rPr>
        <w:t xml:space="preserve">Facts in Dispute or </w:t>
      </w:r>
      <w:r w:rsidR="005A163B" w:rsidRPr="00FA3600">
        <w:rPr>
          <w:rFonts w:ascii="Arial" w:hAnsi="Arial" w:cs="Arial"/>
          <w:b/>
        </w:rPr>
        <w:t xml:space="preserve">in </w:t>
      </w:r>
      <w:r w:rsidRPr="00FA3600">
        <w:rPr>
          <w:rFonts w:ascii="Arial" w:hAnsi="Arial" w:cs="Arial"/>
          <w:b/>
        </w:rPr>
        <w:t>Need</w:t>
      </w:r>
      <w:r w:rsidR="005A163B" w:rsidRPr="00FA3600">
        <w:rPr>
          <w:rFonts w:ascii="Arial" w:hAnsi="Arial" w:cs="Arial"/>
          <w:b/>
        </w:rPr>
        <w:t xml:space="preserve"> of</w:t>
      </w:r>
      <w:r w:rsidRPr="00FA3600">
        <w:rPr>
          <w:rFonts w:ascii="Arial" w:hAnsi="Arial" w:cs="Arial"/>
          <w:b/>
        </w:rPr>
        <w:t xml:space="preserve"> Further Development</w:t>
      </w:r>
    </w:p>
    <w:p w:rsidR="00E01BA6" w:rsidRPr="00EE122A" w:rsidRDefault="00EE122A" w:rsidP="0050653B">
      <w:pPr>
        <w:pStyle w:val="BodyText"/>
        <w:rPr>
          <w:b/>
        </w:rPr>
      </w:pPr>
      <w:r>
        <w:t xml:space="preserve">In its Motion for Partial Summary Final Order, </w:t>
      </w:r>
      <w:r w:rsidR="00E01BA6">
        <w:t>OPC asserts</w:t>
      </w:r>
      <w:r>
        <w:t xml:space="preserve"> that there are no material facts in dispute as whether KWRU overbilled customers</w:t>
      </w:r>
      <w:r w:rsidR="00B031A1">
        <w:t>.</w:t>
      </w:r>
      <w:r w:rsidR="00E01BA6">
        <w:rPr>
          <w:rStyle w:val="FootnoteReference"/>
        </w:rPr>
        <w:footnoteReference w:id="37"/>
      </w:r>
      <w:r w:rsidR="00E01BA6">
        <w:t xml:space="preserve"> </w:t>
      </w:r>
      <w:r w:rsidR="00B031A1">
        <w:rPr>
          <w:sz w:val="23"/>
          <w:szCs w:val="23"/>
        </w:rPr>
        <w:t>OPC further states that the utility admitted in its response to Commission staff’s NOAV that KWRU began its unauthorized billing in 2009.</w:t>
      </w:r>
      <w:r w:rsidR="00B031A1">
        <w:rPr>
          <w:rStyle w:val="FootnoteReference"/>
          <w:sz w:val="23"/>
          <w:szCs w:val="23"/>
        </w:rPr>
        <w:footnoteReference w:id="38"/>
      </w:r>
      <w:r w:rsidR="00B031A1">
        <w:rPr>
          <w:sz w:val="23"/>
          <w:szCs w:val="23"/>
        </w:rPr>
        <w:t xml:space="preserve"> </w:t>
      </w:r>
      <w:r>
        <w:t xml:space="preserve">OPC </w:t>
      </w:r>
      <w:r w:rsidR="00693292">
        <w:t>also</w:t>
      </w:r>
      <w:r w:rsidRPr="001866FF">
        <w:rPr>
          <w:sz w:val="23"/>
          <w:szCs w:val="23"/>
        </w:rPr>
        <w:t xml:space="preserve"> disputes the appropriate amount to be refunded to KWRU customers</w:t>
      </w:r>
      <w:r>
        <w:rPr>
          <w:sz w:val="23"/>
          <w:szCs w:val="23"/>
        </w:rPr>
        <w:t xml:space="preserve"> and</w:t>
      </w:r>
      <w:r w:rsidR="00693292">
        <w:rPr>
          <w:sz w:val="23"/>
          <w:szCs w:val="23"/>
        </w:rPr>
        <w:t xml:space="preserve"> that the Commission</w:t>
      </w:r>
      <w:r>
        <w:rPr>
          <w:sz w:val="23"/>
          <w:szCs w:val="23"/>
        </w:rPr>
        <w:t xml:space="preserve"> “</w:t>
      </w:r>
      <w:r w:rsidRPr="00CC550C">
        <w:rPr>
          <w:sz w:val="23"/>
          <w:szCs w:val="23"/>
        </w:rPr>
        <w:t>may have deprived numerous customers of the opportunity for refunds of the entire amounts overbilled</w:t>
      </w:r>
      <w:r>
        <w:rPr>
          <w:sz w:val="23"/>
          <w:szCs w:val="23"/>
        </w:rPr>
        <w:t>” by limiting the audit and refund period.</w:t>
      </w:r>
      <w:r>
        <w:rPr>
          <w:rStyle w:val="FootnoteReference"/>
          <w:sz w:val="23"/>
          <w:szCs w:val="23"/>
        </w:rPr>
        <w:footnoteReference w:id="39"/>
      </w:r>
      <w:r w:rsidR="00B26686">
        <w:rPr>
          <w:sz w:val="23"/>
          <w:szCs w:val="23"/>
        </w:rPr>
        <w:t xml:space="preserve"> OPC states that the Commission acknowledged that the available information during the Commission’s investigation showed KWRU engaged in unauthorized billing from 2009 through March 2016.</w:t>
      </w:r>
      <w:r w:rsidR="00B26686">
        <w:rPr>
          <w:rStyle w:val="FootnoteReference"/>
          <w:sz w:val="23"/>
          <w:szCs w:val="23"/>
        </w:rPr>
        <w:footnoteReference w:id="40"/>
      </w:r>
    </w:p>
    <w:p w:rsidR="00E01BA6" w:rsidRPr="00E01BA6" w:rsidRDefault="00EE122A" w:rsidP="0050653B">
      <w:pPr>
        <w:pStyle w:val="BodyText"/>
        <w:rPr>
          <w:b/>
        </w:rPr>
      </w:pPr>
      <w:r>
        <w:t>In its Cross-Motion for Summary Final Order, KWRU asserts that “there are no issues of material fact now that OPC has</w:t>
      </w:r>
      <w:r w:rsidR="00F87B49">
        <w:t xml:space="preserve"> identified [its] legal theory” in regards to the application of </w:t>
      </w:r>
      <w:r w:rsidR="00F87B49" w:rsidRPr="00161E8A">
        <w:t>25-30.350, F.A.C.</w:t>
      </w:r>
      <w:r w:rsidR="00F13CCC">
        <w:t>,</w:t>
      </w:r>
      <w:r w:rsidR="00F87B49">
        <w:t xml:space="preserve"> </w:t>
      </w:r>
      <w:r w:rsidR="003D12BA">
        <w:t>and that this case does not involve “a claim by customers seeking a refund of alleged [overbillings].”</w:t>
      </w:r>
      <w:r w:rsidR="003D12BA">
        <w:rPr>
          <w:rStyle w:val="FootnoteReference"/>
        </w:rPr>
        <w:footnoteReference w:id="41"/>
      </w:r>
      <w:r w:rsidR="003D12BA">
        <w:t xml:space="preserve"> </w:t>
      </w:r>
      <w:r>
        <w:t>I</w:t>
      </w:r>
      <w:r w:rsidR="00E01BA6">
        <w:t>n its Cross-Petition</w:t>
      </w:r>
      <w:r>
        <w:t xml:space="preserve"> for hearing, KWRU states</w:t>
      </w:r>
      <w:r w:rsidR="00E01BA6">
        <w:t xml:space="preserve"> that while the </w:t>
      </w:r>
      <w:r w:rsidR="00302471">
        <w:t>PAA</w:t>
      </w:r>
      <w:r w:rsidR="00E01BA6">
        <w:t xml:space="preserve"> Order required refunds to certain customers, it failed to require other customers to pay back over-refunds previously made by the Utility</w:t>
      </w:r>
      <w:r w:rsidR="00F13CCC">
        <w:t>.</w:t>
      </w:r>
      <w:r w:rsidR="00E01BA6">
        <w:t xml:space="preserve"> </w:t>
      </w:r>
      <w:r w:rsidR="00F13CCC">
        <w:t>Further,</w:t>
      </w:r>
      <w:r w:rsidR="00E01BA6">
        <w:t xml:space="preserve"> </w:t>
      </w:r>
      <w:r w:rsidR="00DF5CE5">
        <w:t xml:space="preserve">KWRU asserts that </w:t>
      </w:r>
      <w:r w:rsidR="00E01BA6">
        <w:t xml:space="preserve">the rate charged to Safe Harbor Marina was in compliance with the intent of the approved Tariff, and the negotiated amount between the Utility and Safe Harbor Marina (of which the Commission </w:t>
      </w:r>
      <w:r w:rsidR="00761BF6">
        <w:t xml:space="preserve">staff </w:t>
      </w:r>
      <w:r w:rsidR="00E01BA6">
        <w:t>was aware back in 2009) evidenced that intent.</w:t>
      </w:r>
      <w:r w:rsidR="00E01BA6">
        <w:rPr>
          <w:rStyle w:val="FootnoteReference"/>
        </w:rPr>
        <w:footnoteReference w:id="42"/>
      </w:r>
      <w:r w:rsidR="00E01BA6">
        <w:t xml:space="preserve"> KWRU </w:t>
      </w:r>
      <w:r w:rsidR="00246085">
        <w:t xml:space="preserve">also </w:t>
      </w:r>
      <w:r w:rsidR="00E01BA6">
        <w:t>states that one of the purposes of its Cross-Petition is for the Commission to</w:t>
      </w:r>
      <w:r w:rsidR="00291C78">
        <w:t xml:space="preserve"> acknowledge by order that</w:t>
      </w:r>
      <w:r w:rsidR="00E01BA6" w:rsidRPr="0051051A">
        <w:t xml:space="preserve"> no refund</w:t>
      </w:r>
      <w:r w:rsidR="00E01BA6">
        <w:t xml:space="preserve"> is owed</w:t>
      </w:r>
      <w:r w:rsidR="00E01BA6" w:rsidRPr="0051051A">
        <w:t xml:space="preserve"> to Safe Harbor Marina</w:t>
      </w:r>
      <w:r w:rsidR="00E01BA6">
        <w:t xml:space="preserve">. </w:t>
      </w:r>
      <w:r w:rsidR="00246085">
        <w:t xml:space="preserve">Finally, </w:t>
      </w:r>
      <w:r w:rsidR="00E01BA6" w:rsidRPr="00B744C7">
        <w:t>KWRU asserts that there are only two parties, Sunset and Safe Harbor, which should be due refunds in this case</w:t>
      </w:r>
      <w:r w:rsidR="00E01BA6">
        <w:t xml:space="preserve"> (and KWRU asserts that it has already resolved these refunds)</w:t>
      </w:r>
      <w:r w:rsidR="00F13CCC">
        <w:t>.</w:t>
      </w:r>
    </w:p>
    <w:p w:rsidR="00F13CCC" w:rsidRDefault="00F87B49" w:rsidP="00F13CCC">
      <w:pPr>
        <w:pStyle w:val="BodyText"/>
      </w:pPr>
      <w:r>
        <w:t>As shown above, b</w:t>
      </w:r>
      <w:r w:rsidR="00FA3600">
        <w:t xml:space="preserve">oth KWRU and OPC </w:t>
      </w:r>
      <w:r>
        <w:t xml:space="preserve">argue </w:t>
      </w:r>
      <w:r w:rsidR="00FA3600">
        <w:t>that no issues of material fact exist in regards to the issue</w:t>
      </w:r>
      <w:r w:rsidR="00761BF6">
        <w:t>s</w:t>
      </w:r>
      <w:r w:rsidR="00FA3600">
        <w:t xml:space="preserve"> identified in OPC’s Motion for Partial Summary Final Order.</w:t>
      </w:r>
      <w:r w:rsidR="00557A02">
        <w:rPr>
          <w:rStyle w:val="FootnoteReference"/>
        </w:rPr>
        <w:footnoteReference w:id="43"/>
      </w:r>
      <w:r w:rsidR="00FA3600">
        <w:t xml:space="preserve"> However, staff cannot concur with this opinion. </w:t>
      </w:r>
      <w:r w:rsidR="00F13CCC">
        <w:t xml:space="preserve">Staff </w:t>
      </w:r>
      <w:r w:rsidR="00291C78">
        <w:t>agrees</w:t>
      </w:r>
      <w:r w:rsidR="00F13CCC">
        <w:t xml:space="preserve"> that KWRU has admitted to improper billing in </w:t>
      </w:r>
      <w:r w:rsidR="00297546">
        <w:t>KWRU’s</w:t>
      </w:r>
      <w:r w:rsidR="00F13CCC">
        <w:t xml:space="preserve"> bill</w:t>
      </w:r>
      <w:r w:rsidR="00297546">
        <w:t>ing of Safe Harbor and some of KWRU’s general service customers in KWRU’s</w:t>
      </w:r>
      <w:r w:rsidR="00F13CCC">
        <w:t xml:space="preserve"> response to Commission</w:t>
      </w:r>
      <w:r w:rsidR="00DF1314">
        <w:t xml:space="preserve"> staff’</w:t>
      </w:r>
      <w:r w:rsidR="004D2A71">
        <w:t>s NOAV</w:t>
      </w:r>
      <w:r w:rsidR="00F13CCC">
        <w:t>.</w:t>
      </w:r>
      <w:r w:rsidR="00F13CCC">
        <w:rPr>
          <w:rStyle w:val="FootnoteReference"/>
        </w:rPr>
        <w:footnoteReference w:id="44"/>
      </w:r>
      <w:r w:rsidR="00F13CCC">
        <w:t xml:space="preserve"> However</w:t>
      </w:r>
      <w:r w:rsidR="001F4668">
        <w:t>,</w:t>
      </w:r>
      <w:r w:rsidR="00F13CCC">
        <w:t xml:space="preserve"> there does appear to be some dispute between the parties over whether </w:t>
      </w:r>
      <w:r w:rsidR="00F13CCC" w:rsidRPr="001D4A91">
        <w:rPr>
          <w:i/>
        </w:rPr>
        <w:t>overbilling</w:t>
      </w:r>
      <w:r w:rsidR="00F13CCC">
        <w:t xml:space="preserve">, as opposed to improper billing, occurred, and when and how much overbilling may have occurred. </w:t>
      </w:r>
      <w:r w:rsidR="00F13CCC" w:rsidRPr="0041703E">
        <w:t>KWRU does not appear to have clearly admitted that it overbilled customers during the time period of 2009-2013</w:t>
      </w:r>
      <w:r w:rsidR="00F13CCC">
        <w:t xml:space="preserve"> (the time period in question prior to the audit conducted by Commission staff). </w:t>
      </w:r>
      <w:r w:rsidR="00F13CCC" w:rsidRPr="0041703E">
        <w:t>KWRU and OPC</w:t>
      </w:r>
      <w:r w:rsidR="00F13CCC">
        <w:t xml:space="preserve"> also appear to</w:t>
      </w:r>
      <w:r w:rsidR="00F13CCC" w:rsidRPr="0041703E">
        <w:t xml:space="preserve"> disagree as to the </w:t>
      </w:r>
      <w:r w:rsidR="00776DEE">
        <w:lastRenderedPageBreak/>
        <w:t>effect</w:t>
      </w:r>
      <w:r w:rsidR="00F13CCC" w:rsidRPr="0041703E">
        <w:t xml:space="preserve"> of </w:t>
      </w:r>
      <w:r w:rsidR="005F42DB">
        <w:t>KWRU’s</w:t>
      </w:r>
      <w:r w:rsidR="00F13CCC">
        <w:t xml:space="preserve"> private</w:t>
      </w:r>
      <w:r w:rsidR="00F13CCC" w:rsidRPr="0041703E">
        <w:t xml:space="preserve"> settlements reached with Sunset and Safe Harbor</w:t>
      </w:r>
      <w:r w:rsidR="002C5C7E">
        <w:t>,</w:t>
      </w:r>
      <w:r w:rsidR="00F13CCC" w:rsidRPr="0041703E">
        <w:t xml:space="preserve"> and whether additional refunds </w:t>
      </w:r>
      <w:r w:rsidR="006D45E9">
        <w:t xml:space="preserve">are </w:t>
      </w:r>
      <w:r w:rsidR="005F42DB">
        <w:t>due to those customers</w:t>
      </w:r>
      <w:r w:rsidR="00F13CCC" w:rsidRPr="0041703E">
        <w:t>.</w:t>
      </w:r>
      <w:r w:rsidR="00F13CCC" w:rsidRPr="001866FF">
        <w:rPr>
          <w:b/>
        </w:rPr>
        <w:t xml:space="preserve"> </w:t>
      </w:r>
      <w:r w:rsidR="00F13CCC">
        <w:t xml:space="preserve">Arguably, the purported settlements entered into by KWRU with Sunset and Safe Harbor may have some impact on amounts that may or may not be due to KWRU customers—the parties appear to have disagreement as to, at the very least, what inferences may be drawn from these settlements. </w:t>
      </w:r>
      <w:r w:rsidR="006D45E9">
        <w:t xml:space="preserve">KWRU’s belief that </w:t>
      </w:r>
      <w:r w:rsidR="00F13CCC">
        <w:t>it should not have to pay any additional am</w:t>
      </w:r>
      <w:r w:rsidR="006D45E9">
        <w:t xml:space="preserve">ounts to Sunset and Safe Harbor </w:t>
      </w:r>
      <w:r w:rsidR="00F13CCC">
        <w:t xml:space="preserve">is based, at least in part, on the settlements KWRU reached with these customers. </w:t>
      </w:r>
    </w:p>
    <w:p w:rsidR="00F13CCC" w:rsidRDefault="00F13CCC" w:rsidP="0050653B">
      <w:pPr>
        <w:pStyle w:val="BodyText"/>
      </w:pPr>
      <w:r>
        <w:t>Finally, t</w:t>
      </w:r>
      <w:r w:rsidRPr="0041703E">
        <w:t>here appears to be disagreement between OPC and KWRU as to</w:t>
      </w:r>
      <w:r w:rsidR="009F310E">
        <w:t xml:space="preserve"> whether there are any additional customers who may be owed refunds, and what the amount of those refunds should be</w:t>
      </w:r>
      <w:r>
        <w:rPr>
          <w:sz w:val="23"/>
          <w:szCs w:val="23"/>
        </w:rPr>
        <w:t>.</w:t>
      </w:r>
    </w:p>
    <w:p w:rsidR="00557A02" w:rsidRDefault="00FA3600" w:rsidP="0050653B">
      <w:pPr>
        <w:pStyle w:val="BodyText"/>
      </w:pPr>
      <w:r w:rsidRPr="00E212A2">
        <w:t>In the current docket</w:t>
      </w:r>
      <w:r>
        <w:t xml:space="preserve">, </w:t>
      </w:r>
      <w:r w:rsidRPr="00E212A2">
        <w:t>parties have not yet</w:t>
      </w:r>
      <w:r>
        <w:t xml:space="preserve"> conducted, let alone</w:t>
      </w:r>
      <w:r w:rsidRPr="00E212A2">
        <w:t xml:space="preserve"> complete</w:t>
      </w:r>
      <w:r>
        <w:t>d,</w:t>
      </w:r>
      <w:r w:rsidRPr="00E212A2">
        <w:t xml:space="preserve"> discovery</w:t>
      </w:r>
      <w:r>
        <w:t xml:space="preserve"> in regards to the </w:t>
      </w:r>
      <w:r w:rsidR="00302471">
        <w:t>PAA</w:t>
      </w:r>
      <w:r>
        <w:t xml:space="preserve"> Order</w:t>
      </w:r>
      <w:r w:rsidRPr="00E212A2">
        <w:t>.</w:t>
      </w:r>
      <w:r>
        <w:t xml:space="preserve"> Furthermore, staff believes, despite the parties’ assertions, that neither party has carried </w:t>
      </w:r>
      <w:r w:rsidR="005B2325">
        <w:t>its</w:t>
      </w:r>
      <w:r>
        <w:t xml:space="preserve"> burden to demonstrate, </w:t>
      </w:r>
      <w:r w:rsidRPr="003C7D73">
        <w:t>conclusively</w:t>
      </w:r>
      <w:r>
        <w:t>,</w:t>
      </w:r>
      <w:r w:rsidRPr="003C7D73">
        <w:t xml:space="preserve"> the absence of any genuine issue of material fact</w:t>
      </w:r>
      <w:r w:rsidR="00C33718">
        <w:t xml:space="preserve"> in regards to whether </w:t>
      </w:r>
      <w:r w:rsidR="00C33718" w:rsidRPr="00C33718">
        <w:t>Rule 25-30.350, F.A.C.</w:t>
      </w:r>
      <w:r w:rsidR="00C33718">
        <w:t xml:space="preserve"> would require additional audits or refunds in this case</w:t>
      </w:r>
      <w:r>
        <w:t>.</w:t>
      </w:r>
      <w:r w:rsidR="00557A02">
        <w:t xml:space="preserve"> </w:t>
      </w:r>
      <w:r w:rsidR="00A24E17">
        <w:t>S</w:t>
      </w:r>
      <w:r w:rsidR="00557A02">
        <w:t>taff</w:t>
      </w:r>
      <w:r w:rsidR="00A24E17">
        <w:t xml:space="preserve"> also</w:t>
      </w:r>
      <w:r w:rsidR="00557A02">
        <w:t xml:space="preserve"> believes that additional facts may be developed at hearing that would help the Commission determine if KWRU “overbilled” pursuant to Rule 25-30.350, F.A.C.</w:t>
      </w:r>
      <w:r>
        <w:t xml:space="preserve"> </w:t>
      </w:r>
    </w:p>
    <w:p w:rsidR="00A24E17" w:rsidRDefault="00EC7BD1" w:rsidP="00A24E17">
      <w:pPr>
        <w:pStyle w:val="BodyText"/>
        <w:keepNext/>
      </w:pPr>
      <w:r>
        <w:t xml:space="preserve">In regards to whether any issues have been stipulated to in this case from the </w:t>
      </w:r>
      <w:r w:rsidR="00302471">
        <w:t>PAA Order</w:t>
      </w:r>
      <w:r>
        <w:t xml:space="preserve">, </w:t>
      </w:r>
      <w:r w:rsidR="00A24E17">
        <w:t>Section 120.80(13)(b), F.S., states that “n</w:t>
      </w:r>
      <w:r w:rsidR="00A24E17" w:rsidRPr="00AF64A0">
        <w:t>otwithstanding ss. 120.569 and 120.57, a hearing on an objection to proposed action of the Florida Public Service Commission may only address the issues in dispute. Issues in the proposed action which are not in dispute are deemed stipulated.</w:t>
      </w:r>
      <w:r w:rsidR="00A24E17">
        <w:t xml:space="preserve">” Further, Rule 25-22.029, F.A.C., provides that issues in a proposed action that are not identified in the petition or cross-petition protesting the proposed action are deemed stipulated. In this case, OPC states that it protests </w:t>
      </w:r>
      <w:r w:rsidR="002A2132">
        <w:t>(</w:t>
      </w:r>
      <w:r w:rsidR="00A24E17">
        <w:t xml:space="preserve">1) whether the Commission properly followed its rules in setting the time period for refunds, and </w:t>
      </w:r>
      <w:r w:rsidR="002A2132">
        <w:t>(</w:t>
      </w:r>
      <w:r w:rsidR="00A24E17">
        <w:t>2) the amount for refunds</w:t>
      </w:r>
      <w:r w:rsidR="00C61EFB">
        <w:t xml:space="preserve"> due</w:t>
      </w:r>
      <w:r w:rsidR="00A24E17">
        <w:t xml:space="preserve"> to KWRU customer</w:t>
      </w:r>
      <w:r w:rsidR="00C61EFB">
        <w:t>s</w:t>
      </w:r>
      <w:r w:rsidR="00A24E17">
        <w:t xml:space="preserve">. As such, staff interprets OPC’s protest of the </w:t>
      </w:r>
      <w:r w:rsidR="00302471">
        <w:t>PAA Order</w:t>
      </w:r>
      <w:r w:rsidR="00A24E17">
        <w:t xml:space="preserve"> to be every issue in th</w:t>
      </w:r>
      <w:r w:rsidR="00302471">
        <w:t>e PAA Order</w:t>
      </w:r>
      <w:r w:rsidR="00410138">
        <w:t>.</w:t>
      </w:r>
      <w:r w:rsidR="00A24E17">
        <w:t xml:space="preserve"> </w:t>
      </w:r>
      <w:r w:rsidR="00410138">
        <w:t>The</w:t>
      </w:r>
      <w:r w:rsidR="00A24E17">
        <w:t xml:space="preserve"> issues</w:t>
      </w:r>
      <w:r w:rsidR="00302471">
        <w:t xml:space="preserve"> in the PAA Order</w:t>
      </w:r>
      <w:r w:rsidR="00A24E17">
        <w:t xml:space="preserve"> set out the appropriate time period for refunds and identify any refunds that may be due to KWRU customers.</w:t>
      </w:r>
      <w:r w:rsidR="00A24E17">
        <w:rPr>
          <w:rStyle w:val="FootnoteReference"/>
        </w:rPr>
        <w:footnoteReference w:id="45"/>
      </w:r>
      <w:r w:rsidR="00A24E17">
        <w:t xml:space="preserve"> Thus, pursuant to </w:t>
      </w:r>
      <w:r w:rsidR="00A24E17" w:rsidRPr="008B2882">
        <w:t>120.80(13)(b), F.S.,</w:t>
      </w:r>
      <w:r w:rsidR="00A24E17">
        <w:t xml:space="preserve"> and </w:t>
      </w:r>
      <w:r w:rsidR="00A24E17" w:rsidRPr="008B2882">
        <w:t>Rule 25-22.029, F.A.C.</w:t>
      </w:r>
      <w:r w:rsidR="00A24E17">
        <w:t xml:space="preserve">, the Commission should find that the entirety of the </w:t>
      </w:r>
      <w:r w:rsidR="00302471">
        <w:t>PAA Order</w:t>
      </w:r>
      <w:r w:rsidR="00A24E17">
        <w:t xml:space="preserve"> </w:t>
      </w:r>
      <w:r w:rsidR="00410138">
        <w:t>has</w:t>
      </w:r>
      <w:r w:rsidR="00A24E17">
        <w:t xml:space="preserve"> been protested</w:t>
      </w:r>
      <w:r w:rsidR="000C4314">
        <w:t>,</w:t>
      </w:r>
      <w:r w:rsidR="00A24E17">
        <w:t xml:space="preserve"> and none of the issues in th</w:t>
      </w:r>
      <w:r w:rsidR="00302471">
        <w:t>e PAA Order</w:t>
      </w:r>
      <w:r w:rsidR="00A24E17">
        <w:t xml:space="preserve"> have been stipulated.</w:t>
      </w:r>
    </w:p>
    <w:p w:rsidR="00BF13D8" w:rsidRDefault="00BF13D8" w:rsidP="00BF13D8">
      <w:pPr>
        <w:pStyle w:val="BodyText"/>
        <w:rPr>
          <w:rFonts w:ascii="Arial" w:hAnsi="Arial" w:cs="Arial"/>
          <w:b/>
        </w:rPr>
      </w:pPr>
      <w:r>
        <w:rPr>
          <w:rFonts w:ascii="Arial" w:hAnsi="Arial" w:cs="Arial"/>
          <w:b/>
        </w:rPr>
        <w:t>OPC Lack of Standing and Right to a Hearing</w:t>
      </w:r>
    </w:p>
    <w:p w:rsidR="00BF13D8" w:rsidRPr="001866FF" w:rsidRDefault="00BF13D8" w:rsidP="00BF13D8">
      <w:pPr>
        <w:pStyle w:val="BodyText"/>
        <w:rPr>
          <w:b/>
        </w:rPr>
      </w:pPr>
      <w:r>
        <w:t>KWRU reiterates in its Cross-Motion for Summary Final Order the argument raised in its Motion to Dismiss or Strike that OPC lacks standing in this case and is not entitled to a hearing.</w:t>
      </w:r>
      <w:r>
        <w:rPr>
          <w:rStyle w:val="FootnoteReference"/>
        </w:rPr>
        <w:footnoteReference w:id="46"/>
      </w:r>
      <w:r>
        <w:t xml:space="preserve"> For the reasons set forth in Issue 2, staff recommends that OPC does have standing in this matter and is entitled to request a hearing. Therefore, staff recommends that the Commission deny this part of KWRU’s </w:t>
      </w:r>
      <w:r w:rsidR="00424137">
        <w:t>Cross-</w:t>
      </w:r>
      <w:r>
        <w:t>Motion</w:t>
      </w:r>
      <w:r w:rsidR="00424137">
        <w:t>.</w:t>
      </w:r>
    </w:p>
    <w:p w:rsidR="00465496" w:rsidRPr="00BF13D8" w:rsidRDefault="00465496" w:rsidP="00465496">
      <w:pPr>
        <w:pStyle w:val="BodyText"/>
        <w:keepNext/>
      </w:pPr>
      <w:r w:rsidRPr="00BF13D8">
        <w:rPr>
          <w:rFonts w:ascii="Arial" w:hAnsi="Arial" w:cs="Arial"/>
          <w:b/>
        </w:rPr>
        <w:lastRenderedPageBreak/>
        <w:t>Conclusion</w:t>
      </w:r>
    </w:p>
    <w:p w:rsidR="00603CA7" w:rsidRDefault="00A47058" w:rsidP="00E0420A">
      <w:pPr>
        <w:pStyle w:val="BodyText"/>
      </w:pPr>
      <w:r>
        <w:t>For the reasons stated above</w:t>
      </w:r>
      <w:r w:rsidR="00561C56">
        <w:t>,</w:t>
      </w:r>
      <w:r w:rsidR="00AD234B">
        <w:t xml:space="preserve"> staff does not believe that the facts of this case </w:t>
      </w:r>
      <w:r w:rsidR="00861292">
        <w:t>are “so crystalized” that it is clear that no</w:t>
      </w:r>
      <w:r w:rsidR="00861292" w:rsidRPr="00CF4773">
        <w:t xml:space="preserve"> genuine issue as to any material fact exists</w:t>
      </w:r>
      <w:r w:rsidR="0026384A">
        <w:t xml:space="preserve"> </w:t>
      </w:r>
      <w:r w:rsidR="00410138">
        <w:t xml:space="preserve">in </w:t>
      </w:r>
      <w:r w:rsidR="0026384A">
        <w:t xml:space="preserve">regards to </w:t>
      </w:r>
      <w:r w:rsidR="00B744C7">
        <w:t xml:space="preserve">potential </w:t>
      </w:r>
      <w:r w:rsidR="0026384A">
        <w:t>overbilling</w:t>
      </w:r>
      <w:r w:rsidR="00B744C7">
        <w:t xml:space="preserve"> by KWRU</w:t>
      </w:r>
      <w:r w:rsidR="0026384A">
        <w:t>. A</w:t>
      </w:r>
      <w:r w:rsidR="0090157B">
        <w:t xml:space="preserve"> review of KWRU</w:t>
      </w:r>
      <w:r w:rsidR="008971A6">
        <w:t>’s</w:t>
      </w:r>
      <w:r w:rsidR="0090157B">
        <w:t xml:space="preserve"> and OPC’s pleadings indicate</w:t>
      </w:r>
      <w:r w:rsidR="008971A6">
        <w:t>s</w:t>
      </w:r>
      <w:r w:rsidR="001E6686">
        <w:t xml:space="preserve"> </w:t>
      </w:r>
      <w:r w:rsidR="0090157B">
        <w:t>that</w:t>
      </w:r>
      <w:r w:rsidR="00D14B8F">
        <w:t xml:space="preserve"> </w:t>
      </w:r>
      <w:r w:rsidR="0026384A">
        <w:t>neither party has conclusively demonstrated, at this point, that no issues of genuine fact remain in regards to overbilling in this case</w:t>
      </w:r>
      <w:r w:rsidR="00230C7E">
        <w:t>.</w:t>
      </w:r>
      <w:r w:rsidR="00117E4A">
        <w:t xml:space="preserve"> </w:t>
      </w:r>
      <w:r w:rsidR="00424137">
        <w:t>Furthermore, staff believes that additional facts may be developed at hearing that would help the Commission decide the matter of whether KWRU overbilled pursuant to Rule 25-30.250, F.A</w:t>
      </w:r>
      <w:r w:rsidR="001B3D37">
        <w:t>.</w:t>
      </w:r>
      <w:r w:rsidR="00424137">
        <w:t>C</w:t>
      </w:r>
      <w:r w:rsidR="001B3D37">
        <w:t xml:space="preserve">. </w:t>
      </w:r>
      <w:r w:rsidR="00117E4A">
        <w:t>Therefore, staff recommends that the granting of a partial summary final order is premature at this time, and OPC’s</w:t>
      </w:r>
      <w:r w:rsidR="0026384A">
        <w:t xml:space="preserve"> and KWRU’s</w:t>
      </w:r>
      <w:r w:rsidR="00117E4A">
        <w:t xml:space="preserve"> motion</w:t>
      </w:r>
      <w:r w:rsidR="0026384A">
        <w:t>s</w:t>
      </w:r>
      <w:r w:rsidR="00603CA7">
        <w:t xml:space="preserve"> should be denied.</w:t>
      </w:r>
    </w:p>
    <w:p w:rsidR="00727CC0" w:rsidRDefault="00727CC0" w:rsidP="00727CC0">
      <w:pPr>
        <w:pStyle w:val="BodyText"/>
        <w:sectPr w:rsidR="00727CC0" w:rsidSect="0068481F">
          <w:headerReference w:type="default" r:id="rId14"/>
          <w:pgSz w:w="12240" w:h="15840" w:code="1"/>
          <w:pgMar w:top="1584" w:right="1440" w:bottom="1440" w:left="1440" w:header="720" w:footer="720" w:gutter="0"/>
          <w:cols w:space="720"/>
          <w:formProt w:val="0"/>
          <w:docGrid w:linePitch="360"/>
        </w:sectPr>
      </w:pPr>
    </w:p>
    <w:p w:rsidR="00E0420A" w:rsidRDefault="00E0420A" w:rsidP="00E0420A">
      <w:pPr>
        <w:pStyle w:val="IssueHeading"/>
        <w:rPr>
          <w:vanish/>
          <w:specVanish/>
        </w:rPr>
      </w:pPr>
      <w:r w:rsidRPr="004C3641">
        <w:lastRenderedPageBreak/>
        <w:t xml:space="preserve">Issue </w:t>
      </w:r>
      <w:r w:rsidR="006B0FE6">
        <w:t>4</w:t>
      </w:r>
      <w:r w:rsidRPr="004C3641">
        <w:t>:</w:t>
      </w:r>
      <w:r>
        <w:fldChar w:fldCharType="begin"/>
      </w:r>
      <w:r>
        <w:instrText xml:space="preserve"> TC "</w:instrText>
      </w:r>
      <w:r>
        <w:fldChar w:fldCharType="begin"/>
      </w:r>
      <w:r>
        <w:instrText xml:space="preserve"> SEQ issue \c </w:instrText>
      </w:r>
      <w:r>
        <w:fldChar w:fldCharType="separate"/>
      </w:r>
      <w:r w:rsidR="00311658">
        <w:rPr>
          <w:noProof/>
        </w:rPr>
        <w:instrText>1</w:instrText>
      </w:r>
      <w:r>
        <w:fldChar w:fldCharType="end"/>
      </w:r>
      <w:r>
        <w:tab/>
        <w:instrText xml:space="preserve">" \l 1 </w:instrText>
      </w:r>
      <w:r>
        <w:fldChar w:fldCharType="end"/>
      </w:r>
      <w:r>
        <w:t> </w:t>
      </w:r>
    </w:p>
    <w:p w:rsidR="00E0420A" w:rsidRDefault="00E0420A" w:rsidP="00E0420A">
      <w:pPr>
        <w:pStyle w:val="BodyText"/>
      </w:pPr>
      <w:r>
        <w:t> Should this docket be closed?</w:t>
      </w:r>
    </w:p>
    <w:p w:rsidR="00E0420A" w:rsidRPr="004C3641" w:rsidRDefault="00E0420A" w:rsidP="00E0420A">
      <w:pPr>
        <w:pStyle w:val="IssueSubsectionHeading"/>
        <w:rPr>
          <w:vanish/>
          <w:specVanish/>
        </w:rPr>
      </w:pPr>
      <w:r w:rsidRPr="004C3641">
        <w:t>Recommendation: </w:t>
      </w:r>
    </w:p>
    <w:p w:rsidR="00E0420A" w:rsidRDefault="00E0420A" w:rsidP="00E0420A">
      <w:pPr>
        <w:pStyle w:val="BodyText"/>
      </w:pPr>
      <w:r>
        <w:t> </w:t>
      </w:r>
      <w:r w:rsidR="008256FB">
        <w:t xml:space="preserve">If the Commission denies KWRU’s Motion to Dismiss or Strike, and </w:t>
      </w:r>
      <w:r w:rsidR="001F2594">
        <w:t xml:space="preserve">denies </w:t>
      </w:r>
      <w:r w:rsidR="008256FB">
        <w:t>both parties</w:t>
      </w:r>
      <w:r w:rsidR="001F2594">
        <w:t>’</w:t>
      </w:r>
      <w:r w:rsidR="008256FB">
        <w:t xml:space="preserve"> </w:t>
      </w:r>
      <w:r w:rsidR="00FA0D7E">
        <w:t>Motions for Summary Final Order</w:t>
      </w:r>
      <w:r w:rsidR="00B405BF">
        <w:t>, this docket should remain open to address OPC</w:t>
      </w:r>
      <w:r w:rsidR="00823FE1">
        <w:t>’s</w:t>
      </w:r>
      <w:r w:rsidR="00B405BF">
        <w:t xml:space="preserve"> and KWRU’s respective </w:t>
      </w:r>
      <w:r w:rsidR="001A5B84">
        <w:t xml:space="preserve">requests for hearing on their </w:t>
      </w:r>
      <w:r w:rsidR="00B405BF">
        <w:t xml:space="preserve">protests of the </w:t>
      </w:r>
      <w:r w:rsidR="00302471">
        <w:t>PAA</w:t>
      </w:r>
      <w:r w:rsidR="0062009B">
        <w:t xml:space="preserve"> Order</w:t>
      </w:r>
      <w:r w:rsidR="008256FB">
        <w:t>.</w:t>
      </w:r>
      <w:r>
        <w:t xml:space="preserve"> </w:t>
      </w:r>
      <w:r w:rsidR="008256FB">
        <w:t>(Schrader)</w:t>
      </w:r>
    </w:p>
    <w:p w:rsidR="00E0420A" w:rsidRPr="004C3641" w:rsidRDefault="00E0420A" w:rsidP="00E0420A">
      <w:pPr>
        <w:pStyle w:val="IssueSubsectionHeading"/>
        <w:rPr>
          <w:vanish/>
          <w:specVanish/>
        </w:rPr>
      </w:pPr>
      <w:r w:rsidRPr="004C3641">
        <w:t>Staff Analysis: </w:t>
      </w:r>
    </w:p>
    <w:p w:rsidR="00E0420A" w:rsidRDefault="00E0420A" w:rsidP="00E0420A">
      <w:pPr>
        <w:pStyle w:val="BodyText"/>
      </w:pPr>
      <w:r>
        <w:t> </w:t>
      </w:r>
      <w:r w:rsidR="00B405BF">
        <w:t>If the Commission denies KWRU’s Motion to Dismiss or Strike, and denies both parties’ Motions for Summary Final Order, this docket should remain open to address OPC</w:t>
      </w:r>
      <w:r w:rsidR="00823FE1">
        <w:t>’s</w:t>
      </w:r>
      <w:r w:rsidR="00B405BF">
        <w:t xml:space="preserve"> and KWRU’s </w:t>
      </w:r>
      <w:r w:rsidR="00823FE1">
        <w:t>respective requests for hearing on their protests of the PAA Order</w:t>
      </w:r>
      <w:r w:rsidR="00FA0D7E">
        <w:t>.</w:t>
      </w:r>
    </w:p>
    <w:p w:rsidR="00E06484" w:rsidRDefault="00E06484" w:rsidP="00E0420A">
      <w:pPr>
        <w:pStyle w:val="IssueHeading"/>
      </w:pPr>
    </w:p>
    <w:p w:rsidR="00FB7EC6" w:rsidRDefault="00FB7EC6">
      <w:pPr>
        <w:pStyle w:val="IssueHeading"/>
      </w:pPr>
    </w:p>
    <w:sectPr w:rsidR="00FB7EC6"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7C" w:rsidRDefault="0076427C">
      <w:r>
        <w:separator/>
      </w:r>
    </w:p>
  </w:endnote>
  <w:endnote w:type="continuationSeparator" w:id="0">
    <w:p w:rsidR="0076427C" w:rsidRDefault="007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31392">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7C" w:rsidRDefault="0076427C">
      <w:r>
        <w:separator/>
      </w:r>
    </w:p>
  </w:footnote>
  <w:footnote w:type="continuationSeparator" w:id="0">
    <w:p w:rsidR="0076427C" w:rsidRDefault="0076427C">
      <w:r>
        <w:continuationSeparator/>
      </w:r>
    </w:p>
  </w:footnote>
  <w:footnote w:id="1">
    <w:p w:rsidR="0076427C" w:rsidRPr="00347603" w:rsidRDefault="0076427C" w:rsidP="00347603">
      <w:pPr>
        <w:pStyle w:val="FootnoteText"/>
        <w:rPr>
          <w:i/>
        </w:rPr>
      </w:pPr>
      <w:r>
        <w:rPr>
          <w:rStyle w:val="FootnoteReference"/>
        </w:rPr>
        <w:footnoteRef/>
      </w:r>
      <w:r>
        <w:t xml:space="preserve"> Order No. PSC-16-0123-PAA-SU, issued March 23, 2016, in Docket No. 150071-SU, </w:t>
      </w:r>
      <w:r w:rsidRPr="00951485">
        <w:rPr>
          <w:i/>
        </w:rPr>
        <w:t>In re: Application for</w:t>
      </w:r>
      <w:r w:rsidR="00347603">
        <w:rPr>
          <w:i/>
        </w:rPr>
        <w:t xml:space="preserve"> </w:t>
      </w:r>
      <w:r w:rsidRPr="00951485">
        <w:rPr>
          <w:i/>
        </w:rPr>
        <w:t>increase in wastewater rates in Monroe County by K W Resort Utilities, Corp</w:t>
      </w:r>
      <w:r>
        <w:t>.</w:t>
      </w:r>
    </w:p>
  </w:footnote>
  <w:footnote w:id="2">
    <w:p w:rsidR="0076427C" w:rsidRDefault="0076427C" w:rsidP="00951485">
      <w:pPr>
        <w:pStyle w:val="FootnoteText"/>
      </w:pPr>
      <w:r>
        <w:rPr>
          <w:rStyle w:val="FootnoteReference"/>
        </w:rPr>
        <w:footnoteRef/>
      </w:r>
      <w:r>
        <w:t xml:space="preserve"> Order No. PSC-17-0091-FOF-SU, issued March 13, 2017, in Docket No. 150071-SU, </w:t>
      </w:r>
      <w:r w:rsidRPr="00951485">
        <w:rPr>
          <w:i/>
        </w:rPr>
        <w:t>In re: Application for</w:t>
      </w:r>
      <w:r w:rsidR="00347603">
        <w:rPr>
          <w:i/>
        </w:rPr>
        <w:t xml:space="preserve"> </w:t>
      </w:r>
      <w:r w:rsidRPr="00951485">
        <w:rPr>
          <w:i/>
        </w:rPr>
        <w:t>increase in wastewater rates in Monroe County by K W Resort Utilities, Corp</w:t>
      </w:r>
      <w:r>
        <w:t>.</w:t>
      </w:r>
    </w:p>
  </w:footnote>
  <w:footnote w:id="3">
    <w:p w:rsidR="001E6686" w:rsidRDefault="001E6686" w:rsidP="001E6686">
      <w:pPr>
        <w:pStyle w:val="FootnoteText"/>
      </w:pPr>
      <w:r>
        <w:rPr>
          <w:rStyle w:val="FootnoteReference"/>
        </w:rPr>
        <w:footnoteRef/>
      </w:r>
      <w:r w:rsidR="00F13CCC">
        <w:t xml:space="preserve"> </w:t>
      </w:r>
      <w:r w:rsidRPr="001E6686">
        <w:t>Order No. PSC-17-0091-FOF-SU</w:t>
      </w:r>
      <w:r w:rsidR="00B42B49">
        <w:t>, pg. 82,</w:t>
      </w:r>
      <w:r>
        <w:t xml:space="preserve"> directed “a new docket be opened, and a full audit and investigation conducted in regard to KWRU’s billing practices in order to determine if any orders, rules, or statutes were violated by the Utility.” The Commission did not fix a particular time period for the full audit.</w:t>
      </w:r>
      <w:r w:rsidR="007A4329">
        <w:t xml:space="preserve"> The 2013-2017 </w:t>
      </w:r>
      <w:r w:rsidR="00B42B49">
        <w:t xml:space="preserve">audit </w:t>
      </w:r>
      <w:r w:rsidR="007A4329">
        <w:t>dates were selected by Commission staff.</w:t>
      </w:r>
      <w:r w:rsidR="00B42B49">
        <w:t xml:space="preserve"> </w:t>
      </w:r>
    </w:p>
  </w:footnote>
  <w:footnote w:id="4">
    <w:p w:rsidR="0062239C" w:rsidRDefault="0062239C">
      <w:pPr>
        <w:pStyle w:val="FootnoteText"/>
      </w:pPr>
      <w:r>
        <w:rPr>
          <w:rStyle w:val="FootnoteReference"/>
        </w:rPr>
        <w:footnoteRef/>
      </w:r>
      <w:r>
        <w:t xml:space="preserve"> DN </w:t>
      </w:r>
      <w:r w:rsidRPr="0062239C">
        <w:t>04700-2018</w:t>
      </w:r>
      <w:r>
        <w:t>.</w:t>
      </w:r>
    </w:p>
  </w:footnote>
  <w:footnote w:id="5">
    <w:p w:rsidR="00262E3B" w:rsidRDefault="00262E3B">
      <w:pPr>
        <w:pStyle w:val="FootnoteText"/>
      </w:pPr>
      <w:r>
        <w:rPr>
          <w:rStyle w:val="FootnoteReference"/>
        </w:rPr>
        <w:footnoteRef/>
      </w:r>
      <w:r w:rsidR="008D7067">
        <w:t xml:space="preserve"> </w:t>
      </w:r>
      <w:r>
        <w:t xml:space="preserve">Order No. </w:t>
      </w:r>
      <w:r w:rsidRPr="00432ABB">
        <w:t>PSC-2018-0444-PAA-SU</w:t>
      </w:r>
      <w:r>
        <w:t xml:space="preserve">, issued August 31, 2018, in Docket No. 20170086-SU, </w:t>
      </w:r>
      <w:r w:rsidRPr="00432ABB">
        <w:rPr>
          <w:i/>
        </w:rPr>
        <w:t>In re: Investigatio</w:t>
      </w:r>
      <w:r>
        <w:rPr>
          <w:i/>
        </w:rPr>
        <w:t xml:space="preserve">n into the billing practices of </w:t>
      </w:r>
      <w:r w:rsidRPr="00432ABB">
        <w:rPr>
          <w:i/>
        </w:rPr>
        <w:t>K W Resort Utilities Corp. in Monroe County</w:t>
      </w:r>
      <w:r w:rsidR="009C1D99">
        <w:t>,</w:t>
      </w:r>
      <w:r>
        <w:t xml:space="preserve"> pg. 6</w:t>
      </w:r>
      <w:r w:rsidRPr="00432ABB">
        <w:rPr>
          <w:i/>
        </w:rPr>
        <w:t>.</w:t>
      </w:r>
    </w:p>
  </w:footnote>
  <w:footnote w:id="6">
    <w:p w:rsidR="0076427C" w:rsidRPr="00432ABB" w:rsidRDefault="0076427C" w:rsidP="00432ABB">
      <w:pPr>
        <w:pStyle w:val="FootnoteText"/>
        <w:rPr>
          <w:i/>
        </w:rPr>
      </w:pPr>
      <w:r>
        <w:rPr>
          <w:rStyle w:val="FootnoteReference"/>
        </w:rPr>
        <w:footnoteRef/>
      </w:r>
      <w:r w:rsidR="00262E3B">
        <w:t xml:space="preserve"> </w:t>
      </w:r>
      <w:r w:rsidR="00262E3B" w:rsidRPr="00262E3B">
        <w:rPr>
          <w:i/>
        </w:rPr>
        <w:t>Id</w:t>
      </w:r>
      <w:r w:rsidRPr="00432ABB">
        <w:rPr>
          <w:i/>
        </w:rPr>
        <w:t>.</w:t>
      </w:r>
    </w:p>
  </w:footnote>
  <w:footnote w:id="7">
    <w:p w:rsidR="0076427C" w:rsidRDefault="0076427C">
      <w:pPr>
        <w:pStyle w:val="FootnoteText"/>
      </w:pPr>
      <w:r>
        <w:rPr>
          <w:rStyle w:val="FootnoteReference"/>
        </w:rPr>
        <w:footnoteRef/>
      </w:r>
      <w:r>
        <w:t xml:space="preserve"> OPC Pet. for Hr’g</w:t>
      </w:r>
      <w:r w:rsidR="00652459">
        <w:t>,</w:t>
      </w:r>
      <w:r>
        <w:t xml:space="preserve"> pg. 1.</w:t>
      </w:r>
    </w:p>
  </w:footnote>
  <w:footnote w:id="8">
    <w:p w:rsidR="002C1D9D" w:rsidRDefault="002C1D9D">
      <w:pPr>
        <w:pStyle w:val="FootnoteText"/>
      </w:pPr>
      <w:r>
        <w:rPr>
          <w:rStyle w:val="FootnoteReference"/>
        </w:rPr>
        <w:footnoteRef/>
      </w:r>
      <w:r>
        <w:t xml:space="preserve"> KWRU Cross-Pet. for Hr’g, pg. 2.</w:t>
      </w:r>
    </w:p>
  </w:footnote>
  <w:footnote w:id="9">
    <w:p w:rsidR="0076427C" w:rsidRDefault="0076427C">
      <w:pPr>
        <w:pStyle w:val="FootnoteText"/>
      </w:pPr>
      <w:r>
        <w:rPr>
          <w:rStyle w:val="FootnoteReference"/>
        </w:rPr>
        <w:footnoteRef/>
      </w:r>
      <w:r>
        <w:t xml:space="preserve"> KWRU Mot. to Dismiss or in Alt. to Strike</w:t>
      </w:r>
      <w:r w:rsidR="00652459">
        <w:t>,</w:t>
      </w:r>
      <w:r>
        <w:t xml:space="preserve"> pg. 2-3.</w:t>
      </w:r>
    </w:p>
  </w:footnote>
  <w:footnote w:id="10">
    <w:p w:rsidR="0076427C" w:rsidRDefault="0076427C">
      <w:pPr>
        <w:pStyle w:val="FootnoteText"/>
      </w:pPr>
      <w:r>
        <w:rPr>
          <w:rStyle w:val="FootnoteReference"/>
        </w:rPr>
        <w:footnoteRef/>
      </w:r>
      <w:r>
        <w:t xml:space="preserve"> KWRU Mot. to Dismiss or in Alt. to Strike</w:t>
      </w:r>
      <w:r w:rsidR="00652459">
        <w:t>,</w:t>
      </w:r>
      <w:r>
        <w:t xml:space="preserve"> pg. 3.</w:t>
      </w:r>
    </w:p>
  </w:footnote>
  <w:footnote w:id="11">
    <w:p w:rsidR="0076427C" w:rsidRDefault="0076427C" w:rsidP="00672FEF">
      <w:pPr>
        <w:pStyle w:val="FootnoteText"/>
      </w:pPr>
      <w:r>
        <w:rPr>
          <w:rStyle w:val="FootnoteReference"/>
        </w:rPr>
        <w:footnoteRef/>
      </w:r>
      <w:r>
        <w:t xml:space="preserve"> </w:t>
      </w:r>
      <w:r w:rsidRPr="00672FEF">
        <w:rPr>
          <w:i/>
        </w:rPr>
        <w:t>Cintron v. Osmose Wood Preserving, Inc.</w:t>
      </w:r>
      <w:r>
        <w:t>, 681 So. 2d 859, 861 (Fla. 5th DCA 1996).</w:t>
      </w:r>
    </w:p>
  </w:footnote>
  <w:footnote w:id="12">
    <w:p w:rsidR="0076427C" w:rsidRDefault="0076427C" w:rsidP="00672FEF">
      <w:pPr>
        <w:pStyle w:val="FootnoteText"/>
      </w:pPr>
      <w:r>
        <w:rPr>
          <w:rStyle w:val="FootnoteReference"/>
        </w:rPr>
        <w:footnoteRef/>
      </w:r>
      <w:r>
        <w:t xml:space="preserve"> </w:t>
      </w:r>
      <w:r w:rsidRPr="00672FEF">
        <w:rPr>
          <w:i/>
        </w:rPr>
        <w:t>Huet v. Mike Shad Ford, Inc.</w:t>
      </w:r>
      <w:r>
        <w:t xml:space="preserve">, 915 So. 2d 723, 725 (Fla. 5th DCA 2005), and </w:t>
      </w:r>
      <w:r w:rsidRPr="00672FEF">
        <w:rPr>
          <w:i/>
        </w:rPr>
        <w:t>Haskel Realty Group, Inc. v. KB Tyrone, LLC</w:t>
      </w:r>
      <w:r>
        <w:t>, 253 So. 3d 84, 85 (Fla. 2d DCA 2018).</w:t>
      </w:r>
    </w:p>
  </w:footnote>
  <w:footnote w:id="13">
    <w:p w:rsidR="0076427C" w:rsidRPr="00E37E7D" w:rsidRDefault="0076427C" w:rsidP="00E37E7D">
      <w:pPr>
        <w:pStyle w:val="FootnoteText"/>
      </w:pPr>
      <w:r>
        <w:rPr>
          <w:rStyle w:val="FootnoteReference"/>
        </w:rPr>
        <w:footnoteRef/>
      </w:r>
      <w:r>
        <w:t xml:space="preserve"> </w:t>
      </w:r>
      <w:r w:rsidRPr="00E37E7D">
        <w:rPr>
          <w:i/>
        </w:rPr>
        <w:t xml:space="preserve">Consuegra v. Lloyd's Underwriters at London, </w:t>
      </w:r>
      <w:r w:rsidRPr="00E37E7D">
        <w:t>801 So. 2d 111, 112 (Fla. 2d DCA 2001)</w:t>
      </w:r>
      <w:r>
        <w:t>.</w:t>
      </w:r>
    </w:p>
  </w:footnote>
  <w:footnote w:id="14">
    <w:p w:rsidR="0076427C" w:rsidRDefault="0076427C" w:rsidP="00136866">
      <w:pPr>
        <w:pStyle w:val="FootnoteText"/>
      </w:pPr>
      <w:r>
        <w:rPr>
          <w:rStyle w:val="FootnoteReference"/>
        </w:rPr>
        <w:footnoteRef/>
      </w:r>
      <w:r>
        <w:t xml:space="preserve"> </w:t>
      </w:r>
      <w:r w:rsidRPr="00136866">
        <w:rPr>
          <w:i/>
        </w:rPr>
        <w:t xml:space="preserve">Cintron </w:t>
      </w:r>
      <w:r>
        <w:t>at 861.</w:t>
      </w:r>
    </w:p>
  </w:footnote>
  <w:footnote w:id="15">
    <w:p w:rsidR="00987D3E" w:rsidRDefault="00987D3E">
      <w:pPr>
        <w:pStyle w:val="FootnoteText"/>
      </w:pPr>
      <w:r>
        <w:rPr>
          <w:rStyle w:val="FootnoteReference"/>
        </w:rPr>
        <w:footnoteRef/>
      </w:r>
      <w:r>
        <w:t xml:space="preserve"> OPC Resp. to KWRU Mot. to Dismiss or in Alt. to Strike, pg. 5.</w:t>
      </w:r>
    </w:p>
  </w:footnote>
  <w:footnote w:id="16">
    <w:p w:rsidR="00262E3B" w:rsidRPr="00987D3E" w:rsidRDefault="00262E3B">
      <w:pPr>
        <w:pStyle w:val="FootnoteText"/>
      </w:pPr>
      <w:r>
        <w:rPr>
          <w:rStyle w:val="FootnoteReference"/>
        </w:rPr>
        <w:footnoteRef/>
      </w:r>
      <w:r>
        <w:t xml:space="preserve"> </w:t>
      </w:r>
      <w:r w:rsidR="00987D3E">
        <w:rPr>
          <w:i/>
        </w:rPr>
        <w:t>Id</w:t>
      </w:r>
      <w:r w:rsidR="00987D3E">
        <w:t>.</w:t>
      </w:r>
    </w:p>
  </w:footnote>
  <w:footnote w:id="17">
    <w:p w:rsidR="0076427C" w:rsidRDefault="0076427C" w:rsidP="001D51D5">
      <w:pPr>
        <w:pStyle w:val="FootnoteText"/>
      </w:pPr>
      <w:r>
        <w:rPr>
          <w:rStyle w:val="FootnoteReference"/>
        </w:rPr>
        <w:footnoteRef/>
      </w:r>
      <w:r>
        <w:t xml:space="preserve"> </w:t>
      </w:r>
      <w:r w:rsidRPr="001D51D5">
        <w:rPr>
          <w:i/>
        </w:rPr>
        <w:t>Wheeler v. Powers</w:t>
      </w:r>
      <w:r w:rsidRPr="001D51D5">
        <w:t>, 972 So. 2d 285, 288 (Fla. 5th DCA 2008)</w:t>
      </w:r>
      <w:r>
        <w:t xml:space="preserve">, citing </w:t>
      </w:r>
      <w:r w:rsidRPr="001D51D5">
        <w:rPr>
          <w:i/>
        </w:rPr>
        <w:t>Payne v. City of Miami</w:t>
      </w:r>
      <w:r>
        <w:t>, 927 So. 2d 904, 906 (Fla. 3d DCA 2005).</w:t>
      </w:r>
    </w:p>
  </w:footnote>
  <w:footnote w:id="18">
    <w:p w:rsidR="0076427C" w:rsidRDefault="0076427C">
      <w:pPr>
        <w:pStyle w:val="FootnoteText"/>
      </w:pPr>
      <w:r>
        <w:rPr>
          <w:rStyle w:val="FootnoteReference"/>
        </w:rPr>
        <w:footnoteRef/>
      </w:r>
      <w:r>
        <w:t xml:space="preserve"> KWRU Mot. to Dismiss or in Alt. to Strike</w:t>
      </w:r>
      <w:r w:rsidR="00652459">
        <w:t>,</w:t>
      </w:r>
      <w:r>
        <w:t xml:space="preserve"> pg. 4.</w:t>
      </w:r>
    </w:p>
  </w:footnote>
  <w:footnote w:id="19">
    <w:p w:rsidR="0076427C" w:rsidRPr="00F2387D" w:rsidRDefault="0076427C" w:rsidP="000A4BE3">
      <w:pPr>
        <w:pStyle w:val="FootnoteText"/>
      </w:pPr>
      <w:r>
        <w:rPr>
          <w:rStyle w:val="FootnoteReference"/>
        </w:rPr>
        <w:footnoteRef/>
      </w:r>
      <w:r>
        <w:t xml:space="preserve"> </w:t>
      </w:r>
      <w:r w:rsidRPr="000A4BE3">
        <w:rPr>
          <w:i/>
        </w:rPr>
        <w:t>Agrico Chem. Co. v. Dep't of Envtl. Regulation</w:t>
      </w:r>
      <w:r>
        <w:t>, 406 So. 2d 478, 481–82 (Fla. 2d DCA 1981).</w:t>
      </w:r>
      <w:r w:rsidR="00F2387D">
        <w:t xml:space="preserve"> </w:t>
      </w:r>
      <w:r w:rsidR="00F2387D">
        <w:rPr>
          <w:i/>
        </w:rPr>
        <w:t>See also</w:t>
      </w:r>
      <w:r w:rsidR="00F2387D" w:rsidRPr="00F2387D">
        <w:t xml:space="preserve"> </w:t>
      </w:r>
      <w:r w:rsidR="00F2387D">
        <w:t xml:space="preserve">Order No. PSC-12-0620-PCO-WU, issued November 19, 2012, in Docket No. 20110200-WU, </w:t>
      </w:r>
      <w:r w:rsidR="00F2387D" w:rsidRPr="00432ABB">
        <w:rPr>
          <w:i/>
        </w:rPr>
        <w:t xml:space="preserve">In re: </w:t>
      </w:r>
      <w:r w:rsidR="00F2387D">
        <w:rPr>
          <w:i/>
        </w:rPr>
        <w:t>Application for the increase in water rates in Franklin County by Water Management Services, Inc</w:t>
      </w:r>
      <w:r w:rsidR="001B0EC6">
        <w:rPr>
          <w:i/>
        </w:rPr>
        <w:t>.</w:t>
      </w:r>
      <w:r w:rsidR="00F2387D">
        <w:rPr>
          <w:i/>
        </w:rPr>
        <w:t xml:space="preserve">, </w:t>
      </w:r>
      <w:r w:rsidR="00F2387D">
        <w:t>pg. 2</w:t>
      </w:r>
      <w:r w:rsidR="00F2387D">
        <w:rPr>
          <w:i/>
        </w:rPr>
        <w:t xml:space="preserve">, </w:t>
      </w:r>
      <w:r w:rsidR="002B0F6F">
        <w:t>which addressed a Motion to Dismiss an OPC PAA protest on the basis that OPC did not represent customers of the utility</w:t>
      </w:r>
      <w:r w:rsidR="00F2387D">
        <w:t>.</w:t>
      </w:r>
      <w:r w:rsidR="002B0F6F">
        <w:t xml:space="preserve"> The Commission denied this Motion on the basis that OPC is authorized by statute to appear as a party.</w:t>
      </w:r>
    </w:p>
  </w:footnote>
  <w:footnote w:id="20">
    <w:p w:rsidR="0076427C" w:rsidRDefault="0076427C">
      <w:pPr>
        <w:pStyle w:val="FootnoteText"/>
      </w:pPr>
      <w:r>
        <w:rPr>
          <w:rStyle w:val="FootnoteReference"/>
        </w:rPr>
        <w:footnoteRef/>
      </w:r>
      <w:r>
        <w:t xml:space="preserve"> KWRU Mot. to Dismiss or in Alt. to Strike</w:t>
      </w:r>
      <w:r w:rsidR="00561C56">
        <w:t>,</w:t>
      </w:r>
      <w:r>
        <w:t xml:space="preserve"> pg. 5.</w:t>
      </w:r>
    </w:p>
  </w:footnote>
  <w:footnote w:id="21">
    <w:p w:rsidR="0076427C" w:rsidRDefault="0076427C" w:rsidP="00C12242">
      <w:pPr>
        <w:pStyle w:val="FootnoteText"/>
      </w:pPr>
      <w:r>
        <w:rPr>
          <w:rStyle w:val="FootnoteReference"/>
        </w:rPr>
        <w:footnoteRef/>
      </w:r>
      <w:r>
        <w:t xml:space="preserve"> </w:t>
      </w:r>
      <w:r w:rsidRPr="00C12242">
        <w:rPr>
          <w:i/>
        </w:rPr>
        <w:t>Id</w:t>
      </w:r>
      <w:r>
        <w:t>.</w:t>
      </w:r>
    </w:p>
  </w:footnote>
  <w:footnote w:id="22">
    <w:p w:rsidR="0076427C" w:rsidRDefault="0076427C">
      <w:pPr>
        <w:pStyle w:val="FootnoteText"/>
      </w:pPr>
      <w:r>
        <w:rPr>
          <w:rStyle w:val="FootnoteReference"/>
        </w:rPr>
        <w:footnoteRef/>
      </w:r>
      <w:r>
        <w:rPr>
          <w:i/>
        </w:rPr>
        <w:t xml:space="preserve"> Id</w:t>
      </w:r>
      <w:r>
        <w:t>. at 4-5.</w:t>
      </w:r>
    </w:p>
  </w:footnote>
  <w:footnote w:id="23">
    <w:p w:rsidR="007A0979" w:rsidRPr="007A0979" w:rsidRDefault="007A0979">
      <w:pPr>
        <w:pStyle w:val="FootnoteText"/>
      </w:pPr>
      <w:r>
        <w:rPr>
          <w:rStyle w:val="FootnoteReference"/>
        </w:rPr>
        <w:footnoteRef/>
      </w:r>
      <w:r>
        <w:t xml:space="preserve"> </w:t>
      </w:r>
      <w:r>
        <w:rPr>
          <w:i/>
        </w:rPr>
        <w:t xml:space="preserve">Id. </w:t>
      </w:r>
    </w:p>
  </w:footnote>
  <w:footnote w:id="24">
    <w:p w:rsidR="00143E76" w:rsidRDefault="00143E76" w:rsidP="00143E76">
      <w:pPr>
        <w:pStyle w:val="FootnoteText"/>
      </w:pPr>
      <w:r>
        <w:rPr>
          <w:rStyle w:val="FootnoteReference"/>
        </w:rPr>
        <w:footnoteRef/>
      </w:r>
      <w:r>
        <w:t xml:space="preserve"> </w:t>
      </w:r>
      <w:r w:rsidR="007E0607">
        <w:rPr>
          <w:i/>
        </w:rPr>
        <w:t xml:space="preserve">Id. </w:t>
      </w:r>
      <w:r w:rsidR="007E0607">
        <w:t xml:space="preserve">at </w:t>
      </w:r>
      <w:r>
        <w:t>4.</w:t>
      </w:r>
    </w:p>
  </w:footnote>
  <w:footnote w:id="25">
    <w:p w:rsidR="00E50284" w:rsidRDefault="00E50284" w:rsidP="00E50284">
      <w:pPr>
        <w:pStyle w:val="FootnoteText"/>
      </w:pPr>
      <w:r>
        <w:rPr>
          <w:rStyle w:val="FootnoteReference"/>
        </w:rPr>
        <w:footnoteRef/>
      </w:r>
      <w:r>
        <w:t xml:space="preserve"> Doc. No.</w:t>
      </w:r>
      <w:r w:rsidRPr="00BF40BF">
        <w:t xml:space="preserve"> 06800-2018</w:t>
      </w:r>
      <w:r w:rsidR="0037192E">
        <w:t>.</w:t>
      </w:r>
    </w:p>
  </w:footnote>
  <w:footnote w:id="26">
    <w:p w:rsidR="0076427C" w:rsidRDefault="0076427C">
      <w:pPr>
        <w:pStyle w:val="FootnoteText"/>
      </w:pPr>
      <w:r>
        <w:rPr>
          <w:rStyle w:val="FootnoteReference"/>
        </w:rPr>
        <w:footnoteRef/>
      </w:r>
      <w:r w:rsidR="007A0979">
        <w:t xml:space="preserve"> OPC Pet. for H</w:t>
      </w:r>
      <w:r>
        <w:t>r</w:t>
      </w:r>
      <w:r w:rsidR="007A0979">
        <w:t>’</w:t>
      </w:r>
      <w:r>
        <w:t>g</w:t>
      </w:r>
      <w:r w:rsidR="00652459">
        <w:t>,</w:t>
      </w:r>
      <w:r>
        <w:t xml:space="preserve"> pg. 4.</w:t>
      </w:r>
    </w:p>
  </w:footnote>
  <w:footnote w:id="27">
    <w:p w:rsidR="001D4A91" w:rsidRPr="00C51FC1" w:rsidRDefault="001D4A91" w:rsidP="001D4A91">
      <w:pPr>
        <w:pStyle w:val="FootnoteText"/>
      </w:pPr>
      <w:r>
        <w:rPr>
          <w:rStyle w:val="FootnoteReference"/>
        </w:rPr>
        <w:footnoteRef/>
      </w:r>
      <w:r>
        <w:t xml:space="preserve"> Order No.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pg. 4.</w:t>
      </w:r>
    </w:p>
  </w:footnote>
  <w:footnote w:id="28">
    <w:p w:rsidR="001D4A91" w:rsidRDefault="001D4A91" w:rsidP="001D4A91">
      <w:pPr>
        <w:pStyle w:val="FootnoteText"/>
      </w:pPr>
      <w:r>
        <w:rPr>
          <w:rStyle w:val="FootnoteReference"/>
        </w:rPr>
        <w:footnoteRef/>
      </w:r>
      <w:r>
        <w:t xml:space="preserve"> </w:t>
      </w:r>
      <w:r w:rsidRPr="00A722C3">
        <w:rPr>
          <w:i/>
        </w:rPr>
        <w:t>Albelo v. S. Bell</w:t>
      </w:r>
      <w:r w:rsidRPr="00A722C3">
        <w:t>, 682 So. 2d 1126, 1129 (Fla. 4th DCA 1996).</w:t>
      </w:r>
    </w:p>
  </w:footnote>
  <w:footnote w:id="29">
    <w:p w:rsidR="001D4A91" w:rsidRPr="00A722C3" w:rsidRDefault="001D4A91" w:rsidP="001D4A91">
      <w:pPr>
        <w:pStyle w:val="FootnoteText"/>
        <w:rPr>
          <w:i/>
        </w:rPr>
      </w:pPr>
      <w:r>
        <w:rPr>
          <w:rStyle w:val="FootnoteReference"/>
        </w:rPr>
        <w:footnoteRef/>
      </w:r>
      <w:r>
        <w:t xml:space="preserve"> </w:t>
      </w:r>
      <w:r>
        <w:rPr>
          <w:i/>
        </w:rPr>
        <w:t>Id.</w:t>
      </w:r>
    </w:p>
  </w:footnote>
  <w:footnote w:id="30">
    <w:p w:rsidR="001D4A91" w:rsidRDefault="001D4A91" w:rsidP="001D4A91">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1C77C5">
        <w:rPr>
          <w:i/>
        </w:rPr>
        <w:t>I</w:t>
      </w:r>
      <w:r w:rsidR="00EE67FC">
        <w:rPr>
          <w:i/>
        </w:rPr>
        <w:t>n r</w:t>
      </w:r>
      <w:r>
        <w:rPr>
          <w:i/>
        </w:rPr>
        <w:t>e Wedgefield Utilities, Inc.</w:t>
      </w:r>
      <w:r>
        <w:t xml:space="preserve">, </w:t>
      </w:r>
      <w:r w:rsidRPr="001C77C5">
        <w:t>citing</w:t>
      </w:r>
      <w:r>
        <w:t xml:space="preserve"> </w:t>
      </w:r>
      <w:r w:rsidRPr="001C77C5">
        <w:rPr>
          <w:i/>
        </w:rPr>
        <w:t>Brandauer v. Publix Super Markets, Inc.</w:t>
      </w:r>
      <w:r>
        <w:t>, 657 So. 2d 932, 933–34 (Fla. 2d D</w:t>
      </w:r>
      <w:r w:rsidR="00AA3F4B">
        <w:t>CA</w:t>
      </w:r>
      <w:r>
        <w:t xml:space="preserve"> 1995).</w:t>
      </w:r>
    </w:p>
  </w:footnote>
  <w:footnote w:id="31">
    <w:p w:rsidR="0041703E" w:rsidRDefault="0041703E" w:rsidP="0041703E">
      <w:pPr>
        <w:pStyle w:val="FootnoteText"/>
      </w:pPr>
      <w:r>
        <w:rPr>
          <w:rStyle w:val="FootnoteReference"/>
        </w:rPr>
        <w:footnoteRef/>
      </w:r>
      <w:r>
        <w:t xml:space="preserve"> OPC Mot. for Partial Summ. Final Order pg. 2.</w:t>
      </w:r>
    </w:p>
  </w:footnote>
  <w:footnote w:id="32">
    <w:p w:rsidR="00FA3600" w:rsidRPr="00607F78" w:rsidRDefault="00FA3600" w:rsidP="00FA3600">
      <w:pPr>
        <w:pStyle w:val="FootnoteText"/>
      </w:pPr>
      <w:r>
        <w:rPr>
          <w:rStyle w:val="FootnoteReference"/>
        </w:rPr>
        <w:footnoteRef/>
      </w:r>
      <w:r>
        <w:t xml:space="preserve"> </w:t>
      </w:r>
      <w:r w:rsidR="00A80E1C">
        <w:t>KWRU’s Resp. to OPC Mot. for Partial Summ. Final Order, pg. 8</w:t>
      </w:r>
    </w:p>
  </w:footnote>
  <w:footnote w:id="33">
    <w:p w:rsidR="00A56451" w:rsidRDefault="00A56451">
      <w:pPr>
        <w:pStyle w:val="FootnoteText"/>
      </w:pPr>
      <w:r>
        <w:rPr>
          <w:rStyle w:val="FootnoteReference"/>
        </w:rPr>
        <w:footnoteRef/>
      </w:r>
      <w:r>
        <w:t xml:space="preserve"> </w:t>
      </w:r>
      <w:r w:rsidR="00331293">
        <w:rPr>
          <w:i/>
        </w:rPr>
        <w:t>Id.</w:t>
      </w:r>
    </w:p>
  </w:footnote>
  <w:footnote w:id="34">
    <w:p w:rsidR="000E70D7" w:rsidRDefault="000E70D7">
      <w:pPr>
        <w:pStyle w:val="FootnoteText"/>
      </w:pPr>
      <w:r>
        <w:rPr>
          <w:rStyle w:val="FootnoteReference"/>
        </w:rPr>
        <w:footnoteRef/>
      </w:r>
      <w:r>
        <w:t xml:space="preserve"> KWRU cites to </w:t>
      </w:r>
      <w:r w:rsidRPr="000E70D7">
        <w:rPr>
          <w:i/>
        </w:rPr>
        <w:t>In re: Revision to Rule 25-30.335 et al.</w:t>
      </w:r>
      <w:r w:rsidRPr="000E70D7">
        <w:t>, 2013 WL 1628235 (P.S.C. 2013)</w:t>
      </w:r>
      <w:r>
        <w:t>.</w:t>
      </w:r>
    </w:p>
  </w:footnote>
  <w:footnote w:id="35">
    <w:p w:rsidR="00331293" w:rsidRDefault="00331293">
      <w:pPr>
        <w:pStyle w:val="FootnoteText"/>
      </w:pPr>
      <w:r>
        <w:rPr>
          <w:rStyle w:val="FootnoteReference"/>
        </w:rPr>
        <w:footnoteRef/>
      </w:r>
      <w:r>
        <w:t xml:space="preserve"> KWRU’s Resp. to OPC Mot. for Partial Summ. Final Order, pg. 9.</w:t>
      </w:r>
    </w:p>
  </w:footnote>
  <w:footnote w:id="36">
    <w:p w:rsidR="00331293" w:rsidRPr="00331293" w:rsidRDefault="00331293">
      <w:pPr>
        <w:pStyle w:val="FootnoteText"/>
      </w:pPr>
      <w:r>
        <w:rPr>
          <w:rStyle w:val="FootnoteReference"/>
        </w:rPr>
        <w:footnoteRef/>
      </w:r>
      <w:r>
        <w:t xml:space="preserve"> KWRU’s Resp. to OPC Mot. for Partial Summ. Final Order, pg. 9. KWRU also argues that </w:t>
      </w:r>
      <w:r w:rsidRPr="000E70D7">
        <w:rPr>
          <w:i/>
        </w:rPr>
        <w:t>Citizens of State v. Fla. Public Srvc. Com’n.</w:t>
      </w:r>
      <w:r>
        <w:rPr>
          <w:i/>
        </w:rPr>
        <w:t xml:space="preserve"> </w:t>
      </w:r>
      <w:r>
        <w:t xml:space="preserve">allows for the Commission to accept non-unanimous settlements over OPC’s objections. </w:t>
      </w:r>
    </w:p>
  </w:footnote>
  <w:footnote w:id="37">
    <w:p w:rsidR="00E01BA6" w:rsidRPr="00B64D13" w:rsidRDefault="00E01BA6" w:rsidP="00E01BA6">
      <w:pPr>
        <w:pStyle w:val="FootnoteText"/>
      </w:pPr>
      <w:r>
        <w:rPr>
          <w:rStyle w:val="FootnoteReference"/>
        </w:rPr>
        <w:footnoteRef/>
      </w:r>
      <w:r>
        <w:t xml:space="preserve"> OPC Mot. for Partial Summ. Final Order pg. 2.</w:t>
      </w:r>
    </w:p>
  </w:footnote>
  <w:footnote w:id="38">
    <w:p w:rsidR="00B031A1" w:rsidRPr="00B26686" w:rsidRDefault="00B031A1" w:rsidP="00B031A1">
      <w:pPr>
        <w:pStyle w:val="FootnoteText"/>
      </w:pPr>
      <w:r>
        <w:rPr>
          <w:rStyle w:val="FootnoteReference"/>
        </w:rPr>
        <w:footnoteRef/>
      </w:r>
      <w:r>
        <w:t xml:space="preserve"> </w:t>
      </w:r>
      <w:r>
        <w:rPr>
          <w:i/>
        </w:rPr>
        <w:t>Id.</w:t>
      </w:r>
      <w:r>
        <w:t xml:space="preserve"> at 3.</w:t>
      </w:r>
    </w:p>
  </w:footnote>
  <w:footnote w:id="39">
    <w:p w:rsidR="00EE122A" w:rsidRDefault="00EE122A" w:rsidP="00EE122A">
      <w:pPr>
        <w:pStyle w:val="FootnoteText"/>
      </w:pPr>
      <w:r>
        <w:rPr>
          <w:rStyle w:val="FootnoteReference"/>
        </w:rPr>
        <w:footnoteRef/>
      </w:r>
      <w:r w:rsidR="00693292">
        <w:rPr>
          <w:i/>
        </w:rPr>
        <w:t xml:space="preserve"> Id</w:t>
      </w:r>
      <w:r w:rsidR="00B26686">
        <w:rPr>
          <w:i/>
        </w:rPr>
        <w:t>.</w:t>
      </w:r>
      <w:r w:rsidR="00693292">
        <w:t xml:space="preserve"> at</w:t>
      </w:r>
      <w:r w:rsidR="00B26686">
        <w:t xml:space="preserve"> 2 and</w:t>
      </w:r>
      <w:r>
        <w:t xml:space="preserve"> 6.</w:t>
      </w:r>
    </w:p>
  </w:footnote>
  <w:footnote w:id="40">
    <w:p w:rsidR="00B26686" w:rsidRPr="00B26686" w:rsidRDefault="00B26686">
      <w:pPr>
        <w:pStyle w:val="FootnoteText"/>
      </w:pPr>
      <w:r>
        <w:rPr>
          <w:rStyle w:val="FootnoteReference"/>
        </w:rPr>
        <w:footnoteRef/>
      </w:r>
      <w:r>
        <w:t xml:space="preserve"> </w:t>
      </w:r>
      <w:r>
        <w:rPr>
          <w:i/>
        </w:rPr>
        <w:t>Id.</w:t>
      </w:r>
      <w:r>
        <w:t xml:space="preserve"> at 3.</w:t>
      </w:r>
    </w:p>
  </w:footnote>
  <w:footnote w:id="41">
    <w:p w:rsidR="003D12BA" w:rsidRDefault="003D12BA">
      <w:pPr>
        <w:pStyle w:val="FootnoteText"/>
      </w:pPr>
      <w:r>
        <w:rPr>
          <w:rStyle w:val="FootnoteReference"/>
        </w:rPr>
        <w:footnoteRef/>
      </w:r>
      <w:r>
        <w:t xml:space="preserve"> KWRU Cross-Pet. for Hr’g, pg. 1.</w:t>
      </w:r>
    </w:p>
  </w:footnote>
  <w:footnote w:id="42">
    <w:p w:rsidR="00E01BA6" w:rsidRDefault="00E01BA6" w:rsidP="00E01BA6">
      <w:pPr>
        <w:pStyle w:val="FootnoteText"/>
      </w:pPr>
      <w:r>
        <w:rPr>
          <w:rStyle w:val="FootnoteReference"/>
        </w:rPr>
        <w:footnoteRef/>
      </w:r>
      <w:r>
        <w:t xml:space="preserve"> </w:t>
      </w:r>
      <w:r w:rsidR="00693292">
        <w:rPr>
          <w:i/>
        </w:rPr>
        <w:t xml:space="preserve">Id. </w:t>
      </w:r>
      <w:r>
        <w:t>2.</w:t>
      </w:r>
    </w:p>
  </w:footnote>
  <w:footnote w:id="43">
    <w:p w:rsidR="00557A02" w:rsidRDefault="00557A02">
      <w:pPr>
        <w:pStyle w:val="FootnoteText"/>
      </w:pPr>
      <w:r>
        <w:rPr>
          <w:rStyle w:val="FootnoteReference"/>
        </w:rPr>
        <w:footnoteRef/>
      </w:r>
      <w:r>
        <w:t xml:space="preserve"> </w:t>
      </w:r>
      <w:r w:rsidR="00EC77E1">
        <w:rPr>
          <w:i/>
        </w:rPr>
        <w:t xml:space="preserve">See </w:t>
      </w:r>
      <w:r w:rsidR="00EC77E1">
        <w:t xml:space="preserve">KWRU’s Resp. to OPC Mot. for Partial </w:t>
      </w:r>
      <w:r w:rsidR="00EE122A">
        <w:t xml:space="preserve">Summ. Final Order, pg. 6 </w:t>
      </w:r>
      <w:r w:rsidR="00EC77E1" w:rsidRPr="00EC77E1">
        <w:rPr>
          <w:i/>
        </w:rPr>
        <w:t>and</w:t>
      </w:r>
      <w:r w:rsidR="00EC77E1">
        <w:t xml:space="preserve"> OPC Mot. for Partial Summ. Final Order pg. 2.</w:t>
      </w:r>
    </w:p>
  </w:footnote>
  <w:footnote w:id="44">
    <w:p w:rsidR="00F13CCC" w:rsidRDefault="00F13CCC" w:rsidP="00F13CCC">
      <w:pPr>
        <w:pStyle w:val="FootnoteText"/>
      </w:pPr>
      <w:r>
        <w:rPr>
          <w:rStyle w:val="FootnoteReference"/>
        </w:rPr>
        <w:footnoteRef/>
      </w:r>
      <w:r>
        <w:t xml:space="preserve"> KWRU R</w:t>
      </w:r>
      <w:r w:rsidRPr="00641A10">
        <w:t xml:space="preserve">esponse </w:t>
      </w:r>
      <w:r>
        <w:t xml:space="preserve">to Notice of Apparent Violation (DN </w:t>
      </w:r>
      <w:r w:rsidRPr="00641A10">
        <w:t>04700-2018</w:t>
      </w:r>
      <w:r>
        <w:t>).</w:t>
      </w:r>
    </w:p>
  </w:footnote>
  <w:footnote w:id="45">
    <w:p w:rsidR="00A24E17" w:rsidRPr="00532361" w:rsidRDefault="00A24E17" w:rsidP="00A24E17">
      <w:pPr>
        <w:pStyle w:val="FootnoteText"/>
      </w:pPr>
      <w:r>
        <w:rPr>
          <w:rStyle w:val="FootnoteReference"/>
        </w:rPr>
        <w:footnoteRef/>
      </w:r>
      <w:r>
        <w:t xml:space="preserve"> </w:t>
      </w:r>
      <w:r>
        <w:rPr>
          <w:i/>
        </w:rPr>
        <w:t xml:space="preserve">See </w:t>
      </w:r>
      <w:r w:rsidR="00746F7F">
        <w:t xml:space="preserve">No. PSC-2018-0444-PAA-SU, </w:t>
      </w:r>
      <w:r>
        <w:t>pg. 6-9.</w:t>
      </w:r>
    </w:p>
  </w:footnote>
  <w:footnote w:id="46">
    <w:p w:rsidR="00BF13D8" w:rsidRDefault="00BF13D8" w:rsidP="00BF13D8">
      <w:pPr>
        <w:pStyle w:val="FootnoteText"/>
      </w:pPr>
      <w:r>
        <w:rPr>
          <w:rStyle w:val="FootnoteReference"/>
        </w:rPr>
        <w:footnoteRef/>
      </w:r>
      <w:r>
        <w:t xml:space="preserve"> </w:t>
      </w:r>
      <w:r w:rsidR="0013561A">
        <w:t>KWRU’s Resp. to OPC Mot. for Partial Summ. Final Order, pg. 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rsidP="00220732">
    <w:pPr>
      <w:pStyle w:val="Header"/>
      <w:tabs>
        <w:tab w:val="clear" w:pos="4320"/>
        <w:tab w:val="clear" w:pos="8640"/>
        <w:tab w:val="right" w:pos="9360"/>
      </w:tabs>
    </w:pPr>
    <w:bookmarkStart w:id="12" w:name="DocketLabel"/>
    <w:r>
      <w:t>Docket No.</w:t>
    </w:r>
    <w:bookmarkEnd w:id="12"/>
    <w:r>
      <w:t xml:space="preserve"> </w:t>
    </w:r>
    <w:bookmarkStart w:id="13" w:name="DocketList"/>
    <w:r>
      <w:t>20170086-SU</w:t>
    </w:r>
    <w:bookmarkEnd w:id="13"/>
  </w:p>
  <w:p w:rsidR="0076427C" w:rsidRDefault="0076427C">
    <w:pPr>
      <w:pStyle w:val="Header"/>
    </w:pPr>
    <w:r>
      <w:t xml:space="preserve">Date: </w:t>
    </w:r>
    <w:r w:rsidR="00542EC4">
      <w:t>February 21</w:t>
    </w:r>
    <w:r w:rsidR="003457DF">
      <w:t>,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rsidP="00220732">
    <w:pPr>
      <w:pStyle w:val="Header"/>
      <w:tabs>
        <w:tab w:val="clear" w:pos="4320"/>
        <w:tab w:val="clear" w:pos="8640"/>
        <w:tab w:val="right" w:pos="9360"/>
      </w:tabs>
    </w:pPr>
    <w:r>
      <w:fldChar w:fldCharType="begin"/>
    </w:r>
    <w:r>
      <w:instrText xml:space="preserve"> REF DocketLabel</w:instrText>
    </w:r>
    <w:r>
      <w:fldChar w:fldCharType="separate"/>
    </w:r>
    <w:r w:rsidR="00311658">
      <w:t>Docket No.</w:t>
    </w:r>
    <w:r>
      <w:fldChar w:fldCharType="end"/>
    </w:r>
    <w:r>
      <w:t xml:space="preserve"> </w:t>
    </w:r>
    <w:r>
      <w:fldChar w:fldCharType="begin"/>
    </w:r>
    <w:r>
      <w:instrText xml:space="preserve"> REF DocketList</w:instrText>
    </w:r>
    <w:r>
      <w:fldChar w:fldCharType="separate"/>
    </w:r>
    <w:r w:rsidR="00311658">
      <w:t>20170086-SU</w:t>
    </w:r>
    <w:r>
      <w:fldChar w:fldCharType="end"/>
    </w:r>
    <w:r>
      <w:tab/>
      <w:t>Issue 1</w:t>
    </w:r>
  </w:p>
  <w:p w:rsidR="0076427C" w:rsidRDefault="0076427C">
    <w:pPr>
      <w:pStyle w:val="Header"/>
    </w:pPr>
    <w:r>
      <w:t xml:space="preserve">Date: </w:t>
    </w:r>
    <w:r w:rsidR="003B1FC3">
      <w:t>February 21,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rsidP="00220732">
    <w:pPr>
      <w:pStyle w:val="Header"/>
      <w:tabs>
        <w:tab w:val="clear" w:pos="4320"/>
        <w:tab w:val="clear" w:pos="8640"/>
        <w:tab w:val="right" w:pos="9360"/>
      </w:tabs>
    </w:pPr>
    <w:r>
      <w:fldChar w:fldCharType="begin"/>
    </w:r>
    <w:r>
      <w:instrText xml:space="preserve"> REF DocketLabel</w:instrText>
    </w:r>
    <w:r>
      <w:fldChar w:fldCharType="separate"/>
    </w:r>
    <w:r w:rsidR="00311658">
      <w:t>Docket No.</w:t>
    </w:r>
    <w:r>
      <w:fldChar w:fldCharType="end"/>
    </w:r>
    <w:r>
      <w:t xml:space="preserve"> </w:t>
    </w:r>
    <w:r>
      <w:fldChar w:fldCharType="begin"/>
    </w:r>
    <w:r>
      <w:instrText xml:space="preserve"> REF DocketList</w:instrText>
    </w:r>
    <w:r>
      <w:fldChar w:fldCharType="separate"/>
    </w:r>
    <w:r w:rsidR="00311658">
      <w:t>20170086-SU</w:t>
    </w:r>
    <w:r>
      <w:fldChar w:fldCharType="end"/>
    </w:r>
    <w:r>
      <w:tab/>
      <w:t>Issue 2</w:t>
    </w:r>
  </w:p>
  <w:p w:rsidR="0076427C" w:rsidRDefault="0076427C">
    <w:pPr>
      <w:pStyle w:val="Header"/>
    </w:pPr>
    <w:r>
      <w:t xml:space="preserve">Date: </w:t>
    </w:r>
    <w:r w:rsidR="003B1FC3">
      <w:t>February 21,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rsidP="00220732">
    <w:pPr>
      <w:pStyle w:val="Header"/>
      <w:tabs>
        <w:tab w:val="clear" w:pos="4320"/>
        <w:tab w:val="clear" w:pos="8640"/>
        <w:tab w:val="right" w:pos="9360"/>
      </w:tabs>
    </w:pPr>
    <w:r>
      <w:fldChar w:fldCharType="begin"/>
    </w:r>
    <w:r>
      <w:instrText xml:space="preserve"> REF DocketLabel</w:instrText>
    </w:r>
    <w:r>
      <w:fldChar w:fldCharType="separate"/>
    </w:r>
    <w:r w:rsidR="00311658">
      <w:t>Docket No.</w:t>
    </w:r>
    <w:r>
      <w:fldChar w:fldCharType="end"/>
    </w:r>
    <w:r>
      <w:t xml:space="preserve"> </w:t>
    </w:r>
    <w:r>
      <w:fldChar w:fldCharType="begin"/>
    </w:r>
    <w:r>
      <w:instrText xml:space="preserve"> REF DocketList</w:instrText>
    </w:r>
    <w:r>
      <w:fldChar w:fldCharType="separate"/>
    </w:r>
    <w:r w:rsidR="00311658">
      <w:t>20170086-SU</w:t>
    </w:r>
    <w:r>
      <w:fldChar w:fldCharType="end"/>
    </w:r>
    <w:r>
      <w:tab/>
      <w:t>Issue 3</w:t>
    </w:r>
  </w:p>
  <w:p w:rsidR="0076427C" w:rsidRDefault="0076427C">
    <w:pPr>
      <w:pStyle w:val="Header"/>
    </w:pPr>
    <w:r>
      <w:t xml:space="preserve">Date: </w:t>
    </w:r>
    <w:r w:rsidR="003B1FC3">
      <w:t>February 21,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7C" w:rsidRDefault="0076427C" w:rsidP="00220732">
    <w:pPr>
      <w:pStyle w:val="Header"/>
      <w:tabs>
        <w:tab w:val="clear" w:pos="4320"/>
        <w:tab w:val="clear" w:pos="8640"/>
        <w:tab w:val="right" w:pos="9360"/>
      </w:tabs>
    </w:pPr>
    <w:r>
      <w:fldChar w:fldCharType="begin"/>
    </w:r>
    <w:r>
      <w:instrText xml:space="preserve"> REF DocketLabel</w:instrText>
    </w:r>
    <w:r>
      <w:fldChar w:fldCharType="separate"/>
    </w:r>
    <w:r w:rsidR="00311658">
      <w:t>Docket No.</w:t>
    </w:r>
    <w:r>
      <w:fldChar w:fldCharType="end"/>
    </w:r>
    <w:r>
      <w:t xml:space="preserve"> </w:t>
    </w:r>
    <w:r>
      <w:fldChar w:fldCharType="begin"/>
    </w:r>
    <w:r>
      <w:instrText xml:space="preserve"> REF DocketList</w:instrText>
    </w:r>
    <w:r>
      <w:fldChar w:fldCharType="separate"/>
    </w:r>
    <w:r w:rsidR="00311658">
      <w:t>20170086-SU</w:t>
    </w:r>
    <w:r>
      <w:fldChar w:fldCharType="end"/>
    </w:r>
    <w:r>
      <w:tab/>
      <w:t xml:space="preserve">Issue </w:t>
    </w:r>
    <w:r w:rsidR="006B0FE6">
      <w:t>4</w:t>
    </w:r>
  </w:p>
  <w:p w:rsidR="0076427C" w:rsidRDefault="0076427C">
    <w:pPr>
      <w:pStyle w:val="Header"/>
    </w:pPr>
    <w:r>
      <w:t xml:space="preserve">Date: </w:t>
    </w:r>
    <w:r w:rsidR="003B1FC3">
      <w:t>February 21,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F907C90"/>
    <w:multiLevelType w:val="hybridMultilevel"/>
    <w:tmpl w:val="A5ECEBD8"/>
    <w:lvl w:ilvl="0" w:tplc="6CD0CE8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F3F4E"/>
    <w:multiLevelType w:val="hybridMultilevel"/>
    <w:tmpl w:val="50C4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46604"/>
    <w:multiLevelType w:val="hybridMultilevel"/>
    <w:tmpl w:val="FD5C4218"/>
    <w:lvl w:ilvl="0" w:tplc="FD461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B408D0"/>
    <w:multiLevelType w:val="hybridMultilevel"/>
    <w:tmpl w:val="0DE21D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83C37"/>
    <w:multiLevelType w:val="hybridMultilevel"/>
    <w:tmpl w:val="C1C41CCC"/>
    <w:lvl w:ilvl="0" w:tplc="38D22E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85E7D"/>
    <w:rsid w:val="000043D5"/>
    <w:rsid w:val="00006170"/>
    <w:rsid w:val="00010E37"/>
    <w:rsid w:val="00016D9E"/>
    <w:rsid w:val="000172DA"/>
    <w:rsid w:val="000247C5"/>
    <w:rsid w:val="000277C2"/>
    <w:rsid w:val="0003128D"/>
    <w:rsid w:val="00035B48"/>
    <w:rsid w:val="00036CE2"/>
    <w:rsid w:val="000437FE"/>
    <w:rsid w:val="000448CE"/>
    <w:rsid w:val="000513BE"/>
    <w:rsid w:val="00065A06"/>
    <w:rsid w:val="000666F3"/>
    <w:rsid w:val="00070DCB"/>
    <w:rsid w:val="0007167F"/>
    <w:rsid w:val="000721C3"/>
    <w:rsid w:val="000727B1"/>
    <w:rsid w:val="00073120"/>
    <w:rsid w:val="000764D0"/>
    <w:rsid w:val="000805F4"/>
    <w:rsid w:val="000828D3"/>
    <w:rsid w:val="00092E76"/>
    <w:rsid w:val="000A2B57"/>
    <w:rsid w:val="000A418B"/>
    <w:rsid w:val="000A4BE3"/>
    <w:rsid w:val="000C1915"/>
    <w:rsid w:val="000C4314"/>
    <w:rsid w:val="000C4431"/>
    <w:rsid w:val="000D1C06"/>
    <w:rsid w:val="000D4319"/>
    <w:rsid w:val="000E70D7"/>
    <w:rsid w:val="000F374A"/>
    <w:rsid w:val="000F5EBC"/>
    <w:rsid w:val="000F6F99"/>
    <w:rsid w:val="0010202E"/>
    <w:rsid w:val="001020D6"/>
    <w:rsid w:val="001076AF"/>
    <w:rsid w:val="00111718"/>
    <w:rsid w:val="00111B75"/>
    <w:rsid w:val="001122C4"/>
    <w:rsid w:val="001134AA"/>
    <w:rsid w:val="00117C8C"/>
    <w:rsid w:val="00117E4A"/>
    <w:rsid w:val="00122863"/>
    <w:rsid w:val="00124E2E"/>
    <w:rsid w:val="00125ED4"/>
    <w:rsid w:val="001305E9"/>
    <w:rsid w:val="001307AF"/>
    <w:rsid w:val="00132B30"/>
    <w:rsid w:val="0013561A"/>
    <w:rsid w:val="00135687"/>
    <w:rsid w:val="00136866"/>
    <w:rsid w:val="00137328"/>
    <w:rsid w:val="00143A09"/>
    <w:rsid w:val="00143E76"/>
    <w:rsid w:val="00146735"/>
    <w:rsid w:val="00146CD9"/>
    <w:rsid w:val="00146CE5"/>
    <w:rsid w:val="0015506E"/>
    <w:rsid w:val="001612F3"/>
    <w:rsid w:val="0016146E"/>
    <w:rsid w:val="00161E8A"/>
    <w:rsid w:val="00163031"/>
    <w:rsid w:val="00171A90"/>
    <w:rsid w:val="00180254"/>
    <w:rsid w:val="00184563"/>
    <w:rsid w:val="001866FF"/>
    <w:rsid w:val="00191E1F"/>
    <w:rsid w:val="00192943"/>
    <w:rsid w:val="001971A8"/>
    <w:rsid w:val="001A5A23"/>
    <w:rsid w:val="001A5B84"/>
    <w:rsid w:val="001A7406"/>
    <w:rsid w:val="001B0EC6"/>
    <w:rsid w:val="001B353A"/>
    <w:rsid w:val="001B3D37"/>
    <w:rsid w:val="001B4FEE"/>
    <w:rsid w:val="001B51C5"/>
    <w:rsid w:val="001B6EE0"/>
    <w:rsid w:val="001B6F3F"/>
    <w:rsid w:val="001B7E7C"/>
    <w:rsid w:val="001C35DC"/>
    <w:rsid w:val="001C44C5"/>
    <w:rsid w:val="001C52B5"/>
    <w:rsid w:val="001D0D3E"/>
    <w:rsid w:val="001D0FC5"/>
    <w:rsid w:val="001D3073"/>
    <w:rsid w:val="001D46A0"/>
    <w:rsid w:val="001D4A46"/>
    <w:rsid w:val="001D4A91"/>
    <w:rsid w:val="001D51D5"/>
    <w:rsid w:val="001E6686"/>
    <w:rsid w:val="001F2245"/>
    <w:rsid w:val="001F2594"/>
    <w:rsid w:val="001F2C63"/>
    <w:rsid w:val="001F4668"/>
    <w:rsid w:val="001F48C7"/>
    <w:rsid w:val="001F6DA1"/>
    <w:rsid w:val="002033FF"/>
    <w:rsid w:val="002044E6"/>
    <w:rsid w:val="00204855"/>
    <w:rsid w:val="00205C82"/>
    <w:rsid w:val="00205DC2"/>
    <w:rsid w:val="00206EB7"/>
    <w:rsid w:val="00212B17"/>
    <w:rsid w:val="00212BB5"/>
    <w:rsid w:val="002163B6"/>
    <w:rsid w:val="00216E3E"/>
    <w:rsid w:val="00220732"/>
    <w:rsid w:val="002209B4"/>
    <w:rsid w:val="0022140B"/>
    <w:rsid w:val="00221D32"/>
    <w:rsid w:val="00222BB0"/>
    <w:rsid w:val="00225C3F"/>
    <w:rsid w:val="00230C7E"/>
    <w:rsid w:val="00246085"/>
    <w:rsid w:val="002524F3"/>
    <w:rsid w:val="00257869"/>
    <w:rsid w:val="00262195"/>
    <w:rsid w:val="00262E3B"/>
    <w:rsid w:val="0026384A"/>
    <w:rsid w:val="00263D44"/>
    <w:rsid w:val="002702AD"/>
    <w:rsid w:val="00270CFC"/>
    <w:rsid w:val="00273B01"/>
    <w:rsid w:val="00285E7D"/>
    <w:rsid w:val="0028707B"/>
    <w:rsid w:val="00291C78"/>
    <w:rsid w:val="00292D82"/>
    <w:rsid w:val="002963CB"/>
    <w:rsid w:val="00297546"/>
    <w:rsid w:val="00297F57"/>
    <w:rsid w:val="002A2132"/>
    <w:rsid w:val="002B0F6F"/>
    <w:rsid w:val="002C1D9D"/>
    <w:rsid w:val="002C5C7E"/>
    <w:rsid w:val="002D226D"/>
    <w:rsid w:val="002E5831"/>
    <w:rsid w:val="002F010A"/>
    <w:rsid w:val="002F6030"/>
    <w:rsid w:val="00302471"/>
    <w:rsid w:val="003037E1"/>
    <w:rsid w:val="00307E51"/>
    <w:rsid w:val="003103EC"/>
    <w:rsid w:val="00311658"/>
    <w:rsid w:val="003144EF"/>
    <w:rsid w:val="00317D9D"/>
    <w:rsid w:val="00320136"/>
    <w:rsid w:val="00322F74"/>
    <w:rsid w:val="00324BCD"/>
    <w:rsid w:val="00331293"/>
    <w:rsid w:val="00336AEB"/>
    <w:rsid w:val="00337D6E"/>
    <w:rsid w:val="00340073"/>
    <w:rsid w:val="00345250"/>
    <w:rsid w:val="003457DF"/>
    <w:rsid w:val="00347603"/>
    <w:rsid w:val="00347F65"/>
    <w:rsid w:val="003632FD"/>
    <w:rsid w:val="00363C12"/>
    <w:rsid w:val="0036560B"/>
    <w:rsid w:val="00365819"/>
    <w:rsid w:val="00370751"/>
    <w:rsid w:val="0037192E"/>
    <w:rsid w:val="00372805"/>
    <w:rsid w:val="00373180"/>
    <w:rsid w:val="0037391B"/>
    <w:rsid w:val="00373FCE"/>
    <w:rsid w:val="00375AB9"/>
    <w:rsid w:val="0038067C"/>
    <w:rsid w:val="00381328"/>
    <w:rsid w:val="003821A0"/>
    <w:rsid w:val="00384862"/>
    <w:rsid w:val="00385B04"/>
    <w:rsid w:val="003864CF"/>
    <w:rsid w:val="003A22A6"/>
    <w:rsid w:val="003A5494"/>
    <w:rsid w:val="003A60B2"/>
    <w:rsid w:val="003B1FC3"/>
    <w:rsid w:val="003B22A6"/>
    <w:rsid w:val="003B2510"/>
    <w:rsid w:val="003C2CC4"/>
    <w:rsid w:val="003C3710"/>
    <w:rsid w:val="003C52C0"/>
    <w:rsid w:val="003D12BA"/>
    <w:rsid w:val="003E0EFC"/>
    <w:rsid w:val="003E4149"/>
    <w:rsid w:val="003E4A2B"/>
    <w:rsid w:val="003E76C2"/>
    <w:rsid w:val="003F0CD6"/>
    <w:rsid w:val="003F1679"/>
    <w:rsid w:val="003F21EB"/>
    <w:rsid w:val="003F3F41"/>
    <w:rsid w:val="003F4A35"/>
    <w:rsid w:val="003F7FDD"/>
    <w:rsid w:val="00402481"/>
    <w:rsid w:val="004042B4"/>
    <w:rsid w:val="00410138"/>
    <w:rsid w:val="00410DC4"/>
    <w:rsid w:val="00411873"/>
    <w:rsid w:val="00412DAE"/>
    <w:rsid w:val="0041703E"/>
    <w:rsid w:val="00424137"/>
    <w:rsid w:val="004242E6"/>
    <w:rsid w:val="00431598"/>
    <w:rsid w:val="004319AD"/>
    <w:rsid w:val="00432ABB"/>
    <w:rsid w:val="0044254B"/>
    <w:rsid w:val="004426B8"/>
    <w:rsid w:val="00444432"/>
    <w:rsid w:val="00445478"/>
    <w:rsid w:val="00465496"/>
    <w:rsid w:val="00471860"/>
    <w:rsid w:val="004732F4"/>
    <w:rsid w:val="00475BF3"/>
    <w:rsid w:val="00476794"/>
    <w:rsid w:val="00477DD7"/>
    <w:rsid w:val="0048591B"/>
    <w:rsid w:val="00490D4A"/>
    <w:rsid w:val="00497009"/>
    <w:rsid w:val="004A744D"/>
    <w:rsid w:val="004B60BD"/>
    <w:rsid w:val="004C3150"/>
    <w:rsid w:val="004C3641"/>
    <w:rsid w:val="004C4390"/>
    <w:rsid w:val="004C4AF7"/>
    <w:rsid w:val="004D2881"/>
    <w:rsid w:val="004D2A71"/>
    <w:rsid w:val="004D385F"/>
    <w:rsid w:val="004D5B39"/>
    <w:rsid w:val="004E330D"/>
    <w:rsid w:val="004E4B3E"/>
    <w:rsid w:val="004E5147"/>
    <w:rsid w:val="004F5196"/>
    <w:rsid w:val="004F53B3"/>
    <w:rsid w:val="004F56C1"/>
    <w:rsid w:val="004F5C43"/>
    <w:rsid w:val="00506176"/>
    <w:rsid w:val="0050652D"/>
    <w:rsid w:val="0050653B"/>
    <w:rsid w:val="00506C03"/>
    <w:rsid w:val="0051051A"/>
    <w:rsid w:val="00511A11"/>
    <w:rsid w:val="00516496"/>
    <w:rsid w:val="00523B11"/>
    <w:rsid w:val="0052572A"/>
    <w:rsid w:val="00532361"/>
    <w:rsid w:val="00542EC4"/>
    <w:rsid w:val="00543CB3"/>
    <w:rsid w:val="005442E4"/>
    <w:rsid w:val="00544788"/>
    <w:rsid w:val="005455A0"/>
    <w:rsid w:val="00557A02"/>
    <w:rsid w:val="00560FF0"/>
    <w:rsid w:val="005614BD"/>
    <w:rsid w:val="00561C56"/>
    <w:rsid w:val="0056715E"/>
    <w:rsid w:val="0057154F"/>
    <w:rsid w:val="005729C6"/>
    <w:rsid w:val="00575045"/>
    <w:rsid w:val="00577780"/>
    <w:rsid w:val="00580F69"/>
    <w:rsid w:val="005817E2"/>
    <w:rsid w:val="00581CA3"/>
    <w:rsid w:val="00586B26"/>
    <w:rsid w:val="00587A44"/>
    <w:rsid w:val="00590B6B"/>
    <w:rsid w:val="00597730"/>
    <w:rsid w:val="005977EC"/>
    <w:rsid w:val="00597DBE"/>
    <w:rsid w:val="00597DE7"/>
    <w:rsid w:val="005A163B"/>
    <w:rsid w:val="005A2CF2"/>
    <w:rsid w:val="005A4AA2"/>
    <w:rsid w:val="005B2325"/>
    <w:rsid w:val="005B34B6"/>
    <w:rsid w:val="005B6C8F"/>
    <w:rsid w:val="005B6EC3"/>
    <w:rsid w:val="005C5310"/>
    <w:rsid w:val="005C6579"/>
    <w:rsid w:val="005D0F74"/>
    <w:rsid w:val="005D2E7D"/>
    <w:rsid w:val="005D326B"/>
    <w:rsid w:val="005D4A8F"/>
    <w:rsid w:val="005D561B"/>
    <w:rsid w:val="005D5ECF"/>
    <w:rsid w:val="005F42DB"/>
    <w:rsid w:val="005F468D"/>
    <w:rsid w:val="005F69A3"/>
    <w:rsid w:val="005F7D22"/>
    <w:rsid w:val="00602158"/>
    <w:rsid w:val="00603CA7"/>
    <w:rsid w:val="0060437D"/>
    <w:rsid w:val="00604CC7"/>
    <w:rsid w:val="00607F78"/>
    <w:rsid w:val="0061001C"/>
    <w:rsid w:val="00615423"/>
    <w:rsid w:val="006165B2"/>
    <w:rsid w:val="00617276"/>
    <w:rsid w:val="0062009B"/>
    <w:rsid w:val="0062239C"/>
    <w:rsid w:val="0062527B"/>
    <w:rsid w:val="00625D97"/>
    <w:rsid w:val="00625F1C"/>
    <w:rsid w:val="00626D02"/>
    <w:rsid w:val="006279E1"/>
    <w:rsid w:val="00630CEB"/>
    <w:rsid w:val="00632264"/>
    <w:rsid w:val="00635EFB"/>
    <w:rsid w:val="00641A10"/>
    <w:rsid w:val="006470BC"/>
    <w:rsid w:val="006517C9"/>
    <w:rsid w:val="00652459"/>
    <w:rsid w:val="00654330"/>
    <w:rsid w:val="006552EA"/>
    <w:rsid w:val="006554D3"/>
    <w:rsid w:val="00661B0B"/>
    <w:rsid w:val="00667036"/>
    <w:rsid w:val="006676AD"/>
    <w:rsid w:val="0067287A"/>
    <w:rsid w:val="00672FEF"/>
    <w:rsid w:val="00673BDB"/>
    <w:rsid w:val="00674341"/>
    <w:rsid w:val="00677102"/>
    <w:rsid w:val="006771B8"/>
    <w:rsid w:val="006843B6"/>
    <w:rsid w:val="0068481F"/>
    <w:rsid w:val="006879EC"/>
    <w:rsid w:val="006927C3"/>
    <w:rsid w:val="00693292"/>
    <w:rsid w:val="00696F5D"/>
    <w:rsid w:val="00697249"/>
    <w:rsid w:val="006A420D"/>
    <w:rsid w:val="006A64F4"/>
    <w:rsid w:val="006B0FE6"/>
    <w:rsid w:val="006B3947"/>
    <w:rsid w:val="006B4293"/>
    <w:rsid w:val="006B624F"/>
    <w:rsid w:val="006C0C95"/>
    <w:rsid w:val="006C158C"/>
    <w:rsid w:val="006C31E3"/>
    <w:rsid w:val="006D18D3"/>
    <w:rsid w:val="006D45E9"/>
    <w:rsid w:val="006D68A1"/>
    <w:rsid w:val="006D7A12"/>
    <w:rsid w:val="006E08CB"/>
    <w:rsid w:val="006E598D"/>
    <w:rsid w:val="007015DC"/>
    <w:rsid w:val="00701B98"/>
    <w:rsid w:val="0070437D"/>
    <w:rsid w:val="00704CF1"/>
    <w:rsid w:val="00705B04"/>
    <w:rsid w:val="00724992"/>
    <w:rsid w:val="00727CC0"/>
    <w:rsid w:val="00734820"/>
    <w:rsid w:val="007349DC"/>
    <w:rsid w:val="0073659F"/>
    <w:rsid w:val="00742890"/>
    <w:rsid w:val="0074365E"/>
    <w:rsid w:val="00744B55"/>
    <w:rsid w:val="00746F7F"/>
    <w:rsid w:val="007515FD"/>
    <w:rsid w:val="00760D80"/>
    <w:rsid w:val="00761BF6"/>
    <w:rsid w:val="007633A6"/>
    <w:rsid w:val="007638A5"/>
    <w:rsid w:val="0076427C"/>
    <w:rsid w:val="00771114"/>
    <w:rsid w:val="007729E9"/>
    <w:rsid w:val="00776DEE"/>
    <w:rsid w:val="00780C09"/>
    <w:rsid w:val="00780DDF"/>
    <w:rsid w:val="00781D4E"/>
    <w:rsid w:val="007834E9"/>
    <w:rsid w:val="00787DBC"/>
    <w:rsid w:val="0079019A"/>
    <w:rsid w:val="00792935"/>
    <w:rsid w:val="00792B15"/>
    <w:rsid w:val="00794F34"/>
    <w:rsid w:val="0079638D"/>
    <w:rsid w:val="007A04A1"/>
    <w:rsid w:val="007A0979"/>
    <w:rsid w:val="007A11EB"/>
    <w:rsid w:val="007A14CC"/>
    <w:rsid w:val="007A1840"/>
    <w:rsid w:val="007A4329"/>
    <w:rsid w:val="007A5CD3"/>
    <w:rsid w:val="007A70C7"/>
    <w:rsid w:val="007C0528"/>
    <w:rsid w:val="007C3D38"/>
    <w:rsid w:val="007D0F35"/>
    <w:rsid w:val="007D4FEB"/>
    <w:rsid w:val="007D5AEA"/>
    <w:rsid w:val="007D6146"/>
    <w:rsid w:val="007E0607"/>
    <w:rsid w:val="007E0CE7"/>
    <w:rsid w:val="007F1193"/>
    <w:rsid w:val="007F264D"/>
    <w:rsid w:val="007F417F"/>
    <w:rsid w:val="007F5298"/>
    <w:rsid w:val="007F7644"/>
    <w:rsid w:val="00801022"/>
    <w:rsid w:val="008042BD"/>
    <w:rsid w:val="00804404"/>
    <w:rsid w:val="00816624"/>
    <w:rsid w:val="0081788D"/>
    <w:rsid w:val="00822427"/>
    <w:rsid w:val="00822562"/>
    <w:rsid w:val="00823663"/>
    <w:rsid w:val="00823FE1"/>
    <w:rsid w:val="008256FB"/>
    <w:rsid w:val="0083194A"/>
    <w:rsid w:val="00832DDC"/>
    <w:rsid w:val="00841E0E"/>
    <w:rsid w:val="00850BAC"/>
    <w:rsid w:val="00854A3E"/>
    <w:rsid w:val="00855D08"/>
    <w:rsid w:val="00861292"/>
    <w:rsid w:val="00862D56"/>
    <w:rsid w:val="00874344"/>
    <w:rsid w:val="00876240"/>
    <w:rsid w:val="00881DA1"/>
    <w:rsid w:val="00882155"/>
    <w:rsid w:val="0088233B"/>
    <w:rsid w:val="0088599E"/>
    <w:rsid w:val="00885F87"/>
    <w:rsid w:val="00886C37"/>
    <w:rsid w:val="00891D8B"/>
    <w:rsid w:val="00892094"/>
    <w:rsid w:val="00892D99"/>
    <w:rsid w:val="00893315"/>
    <w:rsid w:val="00895007"/>
    <w:rsid w:val="008971A6"/>
    <w:rsid w:val="008A094A"/>
    <w:rsid w:val="008A47AF"/>
    <w:rsid w:val="008A56F8"/>
    <w:rsid w:val="008B2882"/>
    <w:rsid w:val="008B41C2"/>
    <w:rsid w:val="008B62AE"/>
    <w:rsid w:val="008C04B5"/>
    <w:rsid w:val="008C14FA"/>
    <w:rsid w:val="008C46F4"/>
    <w:rsid w:val="008C7B0B"/>
    <w:rsid w:val="008D1B94"/>
    <w:rsid w:val="008D4057"/>
    <w:rsid w:val="008D7067"/>
    <w:rsid w:val="008D70D7"/>
    <w:rsid w:val="008E1F19"/>
    <w:rsid w:val="008E23EC"/>
    <w:rsid w:val="008E639F"/>
    <w:rsid w:val="008F16F9"/>
    <w:rsid w:val="008F2262"/>
    <w:rsid w:val="008F2D5F"/>
    <w:rsid w:val="008F4D2B"/>
    <w:rsid w:val="008F7736"/>
    <w:rsid w:val="0090019E"/>
    <w:rsid w:val="00901086"/>
    <w:rsid w:val="0090157B"/>
    <w:rsid w:val="00901C8A"/>
    <w:rsid w:val="009041C7"/>
    <w:rsid w:val="00905886"/>
    <w:rsid w:val="00905D8B"/>
    <w:rsid w:val="009070D6"/>
    <w:rsid w:val="009076C6"/>
    <w:rsid w:val="0091019E"/>
    <w:rsid w:val="009106F1"/>
    <w:rsid w:val="00912404"/>
    <w:rsid w:val="009145D6"/>
    <w:rsid w:val="00915007"/>
    <w:rsid w:val="00917C3E"/>
    <w:rsid w:val="00920E64"/>
    <w:rsid w:val="00922002"/>
    <w:rsid w:val="00924020"/>
    <w:rsid w:val="00926E4C"/>
    <w:rsid w:val="0092712F"/>
    <w:rsid w:val="009271A7"/>
    <w:rsid w:val="009337DD"/>
    <w:rsid w:val="0093580B"/>
    <w:rsid w:val="0093658B"/>
    <w:rsid w:val="00941B47"/>
    <w:rsid w:val="009429FF"/>
    <w:rsid w:val="00943BB3"/>
    <w:rsid w:val="00945BD6"/>
    <w:rsid w:val="00946702"/>
    <w:rsid w:val="009479FB"/>
    <w:rsid w:val="00951485"/>
    <w:rsid w:val="00951C45"/>
    <w:rsid w:val="00956903"/>
    <w:rsid w:val="00961265"/>
    <w:rsid w:val="009656F2"/>
    <w:rsid w:val="00966A08"/>
    <w:rsid w:val="00971207"/>
    <w:rsid w:val="0097503E"/>
    <w:rsid w:val="00975CB4"/>
    <w:rsid w:val="00985AD5"/>
    <w:rsid w:val="009863B0"/>
    <w:rsid w:val="00987D3E"/>
    <w:rsid w:val="00987DE1"/>
    <w:rsid w:val="00990571"/>
    <w:rsid w:val="0099558E"/>
    <w:rsid w:val="0099673A"/>
    <w:rsid w:val="009A1C38"/>
    <w:rsid w:val="009A3330"/>
    <w:rsid w:val="009A7C96"/>
    <w:rsid w:val="009B5421"/>
    <w:rsid w:val="009B655C"/>
    <w:rsid w:val="009C1D99"/>
    <w:rsid w:val="009C3DB9"/>
    <w:rsid w:val="009C480E"/>
    <w:rsid w:val="009D2ADB"/>
    <w:rsid w:val="009D46E5"/>
    <w:rsid w:val="009D568A"/>
    <w:rsid w:val="009E38BA"/>
    <w:rsid w:val="009F04EC"/>
    <w:rsid w:val="009F2A7C"/>
    <w:rsid w:val="009F310E"/>
    <w:rsid w:val="009F3B36"/>
    <w:rsid w:val="009F64AC"/>
    <w:rsid w:val="009F6F95"/>
    <w:rsid w:val="00A0087C"/>
    <w:rsid w:val="00A019B9"/>
    <w:rsid w:val="00A12508"/>
    <w:rsid w:val="00A1282B"/>
    <w:rsid w:val="00A13A27"/>
    <w:rsid w:val="00A175B6"/>
    <w:rsid w:val="00A21835"/>
    <w:rsid w:val="00A2374B"/>
    <w:rsid w:val="00A24E17"/>
    <w:rsid w:val="00A27D6E"/>
    <w:rsid w:val="00A30D03"/>
    <w:rsid w:val="00A328EC"/>
    <w:rsid w:val="00A33A51"/>
    <w:rsid w:val="00A345F1"/>
    <w:rsid w:val="00A41CA6"/>
    <w:rsid w:val="00A47058"/>
    <w:rsid w:val="00A47927"/>
    <w:rsid w:val="00A47FFC"/>
    <w:rsid w:val="00A514D0"/>
    <w:rsid w:val="00A5442F"/>
    <w:rsid w:val="00A54FF9"/>
    <w:rsid w:val="00A56451"/>
    <w:rsid w:val="00A56765"/>
    <w:rsid w:val="00A57EDF"/>
    <w:rsid w:val="00A623FB"/>
    <w:rsid w:val="00A675AC"/>
    <w:rsid w:val="00A67ADB"/>
    <w:rsid w:val="00A722C3"/>
    <w:rsid w:val="00A7581F"/>
    <w:rsid w:val="00A80E1C"/>
    <w:rsid w:val="00A821E8"/>
    <w:rsid w:val="00A83E7B"/>
    <w:rsid w:val="00A8454D"/>
    <w:rsid w:val="00A849A3"/>
    <w:rsid w:val="00A91B50"/>
    <w:rsid w:val="00A92FB1"/>
    <w:rsid w:val="00A95A0C"/>
    <w:rsid w:val="00AA0865"/>
    <w:rsid w:val="00AA13E3"/>
    <w:rsid w:val="00AA18EC"/>
    <w:rsid w:val="00AA2765"/>
    <w:rsid w:val="00AA36DE"/>
    <w:rsid w:val="00AA3F4B"/>
    <w:rsid w:val="00AA77B5"/>
    <w:rsid w:val="00AB1045"/>
    <w:rsid w:val="00AB6C5D"/>
    <w:rsid w:val="00AC3401"/>
    <w:rsid w:val="00AC4216"/>
    <w:rsid w:val="00AC51A7"/>
    <w:rsid w:val="00AC5D58"/>
    <w:rsid w:val="00AD234B"/>
    <w:rsid w:val="00AD2CCD"/>
    <w:rsid w:val="00AD332E"/>
    <w:rsid w:val="00AD444B"/>
    <w:rsid w:val="00AD6C78"/>
    <w:rsid w:val="00AE2EAB"/>
    <w:rsid w:val="00AE62B7"/>
    <w:rsid w:val="00AF0623"/>
    <w:rsid w:val="00AF5F89"/>
    <w:rsid w:val="00AF64A0"/>
    <w:rsid w:val="00AF73CB"/>
    <w:rsid w:val="00AF7857"/>
    <w:rsid w:val="00B002D6"/>
    <w:rsid w:val="00B031A1"/>
    <w:rsid w:val="00B03379"/>
    <w:rsid w:val="00B04C15"/>
    <w:rsid w:val="00B05B51"/>
    <w:rsid w:val="00B13802"/>
    <w:rsid w:val="00B14E5A"/>
    <w:rsid w:val="00B15370"/>
    <w:rsid w:val="00B16DA4"/>
    <w:rsid w:val="00B179CE"/>
    <w:rsid w:val="00B17BEB"/>
    <w:rsid w:val="00B21A3C"/>
    <w:rsid w:val="00B223C0"/>
    <w:rsid w:val="00B234ED"/>
    <w:rsid w:val="00B249B2"/>
    <w:rsid w:val="00B25CA3"/>
    <w:rsid w:val="00B26678"/>
    <w:rsid w:val="00B26686"/>
    <w:rsid w:val="00B2765A"/>
    <w:rsid w:val="00B27D82"/>
    <w:rsid w:val="00B3109A"/>
    <w:rsid w:val="00B354CC"/>
    <w:rsid w:val="00B405BF"/>
    <w:rsid w:val="00B40794"/>
    <w:rsid w:val="00B42B49"/>
    <w:rsid w:val="00B516ED"/>
    <w:rsid w:val="00B57A6A"/>
    <w:rsid w:val="00B60733"/>
    <w:rsid w:val="00B64D13"/>
    <w:rsid w:val="00B744C7"/>
    <w:rsid w:val="00B75A63"/>
    <w:rsid w:val="00B760F1"/>
    <w:rsid w:val="00B7669E"/>
    <w:rsid w:val="00B77DA1"/>
    <w:rsid w:val="00B822A0"/>
    <w:rsid w:val="00B858AE"/>
    <w:rsid w:val="00B85964"/>
    <w:rsid w:val="00B878C3"/>
    <w:rsid w:val="00B96250"/>
    <w:rsid w:val="00BA0D55"/>
    <w:rsid w:val="00BA37B3"/>
    <w:rsid w:val="00BA4CC6"/>
    <w:rsid w:val="00BA7160"/>
    <w:rsid w:val="00BB2DDF"/>
    <w:rsid w:val="00BB3493"/>
    <w:rsid w:val="00BB7468"/>
    <w:rsid w:val="00BC188A"/>
    <w:rsid w:val="00BC402E"/>
    <w:rsid w:val="00BD0F48"/>
    <w:rsid w:val="00BF13D8"/>
    <w:rsid w:val="00BF40BF"/>
    <w:rsid w:val="00BF5010"/>
    <w:rsid w:val="00C03D5F"/>
    <w:rsid w:val="00C12242"/>
    <w:rsid w:val="00C13791"/>
    <w:rsid w:val="00C2411D"/>
    <w:rsid w:val="00C31BB3"/>
    <w:rsid w:val="00C3340A"/>
    <w:rsid w:val="00C33718"/>
    <w:rsid w:val="00C36977"/>
    <w:rsid w:val="00C40E84"/>
    <w:rsid w:val="00C467DA"/>
    <w:rsid w:val="00C477D9"/>
    <w:rsid w:val="00C60BA3"/>
    <w:rsid w:val="00C61EFB"/>
    <w:rsid w:val="00C623F7"/>
    <w:rsid w:val="00C75BC5"/>
    <w:rsid w:val="00C81670"/>
    <w:rsid w:val="00C81773"/>
    <w:rsid w:val="00C82861"/>
    <w:rsid w:val="00C86896"/>
    <w:rsid w:val="00C907A8"/>
    <w:rsid w:val="00C93211"/>
    <w:rsid w:val="00C942EC"/>
    <w:rsid w:val="00C96047"/>
    <w:rsid w:val="00C979D0"/>
    <w:rsid w:val="00CA0818"/>
    <w:rsid w:val="00CA15C8"/>
    <w:rsid w:val="00CA2673"/>
    <w:rsid w:val="00CA2A4B"/>
    <w:rsid w:val="00CA2C8F"/>
    <w:rsid w:val="00CA30DA"/>
    <w:rsid w:val="00CA3A24"/>
    <w:rsid w:val="00CA5076"/>
    <w:rsid w:val="00CB0B77"/>
    <w:rsid w:val="00CB1777"/>
    <w:rsid w:val="00CB2EF6"/>
    <w:rsid w:val="00CB33E9"/>
    <w:rsid w:val="00CC10A9"/>
    <w:rsid w:val="00CC4746"/>
    <w:rsid w:val="00CC550C"/>
    <w:rsid w:val="00CD0398"/>
    <w:rsid w:val="00CD6AD3"/>
    <w:rsid w:val="00CE2BF8"/>
    <w:rsid w:val="00CE484E"/>
    <w:rsid w:val="00CE5B44"/>
    <w:rsid w:val="00CE656F"/>
    <w:rsid w:val="00CF0DA8"/>
    <w:rsid w:val="00CF2E25"/>
    <w:rsid w:val="00CF4453"/>
    <w:rsid w:val="00CF52CF"/>
    <w:rsid w:val="00CF5582"/>
    <w:rsid w:val="00CF5D94"/>
    <w:rsid w:val="00CF7E0F"/>
    <w:rsid w:val="00D034D7"/>
    <w:rsid w:val="00D04BE4"/>
    <w:rsid w:val="00D05670"/>
    <w:rsid w:val="00D06FC7"/>
    <w:rsid w:val="00D12565"/>
    <w:rsid w:val="00D14127"/>
    <w:rsid w:val="00D14B8F"/>
    <w:rsid w:val="00D26578"/>
    <w:rsid w:val="00D37645"/>
    <w:rsid w:val="00D37CDD"/>
    <w:rsid w:val="00D40616"/>
    <w:rsid w:val="00D41CB8"/>
    <w:rsid w:val="00D60B16"/>
    <w:rsid w:val="00D60F02"/>
    <w:rsid w:val="00D643F0"/>
    <w:rsid w:val="00D66E49"/>
    <w:rsid w:val="00D70D71"/>
    <w:rsid w:val="00D72F74"/>
    <w:rsid w:val="00D75310"/>
    <w:rsid w:val="00D81563"/>
    <w:rsid w:val="00D85907"/>
    <w:rsid w:val="00D9073E"/>
    <w:rsid w:val="00D9221D"/>
    <w:rsid w:val="00D93225"/>
    <w:rsid w:val="00D958DF"/>
    <w:rsid w:val="00D96DA1"/>
    <w:rsid w:val="00D9773A"/>
    <w:rsid w:val="00D9792B"/>
    <w:rsid w:val="00DA057B"/>
    <w:rsid w:val="00DA091B"/>
    <w:rsid w:val="00DA51E7"/>
    <w:rsid w:val="00DB0260"/>
    <w:rsid w:val="00DB0C1D"/>
    <w:rsid w:val="00DB1C78"/>
    <w:rsid w:val="00DB7D96"/>
    <w:rsid w:val="00DC08E7"/>
    <w:rsid w:val="00DC23FE"/>
    <w:rsid w:val="00DC45B1"/>
    <w:rsid w:val="00DC59E6"/>
    <w:rsid w:val="00DC5A57"/>
    <w:rsid w:val="00DD150B"/>
    <w:rsid w:val="00DD2C6B"/>
    <w:rsid w:val="00DD4E84"/>
    <w:rsid w:val="00DD5025"/>
    <w:rsid w:val="00DE555E"/>
    <w:rsid w:val="00DF1314"/>
    <w:rsid w:val="00DF1510"/>
    <w:rsid w:val="00DF2C97"/>
    <w:rsid w:val="00DF30DA"/>
    <w:rsid w:val="00DF5CE5"/>
    <w:rsid w:val="00E01BA6"/>
    <w:rsid w:val="00E02F1F"/>
    <w:rsid w:val="00E0420A"/>
    <w:rsid w:val="00E06484"/>
    <w:rsid w:val="00E11E65"/>
    <w:rsid w:val="00E20A7D"/>
    <w:rsid w:val="00E275D8"/>
    <w:rsid w:val="00E30F6A"/>
    <w:rsid w:val="00E3117C"/>
    <w:rsid w:val="00E31188"/>
    <w:rsid w:val="00E356AB"/>
    <w:rsid w:val="00E375CA"/>
    <w:rsid w:val="00E37E7D"/>
    <w:rsid w:val="00E50284"/>
    <w:rsid w:val="00E567E8"/>
    <w:rsid w:val="00E64679"/>
    <w:rsid w:val="00E65EBC"/>
    <w:rsid w:val="00E677FE"/>
    <w:rsid w:val="00E73432"/>
    <w:rsid w:val="00E746EF"/>
    <w:rsid w:val="00E77B0C"/>
    <w:rsid w:val="00E77C49"/>
    <w:rsid w:val="00E77FB8"/>
    <w:rsid w:val="00E838B0"/>
    <w:rsid w:val="00E8437B"/>
    <w:rsid w:val="00E86A7C"/>
    <w:rsid w:val="00E878E1"/>
    <w:rsid w:val="00E87F2C"/>
    <w:rsid w:val="00E95278"/>
    <w:rsid w:val="00E95E52"/>
    <w:rsid w:val="00EA2273"/>
    <w:rsid w:val="00EA7C3C"/>
    <w:rsid w:val="00EB2DB3"/>
    <w:rsid w:val="00EB4DAA"/>
    <w:rsid w:val="00EB55EA"/>
    <w:rsid w:val="00EC17FD"/>
    <w:rsid w:val="00EC3FBB"/>
    <w:rsid w:val="00EC6306"/>
    <w:rsid w:val="00EC6B7A"/>
    <w:rsid w:val="00EC77E1"/>
    <w:rsid w:val="00EC7BD1"/>
    <w:rsid w:val="00ED3A87"/>
    <w:rsid w:val="00ED5B67"/>
    <w:rsid w:val="00ED7FF3"/>
    <w:rsid w:val="00EE122A"/>
    <w:rsid w:val="00EE5947"/>
    <w:rsid w:val="00EE67FC"/>
    <w:rsid w:val="00EF264C"/>
    <w:rsid w:val="00EF319A"/>
    <w:rsid w:val="00EF3FEE"/>
    <w:rsid w:val="00EF602E"/>
    <w:rsid w:val="00F00270"/>
    <w:rsid w:val="00F01533"/>
    <w:rsid w:val="00F019EC"/>
    <w:rsid w:val="00F04B59"/>
    <w:rsid w:val="00F10188"/>
    <w:rsid w:val="00F11741"/>
    <w:rsid w:val="00F12B1C"/>
    <w:rsid w:val="00F134F6"/>
    <w:rsid w:val="00F13BC3"/>
    <w:rsid w:val="00F13CCC"/>
    <w:rsid w:val="00F13CF8"/>
    <w:rsid w:val="00F15855"/>
    <w:rsid w:val="00F2387D"/>
    <w:rsid w:val="00F31392"/>
    <w:rsid w:val="00F32978"/>
    <w:rsid w:val="00F45CB2"/>
    <w:rsid w:val="00F544C0"/>
    <w:rsid w:val="00F55332"/>
    <w:rsid w:val="00F559C5"/>
    <w:rsid w:val="00F56035"/>
    <w:rsid w:val="00F60DBD"/>
    <w:rsid w:val="00F6504A"/>
    <w:rsid w:val="00F65519"/>
    <w:rsid w:val="00F6734C"/>
    <w:rsid w:val="00F713C0"/>
    <w:rsid w:val="00F75DDC"/>
    <w:rsid w:val="00F7792F"/>
    <w:rsid w:val="00F842AA"/>
    <w:rsid w:val="00F8476F"/>
    <w:rsid w:val="00F853E1"/>
    <w:rsid w:val="00F85604"/>
    <w:rsid w:val="00F87B49"/>
    <w:rsid w:val="00F94B7A"/>
    <w:rsid w:val="00F953BD"/>
    <w:rsid w:val="00FA0D7E"/>
    <w:rsid w:val="00FA17AC"/>
    <w:rsid w:val="00FA32DE"/>
    <w:rsid w:val="00FA3382"/>
    <w:rsid w:val="00FA3600"/>
    <w:rsid w:val="00FA59CD"/>
    <w:rsid w:val="00FB1740"/>
    <w:rsid w:val="00FB7EC6"/>
    <w:rsid w:val="00FC2FFF"/>
    <w:rsid w:val="00FC4231"/>
    <w:rsid w:val="00FC5469"/>
    <w:rsid w:val="00FC6D7D"/>
    <w:rsid w:val="00FD16B0"/>
    <w:rsid w:val="00FD4FED"/>
    <w:rsid w:val="00FD5392"/>
    <w:rsid w:val="00FE0577"/>
    <w:rsid w:val="00FE0706"/>
    <w:rsid w:val="00FE59EC"/>
    <w:rsid w:val="00FE5B67"/>
    <w:rsid w:val="00FE60D6"/>
    <w:rsid w:val="00FF1BFF"/>
    <w:rsid w:val="00FF3B6D"/>
    <w:rsid w:val="00FF4324"/>
    <w:rsid w:val="00FF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1B6EE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771114"/>
  </w:style>
  <w:style w:type="character" w:styleId="FootnoteReference">
    <w:name w:val="footnote reference"/>
    <w:basedOn w:val="DefaultParagraphFont"/>
    <w:unhideWhenUsed/>
    <w:rsid w:val="00771114"/>
    <w:rPr>
      <w:vertAlign w:val="superscript"/>
    </w:rPr>
  </w:style>
  <w:style w:type="character" w:styleId="CommentReference">
    <w:name w:val="annotation reference"/>
    <w:basedOn w:val="DefaultParagraphFont"/>
    <w:rsid w:val="005817E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1B6EE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771114"/>
  </w:style>
  <w:style w:type="character" w:styleId="FootnoteReference">
    <w:name w:val="footnote reference"/>
    <w:basedOn w:val="DefaultParagraphFont"/>
    <w:unhideWhenUsed/>
    <w:rsid w:val="00771114"/>
    <w:rPr>
      <w:vertAlign w:val="superscript"/>
    </w:rPr>
  </w:style>
  <w:style w:type="character" w:styleId="CommentReference">
    <w:name w:val="annotation reference"/>
    <w:basedOn w:val="DefaultParagraphFont"/>
    <w:rsid w:val="005817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6984">
      <w:bodyDiv w:val="1"/>
      <w:marLeft w:val="0"/>
      <w:marRight w:val="0"/>
      <w:marTop w:val="0"/>
      <w:marBottom w:val="0"/>
      <w:divBdr>
        <w:top w:val="none" w:sz="0" w:space="0" w:color="auto"/>
        <w:left w:val="none" w:sz="0" w:space="0" w:color="auto"/>
        <w:bottom w:val="none" w:sz="0" w:space="0" w:color="auto"/>
        <w:right w:val="none" w:sz="0" w:space="0" w:color="auto"/>
      </w:divBdr>
      <w:divsChild>
        <w:div w:id="541482368">
          <w:marLeft w:val="0"/>
          <w:marRight w:val="0"/>
          <w:marTop w:val="0"/>
          <w:marBottom w:val="0"/>
          <w:divBdr>
            <w:top w:val="none" w:sz="0" w:space="0" w:color="auto"/>
            <w:left w:val="none" w:sz="0" w:space="0" w:color="auto"/>
            <w:bottom w:val="none" w:sz="0" w:space="0" w:color="auto"/>
            <w:right w:val="none" w:sz="0" w:space="0" w:color="auto"/>
          </w:divBdr>
          <w:divsChild>
            <w:div w:id="517893819">
              <w:marLeft w:val="0"/>
              <w:marRight w:val="0"/>
              <w:marTop w:val="0"/>
              <w:marBottom w:val="0"/>
              <w:divBdr>
                <w:top w:val="none" w:sz="0" w:space="0" w:color="auto"/>
                <w:left w:val="none" w:sz="0" w:space="0" w:color="auto"/>
                <w:bottom w:val="none" w:sz="0" w:space="0" w:color="auto"/>
                <w:right w:val="none" w:sz="0" w:space="0" w:color="auto"/>
              </w:divBdr>
              <w:divsChild>
                <w:div w:id="13664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F1FC-DE53-4CB2-8DB6-25C0881E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5200</Words>
  <Characters>27155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2019-02-15T16:47:00Z</cp:lastPrinted>
  <dcterms:created xsi:type="dcterms:W3CDTF">2019-02-21T14:49:00Z</dcterms:created>
  <dcterms:modified xsi:type="dcterms:W3CDTF">2019-02-21T14:49:00Z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20170086-SU</vt:lpwstr>
  </property>
  <property fmtid="{D5CDD505-2E9C-101B-9397-08002B2CF9AE}" pid="3" name="MasterDocument">
    <vt:bool>false</vt:bool>
  </property>
</Properties>
</file>