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28" w:rsidRDefault="007C0528" w:rsidP="006E08CB">
            <w:pPr>
              <w:pStyle w:val="MastHeadState"/>
              <w:jc w:val="right"/>
            </w:pPr>
            <w:bookmarkStart w:id="0" w:name="_GoBack"/>
            <w:bookmarkEnd w:id="0"/>
            <w:r>
              <w:t>State of Florida</w:t>
            </w:r>
          </w:p>
          <w:p w:rsidR="007C0528" w:rsidRDefault="00072CC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7C0528" w:rsidRDefault="007C0528">
            <w:pPr>
              <w:pStyle w:val="MastHeadPSC"/>
            </w:pPr>
            <w:r>
              <w:t>Public Service Commission</w:t>
            </w:r>
          </w:p>
          <w:p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:rsidR="007C0528" w:rsidRDefault="007C0528">
            <w:pPr>
              <w:pStyle w:val="MastHeadMemorandum"/>
            </w:pPr>
            <w:r>
              <w:t>-M-E-M-O-R-A-N-D-U-M-</w:t>
            </w:r>
          </w:p>
          <w:p w:rsidR="007C0528" w:rsidRDefault="007C0528">
            <w:pPr>
              <w:pStyle w:val="MemoHeading"/>
            </w:pPr>
          </w:p>
        </w:tc>
      </w:tr>
      <w:tr w:rsidR="007C0528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7C0528" w:rsidRDefault="005440A4">
            <w:pPr>
              <w:pStyle w:val="MemoHeading"/>
            </w:pPr>
            <w:bookmarkStart w:id="1" w:name="FilingDate"/>
            <w:r>
              <w:t>March 21, 2019</w:t>
            </w:r>
            <w:bookmarkEnd w:id="1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C0528" w:rsidRDefault="007C0528" w:rsidP="0093658B">
            <w:pPr>
              <w:pStyle w:val="MemoHeading"/>
            </w:pPr>
            <w:r>
              <w:t>Office of Commission Clerk (</w:t>
            </w:r>
            <w:r w:rsidR="004E69B5">
              <w:t>Teitzman</w:t>
            </w:r>
            <w:r>
              <w:t>)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C0528" w:rsidRDefault="005440A4">
            <w:pPr>
              <w:pStyle w:val="MemoHeading"/>
            </w:pPr>
            <w:bookmarkStart w:id="2" w:name="From"/>
            <w:r>
              <w:t>Office of the General Counsel (</w:t>
            </w:r>
            <w:r w:rsidR="008E64F3">
              <w:t>Harper</w:t>
            </w:r>
            <w:r>
              <w:t>)</w:t>
            </w:r>
            <w:bookmarkEnd w:id="2"/>
          </w:p>
          <w:p w:rsidR="008E64F3" w:rsidRPr="008E64F3" w:rsidRDefault="008E64F3" w:rsidP="008E64F3">
            <w:r>
              <w:t>Office of Industry Development and Market Analysis (Crawford)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5440A4">
            <w:pPr>
              <w:pStyle w:val="MemoHeadingRe"/>
            </w:pPr>
            <w:bookmarkStart w:id="3" w:name="Re"/>
            <w:r>
              <w:t>Docket No. 20190040-EQ – Petition for declaratory statement regarding leasing of residential solar equipment, by IGS Solar, LLC.</w:t>
            </w:r>
            <w:bookmarkEnd w:id="3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5440A4" w:rsidP="00196382">
            <w:pPr>
              <w:pStyle w:val="MemoHeading"/>
            </w:pPr>
            <w:bookmarkStart w:id="4" w:name="AgendaDate"/>
            <w:r>
              <w:t>04/02/19</w:t>
            </w:r>
            <w:bookmarkEnd w:id="4"/>
            <w:r w:rsidR="007C0528">
              <w:t xml:space="preserve"> – </w:t>
            </w:r>
            <w:bookmarkStart w:id="5" w:name="PermittedStatus"/>
            <w:r>
              <w:t>Regular Agenda –</w:t>
            </w:r>
            <w:r w:rsidR="00196382">
              <w:t xml:space="preserve"> </w:t>
            </w:r>
            <w:r w:rsidR="00F85C71">
              <w:t xml:space="preserve">Declaratory Statement – </w:t>
            </w:r>
            <w:r w:rsidR="00196382">
              <w:t>Parties</w:t>
            </w:r>
            <w:r>
              <w:t xml:space="preserve"> May Participate</w:t>
            </w:r>
            <w:bookmarkEnd w:id="5"/>
            <w:r w:rsidR="00592C86">
              <w:t xml:space="preserve"> at </w:t>
            </w:r>
            <w:r w:rsidR="00C85035">
              <w:t xml:space="preserve">the </w:t>
            </w:r>
            <w:r w:rsidR="00592C86">
              <w:t>Commission’s Discretion</w:t>
            </w:r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5440A4">
            <w:pPr>
              <w:pStyle w:val="MemoHeading"/>
            </w:pPr>
            <w:bookmarkStart w:id="6" w:name="CommissionersAssigned"/>
            <w:r>
              <w:t>All Commissioners</w:t>
            </w:r>
            <w:bookmarkEnd w:id="6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5440A4">
            <w:pPr>
              <w:pStyle w:val="MemoHeading"/>
            </w:pPr>
            <w:bookmarkStart w:id="7" w:name="PrehearingOfficer"/>
            <w:r>
              <w:t>Brown</w:t>
            </w:r>
            <w:bookmarkEnd w:id="7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bookmarkStart w:id="8" w:name="CriticalDatesLabel"/>
            <w:r>
              <w:t>CRITICAL DATES:</w:t>
            </w:r>
            <w:bookmarkEnd w:id="8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8E64F3" w:rsidP="00592C86">
            <w:pPr>
              <w:pStyle w:val="MemoHeading"/>
            </w:pPr>
            <w:r>
              <w:t>5/</w:t>
            </w:r>
            <w:r w:rsidR="00592C86">
              <w:t>9</w:t>
            </w:r>
            <w:r>
              <w:t>/19 (Final Order must be issued by this date pursuant to Section 120.565(3), Florida Statutes)</w:t>
            </w:r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:rsidR="007C0528" w:rsidRDefault="005440A4">
            <w:pPr>
              <w:pStyle w:val="MemoHeading"/>
            </w:pPr>
            <w:bookmarkStart w:id="9" w:name="SpecialInstructions"/>
            <w:r>
              <w:t>None</w:t>
            </w:r>
            <w:bookmarkEnd w:id="9"/>
          </w:p>
        </w:tc>
      </w:tr>
    </w:tbl>
    <w:p w:rsidR="007C0528" w:rsidRDefault="007C0528">
      <w:pPr>
        <w:pStyle w:val="BodyText"/>
      </w:pPr>
    </w:p>
    <w:p w:rsidR="007C0528" w:rsidRDefault="007C0528">
      <w:pPr>
        <w:pStyle w:val="RecommendationMajorSectionHeading"/>
      </w:pPr>
      <w:bookmarkStart w:id="10" w:name="RecToC"/>
      <w:bookmarkEnd w:id="10"/>
      <w:r>
        <w:t xml:space="preserve"> </w:t>
      </w:r>
      <w:bookmarkStart w:id="11" w:name="CaseBackground"/>
      <w:r>
        <w:t>Case Background</w:t>
      </w:r>
      <w:r>
        <w:fldChar w:fldCharType="begin"/>
      </w:r>
      <w:r>
        <w:instrText xml:space="preserve"> TC  "</w:instrText>
      </w:r>
      <w:r>
        <w:tab/>
      </w:r>
      <w:bookmarkStart w:id="12" w:name="_Toc94516455"/>
      <w:r>
        <w:instrText>Case Background</w:instrText>
      </w:r>
      <w:bookmarkEnd w:id="12"/>
      <w:r>
        <w:instrText xml:space="preserve">" \l 1 </w:instrText>
      </w:r>
      <w:r>
        <w:fldChar w:fldCharType="end"/>
      </w:r>
    </w:p>
    <w:p w:rsidR="008E64F3" w:rsidRPr="008E64F3" w:rsidRDefault="00592C86" w:rsidP="008E64F3">
      <w:pPr>
        <w:pStyle w:val="BodyText"/>
      </w:pPr>
      <w:r>
        <w:t xml:space="preserve">On February 8, 2019, </w:t>
      </w:r>
      <w:r w:rsidR="008E64F3" w:rsidRPr="008E64F3">
        <w:t xml:space="preserve">IGS Solar, LLC (IGS Solar), filed a petition for a declaratory statement (Petition). </w:t>
      </w:r>
      <w:r w:rsidR="008E64F3">
        <w:t>IGS Solar</w:t>
      </w:r>
      <w:r w:rsidR="008E64F3" w:rsidRPr="008E64F3">
        <w:t xml:space="preserve"> asks the Commission to declare that based on the facts presented by </w:t>
      </w:r>
      <w:r w:rsidR="008E64F3">
        <w:t>IGS Solar</w:t>
      </w:r>
      <w:r w:rsidR="008E64F3" w:rsidRPr="008E64F3">
        <w:t>:</w:t>
      </w:r>
    </w:p>
    <w:p w:rsidR="008E64F3" w:rsidRPr="008E64F3" w:rsidRDefault="008E64F3" w:rsidP="008E64F3">
      <w:pPr>
        <w:pStyle w:val="BodyText"/>
        <w:numPr>
          <w:ilvl w:val="0"/>
          <w:numId w:val="11"/>
        </w:numPr>
        <w:ind w:right="720"/>
      </w:pPr>
      <w:r w:rsidRPr="008E64F3">
        <w:t>IGS Solar’s proposed residential solar equipment lease</w:t>
      </w:r>
      <w:r w:rsidR="00196382">
        <w:t>,</w:t>
      </w:r>
      <w:r w:rsidRPr="008E64F3">
        <w:t xml:space="preserve"> as described </w:t>
      </w:r>
      <w:r w:rsidR="00196382">
        <w:t xml:space="preserve">by </w:t>
      </w:r>
      <w:r w:rsidRPr="008E64F3">
        <w:t xml:space="preserve">the </w:t>
      </w:r>
      <w:r w:rsidR="00196382">
        <w:t>P</w:t>
      </w:r>
      <w:r w:rsidRPr="008E64F3">
        <w:t>etition, will not be deemed to constitute the sale of electricity;</w:t>
      </w:r>
    </w:p>
    <w:p w:rsidR="008E64F3" w:rsidRPr="008E64F3" w:rsidRDefault="008E64F3" w:rsidP="008E64F3">
      <w:pPr>
        <w:pStyle w:val="BodyText"/>
        <w:numPr>
          <w:ilvl w:val="0"/>
          <w:numId w:val="11"/>
        </w:numPr>
        <w:ind w:right="720"/>
      </w:pPr>
      <w:r w:rsidRPr="008E64F3">
        <w:t>IGS Solar will not be deemed a public utility under Florida law by virtue of leasing its residential solar equipment to residential consumer-lessees in Florida;</w:t>
      </w:r>
    </w:p>
    <w:p w:rsidR="008E64F3" w:rsidRPr="008E64F3" w:rsidRDefault="008E64F3" w:rsidP="008E64F3">
      <w:pPr>
        <w:pStyle w:val="BodyText"/>
        <w:numPr>
          <w:ilvl w:val="0"/>
          <w:numId w:val="11"/>
        </w:numPr>
        <w:ind w:right="720"/>
      </w:pPr>
      <w:r w:rsidRPr="008E64F3">
        <w:lastRenderedPageBreak/>
        <w:t>Florida customer-lessees who enter into IGS Solar’s proposed residential solar lease equipment  will not be subject to the jurisdiction of, or regulation by</w:t>
      </w:r>
      <w:r w:rsidR="00402B0C">
        <w:t>,</w:t>
      </w:r>
      <w:r w:rsidRPr="008E64F3">
        <w:t xml:space="preserve"> the Commission;  and</w:t>
      </w:r>
    </w:p>
    <w:p w:rsidR="008E64F3" w:rsidRPr="008E64F3" w:rsidRDefault="00592C86" w:rsidP="008E64F3">
      <w:pPr>
        <w:pStyle w:val="BodyText"/>
        <w:numPr>
          <w:ilvl w:val="0"/>
          <w:numId w:val="11"/>
        </w:numPr>
        <w:ind w:right="720"/>
      </w:pPr>
      <w:r>
        <w:t>IGS Solar’s customer-</w:t>
      </w:r>
      <w:r w:rsidR="008E64F3" w:rsidRPr="008E64F3">
        <w:t>lessees who enter into the proposed lease will be entitled to electrically interconnect with electric utilities and be deemed net metering customer</w:t>
      </w:r>
      <w:r w:rsidR="00402B0C">
        <w:t>s</w:t>
      </w:r>
      <w:r>
        <w:t>,</w:t>
      </w:r>
      <w:r w:rsidR="008E64F3" w:rsidRPr="008E64F3">
        <w:t xml:space="preserve"> under Rule 25-6.065, F.A.C.</w:t>
      </w:r>
      <w:r>
        <w:rPr>
          <w:rStyle w:val="FootnoteReference"/>
        </w:rPr>
        <w:footnoteReference w:id="1"/>
      </w:r>
    </w:p>
    <w:p w:rsidR="00332D95" w:rsidRDefault="00332D95" w:rsidP="00427547">
      <w:pPr>
        <w:pStyle w:val="BodyText"/>
        <w:spacing w:after="0"/>
      </w:pPr>
      <w:r>
        <w:t xml:space="preserve">The Commission’s recent decisions in Order No. PSC-2018-0251-DS-EQ, issued May 17, 2018, in Docket No. 20170273-EQ, </w:t>
      </w:r>
      <w:r w:rsidRPr="00C14845">
        <w:rPr>
          <w:i/>
        </w:rPr>
        <w:t>In re: Petition of Sunrun Inc. for a declaratory statement concerning the leasing of solar equipment</w:t>
      </w:r>
      <w:r w:rsidRPr="00C14845">
        <w:t xml:space="preserve"> (</w:t>
      </w:r>
      <w:r w:rsidRPr="00C14845">
        <w:rPr>
          <w:i/>
        </w:rPr>
        <w:t>Sunrun</w:t>
      </w:r>
      <w:r w:rsidRPr="00C14845">
        <w:t>)</w:t>
      </w:r>
      <w:r w:rsidR="00F031A4">
        <w:t>;</w:t>
      </w:r>
      <w:r w:rsidRPr="00C14845">
        <w:t xml:space="preserve"> Order No. PSC-2018-0413-DS-EQ, issued August 21, 2018, in Docket No. 20180124-EQ, </w:t>
      </w:r>
      <w:r w:rsidRPr="00C14845">
        <w:rPr>
          <w:i/>
        </w:rPr>
        <w:t>In re: Petition of Vivint Solar Developer, LLC. for a declaratory statement concerning the leasing of solar equipment</w:t>
      </w:r>
      <w:r w:rsidRPr="00C14845">
        <w:t xml:space="preserve"> (</w:t>
      </w:r>
      <w:r w:rsidRPr="00C14845">
        <w:rPr>
          <w:i/>
        </w:rPr>
        <w:t>Viv</w:t>
      </w:r>
      <w:r>
        <w:rPr>
          <w:i/>
        </w:rPr>
        <w:t>i</w:t>
      </w:r>
      <w:r w:rsidRPr="00C14845">
        <w:rPr>
          <w:i/>
        </w:rPr>
        <w:t>nt</w:t>
      </w:r>
      <w:r w:rsidRPr="00C14845">
        <w:t>)</w:t>
      </w:r>
      <w:r w:rsidR="00F031A4">
        <w:t>;</w:t>
      </w:r>
      <w:r>
        <w:t xml:space="preserve"> and in Order No. PSC-</w:t>
      </w:r>
      <w:r w:rsidR="00B83E88">
        <w:t>2018-0065-DS-EQ</w:t>
      </w:r>
      <w:r>
        <w:t xml:space="preserve">, </w:t>
      </w:r>
      <w:r w:rsidR="00646499">
        <w:t>issued</w:t>
      </w:r>
      <w:r w:rsidR="00B83E88">
        <w:t xml:space="preserve"> February 21, 2019</w:t>
      </w:r>
      <w:r>
        <w:t>, in Docket No.</w:t>
      </w:r>
      <w:r w:rsidR="00B83E88">
        <w:t xml:space="preserve"> 20180221-EQ</w:t>
      </w:r>
      <w:r>
        <w:t xml:space="preserve">, </w:t>
      </w:r>
      <w:r w:rsidR="00B83E88">
        <w:rPr>
          <w:i/>
        </w:rPr>
        <w:t>Petition by Tesla Inc.,</w:t>
      </w:r>
      <w:r w:rsidR="00B83E88" w:rsidRPr="00C14845">
        <w:rPr>
          <w:i/>
        </w:rPr>
        <w:t xml:space="preserve"> for a declaratory statement concerning the leasing of solar equipment</w:t>
      </w:r>
      <w:r w:rsidR="00B83E88" w:rsidRPr="00C14845">
        <w:t xml:space="preserve"> (</w:t>
      </w:r>
      <w:r w:rsidRPr="00332D95">
        <w:rPr>
          <w:i/>
        </w:rPr>
        <w:t>Tesla</w:t>
      </w:r>
      <w:r>
        <w:t>)</w:t>
      </w:r>
      <w:r w:rsidR="00F031A4">
        <w:t>,</w:t>
      </w:r>
      <w:r>
        <w:t xml:space="preserve"> state the Commission does not have jurisdiction over an</w:t>
      </w:r>
      <w:r w:rsidRPr="00471628">
        <w:t xml:space="preserve"> individual company </w:t>
      </w:r>
      <w:r>
        <w:t>that</w:t>
      </w:r>
      <w:r w:rsidRPr="00471628">
        <w:rPr>
          <w:rFonts w:eastAsia="SimSun"/>
        </w:rPr>
        <w:t xml:space="preserve"> offers residential lease</w:t>
      </w:r>
      <w:r>
        <w:rPr>
          <w:rFonts w:eastAsia="SimSun"/>
        </w:rPr>
        <w:t>s</w:t>
      </w:r>
      <w:r w:rsidRPr="00471628">
        <w:rPr>
          <w:rFonts w:eastAsia="SimSun"/>
        </w:rPr>
        <w:t xml:space="preserve"> </w:t>
      </w:r>
      <w:r>
        <w:rPr>
          <w:rFonts w:eastAsia="SimSun"/>
        </w:rPr>
        <w:t>for solar equipment when the lease payments</w:t>
      </w:r>
      <w:r w:rsidRPr="00471628">
        <w:rPr>
          <w:rFonts w:eastAsia="SimSun"/>
        </w:rPr>
        <w:t xml:space="preserve"> </w:t>
      </w:r>
      <w:r>
        <w:rPr>
          <w:rFonts w:eastAsia="SimSun"/>
        </w:rPr>
        <w:t>do</w:t>
      </w:r>
      <w:r w:rsidRPr="00471628">
        <w:rPr>
          <w:rFonts w:eastAsia="SimSun"/>
        </w:rPr>
        <w:t xml:space="preserve"> not vary based on generation.</w:t>
      </w:r>
    </w:p>
    <w:p w:rsidR="00F51097" w:rsidRDefault="00F51097" w:rsidP="00427547">
      <w:pPr>
        <w:pStyle w:val="BodyText"/>
        <w:spacing w:after="0"/>
      </w:pPr>
    </w:p>
    <w:p w:rsidR="008E64F3" w:rsidRDefault="008E64F3" w:rsidP="00427547">
      <w:pPr>
        <w:pStyle w:val="BodyText"/>
        <w:spacing w:after="0"/>
      </w:pPr>
      <w:r>
        <w:t>Pursuant to Rule 28-105.0024, Florida Administrative Code (F.A.C.), a Notice of Declaratory Statement was published in the February 11, 2019, edition of the Florida Administrative Register, informing interested persons of the Petition. There were no requests to intervene filed.</w:t>
      </w:r>
      <w:r w:rsidR="00332D95">
        <w:t xml:space="preserve"> </w:t>
      </w:r>
      <w:r w:rsidR="00AF41A4">
        <w:t xml:space="preserve">This </w:t>
      </w:r>
      <w:r>
        <w:t>recommendation addresses IGS Solar’s Peti</w:t>
      </w:r>
      <w:r w:rsidR="00427547">
        <w:t xml:space="preserve">tion for Declaratory </w:t>
      </w:r>
      <w:r w:rsidR="00F37288">
        <w:t>Statement.</w:t>
      </w:r>
      <w:r w:rsidR="00AF41A4">
        <w:t xml:space="preserve"> </w:t>
      </w:r>
      <w:r w:rsidR="00F37288">
        <w:t>The</w:t>
      </w:r>
      <w:r>
        <w:t xml:space="preserve"> Commission has jurisdiction pursuant to Section 120.565, F.S., and Chapter 366, F.S.</w:t>
      </w:r>
    </w:p>
    <w:p w:rsidR="0068481F" w:rsidRDefault="0068481F">
      <w:pPr>
        <w:pStyle w:val="BodyText"/>
      </w:pPr>
    </w:p>
    <w:p w:rsidR="007C0528" w:rsidRDefault="007C0528" w:rsidP="0068481F"/>
    <w:bookmarkEnd w:id="11"/>
    <w:p w:rsidR="00EA2273" w:rsidRDefault="00EA2273">
      <w:pPr>
        <w:pStyle w:val="RecommendationMajorSectionHeading"/>
        <w:sectPr w:rsidR="00EA2273">
          <w:headerReference w:type="default" r:id="rId10"/>
          <w:footerReference w:type="default" r:id="rId11"/>
          <w:type w:val="continuous"/>
          <w:pgSz w:w="12240" w:h="15840" w:code="1"/>
          <w:pgMar w:top="1584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:rsidR="007C0528" w:rsidRDefault="007C0528">
      <w:pPr>
        <w:pStyle w:val="RecommendationMajorSectionHeading"/>
      </w:pPr>
      <w:bookmarkStart w:id="15" w:name="DiscussionOfIssues"/>
      <w:r>
        <w:lastRenderedPageBreak/>
        <w:t>Discussion of Issues</w:t>
      </w:r>
    </w:p>
    <w:bookmarkEnd w:id="15"/>
    <w:p w:rsidR="005440A4" w:rsidRDefault="005440A4">
      <w:pPr>
        <w:pStyle w:val="IssueHeading"/>
        <w:rPr>
          <w:vanish/>
          <w:specVanish/>
        </w:rPr>
      </w:pPr>
      <w:r w:rsidRPr="004C3641">
        <w:t xml:space="preserve">Issue </w:t>
      </w:r>
      <w:fldSimple w:instr=" SEQ Issue \* MERGEFORMAT ">
        <w:r w:rsidR="00F6216A">
          <w:rPr>
            <w:noProof/>
          </w:rPr>
          <w:t>1</w:t>
        </w:r>
      </w:fldSimple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F6216A">
        <w:rPr>
          <w:noProof/>
        </w:rPr>
        <w:instrText>1</w:instrText>
      </w:r>
      <w:r>
        <w:fldChar w:fldCharType="end"/>
      </w:r>
      <w:r>
        <w:tab/>
        <w:instrText xml:space="preserve">" \l 1 </w:instrText>
      </w:r>
      <w:r>
        <w:fldChar w:fldCharType="end"/>
      </w:r>
      <w:r>
        <w:t> </w:t>
      </w:r>
    </w:p>
    <w:p w:rsidR="00332D95" w:rsidRDefault="005440A4" w:rsidP="00332D95">
      <w:pPr>
        <w:pStyle w:val="BodyText"/>
      </w:pPr>
      <w:r>
        <w:t> </w:t>
      </w:r>
      <w:r w:rsidR="00332D95">
        <w:t>Should the Commission grant IGS Solar’s Petition for Declaratory Statement?</w:t>
      </w:r>
    </w:p>
    <w:p w:rsidR="005440A4" w:rsidRPr="004C3641" w:rsidRDefault="005440A4">
      <w:pPr>
        <w:pStyle w:val="IssueSubsectionHeading"/>
        <w:rPr>
          <w:vanish/>
          <w:specVanish/>
        </w:rPr>
      </w:pPr>
      <w:r w:rsidRPr="004C3641">
        <w:t>Recommendation: </w:t>
      </w:r>
    </w:p>
    <w:p w:rsidR="005440A4" w:rsidRDefault="005440A4" w:rsidP="00F51097">
      <w:pPr>
        <w:pStyle w:val="BodyText"/>
        <w:numPr>
          <w:ilvl w:val="0"/>
          <w:numId w:val="11"/>
        </w:numPr>
        <w:ind w:left="0" w:firstLine="0"/>
      </w:pPr>
      <w:r>
        <w:t> </w:t>
      </w:r>
      <w:r w:rsidR="00332D95">
        <w:t xml:space="preserve"> Yes. Based on the facts presented by IGS Solar, the Commission should grant IGS Solar’s Petition and declare: (1) </w:t>
      </w:r>
      <w:r w:rsidR="00332D95" w:rsidRPr="008E64F3">
        <w:t>IGS Solar’s proposed residential solar equipment l</w:t>
      </w:r>
      <w:r w:rsidR="00535E15">
        <w:t>ease, as described in its P</w:t>
      </w:r>
      <w:r w:rsidR="00766766">
        <w:t>etition</w:t>
      </w:r>
      <w:r w:rsidR="00535E15">
        <w:t>,</w:t>
      </w:r>
      <w:r w:rsidR="00766766">
        <w:t xml:space="preserve"> </w:t>
      </w:r>
      <w:r w:rsidR="00332D95" w:rsidRPr="008E64F3">
        <w:t>will not be deemed to constitute the sale of electricity;</w:t>
      </w:r>
      <w:r w:rsidR="00332D95">
        <w:t xml:space="preserve"> (2) </w:t>
      </w:r>
      <w:r w:rsidR="00332D95" w:rsidRPr="008E64F3">
        <w:t>IGS Solar will not be deemed a public utility under Florida law by virtue of leasing its residential solar equipment to residential consumer-lessees in Florida</w:t>
      </w:r>
      <w:r w:rsidR="00535E15">
        <w:t xml:space="preserve"> as described in its Petition</w:t>
      </w:r>
      <w:r w:rsidR="00332D95" w:rsidRPr="008E64F3">
        <w:t>;</w:t>
      </w:r>
      <w:r w:rsidR="00332D95">
        <w:t xml:space="preserve"> (3) </w:t>
      </w:r>
      <w:r w:rsidR="00332D95" w:rsidRPr="008E64F3">
        <w:t>Florida customer-lessees who enter into IGS Solar’s proposed re</w:t>
      </w:r>
      <w:r w:rsidR="00332D95">
        <w:t>sidential solar equipment</w:t>
      </w:r>
      <w:r w:rsidR="00332D95" w:rsidRPr="008E64F3">
        <w:t xml:space="preserve"> </w:t>
      </w:r>
      <w:r w:rsidR="00535E15">
        <w:t xml:space="preserve">lease, as described in its Petition, </w:t>
      </w:r>
      <w:r w:rsidR="00332D95" w:rsidRPr="008E64F3">
        <w:t>will not be subject to the jurisdiction of, or regulation by</w:t>
      </w:r>
      <w:r w:rsidR="00766766">
        <w:t>,</w:t>
      </w:r>
      <w:r w:rsidR="00332D95" w:rsidRPr="008E64F3">
        <w:t xml:space="preserve"> the Commission</w:t>
      </w:r>
      <w:r w:rsidR="00332D95">
        <w:t xml:space="preserve">; </w:t>
      </w:r>
      <w:r w:rsidR="00332D95" w:rsidRPr="008E64F3">
        <w:t>and</w:t>
      </w:r>
      <w:r w:rsidR="00F51097">
        <w:t xml:space="preserve"> (4)</w:t>
      </w:r>
      <w:r w:rsidR="00B472B7">
        <w:t xml:space="preserve"> C</w:t>
      </w:r>
      <w:r w:rsidR="00332D95" w:rsidRPr="008E64F3">
        <w:t>ustomer</w:t>
      </w:r>
      <w:r w:rsidR="00535E15">
        <w:t>-</w:t>
      </w:r>
      <w:r w:rsidR="00332D95" w:rsidRPr="008E64F3">
        <w:t>lessees</w:t>
      </w:r>
      <w:r w:rsidR="00332D95">
        <w:t xml:space="preserve"> will </w:t>
      </w:r>
      <w:r w:rsidR="00332D95" w:rsidRPr="008E64F3">
        <w:t xml:space="preserve">be </w:t>
      </w:r>
      <w:r w:rsidR="004C7DA0">
        <w:t>allowed to become</w:t>
      </w:r>
      <w:r w:rsidR="00332D95" w:rsidRPr="008E64F3">
        <w:t xml:space="preserve"> net metering customer</w:t>
      </w:r>
      <w:r w:rsidR="00332D95">
        <w:t>s if the</w:t>
      </w:r>
      <w:r w:rsidR="00B472B7">
        <w:t xml:space="preserve"> customer-lessees</w:t>
      </w:r>
      <w:r w:rsidR="00332D95">
        <w:t xml:space="preserve"> meet the requirements of</w:t>
      </w:r>
      <w:r w:rsidR="00332D95" w:rsidRPr="008E64F3">
        <w:t xml:space="preserve"> Rule 25-6.065, F.A.C</w:t>
      </w:r>
      <w:r w:rsidR="00332D95">
        <w:t xml:space="preserve">. The Commission should also state that its declaration is limited to the facts described in IGS Solar’s Petition and would not apply to different, alternative facts. (Harper, Crawford) </w:t>
      </w:r>
      <w:r>
        <w:t xml:space="preserve"> </w:t>
      </w:r>
    </w:p>
    <w:p w:rsidR="005440A4" w:rsidRPr="004C3641" w:rsidRDefault="005440A4">
      <w:pPr>
        <w:pStyle w:val="IssueSubsectionHeading"/>
        <w:rPr>
          <w:vanish/>
          <w:specVanish/>
        </w:rPr>
      </w:pPr>
      <w:r w:rsidRPr="004C3641">
        <w:t>Staff Analysis: </w:t>
      </w:r>
    </w:p>
    <w:p w:rsidR="00B472B7" w:rsidRDefault="00646499" w:rsidP="00B472B7">
      <w:pPr>
        <w:pStyle w:val="BodyText"/>
        <w:spacing w:after="0"/>
      </w:pPr>
      <w:r>
        <w:t xml:space="preserve"> </w:t>
      </w:r>
      <w:r w:rsidR="00766766">
        <w:t>Questions (1)-(3) of IGS Solar’s Petition as</w:t>
      </w:r>
      <w:r w:rsidR="0034604D">
        <w:t>k</w:t>
      </w:r>
      <w:r w:rsidR="00766766">
        <w:t xml:space="preserve"> the Commission to declare that IGS Solar’s solar leasing program as described in its Petition will not make IGS Solar</w:t>
      </w:r>
      <w:r w:rsidR="0034604D">
        <w:t xml:space="preserve"> or</w:t>
      </w:r>
      <w:r w:rsidR="00766766">
        <w:t xml:space="preserve"> its </w:t>
      </w:r>
      <w:r w:rsidR="004C7DA0">
        <w:t xml:space="preserve">customer-lessees </w:t>
      </w:r>
      <w:r w:rsidR="00766766">
        <w:t xml:space="preserve">public utilities subject to the Commission’s jurisdiction under Section 366.02(1), F.S.  </w:t>
      </w:r>
      <w:r w:rsidR="00BD6712">
        <w:t>S</w:t>
      </w:r>
      <w:r>
        <w:t>taff did not review any part of the</w:t>
      </w:r>
      <w:r w:rsidR="00766766">
        <w:t xml:space="preserve"> Petition’s </w:t>
      </w:r>
      <w:r>
        <w:t>proposed draft lease, which starts on page 1</w:t>
      </w:r>
      <w:r w:rsidR="00101FFD">
        <w:t>4</w:t>
      </w:r>
      <w:r>
        <w:t xml:space="preserve"> of the Petition</w:t>
      </w:r>
      <w:r w:rsidR="00101FFD">
        <w:t>, because a</w:t>
      </w:r>
      <w:r w:rsidR="00101FFD" w:rsidRPr="00101FFD">
        <w:t xml:space="preserve">s the Commission stated previously in the </w:t>
      </w:r>
      <w:r w:rsidR="00101FFD" w:rsidRPr="00101FFD">
        <w:rPr>
          <w:i/>
        </w:rPr>
        <w:t>Sunrun, Vivint</w:t>
      </w:r>
      <w:r w:rsidR="00766766">
        <w:rPr>
          <w:i/>
        </w:rPr>
        <w:t>,</w:t>
      </w:r>
      <w:r w:rsidR="00101FFD" w:rsidRPr="00101FFD">
        <w:t xml:space="preserve"> and </w:t>
      </w:r>
      <w:r w:rsidR="00101FFD" w:rsidRPr="00101FFD">
        <w:rPr>
          <w:i/>
        </w:rPr>
        <w:t>Tesla</w:t>
      </w:r>
      <w:r w:rsidR="00101FFD" w:rsidRPr="00101FFD">
        <w:t xml:space="preserve"> orders, approving IGS Solar’s draft lease does not fall within the Commission’s jurisdiction</w:t>
      </w:r>
      <w:r w:rsidR="00101FFD">
        <w:t>. Thus,</w:t>
      </w:r>
      <w:r w:rsidR="00101FFD" w:rsidRPr="00101FFD">
        <w:t xml:space="preserve"> review of the lease is not necessary for the Commission’s determination of the Petition.</w:t>
      </w:r>
      <w:r w:rsidR="00101FFD" w:rsidRPr="000D494F">
        <w:rPr>
          <w:sz w:val="20"/>
          <w:szCs w:val="20"/>
        </w:rPr>
        <w:t xml:space="preserve"> </w:t>
      </w:r>
      <w:r>
        <w:rPr>
          <w:rStyle w:val="FootnoteReference"/>
        </w:rPr>
        <w:footnoteReference w:id="2"/>
      </w:r>
    </w:p>
    <w:p w:rsidR="00B472B7" w:rsidRDefault="00B472B7" w:rsidP="00B472B7">
      <w:pPr>
        <w:pStyle w:val="BodyText"/>
        <w:spacing w:after="0"/>
      </w:pPr>
    </w:p>
    <w:p w:rsidR="00101FFD" w:rsidRPr="00BD6712" w:rsidRDefault="00BD6712" w:rsidP="00101FFD">
      <w:pPr>
        <w:pStyle w:val="BodyText"/>
        <w:spacing w:after="0"/>
        <w:rPr>
          <w:rFonts w:eastAsia="SimSun"/>
        </w:rPr>
      </w:pPr>
      <w:r w:rsidRPr="00BD6712">
        <w:t xml:space="preserve">Rule 28-105.001, F.A.C., Purpose and Use of Declaratory Statement, provides that </w:t>
      </w:r>
      <w:r w:rsidR="0004665E">
        <w:t xml:space="preserve">a </w:t>
      </w:r>
      <w:r w:rsidRPr="00BD6712">
        <w:t xml:space="preserve">declaratory statement is a means for resolving a controversy or answering questions or doubts concerning the applicability of statutory provisions, rules, or orders over which the agency has authority. As the </w:t>
      </w:r>
      <w:r w:rsidR="0034604D">
        <w:t>Commission</w:t>
      </w:r>
      <w:r w:rsidRPr="00BD6712">
        <w:t xml:space="preserve"> declared in</w:t>
      </w:r>
      <w:r w:rsidRPr="00BD6712">
        <w:rPr>
          <w:i/>
        </w:rPr>
        <w:t xml:space="preserve"> Sunrun</w:t>
      </w:r>
      <w:r w:rsidRPr="00BD6712">
        <w:t xml:space="preserve">, </w:t>
      </w:r>
      <w:r w:rsidRPr="00BD6712">
        <w:rPr>
          <w:i/>
        </w:rPr>
        <w:t>Vivint,</w:t>
      </w:r>
      <w:r w:rsidRPr="00BD6712">
        <w:t xml:space="preserve"> and </w:t>
      </w:r>
      <w:r w:rsidRPr="00BD6712">
        <w:rPr>
          <w:i/>
        </w:rPr>
        <w:t>Tesla,</w:t>
      </w:r>
      <w:r w:rsidRPr="00BD6712">
        <w:t xml:space="preserve"> </w:t>
      </w:r>
      <w:r w:rsidR="00101FFD" w:rsidRPr="00BD6712">
        <w:t xml:space="preserve">Rule 25-6.065, F.A.C., </w:t>
      </w:r>
      <w:r w:rsidR="00101FFD" w:rsidRPr="00BD6712">
        <w:rPr>
          <w:rFonts w:eastAsia="SimSun"/>
        </w:rPr>
        <w:t>allows leases for solar equipment without triggering the Commission’s jurisdiction, so long as the lease payments do not depend on electric generation.</w:t>
      </w:r>
      <w:r w:rsidR="00101FFD" w:rsidRPr="00BD6712">
        <w:t xml:space="preserve"> </w:t>
      </w:r>
      <w:r w:rsidRPr="0034604D">
        <w:t>Q</w:t>
      </w:r>
      <w:r w:rsidR="00101FFD" w:rsidRPr="00BD6712">
        <w:t>uestions (1)-(3</w:t>
      </w:r>
      <w:r w:rsidR="0034604D">
        <w:t xml:space="preserve">) of </w:t>
      </w:r>
      <w:r w:rsidR="00101FFD" w:rsidRPr="00BD6712">
        <w:t>IGS Solar’s Petition are virtually identical to the facts set forth in Sunrun’s, Vivint’s, and Tesla’s Petitions. For this reason, IGS Solar’s</w:t>
      </w:r>
      <w:r w:rsidR="00332D95" w:rsidRPr="00BD6712">
        <w:t xml:space="preserve"> </w:t>
      </w:r>
      <w:r w:rsidR="00101FFD" w:rsidRPr="00BD6712">
        <w:t xml:space="preserve">Petition as to questions (1)-(3) </w:t>
      </w:r>
      <w:r w:rsidR="00332D95" w:rsidRPr="00BD6712">
        <w:t>should be granted</w:t>
      </w:r>
      <w:r w:rsidR="00101FFD" w:rsidRPr="00BD6712">
        <w:t xml:space="preserve"> affirmatively</w:t>
      </w:r>
      <w:r w:rsidR="00332D95" w:rsidRPr="00BD6712">
        <w:t>.</w:t>
      </w:r>
      <w:r w:rsidR="00101FFD" w:rsidRPr="00BD6712">
        <w:t xml:space="preserve"> </w:t>
      </w:r>
    </w:p>
    <w:p w:rsidR="00332D95" w:rsidRDefault="00332D95" w:rsidP="00332D95">
      <w:pPr>
        <w:pStyle w:val="BodyText"/>
        <w:spacing w:after="0"/>
      </w:pPr>
    </w:p>
    <w:p w:rsidR="00F51097" w:rsidRDefault="00101FFD" w:rsidP="00332D95">
      <w:pPr>
        <w:pStyle w:val="BodyText"/>
        <w:spacing w:after="0"/>
      </w:pPr>
      <w:r>
        <w:t>Q</w:t>
      </w:r>
      <w:r w:rsidR="00F51097">
        <w:t>uestion (4) of IGS Solar’</w:t>
      </w:r>
      <w:r w:rsidR="00A956BB">
        <w:t xml:space="preserve">s Petition </w:t>
      </w:r>
      <w:r>
        <w:t xml:space="preserve">is </w:t>
      </w:r>
      <w:r w:rsidR="00A956BB">
        <w:t>unclear</w:t>
      </w:r>
      <w:r w:rsidR="00F51097">
        <w:t>. I</w:t>
      </w:r>
      <w:r w:rsidR="00F51097" w:rsidRPr="008E64F3">
        <w:t xml:space="preserve">GS </w:t>
      </w:r>
      <w:r w:rsidR="00B150B4" w:rsidRPr="008E64F3">
        <w:t>Solar</w:t>
      </w:r>
      <w:r w:rsidR="00B150B4">
        <w:t xml:space="preserve"> seems</w:t>
      </w:r>
      <w:r>
        <w:t xml:space="preserve"> to ask</w:t>
      </w:r>
      <w:r w:rsidR="00A956BB">
        <w:t xml:space="preserve"> the Commission to state</w:t>
      </w:r>
      <w:r w:rsidR="00F51097">
        <w:t xml:space="preserve"> that</w:t>
      </w:r>
      <w:r w:rsidR="00F51097" w:rsidRPr="008E64F3">
        <w:t xml:space="preserve"> customer</w:t>
      </w:r>
      <w:r w:rsidR="0034604D">
        <w:t>-</w:t>
      </w:r>
      <w:r w:rsidR="00F51097" w:rsidRPr="008E64F3">
        <w:t>lessees</w:t>
      </w:r>
      <w:r w:rsidR="0034604D">
        <w:t xml:space="preserve">, </w:t>
      </w:r>
      <w:r w:rsidR="0034604D" w:rsidRPr="008E64F3">
        <w:t>by</w:t>
      </w:r>
      <w:r w:rsidR="0034604D">
        <w:t xml:space="preserve"> virtue of entering</w:t>
      </w:r>
      <w:r w:rsidR="0034604D" w:rsidRPr="008E64F3">
        <w:t xml:space="preserve"> into </w:t>
      </w:r>
      <w:r w:rsidR="0034604D">
        <w:t>a</w:t>
      </w:r>
      <w:r w:rsidR="0034604D" w:rsidRPr="008E64F3">
        <w:t xml:space="preserve"> proposed lease </w:t>
      </w:r>
      <w:r w:rsidR="0004665E">
        <w:t>with IGS Solar</w:t>
      </w:r>
      <w:r w:rsidR="00F51097" w:rsidRPr="008E64F3">
        <w:t xml:space="preserve"> will</w:t>
      </w:r>
      <w:r w:rsidR="00F51097">
        <w:t xml:space="preserve"> automatically be</w:t>
      </w:r>
      <w:r w:rsidR="00F51097" w:rsidRPr="008E64F3">
        <w:t xml:space="preserve"> entitled to electrically interconnect with electric utilities and be deemed net metering customer</w:t>
      </w:r>
      <w:r w:rsidR="0004665E">
        <w:t>s</w:t>
      </w:r>
      <w:r w:rsidR="00F51097" w:rsidRPr="008E64F3">
        <w:t xml:space="preserve"> under Rule 25-6.065, F.A.C</w:t>
      </w:r>
      <w:r w:rsidR="00F51097">
        <w:t xml:space="preserve">. </w:t>
      </w:r>
      <w:r>
        <w:t>If that is the</w:t>
      </w:r>
      <w:r w:rsidR="00766766">
        <w:t xml:space="preserve"> question asked </w:t>
      </w:r>
      <w:r>
        <w:t>by IGS Solar</w:t>
      </w:r>
      <w:r w:rsidR="00F51097">
        <w:t xml:space="preserve">, </w:t>
      </w:r>
      <w:r w:rsidR="00766766">
        <w:t>then Question (4) of the declaratory statement should be denied because a</w:t>
      </w:r>
      <w:r w:rsidR="00F51097">
        <w:t xml:space="preserve"> solar lease by itself does not entitle a customer to</w:t>
      </w:r>
      <w:r w:rsidR="00F51097" w:rsidRPr="00F51097">
        <w:t xml:space="preserve"> </w:t>
      </w:r>
      <w:r w:rsidR="00F51097" w:rsidRPr="008E64F3">
        <w:t>electrically interconnect with electric utilities</w:t>
      </w:r>
      <w:r w:rsidR="004C7DA0">
        <w:t xml:space="preserve"> and net meter</w:t>
      </w:r>
      <w:r w:rsidR="00F51097">
        <w:t xml:space="preserve">. </w:t>
      </w:r>
      <w:r w:rsidR="00766766">
        <w:t>Instead,</w:t>
      </w:r>
      <w:r w:rsidR="00F51097">
        <w:t xml:space="preserve"> </w:t>
      </w:r>
      <w:r w:rsidR="00766766">
        <w:t xml:space="preserve">the Commission should declare that </w:t>
      </w:r>
      <w:r w:rsidR="00F51097">
        <w:t>c</w:t>
      </w:r>
      <w:r w:rsidR="00F51097" w:rsidRPr="008E64F3">
        <w:t>ustomer</w:t>
      </w:r>
      <w:r w:rsidR="00766766">
        <w:t>-</w:t>
      </w:r>
      <w:r w:rsidR="00F51097" w:rsidRPr="008E64F3">
        <w:t>lessees</w:t>
      </w:r>
      <w:r w:rsidR="00F51097">
        <w:t xml:space="preserve"> will </w:t>
      </w:r>
      <w:r w:rsidR="004C7DA0" w:rsidRPr="008E64F3">
        <w:t xml:space="preserve">be </w:t>
      </w:r>
      <w:r w:rsidR="004C7DA0">
        <w:t>allowed to become</w:t>
      </w:r>
      <w:r w:rsidR="00F51097" w:rsidRPr="008E64F3">
        <w:t xml:space="preserve"> net metering customer</w:t>
      </w:r>
      <w:r w:rsidR="00F51097">
        <w:t>s if the customer-lessees meet all of the requirements of</w:t>
      </w:r>
      <w:r w:rsidR="00F51097" w:rsidRPr="008E64F3">
        <w:t xml:space="preserve"> Rule 25-6.065, F.A.C</w:t>
      </w:r>
      <w:r w:rsidR="00F51097">
        <w:t>.</w:t>
      </w:r>
    </w:p>
    <w:p w:rsidR="00083BAF" w:rsidRDefault="00083BAF" w:rsidP="00083BAF">
      <w:pPr>
        <w:pStyle w:val="BodyText"/>
        <w:spacing w:after="0"/>
        <w:rPr>
          <w:rFonts w:ascii="Arial" w:hAnsi="Arial" w:cs="Arial"/>
          <w:b/>
        </w:rPr>
      </w:pPr>
    </w:p>
    <w:p w:rsidR="00083BAF" w:rsidRDefault="00332D95" w:rsidP="00083BAF">
      <w:pPr>
        <w:pStyle w:val="BodyText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Conclusion</w:t>
      </w:r>
    </w:p>
    <w:p w:rsidR="00332D95" w:rsidRDefault="00332D95" w:rsidP="00083BAF">
      <w:pPr>
        <w:pStyle w:val="BodyText"/>
        <w:spacing w:after="0"/>
      </w:pPr>
      <w:r>
        <w:t xml:space="preserve">For the reasons set forth above, staff recommends that the Commission grant IGS Solar’s Petition for Declaratory Statement and declare: </w:t>
      </w:r>
      <w:r w:rsidR="0004665E">
        <w:t xml:space="preserve">(1) </w:t>
      </w:r>
      <w:r w:rsidR="0004665E" w:rsidRPr="008E64F3">
        <w:t>IGS Solar’s proposed residential solar equipment l</w:t>
      </w:r>
      <w:r w:rsidR="0004665E">
        <w:t xml:space="preserve">ease, as described in its Petition, </w:t>
      </w:r>
      <w:r w:rsidR="0004665E" w:rsidRPr="008E64F3">
        <w:t>will not be deemed to constitute the sale of electricity;</w:t>
      </w:r>
      <w:r w:rsidR="0004665E">
        <w:t xml:space="preserve"> (2) </w:t>
      </w:r>
      <w:r w:rsidR="0004665E" w:rsidRPr="008E64F3">
        <w:t>IGS Solar will not be deemed a public utility under Florida law by virtue of leasing its residential solar equipment to residential consumer-lessees in Florida</w:t>
      </w:r>
      <w:r w:rsidR="0004665E">
        <w:t xml:space="preserve"> as described in its Petition</w:t>
      </w:r>
      <w:r w:rsidR="0004665E" w:rsidRPr="008E64F3">
        <w:t>;</w:t>
      </w:r>
      <w:r w:rsidR="0004665E">
        <w:t xml:space="preserve"> (3) </w:t>
      </w:r>
      <w:r w:rsidR="0004665E" w:rsidRPr="008E64F3">
        <w:t>Florida customer-lessees who enter into IGS Solar’s proposed re</w:t>
      </w:r>
      <w:r w:rsidR="0004665E">
        <w:t>sidential solar equipment</w:t>
      </w:r>
      <w:r w:rsidR="0004665E" w:rsidRPr="008E64F3">
        <w:t xml:space="preserve"> </w:t>
      </w:r>
      <w:r w:rsidR="0004665E">
        <w:t xml:space="preserve">lease, as described in its Petition, </w:t>
      </w:r>
      <w:r w:rsidR="0004665E" w:rsidRPr="008E64F3">
        <w:t>will not be subject to the jurisdiction of, or regulation by</w:t>
      </w:r>
      <w:r w:rsidR="0004665E">
        <w:t>,</w:t>
      </w:r>
      <w:r w:rsidR="0004665E" w:rsidRPr="008E64F3">
        <w:t xml:space="preserve"> the Commission</w:t>
      </w:r>
      <w:r w:rsidR="0004665E">
        <w:t xml:space="preserve">; </w:t>
      </w:r>
      <w:r w:rsidR="00B472B7" w:rsidRPr="008E64F3">
        <w:t>and</w:t>
      </w:r>
      <w:r w:rsidR="00B472B7">
        <w:t xml:space="preserve"> (4) C</w:t>
      </w:r>
      <w:r w:rsidR="00B472B7" w:rsidRPr="008E64F3">
        <w:t>ustomer lessees</w:t>
      </w:r>
      <w:r w:rsidR="00B472B7">
        <w:t xml:space="preserve"> will </w:t>
      </w:r>
      <w:r w:rsidR="00B472B7" w:rsidRPr="008E64F3">
        <w:t>be</w:t>
      </w:r>
      <w:r w:rsidR="004C7DA0" w:rsidRPr="008E64F3">
        <w:t xml:space="preserve"> </w:t>
      </w:r>
      <w:r w:rsidR="004C7DA0">
        <w:t>allowed to become</w:t>
      </w:r>
      <w:r w:rsidR="004C7DA0" w:rsidRPr="008E64F3">
        <w:t xml:space="preserve"> </w:t>
      </w:r>
      <w:r w:rsidR="00B472B7" w:rsidRPr="008E64F3">
        <w:t>net metering customer</w:t>
      </w:r>
      <w:r w:rsidR="00B472B7">
        <w:t>s if the customer-lessees meet the requirements of</w:t>
      </w:r>
      <w:r w:rsidR="00B472B7" w:rsidRPr="008E64F3">
        <w:t xml:space="preserve"> Rule 25-6.065, F.A.C</w:t>
      </w:r>
      <w:r w:rsidR="00B472B7">
        <w:t>. The Commission should also state that its declaration is limited to the facts described in IGS Solar’s Petition and would not apply to different, alternative facts.</w:t>
      </w:r>
      <w:r>
        <w:t xml:space="preserve"> </w:t>
      </w:r>
      <w:r w:rsidR="00283F61">
        <w:t>However, for those with an identical fact pattern</w:t>
      </w:r>
      <w:r w:rsidR="00283F61" w:rsidRPr="005E7100">
        <w:t xml:space="preserve"> </w:t>
      </w:r>
      <w:r w:rsidR="00283F61">
        <w:t xml:space="preserve">to </w:t>
      </w:r>
      <w:r w:rsidR="00283F61" w:rsidRPr="00277239">
        <w:rPr>
          <w:i/>
        </w:rPr>
        <w:t>Sunrun’s, Vivint’s, Tesla's</w:t>
      </w:r>
      <w:r w:rsidR="00283F61">
        <w:t xml:space="preserve"> or IGS Solar’s</w:t>
      </w:r>
      <w:r w:rsidR="00283F61" w:rsidRPr="005E7100">
        <w:t xml:space="preserve"> </w:t>
      </w:r>
      <w:r w:rsidR="00283F61">
        <w:t>Petitions, these declarations have precedential significance and individual declaratory statements are not necessary.</w:t>
      </w:r>
    </w:p>
    <w:p w:rsidR="005440A4" w:rsidRDefault="005440A4" w:rsidP="00332D95">
      <w:pPr>
        <w:pStyle w:val="BodyText"/>
        <w:spacing w:after="0"/>
        <w:rPr>
          <w:vanish/>
          <w:specVanish/>
        </w:rPr>
      </w:pPr>
      <w:r w:rsidRPr="004C3641">
        <w:br w:type="page"/>
        <w:t xml:space="preserve">Issue </w:t>
      </w:r>
      <w:fldSimple w:instr=" SEQ Issue \* MERGEFORMAT ">
        <w:r w:rsidR="00F6216A">
          <w:rPr>
            <w:noProof/>
          </w:rPr>
          <w:t>2</w:t>
        </w:r>
      </w:fldSimple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F6216A">
        <w:rPr>
          <w:noProof/>
        </w:rPr>
        <w:instrText>2</w:instrText>
      </w:r>
      <w:r>
        <w:fldChar w:fldCharType="end"/>
      </w:r>
      <w:r>
        <w:tab/>
        <w:instrText xml:space="preserve">" \l 1 </w:instrText>
      </w:r>
      <w:r>
        <w:fldChar w:fldCharType="end"/>
      </w:r>
      <w:r>
        <w:t> </w:t>
      </w:r>
    </w:p>
    <w:p w:rsidR="005440A4" w:rsidRDefault="005440A4">
      <w:pPr>
        <w:pStyle w:val="BodyText"/>
      </w:pPr>
      <w:r>
        <w:t> Should this docket be closed?</w:t>
      </w:r>
    </w:p>
    <w:p w:rsidR="005440A4" w:rsidRPr="004C3641" w:rsidRDefault="005440A4">
      <w:pPr>
        <w:pStyle w:val="IssueSubsectionHeading"/>
        <w:rPr>
          <w:vanish/>
          <w:specVanish/>
        </w:rPr>
      </w:pPr>
      <w:r w:rsidRPr="004C3641">
        <w:t>Recommendation: </w:t>
      </w:r>
    </w:p>
    <w:p w:rsidR="005440A4" w:rsidRDefault="005440A4">
      <w:pPr>
        <w:pStyle w:val="BodyText"/>
      </w:pPr>
      <w:r>
        <w:t> </w:t>
      </w:r>
      <w:r w:rsidR="00332D95">
        <w:t>Yes, if the Commission votes to either grant or deny the Petition for Declaratory Statement, the docket should be closed. (Harper)</w:t>
      </w:r>
      <w:r>
        <w:t xml:space="preserve"> </w:t>
      </w:r>
    </w:p>
    <w:p w:rsidR="005440A4" w:rsidRPr="004C3641" w:rsidRDefault="005440A4">
      <w:pPr>
        <w:pStyle w:val="IssueSubsectionHeading"/>
        <w:rPr>
          <w:vanish/>
          <w:specVanish/>
        </w:rPr>
      </w:pPr>
      <w:r w:rsidRPr="004C3641">
        <w:t>Staff Analysis: </w:t>
      </w:r>
    </w:p>
    <w:p w:rsidR="00332D95" w:rsidRDefault="005440A4" w:rsidP="00332D95">
      <w:pPr>
        <w:pStyle w:val="BodyText"/>
      </w:pPr>
      <w:r>
        <w:t> </w:t>
      </w:r>
      <w:r w:rsidR="00332D95">
        <w:t>Whether the Commission grants or denies IGS Solar’s Petition, a final order will be issued. Upon issuance of the final order, the docket should be closed.</w:t>
      </w:r>
    </w:p>
    <w:p w:rsidR="00E06484" w:rsidRDefault="00E06484" w:rsidP="00E275D8">
      <w:pPr>
        <w:pStyle w:val="BodyText"/>
      </w:pPr>
    </w:p>
    <w:sectPr w:rsidR="00E06484" w:rsidSect="0068481F">
      <w:headerReference w:type="default" r:id="rId12"/>
      <w:headerReference w:type="first" r:id="rId13"/>
      <w:footerReference w:type="first" r:id="rId14"/>
      <w:pgSz w:w="12240" w:h="15840" w:code="1"/>
      <w:pgMar w:top="1584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0A4" w:rsidRDefault="005440A4">
      <w:r>
        <w:separator/>
      </w:r>
    </w:p>
  </w:endnote>
  <w:endnote w:type="continuationSeparator" w:id="0">
    <w:p w:rsidR="005440A4" w:rsidRDefault="0054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>
    <w:pPr>
      <w:pStyle w:val="Footer"/>
      <w:tabs>
        <w:tab w:val="clear" w:pos="4320"/>
        <w:tab w:val="clear" w:pos="8640"/>
        <w:tab w:val="center" w:pos="4674"/>
        <w:tab w:val="right" w:pos="9360"/>
      </w:tabs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178D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0A4" w:rsidRDefault="005440A4">
      <w:r>
        <w:separator/>
      </w:r>
    </w:p>
  </w:footnote>
  <w:footnote w:type="continuationSeparator" w:id="0">
    <w:p w:rsidR="005440A4" w:rsidRDefault="005440A4">
      <w:r>
        <w:continuationSeparator/>
      </w:r>
    </w:p>
  </w:footnote>
  <w:footnote w:id="1">
    <w:p w:rsidR="00592C86" w:rsidRDefault="00592C86">
      <w:pPr>
        <w:pStyle w:val="FootnoteText"/>
      </w:pPr>
      <w:r>
        <w:rPr>
          <w:rStyle w:val="FootnoteReference"/>
        </w:rPr>
        <w:footnoteRef/>
      </w:r>
      <w:r w:rsidR="000451F3">
        <w:t>Throughout its Petition, IGS Solar phrases requested declarations</w:t>
      </w:r>
      <w:r w:rsidR="00C85035">
        <w:t xml:space="preserve"> </w:t>
      </w:r>
      <w:r>
        <w:t>different</w:t>
      </w:r>
      <w:r w:rsidR="000451F3">
        <w:t xml:space="preserve">ly and </w:t>
      </w:r>
      <w:r w:rsidR="005E7C99">
        <w:t>pages 6-7 of its Petition discuss</w:t>
      </w:r>
      <w:r w:rsidR="000451F3">
        <w:t xml:space="preserve"> a </w:t>
      </w:r>
      <w:r w:rsidR="005E7C99">
        <w:t>question</w:t>
      </w:r>
      <w:r w:rsidR="000451F3">
        <w:t xml:space="preserve"> that is not included in other parts of its Petition. S</w:t>
      </w:r>
      <w:r>
        <w:t>taff’s recommendation only address</w:t>
      </w:r>
      <w:r w:rsidR="000451F3">
        <w:t>es</w:t>
      </w:r>
      <w:r>
        <w:t xml:space="preserve"> IGS Solar’s questions (1)-(4) as set forth in </w:t>
      </w:r>
      <w:r w:rsidR="00C85035">
        <w:t xml:space="preserve">the Petition’s </w:t>
      </w:r>
      <w:r>
        <w:t>“</w:t>
      </w:r>
      <w:r w:rsidR="00C85035">
        <w:t>wherefore” paragraph on page</w:t>
      </w:r>
      <w:r w:rsidR="000451F3">
        <w:t>s</w:t>
      </w:r>
      <w:r w:rsidR="00C85035">
        <w:t xml:space="preserve"> 11</w:t>
      </w:r>
      <w:r w:rsidR="000451F3">
        <w:t xml:space="preserve">-12, </w:t>
      </w:r>
      <w:r w:rsidR="005E7C99">
        <w:t>where</w:t>
      </w:r>
      <w:r w:rsidR="000451F3">
        <w:t xml:space="preserve"> IGS Solar specifically states that the Commission make the “following affirmative declarations”</w:t>
      </w:r>
      <w:r w:rsidR="005E7C99">
        <w:t xml:space="preserve"> on questions (1)-(4).</w:t>
      </w:r>
    </w:p>
  </w:footnote>
  <w:footnote w:id="2">
    <w:p w:rsidR="00646499" w:rsidRDefault="00646499" w:rsidP="00646499">
      <w:pPr>
        <w:pStyle w:val="BodyText"/>
        <w:spacing w:after="0"/>
      </w:pPr>
      <w:r>
        <w:rPr>
          <w:rStyle w:val="FootnoteReference"/>
        </w:rPr>
        <w:footnoteRef/>
      </w:r>
      <w:r w:rsidRPr="000D494F">
        <w:rPr>
          <w:sz w:val="20"/>
          <w:szCs w:val="20"/>
        </w:rPr>
        <w:t xml:space="preserve">Staff’s analysis is limited solely to the jurisdiction question raised by the Petition, not the draft lease. Provisions in </w:t>
      </w:r>
      <w:r>
        <w:rPr>
          <w:sz w:val="20"/>
          <w:szCs w:val="20"/>
        </w:rPr>
        <w:t>IGS Solar</w:t>
      </w:r>
      <w:r w:rsidRPr="000D494F">
        <w:rPr>
          <w:sz w:val="20"/>
          <w:szCs w:val="20"/>
        </w:rPr>
        <w:t>’s draft lease that involve statutes and rules tha</w:t>
      </w:r>
      <w:r>
        <w:rPr>
          <w:sz w:val="20"/>
          <w:szCs w:val="20"/>
        </w:rPr>
        <w:t xml:space="preserve">t are outside our jurisdiction </w:t>
      </w:r>
      <w:r w:rsidRPr="000D494F">
        <w:rPr>
          <w:sz w:val="20"/>
          <w:szCs w:val="20"/>
        </w:rPr>
        <w:t xml:space="preserve">are not relevant and were not considered in staff’s analysis. </w:t>
      </w:r>
      <w:r w:rsidRPr="000D494F">
        <w:rPr>
          <w:i/>
          <w:sz w:val="20"/>
          <w:szCs w:val="20"/>
        </w:rPr>
        <w:t>See</w:t>
      </w:r>
      <w:r w:rsidRPr="000D494F">
        <w:rPr>
          <w:sz w:val="20"/>
          <w:szCs w:val="20"/>
        </w:rPr>
        <w:t xml:space="preserve"> </w:t>
      </w:r>
      <w:r w:rsidRPr="000D494F">
        <w:rPr>
          <w:i/>
          <w:color w:val="000000"/>
          <w:sz w:val="20"/>
          <w:szCs w:val="20"/>
        </w:rPr>
        <w:t>Deltona Corp. v. Mayo,</w:t>
      </w:r>
      <w:r w:rsidRPr="000D494F">
        <w:rPr>
          <w:color w:val="000000"/>
          <w:sz w:val="20"/>
          <w:szCs w:val="20"/>
        </w:rPr>
        <w:t xml:space="preserve"> 342 So. 2d 510 (Fla. 1977), </w:t>
      </w:r>
      <w:r>
        <w:rPr>
          <w:color w:val="000000"/>
          <w:sz w:val="20"/>
          <w:szCs w:val="20"/>
        </w:rPr>
        <w:t xml:space="preserve">wherein </w:t>
      </w:r>
      <w:r w:rsidRPr="000D494F">
        <w:rPr>
          <w:color w:val="000000"/>
          <w:sz w:val="20"/>
          <w:szCs w:val="20"/>
        </w:rPr>
        <w:t xml:space="preserve">the Florida Supreme Court held that consumer protection was outside the bounds of </w:t>
      </w:r>
      <w:r>
        <w:rPr>
          <w:color w:val="000000"/>
          <w:sz w:val="20"/>
          <w:szCs w:val="20"/>
        </w:rPr>
        <w:t>the Commission’s</w:t>
      </w:r>
      <w:r w:rsidRPr="000D494F">
        <w:rPr>
          <w:color w:val="000000"/>
          <w:sz w:val="20"/>
          <w:szCs w:val="20"/>
        </w:rPr>
        <w:t xml:space="preserve"> jurisdiction: “If Deltona engaged in an unfair business practice or committed fraud, however, it may be a concern of other state agencies or the basis for private law suits (on which we express no opinion), but it is not a matter of statutory concern to the Public Service Commission.”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5440A4" w:rsidP="00220732">
    <w:pPr>
      <w:pStyle w:val="Header"/>
      <w:tabs>
        <w:tab w:val="clear" w:pos="4320"/>
        <w:tab w:val="clear" w:pos="8640"/>
        <w:tab w:val="right" w:pos="9360"/>
      </w:tabs>
    </w:pPr>
    <w:bookmarkStart w:id="13" w:name="DocketLabel"/>
    <w:r>
      <w:t>Docket No.</w:t>
    </w:r>
    <w:bookmarkEnd w:id="13"/>
    <w:r w:rsidR="00BC402E">
      <w:t xml:space="preserve"> </w:t>
    </w:r>
    <w:bookmarkStart w:id="14" w:name="DocketList"/>
    <w:r>
      <w:t>20190040-EQ</w:t>
    </w:r>
    <w:bookmarkEnd w:id="14"/>
  </w:p>
  <w:p w:rsidR="00BC402E" w:rsidRDefault="00BC402E">
    <w:pPr>
      <w:pStyle w:val="Header"/>
    </w:pPr>
    <w:r>
      <w:t xml:space="preserve">Date: </w:t>
    </w:r>
    <w:fldSimple w:instr=" REF FilingDate ">
      <w:r w:rsidR="00F6216A">
        <w:t>March 21, 2019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F6216A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F6216A">
      <w:t>20190040-EQ</w:t>
    </w:r>
    <w:r>
      <w:fldChar w:fldCharType="end"/>
    </w:r>
    <w:r>
      <w:tab/>
      <w:t xml:space="preserve">Issue </w:t>
    </w:r>
    <w:fldSimple w:instr=" Seq Issue \c \* Arabic ">
      <w:r w:rsidR="008178DB">
        <w:rPr>
          <w:noProof/>
        </w:rPr>
        <w:t>2</w:t>
      </w:r>
    </w:fldSimple>
  </w:p>
  <w:p w:rsidR="00BC402E" w:rsidRDefault="00BC402E">
    <w:pPr>
      <w:pStyle w:val="Header"/>
    </w:pPr>
    <w:r>
      <w:t xml:space="preserve">Date: </w:t>
    </w:r>
    <w:fldSimple w:instr=" REF FilingDate ">
      <w:r w:rsidR="00F6216A">
        <w:t>March 21, 2019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93E9D"/>
    <w:multiLevelType w:val="hybridMultilevel"/>
    <w:tmpl w:val="779C0152"/>
    <w:lvl w:ilvl="0" w:tplc="EF0ADBBC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DF5E76"/>
    <w:multiLevelType w:val="hybridMultilevel"/>
    <w:tmpl w:val="779C0152"/>
    <w:lvl w:ilvl="0" w:tplc="EF0ADBBC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es-MX" w:vendorID="64" w:dllVersion="131078" w:nlCheck="1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2DC39D9-B7F2-4F33-8079-DE13EA01171C}"/>
    <w:docVar w:name="dgnword-eventsink" w:val="337566896"/>
    <w:docVar w:name="NumberOfIssues" w:val="0"/>
    <w:docVar w:name="StaffInToC" w:val="True"/>
  </w:docVars>
  <w:rsids>
    <w:rsidRoot w:val="005440A4"/>
    <w:rsid w:val="000043D5"/>
    <w:rsid w:val="00006170"/>
    <w:rsid w:val="00010E37"/>
    <w:rsid w:val="000172DA"/>
    <w:rsid w:val="000247C5"/>
    <w:rsid w:val="000277C2"/>
    <w:rsid w:val="00035B48"/>
    <w:rsid w:val="00036CE2"/>
    <w:rsid w:val="000437FE"/>
    <w:rsid w:val="000451F3"/>
    <w:rsid w:val="0004665E"/>
    <w:rsid w:val="000513BE"/>
    <w:rsid w:val="00065A06"/>
    <w:rsid w:val="000666F3"/>
    <w:rsid w:val="00070DCB"/>
    <w:rsid w:val="00072CCA"/>
    <w:rsid w:val="00073120"/>
    <w:rsid w:val="000764D0"/>
    <w:rsid w:val="000828D3"/>
    <w:rsid w:val="00083BAF"/>
    <w:rsid w:val="000A2B57"/>
    <w:rsid w:val="000A418B"/>
    <w:rsid w:val="000C4431"/>
    <w:rsid w:val="000D1C06"/>
    <w:rsid w:val="000D4319"/>
    <w:rsid w:val="000D62FE"/>
    <w:rsid w:val="000F374A"/>
    <w:rsid w:val="00101FFD"/>
    <w:rsid w:val="001076AF"/>
    <w:rsid w:val="00117C8C"/>
    <w:rsid w:val="00124E2E"/>
    <w:rsid w:val="00125ED4"/>
    <w:rsid w:val="001305E9"/>
    <w:rsid w:val="001307AF"/>
    <w:rsid w:val="00135687"/>
    <w:rsid w:val="0015506E"/>
    <w:rsid w:val="00163031"/>
    <w:rsid w:val="00171A90"/>
    <w:rsid w:val="00180254"/>
    <w:rsid w:val="00191E1F"/>
    <w:rsid w:val="00192943"/>
    <w:rsid w:val="00196382"/>
    <w:rsid w:val="001A7406"/>
    <w:rsid w:val="001B4FEE"/>
    <w:rsid w:val="001B51C5"/>
    <w:rsid w:val="001B6F3F"/>
    <w:rsid w:val="001C52B5"/>
    <w:rsid w:val="001D0D3E"/>
    <w:rsid w:val="001F2245"/>
    <w:rsid w:val="001F2C63"/>
    <w:rsid w:val="001F48C7"/>
    <w:rsid w:val="001F6DA1"/>
    <w:rsid w:val="002044E6"/>
    <w:rsid w:val="00205C82"/>
    <w:rsid w:val="00205DC2"/>
    <w:rsid w:val="00212B17"/>
    <w:rsid w:val="002163B6"/>
    <w:rsid w:val="00220732"/>
    <w:rsid w:val="00221D32"/>
    <w:rsid w:val="00225C3F"/>
    <w:rsid w:val="00263D44"/>
    <w:rsid w:val="002702AD"/>
    <w:rsid w:val="00277239"/>
    <w:rsid w:val="00283F61"/>
    <w:rsid w:val="00292D82"/>
    <w:rsid w:val="002963CB"/>
    <w:rsid w:val="002D226D"/>
    <w:rsid w:val="002F6030"/>
    <w:rsid w:val="003037E1"/>
    <w:rsid w:val="00307E51"/>
    <w:rsid w:val="003103EC"/>
    <w:rsid w:val="003144EF"/>
    <w:rsid w:val="00322F74"/>
    <w:rsid w:val="00332D95"/>
    <w:rsid w:val="00340073"/>
    <w:rsid w:val="0034604D"/>
    <w:rsid w:val="003632FD"/>
    <w:rsid w:val="00372805"/>
    <w:rsid w:val="00373180"/>
    <w:rsid w:val="00375AB9"/>
    <w:rsid w:val="003821A0"/>
    <w:rsid w:val="00385B04"/>
    <w:rsid w:val="003864CF"/>
    <w:rsid w:val="003A22A6"/>
    <w:rsid w:val="003A5494"/>
    <w:rsid w:val="003B2510"/>
    <w:rsid w:val="003C2CC4"/>
    <w:rsid w:val="003C3710"/>
    <w:rsid w:val="003E0EFC"/>
    <w:rsid w:val="003E4A2B"/>
    <w:rsid w:val="003E76C2"/>
    <w:rsid w:val="003F1679"/>
    <w:rsid w:val="003F21EB"/>
    <w:rsid w:val="003F4A35"/>
    <w:rsid w:val="003F7FDD"/>
    <w:rsid w:val="00402481"/>
    <w:rsid w:val="00402B0C"/>
    <w:rsid w:val="004042B4"/>
    <w:rsid w:val="00410DC4"/>
    <w:rsid w:val="00412DAE"/>
    <w:rsid w:val="004242E6"/>
    <w:rsid w:val="00427547"/>
    <w:rsid w:val="00431598"/>
    <w:rsid w:val="004319AD"/>
    <w:rsid w:val="004426B8"/>
    <w:rsid w:val="00444432"/>
    <w:rsid w:val="00471860"/>
    <w:rsid w:val="00477026"/>
    <w:rsid w:val="004A744D"/>
    <w:rsid w:val="004B60BD"/>
    <w:rsid w:val="004C3150"/>
    <w:rsid w:val="004C3641"/>
    <w:rsid w:val="004C4390"/>
    <w:rsid w:val="004C4AF7"/>
    <w:rsid w:val="004C7DA0"/>
    <w:rsid w:val="004D2881"/>
    <w:rsid w:val="004D385F"/>
    <w:rsid w:val="004D5B39"/>
    <w:rsid w:val="004E330D"/>
    <w:rsid w:val="004E5147"/>
    <w:rsid w:val="004E69B5"/>
    <w:rsid w:val="004F5C43"/>
    <w:rsid w:val="0050652D"/>
    <w:rsid w:val="00506C03"/>
    <w:rsid w:val="00511A11"/>
    <w:rsid w:val="00516496"/>
    <w:rsid w:val="00523B11"/>
    <w:rsid w:val="0052572A"/>
    <w:rsid w:val="00535E15"/>
    <w:rsid w:val="00543CB3"/>
    <w:rsid w:val="005440A4"/>
    <w:rsid w:val="005442E4"/>
    <w:rsid w:val="0055529B"/>
    <w:rsid w:val="00560FF0"/>
    <w:rsid w:val="005614BD"/>
    <w:rsid w:val="0057154F"/>
    <w:rsid w:val="00580F69"/>
    <w:rsid w:val="00581CA3"/>
    <w:rsid w:val="00587A44"/>
    <w:rsid w:val="00592C86"/>
    <w:rsid w:val="00597730"/>
    <w:rsid w:val="005977EC"/>
    <w:rsid w:val="00597DE7"/>
    <w:rsid w:val="005A4AA2"/>
    <w:rsid w:val="005B34B6"/>
    <w:rsid w:val="005B6C8F"/>
    <w:rsid w:val="005B6EC3"/>
    <w:rsid w:val="005D0F74"/>
    <w:rsid w:val="005D2E7D"/>
    <w:rsid w:val="005D4A8F"/>
    <w:rsid w:val="005D561B"/>
    <w:rsid w:val="005D5ECF"/>
    <w:rsid w:val="005E7C99"/>
    <w:rsid w:val="005F468D"/>
    <w:rsid w:val="005F69A3"/>
    <w:rsid w:val="00604CC7"/>
    <w:rsid w:val="00610212"/>
    <w:rsid w:val="00615423"/>
    <w:rsid w:val="006165B2"/>
    <w:rsid w:val="00617276"/>
    <w:rsid w:val="0062527B"/>
    <w:rsid w:val="00625D97"/>
    <w:rsid w:val="00625F1C"/>
    <w:rsid w:val="006279E1"/>
    <w:rsid w:val="00630CEB"/>
    <w:rsid w:val="00632264"/>
    <w:rsid w:val="00646499"/>
    <w:rsid w:val="006470BC"/>
    <w:rsid w:val="006554D3"/>
    <w:rsid w:val="00667036"/>
    <w:rsid w:val="00673BDB"/>
    <w:rsid w:val="00674341"/>
    <w:rsid w:val="006771B8"/>
    <w:rsid w:val="006843B6"/>
    <w:rsid w:val="0068481F"/>
    <w:rsid w:val="00696F5D"/>
    <w:rsid w:val="00697249"/>
    <w:rsid w:val="006B3947"/>
    <w:rsid w:val="006B4293"/>
    <w:rsid w:val="006B624F"/>
    <w:rsid w:val="006C0C95"/>
    <w:rsid w:val="006C31E3"/>
    <w:rsid w:val="006D18D3"/>
    <w:rsid w:val="006E08CB"/>
    <w:rsid w:val="006E524B"/>
    <w:rsid w:val="006E598D"/>
    <w:rsid w:val="0070437D"/>
    <w:rsid w:val="00704CF1"/>
    <w:rsid w:val="00705B04"/>
    <w:rsid w:val="00724992"/>
    <w:rsid w:val="00734820"/>
    <w:rsid w:val="007349DC"/>
    <w:rsid w:val="0074365E"/>
    <w:rsid w:val="00744B55"/>
    <w:rsid w:val="007515FD"/>
    <w:rsid w:val="00760D80"/>
    <w:rsid w:val="00766766"/>
    <w:rsid w:val="00780C09"/>
    <w:rsid w:val="00780DDF"/>
    <w:rsid w:val="007834E9"/>
    <w:rsid w:val="00787DBC"/>
    <w:rsid w:val="0079019A"/>
    <w:rsid w:val="00792935"/>
    <w:rsid w:val="007A04A1"/>
    <w:rsid w:val="007A1840"/>
    <w:rsid w:val="007C0528"/>
    <w:rsid w:val="007C3D38"/>
    <w:rsid w:val="007D0F35"/>
    <w:rsid w:val="007D4FEB"/>
    <w:rsid w:val="007D6146"/>
    <w:rsid w:val="007D7B3C"/>
    <w:rsid w:val="007E0CE7"/>
    <w:rsid w:val="007F1193"/>
    <w:rsid w:val="007F417F"/>
    <w:rsid w:val="007F7644"/>
    <w:rsid w:val="008042BD"/>
    <w:rsid w:val="00816624"/>
    <w:rsid w:val="008178DB"/>
    <w:rsid w:val="00822427"/>
    <w:rsid w:val="00822562"/>
    <w:rsid w:val="00823663"/>
    <w:rsid w:val="00832DDC"/>
    <w:rsid w:val="00850BAC"/>
    <w:rsid w:val="00854A3E"/>
    <w:rsid w:val="00855D08"/>
    <w:rsid w:val="00874344"/>
    <w:rsid w:val="00882155"/>
    <w:rsid w:val="0088233B"/>
    <w:rsid w:val="0088599E"/>
    <w:rsid w:val="00886C37"/>
    <w:rsid w:val="00892D99"/>
    <w:rsid w:val="00893315"/>
    <w:rsid w:val="008B62AE"/>
    <w:rsid w:val="008C04B5"/>
    <w:rsid w:val="008C14FA"/>
    <w:rsid w:val="008C7B0B"/>
    <w:rsid w:val="008D4057"/>
    <w:rsid w:val="008E1F19"/>
    <w:rsid w:val="008E64F3"/>
    <w:rsid w:val="008F2262"/>
    <w:rsid w:val="008F4D2B"/>
    <w:rsid w:val="008F7736"/>
    <w:rsid w:val="0090019E"/>
    <w:rsid w:val="00901086"/>
    <w:rsid w:val="00901C8A"/>
    <w:rsid w:val="00905886"/>
    <w:rsid w:val="009070D6"/>
    <w:rsid w:val="009076C6"/>
    <w:rsid w:val="0091019E"/>
    <w:rsid w:val="009106F1"/>
    <w:rsid w:val="00912404"/>
    <w:rsid w:val="009145D6"/>
    <w:rsid w:val="00920E64"/>
    <w:rsid w:val="00922002"/>
    <w:rsid w:val="00924020"/>
    <w:rsid w:val="009271A7"/>
    <w:rsid w:val="0093658B"/>
    <w:rsid w:val="009429FF"/>
    <w:rsid w:val="00945BD6"/>
    <w:rsid w:val="009479FB"/>
    <w:rsid w:val="00951C45"/>
    <w:rsid w:val="009656F2"/>
    <w:rsid w:val="00966A08"/>
    <w:rsid w:val="00971207"/>
    <w:rsid w:val="00975CB4"/>
    <w:rsid w:val="009863B0"/>
    <w:rsid w:val="00987DE1"/>
    <w:rsid w:val="00990571"/>
    <w:rsid w:val="0099673A"/>
    <w:rsid w:val="009A3330"/>
    <w:rsid w:val="009A7C96"/>
    <w:rsid w:val="009C3DB9"/>
    <w:rsid w:val="009D46E5"/>
    <w:rsid w:val="009D568A"/>
    <w:rsid w:val="009F04EC"/>
    <w:rsid w:val="009F2A7C"/>
    <w:rsid w:val="009F3B36"/>
    <w:rsid w:val="00A019B9"/>
    <w:rsid w:val="00A12508"/>
    <w:rsid w:val="00A1282B"/>
    <w:rsid w:val="00A13A27"/>
    <w:rsid w:val="00A175B6"/>
    <w:rsid w:val="00A21835"/>
    <w:rsid w:val="00A2374B"/>
    <w:rsid w:val="00A27D6E"/>
    <w:rsid w:val="00A328EC"/>
    <w:rsid w:val="00A33A51"/>
    <w:rsid w:val="00A41CA6"/>
    <w:rsid w:val="00A47927"/>
    <w:rsid w:val="00A47FFC"/>
    <w:rsid w:val="00A5442F"/>
    <w:rsid w:val="00A54FF9"/>
    <w:rsid w:val="00A56765"/>
    <w:rsid w:val="00A675AC"/>
    <w:rsid w:val="00A7581F"/>
    <w:rsid w:val="00A92FB1"/>
    <w:rsid w:val="00A956BB"/>
    <w:rsid w:val="00A95A0C"/>
    <w:rsid w:val="00AA2765"/>
    <w:rsid w:val="00AA77B5"/>
    <w:rsid w:val="00AB6C5D"/>
    <w:rsid w:val="00AC3401"/>
    <w:rsid w:val="00AC51A7"/>
    <w:rsid w:val="00AD444B"/>
    <w:rsid w:val="00AD5614"/>
    <w:rsid w:val="00AD6C78"/>
    <w:rsid w:val="00AE2EAB"/>
    <w:rsid w:val="00AF41A4"/>
    <w:rsid w:val="00AF5F89"/>
    <w:rsid w:val="00AF73CB"/>
    <w:rsid w:val="00B002D6"/>
    <w:rsid w:val="00B03379"/>
    <w:rsid w:val="00B05B51"/>
    <w:rsid w:val="00B14E5A"/>
    <w:rsid w:val="00B150B4"/>
    <w:rsid w:val="00B15370"/>
    <w:rsid w:val="00B16DA4"/>
    <w:rsid w:val="00B17BEB"/>
    <w:rsid w:val="00B21A3C"/>
    <w:rsid w:val="00B223C0"/>
    <w:rsid w:val="00B234ED"/>
    <w:rsid w:val="00B249B2"/>
    <w:rsid w:val="00B25CA3"/>
    <w:rsid w:val="00B26FA9"/>
    <w:rsid w:val="00B2765A"/>
    <w:rsid w:val="00B3109A"/>
    <w:rsid w:val="00B472B7"/>
    <w:rsid w:val="00B516ED"/>
    <w:rsid w:val="00B57A6A"/>
    <w:rsid w:val="00B760F1"/>
    <w:rsid w:val="00B7669E"/>
    <w:rsid w:val="00B77DA1"/>
    <w:rsid w:val="00B822A0"/>
    <w:rsid w:val="00B83E88"/>
    <w:rsid w:val="00B858AE"/>
    <w:rsid w:val="00B85964"/>
    <w:rsid w:val="00B96250"/>
    <w:rsid w:val="00BA0D55"/>
    <w:rsid w:val="00BA37B3"/>
    <w:rsid w:val="00BA4CC6"/>
    <w:rsid w:val="00BB3493"/>
    <w:rsid w:val="00BB7468"/>
    <w:rsid w:val="00BC188A"/>
    <w:rsid w:val="00BC402E"/>
    <w:rsid w:val="00BD0F48"/>
    <w:rsid w:val="00BD6712"/>
    <w:rsid w:val="00BE6DDB"/>
    <w:rsid w:val="00BF5010"/>
    <w:rsid w:val="00C03D5F"/>
    <w:rsid w:val="00C13791"/>
    <w:rsid w:val="00C31BB3"/>
    <w:rsid w:val="00C36977"/>
    <w:rsid w:val="00C400D2"/>
    <w:rsid w:val="00C467DA"/>
    <w:rsid w:val="00C477D9"/>
    <w:rsid w:val="00C60BA3"/>
    <w:rsid w:val="00C623F7"/>
    <w:rsid w:val="00C75BC5"/>
    <w:rsid w:val="00C81670"/>
    <w:rsid w:val="00C81773"/>
    <w:rsid w:val="00C82861"/>
    <w:rsid w:val="00C85035"/>
    <w:rsid w:val="00C86896"/>
    <w:rsid w:val="00C907A8"/>
    <w:rsid w:val="00C93211"/>
    <w:rsid w:val="00C942EC"/>
    <w:rsid w:val="00C96047"/>
    <w:rsid w:val="00C979D0"/>
    <w:rsid w:val="00CA0818"/>
    <w:rsid w:val="00CA15C8"/>
    <w:rsid w:val="00CA2C8F"/>
    <w:rsid w:val="00CA30DA"/>
    <w:rsid w:val="00CA3A24"/>
    <w:rsid w:val="00CB1777"/>
    <w:rsid w:val="00CB33E9"/>
    <w:rsid w:val="00CC10A9"/>
    <w:rsid w:val="00CE2BF8"/>
    <w:rsid w:val="00CE484E"/>
    <w:rsid w:val="00CE656F"/>
    <w:rsid w:val="00CF0DA8"/>
    <w:rsid w:val="00CF2E25"/>
    <w:rsid w:val="00CF4453"/>
    <w:rsid w:val="00CF5D94"/>
    <w:rsid w:val="00CF7E0F"/>
    <w:rsid w:val="00D034D7"/>
    <w:rsid w:val="00D04BE4"/>
    <w:rsid w:val="00D06FC7"/>
    <w:rsid w:val="00D12565"/>
    <w:rsid w:val="00D14127"/>
    <w:rsid w:val="00D21E7A"/>
    <w:rsid w:val="00D60B16"/>
    <w:rsid w:val="00D60F02"/>
    <w:rsid w:val="00D66E49"/>
    <w:rsid w:val="00D70D71"/>
    <w:rsid w:val="00D72F74"/>
    <w:rsid w:val="00D81563"/>
    <w:rsid w:val="00D85907"/>
    <w:rsid w:val="00D9073E"/>
    <w:rsid w:val="00D9221D"/>
    <w:rsid w:val="00D958DF"/>
    <w:rsid w:val="00D96DA1"/>
    <w:rsid w:val="00DA51E7"/>
    <w:rsid w:val="00DB0260"/>
    <w:rsid w:val="00DB1C78"/>
    <w:rsid w:val="00DB7D96"/>
    <w:rsid w:val="00DC23FE"/>
    <w:rsid w:val="00DC59E6"/>
    <w:rsid w:val="00DD150B"/>
    <w:rsid w:val="00DD5025"/>
    <w:rsid w:val="00DF1510"/>
    <w:rsid w:val="00E02F1F"/>
    <w:rsid w:val="00E06484"/>
    <w:rsid w:val="00E20A7D"/>
    <w:rsid w:val="00E275D8"/>
    <w:rsid w:val="00E30F6A"/>
    <w:rsid w:val="00E3117C"/>
    <w:rsid w:val="00E375CA"/>
    <w:rsid w:val="00E567E8"/>
    <w:rsid w:val="00E64679"/>
    <w:rsid w:val="00E65EBC"/>
    <w:rsid w:val="00E677FE"/>
    <w:rsid w:val="00E73432"/>
    <w:rsid w:val="00E77B0C"/>
    <w:rsid w:val="00E77FB8"/>
    <w:rsid w:val="00E838B0"/>
    <w:rsid w:val="00E86A7C"/>
    <w:rsid w:val="00E878E1"/>
    <w:rsid w:val="00E87F2C"/>
    <w:rsid w:val="00E95278"/>
    <w:rsid w:val="00EA2273"/>
    <w:rsid w:val="00EA7C3C"/>
    <w:rsid w:val="00EB2DB3"/>
    <w:rsid w:val="00EC3FBB"/>
    <w:rsid w:val="00EC6B7A"/>
    <w:rsid w:val="00ED3A87"/>
    <w:rsid w:val="00ED5B67"/>
    <w:rsid w:val="00EF264C"/>
    <w:rsid w:val="00EF3FEE"/>
    <w:rsid w:val="00F031A4"/>
    <w:rsid w:val="00F04B59"/>
    <w:rsid w:val="00F11741"/>
    <w:rsid w:val="00F12B1C"/>
    <w:rsid w:val="00F13CF8"/>
    <w:rsid w:val="00F15855"/>
    <w:rsid w:val="00F227DC"/>
    <w:rsid w:val="00F32978"/>
    <w:rsid w:val="00F37288"/>
    <w:rsid w:val="00F45CB2"/>
    <w:rsid w:val="00F51097"/>
    <w:rsid w:val="00F544C0"/>
    <w:rsid w:val="00F55332"/>
    <w:rsid w:val="00F6216A"/>
    <w:rsid w:val="00F6504A"/>
    <w:rsid w:val="00F65519"/>
    <w:rsid w:val="00F713C0"/>
    <w:rsid w:val="00F75DDC"/>
    <w:rsid w:val="00F7792F"/>
    <w:rsid w:val="00F842AA"/>
    <w:rsid w:val="00F8476F"/>
    <w:rsid w:val="00F853E1"/>
    <w:rsid w:val="00F85604"/>
    <w:rsid w:val="00F85C71"/>
    <w:rsid w:val="00F94B7A"/>
    <w:rsid w:val="00FA17AC"/>
    <w:rsid w:val="00FA32DE"/>
    <w:rsid w:val="00FA3382"/>
    <w:rsid w:val="00FA59CD"/>
    <w:rsid w:val="00FB1740"/>
    <w:rsid w:val="00FC5469"/>
    <w:rsid w:val="00FC6D7D"/>
    <w:rsid w:val="00FD16B0"/>
    <w:rsid w:val="00FD4FED"/>
    <w:rsid w:val="00FE0577"/>
    <w:rsid w:val="00FE59EC"/>
    <w:rsid w:val="00FE5B67"/>
    <w:rsid w:val="00FE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FootnoteReference">
    <w:name w:val="footnote reference"/>
    <w:rsid w:val="00332D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FootnoteReference">
    <w:name w:val="footnote reference"/>
    <w:rsid w:val="00332D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Regular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96FDF-DE55-4703-9153-F91CE0726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(Regular).dotm</Template>
  <TotalTime>0</TotalTime>
  <Pages>5</Pages>
  <Words>1157</Words>
  <Characters>6836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Florida Public Service Commission</Company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Julie Phillips</dc:creator>
  <cp:lastModifiedBy>Carolyn Craig</cp:lastModifiedBy>
  <cp:revision>2</cp:revision>
  <cp:lastPrinted>2019-03-18T14:10:00Z</cp:lastPrinted>
  <dcterms:created xsi:type="dcterms:W3CDTF">2019-03-21T14:17:00Z</dcterms:created>
  <dcterms:modified xsi:type="dcterms:W3CDTF">2019-03-21T14:17:00Z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20190040-EQ</vt:lpwstr>
  </property>
  <property fmtid="{D5CDD505-2E9C-101B-9397-08002B2CF9AE}" pid="3" name="MasterDocument">
    <vt:bool>false</vt:bool>
  </property>
</Properties>
</file>