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072CC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674FBF">
            <w:pPr>
              <w:pStyle w:val="MemoHeading"/>
            </w:pPr>
            <w:bookmarkStart w:id="1" w:name="FilingDate"/>
            <w:r>
              <w:t>March 21, 2019</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4E69B5">
              <w:t>Teitzman</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7C0528" w:rsidRDefault="00674FBF" w:rsidP="00710B60">
            <w:pPr>
              <w:pStyle w:val="MemoHeading"/>
            </w:pPr>
            <w:bookmarkStart w:id="2" w:name="From"/>
            <w:r>
              <w:t>Office of the General Counsel (</w:t>
            </w:r>
            <w:r w:rsidR="00710B60">
              <w:t>Harper</w:t>
            </w:r>
            <w:bookmarkEnd w:id="2"/>
            <w:r w:rsidR="00710B60">
              <w:t>)</w:t>
            </w:r>
          </w:p>
          <w:p w:rsidR="00710B60" w:rsidRPr="00710B60" w:rsidRDefault="00710B60" w:rsidP="00710B60">
            <w:r>
              <w:t>Division of Engineering (Moses)</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674FBF">
            <w:pPr>
              <w:pStyle w:val="MemoHeadingRe"/>
            </w:pPr>
            <w:bookmarkStart w:id="3" w:name="Re"/>
            <w:r>
              <w:t>Docket No. 20190047-GU – Proposed amendment of Rule 25-12.005, F.A.C., Codes and Standards Adopted.</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674FBF">
            <w:pPr>
              <w:pStyle w:val="MemoHeading"/>
            </w:pPr>
            <w:bookmarkStart w:id="4" w:name="AgendaDate"/>
            <w:r>
              <w:t>04/02/19</w:t>
            </w:r>
            <w:bookmarkEnd w:id="4"/>
            <w:r w:rsidR="007C0528">
              <w:t xml:space="preserve"> – </w:t>
            </w:r>
            <w:bookmarkStart w:id="5" w:name="PermittedStatus"/>
            <w:r>
              <w:t>Regular Agenda – 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674FBF">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674FBF">
            <w:pPr>
              <w:pStyle w:val="MemoHeading"/>
            </w:pPr>
            <w:bookmarkStart w:id="7" w:name="PrehearingOfficer"/>
            <w:r>
              <w:t>Brown</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674FBF" w:rsidP="00506C03">
            <w:pPr>
              <w:pStyle w:val="MemoHeadingLabel"/>
            </w:pPr>
            <w:bookmarkStart w:id="8" w:name="CriticalDatesLabel"/>
            <w:r>
              <w:t>RULE STATUS:</w:t>
            </w:r>
            <w:bookmarkEnd w:id="8"/>
          </w:p>
        </w:tc>
        <w:tc>
          <w:tcPr>
            <w:tcW w:w="5785" w:type="dxa"/>
            <w:tcBorders>
              <w:top w:val="nil"/>
              <w:left w:val="nil"/>
              <w:bottom w:val="nil"/>
              <w:right w:val="nil"/>
            </w:tcBorders>
            <w:shd w:val="clear" w:color="auto" w:fill="auto"/>
          </w:tcPr>
          <w:p w:rsidR="007C0528" w:rsidRDefault="00710B60">
            <w:pPr>
              <w:pStyle w:val="MemoHeading"/>
            </w:pPr>
            <w:bookmarkStart w:id="9" w:name="CriticalDates"/>
            <w:bookmarkEnd w:id="9"/>
            <w:r>
              <w:t>Proposal May Be Deferred</w:t>
            </w:r>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674FBF">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840E8C" w:rsidRDefault="006D09EE" w:rsidP="00924B69">
      <w:pPr>
        <w:jc w:val="both"/>
      </w:pPr>
      <w:r>
        <w:t xml:space="preserve">On October 17, 2018, a Notice of Development of Rulemaking was published in the Florida Administrative Weekly for </w:t>
      </w:r>
      <w:r w:rsidR="00250B06">
        <w:t xml:space="preserve">Rule 25-12.005, </w:t>
      </w:r>
      <w:r w:rsidR="003F396A">
        <w:t xml:space="preserve">Florida </w:t>
      </w:r>
      <w:r>
        <w:t>Administrative Code (F.A.C.). Rule 25-12.005, F.A.C.,</w:t>
      </w:r>
      <w:r w:rsidR="00250B06">
        <w:t xml:space="preserve"> implements the </w:t>
      </w:r>
      <w:r w:rsidR="008A6BD0">
        <w:t>m</w:t>
      </w:r>
      <w:r w:rsidR="00250B06">
        <w:t xml:space="preserve">inimum </w:t>
      </w:r>
      <w:r w:rsidR="009D619A">
        <w:t>federal</w:t>
      </w:r>
      <w:r w:rsidR="008A6BD0">
        <w:t xml:space="preserve"> s</w:t>
      </w:r>
      <w:r w:rsidR="00250B06">
        <w:t xml:space="preserve">afety </w:t>
      </w:r>
      <w:r w:rsidR="008A6BD0">
        <w:t>s</w:t>
      </w:r>
      <w:r w:rsidR="00250B06">
        <w:t xml:space="preserve">tandards and reporting requirements for pipeline facilities and transportation of </w:t>
      </w:r>
      <w:r w:rsidR="00D92306">
        <w:t xml:space="preserve">natural </w:t>
      </w:r>
      <w:r w:rsidR="00250B06">
        <w:t xml:space="preserve">gas as prescribed by </w:t>
      </w:r>
      <w:r w:rsidR="00D87B78">
        <w:t xml:space="preserve">the </w:t>
      </w:r>
      <w:r w:rsidR="00250B06">
        <w:t>P</w:t>
      </w:r>
      <w:r w:rsidR="00250B06" w:rsidRPr="00AE3E83">
        <w:rPr>
          <w:rStyle w:val="Emphasis"/>
          <w:i w:val="0"/>
        </w:rPr>
        <w:t xml:space="preserve">ipeline and Hazardous Materials Safety Administration </w:t>
      </w:r>
      <w:r w:rsidR="00250B06">
        <w:rPr>
          <w:rStyle w:val="Emphasis"/>
          <w:i w:val="0"/>
        </w:rPr>
        <w:t>(PHMSA)</w:t>
      </w:r>
      <w:r w:rsidR="00D87B78">
        <w:rPr>
          <w:rStyle w:val="Emphasis"/>
          <w:i w:val="0"/>
        </w:rPr>
        <w:t xml:space="preserve"> regulations</w:t>
      </w:r>
      <w:r w:rsidR="00850D7C">
        <w:rPr>
          <w:rStyle w:val="Emphasis"/>
          <w:i w:val="0"/>
        </w:rPr>
        <w:t>. The federal regulations</w:t>
      </w:r>
      <w:r w:rsidR="00D87B78">
        <w:rPr>
          <w:rStyle w:val="Emphasis"/>
          <w:i w:val="0"/>
        </w:rPr>
        <w:t xml:space="preserve"> are</w:t>
      </w:r>
      <w:r w:rsidR="00250B06">
        <w:rPr>
          <w:rStyle w:val="Emphasis"/>
          <w:i w:val="0"/>
        </w:rPr>
        <w:t xml:space="preserve"> found in</w:t>
      </w:r>
      <w:r w:rsidR="00250B06">
        <w:t xml:space="preserve"> </w:t>
      </w:r>
      <w:r w:rsidR="00250B06">
        <w:rPr>
          <w:rStyle w:val="Emphasis"/>
          <w:i w:val="0"/>
        </w:rPr>
        <w:t xml:space="preserve">49 </w:t>
      </w:r>
      <w:r w:rsidR="00644A00">
        <w:t>Code of Federal Regulations (</w:t>
      </w:r>
      <w:r w:rsidR="00644A00">
        <w:rPr>
          <w:rStyle w:val="Emphasis"/>
          <w:i w:val="0"/>
        </w:rPr>
        <w:t xml:space="preserve">C.F.R.) </w:t>
      </w:r>
      <w:r w:rsidR="00250B06">
        <w:rPr>
          <w:rStyle w:val="Emphasis"/>
          <w:i w:val="0"/>
        </w:rPr>
        <w:t xml:space="preserve">Parts 191, 192, </w:t>
      </w:r>
      <w:r w:rsidR="00250B06" w:rsidRPr="00AE3E83">
        <w:rPr>
          <w:rStyle w:val="Emphasis"/>
          <w:i w:val="0"/>
        </w:rPr>
        <w:t>and 199</w:t>
      </w:r>
      <w:r w:rsidR="00250B06">
        <w:rPr>
          <w:rStyle w:val="Emphasis"/>
          <w:i w:val="0"/>
        </w:rPr>
        <w:t xml:space="preserve">. </w:t>
      </w:r>
      <w:r w:rsidR="00710B60">
        <w:t>The purpose of the rule amendment is to incorporate by reference</w:t>
      </w:r>
      <w:r w:rsidR="008C2935">
        <w:t xml:space="preserve"> into the rule</w:t>
      </w:r>
      <w:r w:rsidR="00710B60">
        <w:t xml:space="preserve"> the </w:t>
      </w:r>
      <w:r w:rsidR="00DD733B">
        <w:t>February 14, 2019, version</w:t>
      </w:r>
      <w:r w:rsidR="00710B60">
        <w:t xml:space="preserve"> of the </w:t>
      </w:r>
      <w:r w:rsidR="008A6BD0">
        <w:t>federal standards (49 CFR Parts</w:t>
      </w:r>
      <w:r w:rsidR="00710B60">
        <w:t xml:space="preserve"> 191, 192, and 199)</w:t>
      </w:r>
      <w:r w:rsidR="00D92306" w:rsidRPr="00D92306">
        <w:t xml:space="preserve"> that apply to natural gas </w:t>
      </w:r>
      <w:r w:rsidR="003E29F0" w:rsidRPr="00D92306">
        <w:t>pipeline</w:t>
      </w:r>
      <w:r w:rsidR="00D92306" w:rsidRPr="00D92306">
        <w:t xml:space="preserve"> operators</w:t>
      </w:r>
      <w:r w:rsidR="00EB1B04">
        <w:t xml:space="preserve"> under the Commission’s jurisdiction. </w:t>
      </w:r>
    </w:p>
    <w:p w:rsidR="00840E8C" w:rsidRDefault="00840E8C" w:rsidP="00924B69">
      <w:pPr>
        <w:jc w:val="both"/>
      </w:pPr>
    </w:p>
    <w:p w:rsidR="007C0528" w:rsidRDefault="00D87B78" w:rsidP="00F25E7A">
      <w:pPr>
        <w:jc w:val="both"/>
      </w:pPr>
      <w:r>
        <w:t xml:space="preserve">This recommendation addresses whether the Commission should propose the amendment of Rule 25-12.005. </w:t>
      </w:r>
      <w:r w:rsidR="00710B60">
        <w:t>No requests for a rule development workshop were made</w:t>
      </w:r>
      <w:r w:rsidR="008A6BD0">
        <w:t xml:space="preserve">, so no workshop was </w:t>
      </w:r>
      <w:r w:rsidR="008A6BD0">
        <w:lastRenderedPageBreak/>
        <w:t>held</w:t>
      </w:r>
      <w:r w:rsidR="00710B60">
        <w:t xml:space="preserve">. The Commission has jurisdiction pursuant to Section 120.54, Florida Statutes (F.S.), and </w:t>
      </w:r>
      <w:r w:rsidR="007E69B1">
        <w:t>Section</w:t>
      </w:r>
      <w:r w:rsidR="00710B60">
        <w:t>s 36</w:t>
      </w:r>
      <w:r w:rsidR="007E69B1">
        <w:t>8.03</w:t>
      </w:r>
      <w:r w:rsidR="00710B60">
        <w:t xml:space="preserve"> and 368</w:t>
      </w:r>
      <w:r w:rsidR="007E69B1">
        <w:t>.05</w:t>
      </w:r>
      <w:r w:rsidR="00710B60">
        <w:t>, F.S.</w:t>
      </w:r>
    </w:p>
    <w:bookmarkEnd w:id="12"/>
    <w:p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rsidR="007C0528" w:rsidRDefault="007C0528">
      <w:pPr>
        <w:pStyle w:val="RecommendationMajorSectionHeading"/>
      </w:pPr>
      <w:bookmarkStart w:id="16" w:name="DiscussionOfIssues"/>
      <w:r>
        <w:lastRenderedPageBreak/>
        <w:t>Discussion of Issues</w:t>
      </w:r>
    </w:p>
    <w:bookmarkEnd w:id="16"/>
    <w:p w:rsidR="00674FBF" w:rsidRDefault="00674FBF">
      <w:pPr>
        <w:pStyle w:val="IssueHeading"/>
        <w:rPr>
          <w:vanish/>
          <w:specVanish/>
        </w:rPr>
      </w:pPr>
      <w:r w:rsidRPr="004C3641">
        <w:t xml:space="preserve">Issue </w:t>
      </w:r>
      <w:r w:rsidR="003A1964">
        <w:fldChar w:fldCharType="begin"/>
      </w:r>
      <w:r w:rsidR="003A1964">
        <w:instrText xml:space="preserve"> SEQ Issue \* MERGEFORMAT </w:instrText>
      </w:r>
      <w:r w:rsidR="003A1964">
        <w:fldChar w:fldCharType="separate"/>
      </w:r>
      <w:r w:rsidR="00CD1A86">
        <w:rPr>
          <w:noProof/>
        </w:rPr>
        <w:t>1</w:t>
      </w:r>
      <w:r w:rsidR="003A1964">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D1A86">
        <w:rPr>
          <w:noProof/>
        </w:rPr>
        <w:instrText>1</w:instrText>
      </w:r>
      <w:r>
        <w:fldChar w:fldCharType="end"/>
      </w:r>
      <w:r>
        <w:tab/>
        <w:instrText xml:space="preserve">" \l 1 </w:instrText>
      </w:r>
      <w:r>
        <w:fldChar w:fldCharType="end"/>
      </w:r>
      <w:r>
        <w:t> </w:t>
      </w:r>
    </w:p>
    <w:p w:rsidR="00674FBF" w:rsidRDefault="00674FBF">
      <w:pPr>
        <w:pStyle w:val="BodyText"/>
      </w:pPr>
      <w:r>
        <w:t> </w:t>
      </w:r>
      <w:r w:rsidR="00710B60">
        <w:t>Should the Commission propose the amendment of Rule 25-12.005,</w:t>
      </w:r>
      <w:r w:rsidR="008A6BD0" w:rsidRPr="008A6BD0">
        <w:t xml:space="preserve"> </w:t>
      </w:r>
      <w:r w:rsidR="008A6BD0">
        <w:t>F.A.C., Codes and Standards</w:t>
      </w:r>
      <w:r w:rsidR="007E69B1">
        <w:t xml:space="preserve"> Adopted</w:t>
      </w:r>
      <w:r w:rsidR="00710B60">
        <w:t>?</w:t>
      </w:r>
    </w:p>
    <w:p w:rsidR="00674FBF" w:rsidRPr="004C3641" w:rsidRDefault="00674FBF">
      <w:pPr>
        <w:pStyle w:val="IssueSubsectionHeading"/>
        <w:rPr>
          <w:vanish/>
          <w:specVanish/>
        </w:rPr>
      </w:pPr>
      <w:r w:rsidRPr="004C3641">
        <w:t>Recommendation: </w:t>
      </w:r>
    </w:p>
    <w:p w:rsidR="00674FBF" w:rsidRDefault="00674FBF">
      <w:pPr>
        <w:pStyle w:val="BodyText"/>
      </w:pPr>
      <w:r>
        <w:t> </w:t>
      </w:r>
      <w:r w:rsidR="00710B60">
        <w:t>Yes, the Commission sh</w:t>
      </w:r>
      <w:r w:rsidR="002D6DCA">
        <w:t xml:space="preserve">ould propose the amendment of </w:t>
      </w:r>
      <w:r w:rsidR="008A6BD0">
        <w:t>Rule 25-12.005,</w:t>
      </w:r>
      <w:r w:rsidR="008A6BD0" w:rsidRPr="008A6BD0">
        <w:t xml:space="preserve"> </w:t>
      </w:r>
      <w:r w:rsidR="009D619A">
        <w:t>F.A.C., as</w:t>
      </w:r>
      <w:r w:rsidR="00710B60">
        <w:t xml:space="preserve"> set forth in Attachment A.  </w:t>
      </w:r>
      <w:r w:rsidR="008A6BD0">
        <w:t>T</w:t>
      </w:r>
      <w:r w:rsidR="002D6DCA">
        <w:t xml:space="preserve">he Commission </w:t>
      </w:r>
      <w:r w:rsidR="008A6BD0">
        <w:t xml:space="preserve">should </w:t>
      </w:r>
      <w:r w:rsidR="002D6DCA">
        <w:t xml:space="preserve">certify that Rule 25-12.005, F.A.C., is not a rule that the violation </w:t>
      </w:r>
      <w:r w:rsidR="008A6BD0">
        <w:t xml:space="preserve">of which </w:t>
      </w:r>
      <w:r w:rsidR="002D6DCA">
        <w:t xml:space="preserve">would be a minor violation pursuant to Section 120.695, F.S. </w:t>
      </w:r>
      <w:r w:rsidR="00710B60">
        <w:t>(Harper, Moses)</w:t>
      </w:r>
      <w:r>
        <w:t xml:space="preserve"> </w:t>
      </w:r>
    </w:p>
    <w:p w:rsidR="00674FBF" w:rsidRPr="004C3641" w:rsidRDefault="00AD1992">
      <w:pPr>
        <w:pStyle w:val="IssueSubsectionHeading"/>
        <w:rPr>
          <w:vanish/>
          <w:specVanish/>
        </w:rPr>
      </w:pPr>
      <w:r>
        <w:t xml:space="preserve">Staff </w:t>
      </w:r>
      <w:r w:rsidR="00674FBF" w:rsidRPr="004C3641">
        <w:t>Analysis: </w:t>
      </w:r>
    </w:p>
    <w:p w:rsidR="00924B69" w:rsidRDefault="00AD1992" w:rsidP="00AD1992">
      <w:pPr>
        <w:jc w:val="both"/>
      </w:pPr>
      <w:r w:rsidRPr="00565F0C">
        <w:rPr>
          <w:rFonts w:asciiTheme="minorHAnsi" w:hAnsiTheme="minorHAnsi" w:cstheme="minorHAnsi"/>
        </w:rPr>
        <w:t> </w:t>
      </w:r>
      <w:r w:rsidRPr="00AD1992">
        <w:t>Rule 25-12.005, F.A.C., implements federal</w:t>
      </w:r>
      <w:r w:rsidRPr="00AD1992">
        <w:rPr>
          <w:rStyle w:val="Emphasis"/>
        </w:rPr>
        <w:t xml:space="preserve"> </w:t>
      </w:r>
      <w:r w:rsidRPr="00AD1992">
        <w:rPr>
          <w:rStyle w:val="Emphasis"/>
          <w:i w:val="0"/>
        </w:rPr>
        <w:t>reporting requirements and safety standards, including drug and alcohol employee reporting standards and requirements for employees of natural gas pipeline operators and emergency response persons under the direct authority or control of a gas utility or gas pipeline operator</w:t>
      </w:r>
      <w:r w:rsidRPr="00AD1992">
        <w:rPr>
          <w:i/>
        </w:rPr>
        <w:t>.</w:t>
      </w:r>
      <w:r w:rsidRPr="00AD1992">
        <w:t xml:space="preserve"> The rule incorporates by reference the federal regulations that apply to natural gas pipeline operators within the Commission’s jurisdiction that are found in 49 C.F.R. Parts 191, 192, and 199. </w:t>
      </w:r>
      <w:r w:rsidR="007E69B1" w:rsidRPr="00AD1992">
        <w:t xml:space="preserve">Staff is recommending that Rule 25-12.005, F.A.C., be amended to </w:t>
      </w:r>
      <w:r w:rsidR="007E69B1">
        <w:t xml:space="preserve">incorporate by reference </w:t>
      </w:r>
      <w:r w:rsidR="007E69B1" w:rsidRPr="00AD1992">
        <w:t xml:space="preserve">the </w:t>
      </w:r>
      <w:r w:rsidR="007E69B1">
        <w:t>February 14, 2019</w:t>
      </w:r>
      <w:r w:rsidR="007E69B1" w:rsidRPr="00AD1992">
        <w:t>, version of the C.F.R.</w:t>
      </w:r>
      <w:r w:rsidR="007E69B1">
        <w:t>,</w:t>
      </w:r>
      <w:r w:rsidR="007E69B1" w:rsidRPr="00AD1992">
        <w:t xml:space="preserve"> as set forth in Attachment A. </w:t>
      </w:r>
      <w:r w:rsidRPr="00AD1992">
        <w:t xml:space="preserve">Specifically, the updated C.F.R. </w:t>
      </w:r>
      <w:r w:rsidR="007E69B1">
        <w:t>provisions</w:t>
      </w:r>
      <w:r w:rsidRPr="00AD1992">
        <w:t xml:space="preserve"> </w:t>
      </w:r>
      <w:r w:rsidR="009D619A" w:rsidRPr="00AD1992">
        <w:t>clarif</w:t>
      </w:r>
      <w:r w:rsidR="007E69B1">
        <w:t>y</w:t>
      </w:r>
      <w:r w:rsidRPr="00AD1992">
        <w:t xml:space="preserve"> and streamli</w:t>
      </w:r>
      <w:r w:rsidR="007E69B1">
        <w:t>ne</w:t>
      </w:r>
      <w:r w:rsidR="008A6BD0">
        <w:t xml:space="preserve"> </w:t>
      </w:r>
      <w:r w:rsidRPr="00AD1992">
        <w:t>the standards</w:t>
      </w:r>
      <w:r w:rsidR="008A6BD0">
        <w:t xml:space="preserve"> pertaining to</w:t>
      </w:r>
      <w:r w:rsidRPr="00AD1992">
        <w:t xml:space="preserve"> pipeline safety regulations</w:t>
      </w:r>
      <w:r w:rsidR="008A6BD0">
        <w:t>,</w:t>
      </w:r>
      <w:r w:rsidRPr="00AD1992">
        <w:t xml:space="preserve"> such as excess flow valves, underground natural gas storage facilities, and accident and incident notification. </w:t>
      </w:r>
    </w:p>
    <w:p w:rsidR="00AD1992" w:rsidRDefault="00AD1992" w:rsidP="00AD1992">
      <w:pPr>
        <w:jc w:val="both"/>
      </w:pPr>
    </w:p>
    <w:p w:rsidR="00094149" w:rsidRDefault="00094149" w:rsidP="00094149">
      <w:pPr>
        <w:pStyle w:val="First-LevelSubheading"/>
      </w:pPr>
      <w:r>
        <w:t>Minor Violation Rules Certification</w:t>
      </w:r>
    </w:p>
    <w:p w:rsidR="00094149" w:rsidRDefault="00094149" w:rsidP="00094149">
      <w:pPr>
        <w:pStyle w:val="BodyText"/>
      </w:pPr>
      <w:r>
        <w:t>Pursuant to Section 120.695, F.S., beginning July 1, 2017, for each rule filed for adoption the agency head shall certify whether any part of the rule is designated as a rule the violation of which would be a minor violation. Rule 25-12.005, F.A.C., is a</w:t>
      </w:r>
      <w:r w:rsidR="00041E28">
        <w:t xml:space="preserve"> not a</w:t>
      </w:r>
      <w:r>
        <w:t xml:space="preserve"> rule for which a violation would be minor because violation of the rule would result in physical harm to a person</w:t>
      </w:r>
      <w:r w:rsidR="008A6BD0">
        <w:t xml:space="preserve"> and have</w:t>
      </w:r>
      <w:r>
        <w:t xml:space="preserve"> an adverse effect on the public health, safety, or welfare or create a si</w:t>
      </w:r>
      <w:r w:rsidR="002143A1">
        <w:t xml:space="preserve">gnificant threat of such harm. </w:t>
      </w:r>
      <w:r>
        <w:t xml:space="preserve">Thus, </w:t>
      </w:r>
      <w:r w:rsidR="002D6DCA">
        <w:t xml:space="preserve">staff recommends that the Commission certify that Rule 25-12.005, F.A.C., is not a rule that the violation </w:t>
      </w:r>
      <w:r w:rsidR="007E69B1">
        <w:t xml:space="preserve">of which </w:t>
      </w:r>
      <w:r w:rsidR="002D6DCA">
        <w:t>would be a minor violation pursuant to Section 120.695, F.S.</w:t>
      </w:r>
    </w:p>
    <w:p w:rsidR="002E1181" w:rsidRPr="00102F0A" w:rsidRDefault="002E1181" w:rsidP="002E1181">
      <w:pPr>
        <w:pStyle w:val="First-LevelSubheading"/>
      </w:pPr>
      <w:r w:rsidRPr="00102F0A">
        <w:t>Statement of Estimated Regulatory Costs</w:t>
      </w:r>
    </w:p>
    <w:p w:rsidR="002E1181" w:rsidRDefault="002E1181" w:rsidP="002E1181">
      <w:pPr>
        <w:pStyle w:val="BodyText"/>
      </w:pPr>
      <w:r w:rsidRPr="00102F0A">
        <w:t xml:space="preserve">Pursuant to Section 120.54, F.S., agencies are encouraged to prepare a statement of estimated regulatory costs (SERC) before the adoption, amendment, or repeal of any rule. The SERC is appended as Attachment </w:t>
      </w:r>
      <w:r>
        <w:t>C</w:t>
      </w:r>
      <w:r w:rsidRPr="00102F0A">
        <w:t xml:space="preserve"> to this recommendation. The SERC analysis also includes whether the rule is likely to have an adverse impact on growth, private sector job creation or employment, or private sector investment in excess of $1 million in the aggregate within five years of implementation.</w:t>
      </w:r>
      <w:r w:rsidRPr="00102F0A">
        <w:rPr>
          <w:rStyle w:val="FootnoteReference"/>
        </w:rPr>
        <w:footnoteReference w:id="1"/>
      </w:r>
    </w:p>
    <w:p w:rsidR="002E1181" w:rsidRDefault="002E1181" w:rsidP="002E1181">
      <w:pPr>
        <w:pStyle w:val="BodyText"/>
      </w:pPr>
      <w:r>
        <w:t xml:space="preserve">The SERC concludes that the rule will not likely directly or indirectly increase regulatory costs in excess of $200,000 in the aggregate in Florida within one year after implementation.  Further, the SERC concludes that the rule will not likely have an adverse impact on economic growth, private sector job creation or employment, private sector investment, business competitiveness, productivity, or innovation in excess of $1 million in the aggregate within five years of implementation. Thus, the rule does not require legislative ratification pursuant to Section 120.541(3), F.S.  In addition, the SERC states that the rule will not have an adverse impact on </w:t>
      </w:r>
      <w:r>
        <w:lastRenderedPageBreak/>
        <w:t xml:space="preserve">small business and will have no impact on small cities or counties. No regulatory alternatives were submitted pursuant to paragraph 120.541(1)(a), F.S.  None of the impact/cost criteria established in paragraph 120.541(2)(a), F.S., will be exceeded as a result of the recommended </w:t>
      </w:r>
      <w:r w:rsidR="00BA40EA">
        <w:t>amendments</w:t>
      </w:r>
      <w:r>
        <w:t>.</w:t>
      </w:r>
    </w:p>
    <w:p w:rsidR="002E1181" w:rsidRPr="00102F0A" w:rsidRDefault="002E1181" w:rsidP="002E1181">
      <w:pPr>
        <w:pStyle w:val="First-LevelSubheading"/>
      </w:pPr>
      <w:r w:rsidRPr="00102F0A">
        <w:t>Conclusion</w:t>
      </w:r>
    </w:p>
    <w:p w:rsidR="00674FBF" w:rsidRDefault="002E1181" w:rsidP="002E1181">
      <w:pPr>
        <w:pStyle w:val="BodyText"/>
        <w:rPr>
          <w:vanish/>
          <w:specVanish/>
        </w:rPr>
      </w:pPr>
      <w:r w:rsidRPr="00102F0A">
        <w:t xml:space="preserve">Based on the foregoing, staff recommends the Commission propose the </w:t>
      </w:r>
      <w:r w:rsidR="00BA40EA">
        <w:t>amendment</w:t>
      </w:r>
      <w:r w:rsidRPr="00102F0A">
        <w:t xml:space="preserve"> of Rule </w:t>
      </w:r>
      <w:r w:rsidR="00C24B93">
        <w:t>25-12.005</w:t>
      </w:r>
      <w:r w:rsidRPr="00102F0A">
        <w:t xml:space="preserve">, F.A.C., as set forth in Attachment A. </w:t>
      </w:r>
      <w:r w:rsidR="002D6DCA">
        <w:t xml:space="preserve">In addition, staff recommends that the Commission certify that Rule 25-12.005, F.A.C., is not a rule that the violation </w:t>
      </w:r>
      <w:r w:rsidR="008A6BD0">
        <w:t xml:space="preserve">of which </w:t>
      </w:r>
      <w:r w:rsidR="002D6DCA">
        <w:t xml:space="preserve">would be a minor violation pursuant to Section 120.695, </w:t>
      </w:r>
      <w:r w:rsidR="00BA40EA">
        <w:t>F.S.</w:t>
      </w:r>
      <w:r w:rsidR="00674FBF" w:rsidRPr="004C3641">
        <w:br w:type="page"/>
      </w:r>
      <w:r w:rsidR="00674FBF" w:rsidRPr="004C3641">
        <w:lastRenderedPageBreak/>
        <w:t xml:space="preserve">Issue </w:t>
      </w:r>
      <w:r w:rsidR="003A1964">
        <w:fldChar w:fldCharType="begin"/>
      </w:r>
      <w:r w:rsidR="003A1964">
        <w:instrText xml:space="preserve"> SEQ Issue \* MERGEFORMAT </w:instrText>
      </w:r>
      <w:r w:rsidR="003A1964">
        <w:fldChar w:fldCharType="separate"/>
      </w:r>
      <w:r w:rsidR="00CD1A86">
        <w:rPr>
          <w:noProof/>
        </w:rPr>
        <w:t>2</w:t>
      </w:r>
      <w:r w:rsidR="003A1964">
        <w:rPr>
          <w:noProof/>
        </w:rPr>
        <w:fldChar w:fldCharType="end"/>
      </w:r>
      <w:r w:rsidR="00674FBF" w:rsidRPr="004C3641">
        <w:t>:</w:t>
      </w:r>
      <w:r w:rsidR="00674FBF">
        <w:fldChar w:fldCharType="begin"/>
      </w:r>
      <w:r w:rsidR="00674FBF">
        <w:instrText xml:space="preserve"> TC "</w:instrText>
      </w:r>
      <w:r w:rsidR="00674FBF">
        <w:fldChar w:fldCharType="begin"/>
      </w:r>
      <w:r w:rsidR="00674FBF">
        <w:instrText xml:space="preserve"> SEQ issue \c </w:instrText>
      </w:r>
      <w:r w:rsidR="00674FBF">
        <w:fldChar w:fldCharType="separate"/>
      </w:r>
      <w:r w:rsidR="00CD1A86">
        <w:rPr>
          <w:noProof/>
        </w:rPr>
        <w:instrText>2</w:instrText>
      </w:r>
      <w:r w:rsidR="00674FBF">
        <w:fldChar w:fldCharType="end"/>
      </w:r>
      <w:r w:rsidR="00674FBF">
        <w:tab/>
        <w:instrText xml:space="preserve">" \l 1 </w:instrText>
      </w:r>
      <w:r w:rsidR="00674FBF">
        <w:fldChar w:fldCharType="end"/>
      </w:r>
      <w:r w:rsidR="00674FBF">
        <w:t> </w:t>
      </w:r>
    </w:p>
    <w:p w:rsidR="00674FBF" w:rsidRDefault="00674FBF">
      <w:pPr>
        <w:pStyle w:val="BodyText"/>
      </w:pPr>
      <w:r>
        <w:t> Should this docket be closed?</w:t>
      </w:r>
    </w:p>
    <w:p w:rsidR="00674FBF" w:rsidRPr="004C3641" w:rsidRDefault="00674FBF">
      <w:pPr>
        <w:pStyle w:val="IssueSubsectionHeading"/>
        <w:rPr>
          <w:vanish/>
          <w:specVanish/>
        </w:rPr>
      </w:pPr>
      <w:r w:rsidRPr="004C3641">
        <w:t>Recommendation: </w:t>
      </w:r>
    </w:p>
    <w:p w:rsidR="00674FBF" w:rsidRDefault="00674FBF">
      <w:pPr>
        <w:pStyle w:val="BodyText"/>
      </w:pPr>
      <w:r>
        <w:t> </w:t>
      </w:r>
      <w:r w:rsidR="00924B69">
        <w:t>Yes. If no requests for hearing or comments are filed, the rule may be filed with the Department of State</w:t>
      </w:r>
      <w:r w:rsidR="00A85B4C">
        <w:t xml:space="preserve"> for adoption, and the docket </w:t>
      </w:r>
      <w:r w:rsidR="007E69B1">
        <w:t xml:space="preserve">should </w:t>
      </w:r>
      <w:r w:rsidR="00A85B4C">
        <w:t>be closed</w:t>
      </w:r>
      <w:r w:rsidR="00924B69">
        <w:t xml:space="preserve">.  (Harper) </w:t>
      </w:r>
      <w:r>
        <w:t xml:space="preserve"> </w:t>
      </w:r>
    </w:p>
    <w:p w:rsidR="00674FBF" w:rsidRPr="004C3641" w:rsidRDefault="00674FBF">
      <w:pPr>
        <w:pStyle w:val="IssueSubsectionHeading"/>
        <w:rPr>
          <w:vanish/>
          <w:specVanish/>
        </w:rPr>
      </w:pPr>
      <w:r w:rsidRPr="004C3641">
        <w:t>Staff Analysis: </w:t>
      </w:r>
    </w:p>
    <w:p w:rsidR="00674FBF" w:rsidRDefault="00674FBF">
      <w:pPr>
        <w:pStyle w:val="BodyText"/>
      </w:pPr>
      <w:r>
        <w:t> </w:t>
      </w:r>
      <w:r w:rsidR="00924B69">
        <w:t xml:space="preserve">If no requests for hearing or comments are filed, the rule may be filed with the Department of State </w:t>
      </w:r>
      <w:r w:rsidR="00A85B4C">
        <w:t xml:space="preserve">for adoption, </w:t>
      </w:r>
      <w:r w:rsidR="00924B69">
        <w:t xml:space="preserve">and the docket </w:t>
      </w:r>
      <w:r w:rsidR="007E69B1">
        <w:t>should</w:t>
      </w:r>
      <w:r w:rsidR="00924B69">
        <w:t xml:space="preserve"> be closed.</w:t>
      </w:r>
    </w:p>
    <w:p w:rsidR="00E06484" w:rsidRDefault="00E06484" w:rsidP="00E275D8">
      <w:pPr>
        <w:pStyle w:val="BodyText"/>
      </w:pPr>
    </w:p>
    <w:p w:rsidR="00AF736E" w:rsidRDefault="00AF736E" w:rsidP="00AF736E">
      <w:pPr>
        <w:pStyle w:val="BodyText"/>
        <w:sectPr w:rsidR="00AF736E"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rsidR="00AF736E" w:rsidRPr="000B3556" w:rsidRDefault="00AF736E" w:rsidP="00817F15">
      <w:pPr>
        <w:pStyle w:val="Rule"/>
        <w:tabs>
          <w:tab w:val="clear" w:pos="720"/>
          <w:tab w:val="left" w:pos="360"/>
        </w:tabs>
        <w:rPr>
          <w:b/>
        </w:rPr>
      </w:pPr>
      <w:r>
        <w:rPr>
          <w:b/>
        </w:rPr>
        <w:lastRenderedPageBreak/>
        <w:tab/>
      </w:r>
      <w:r w:rsidRPr="000B3556">
        <w:rPr>
          <w:b/>
        </w:rPr>
        <w:t>25-12.005</w:t>
      </w:r>
      <w:r w:rsidRPr="000B3556">
        <w:t xml:space="preserve"> </w:t>
      </w:r>
      <w:r w:rsidRPr="000B3556">
        <w:rPr>
          <w:b/>
        </w:rPr>
        <w:t>Codes and Standards Adopted.</w:t>
      </w:r>
    </w:p>
    <w:p w:rsidR="00AF736E" w:rsidRPr="000B3556" w:rsidRDefault="00AF736E" w:rsidP="00817F15">
      <w:pPr>
        <w:pStyle w:val="Rule"/>
        <w:tabs>
          <w:tab w:val="clear" w:pos="720"/>
          <w:tab w:val="left" w:pos="360"/>
        </w:tabs>
      </w:pPr>
      <w:r w:rsidRPr="000B3556">
        <w:t>The Minimum Federal Safety Standards and reporting requirements for pipeline facilities and transportation of gas prescribed by the Pipeline and Hazardous Materials Safety Administratio</w:t>
      </w:r>
      <w:r>
        <w:t xml:space="preserve">n in 49 C.F.R. 191 and 192 </w:t>
      </w:r>
      <w:r>
        <w:rPr>
          <w:u w:val="single"/>
        </w:rPr>
        <w:t>(2019</w:t>
      </w:r>
      <w:r w:rsidRPr="00D371FD">
        <w:rPr>
          <w:u w:val="single"/>
        </w:rPr>
        <w:t>)</w:t>
      </w:r>
      <w:r>
        <w:t xml:space="preserve"> </w:t>
      </w:r>
      <w:r w:rsidRPr="00D371FD">
        <w:rPr>
          <w:strike/>
        </w:rPr>
        <w:t>(2017)</w:t>
      </w:r>
      <w:r w:rsidRPr="000B3556">
        <w:t xml:space="preserve">, are adopted and incorporated by reference as part of </w:t>
      </w:r>
      <w:r>
        <w:t xml:space="preserve">these rules. 49 C.F.R. 191 </w:t>
      </w:r>
      <w:r>
        <w:rPr>
          <w:u w:val="single"/>
        </w:rPr>
        <w:t>(2019</w:t>
      </w:r>
      <w:r w:rsidRPr="00D371FD">
        <w:rPr>
          <w:u w:val="single"/>
        </w:rPr>
        <w:t>)</w:t>
      </w:r>
      <w:r w:rsidRPr="000B3556">
        <w:t xml:space="preserve"> </w:t>
      </w:r>
      <w:r w:rsidRPr="00D371FD">
        <w:rPr>
          <w:strike/>
        </w:rPr>
        <w:t>(2017)</w:t>
      </w:r>
      <w:r>
        <w:t xml:space="preserve"> </w:t>
      </w:r>
      <w:r w:rsidRPr="000B3556">
        <w:t xml:space="preserve">may be accessed at </w:t>
      </w:r>
      <w:r w:rsidRPr="000B3556">
        <w:rPr>
          <w:u w:val="single"/>
        </w:rPr>
        <w:t>[insert hyperlink]</w:t>
      </w:r>
      <w:r>
        <w:t xml:space="preserve"> </w:t>
      </w:r>
      <w:hyperlink r:id="rId14" w:history="1">
        <w:r w:rsidRPr="009048B0">
          <w:rPr>
            <w:rStyle w:val="Hyperlink"/>
            <w:strike/>
            <w:u w:val="none"/>
          </w:rPr>
          <w:t>http://www.flrules.org/Gateway/reference.asp?No=Ref-07920</w:t>
        </w:r>
      </w:hyperlink>
      <w:r>
        <w:t xml:space="preserve">. 49 C.F.R. 192 </w:t>
      </w:r>
      <w:r>
        <w:rPr>
          <w:u w:val="single"/>
        </w:rPr>
        <w:t>(2019</w:t>
      </w:r>
      <w:r w:rsidRPr="00D371FD">
        <w:rPr>
          <w:u w:val="single"/>
        </w:rPr>
        <w:t>)</w:t>
      </w:r>
      <w:r w:rsidRPr="000B3556">
        <w:t xml:space="preserve"> </w:t>
      </w:r>
      <w:r w:rsidRPr="00D371FD">
        <w:rPr>
          <w:strike/>
        </w:rPr>
        <w:t>(2017)</w:t>
      </w:r>
      <w:r>
        <w:t xml:space="preserve"> </w:t>
      </w:r>
      <w:r w:rsidRPr="000B3556">
        <w:t>may be accessed at</w:t>
      </w:r>
      <w:r>
        <w:t xml:space="preserve"> </w:t>
      </w:r>
      <w:r w:rsidRPr="000B3556">
        <w:rPr>
          <w:u w:val="single"/>
        </w:rPr>
        <w:t>[insert hyperlink]</w:t>
      </w:r>
      <w:r w:rsidRPr="000B3556">
        <w:t xml:space="preserve"> </w:t>
      </w:r>
      <w:hyperlink r:id="rId15" w:history="1">
        <w:r w:rsidRPr="009048B0">
          <w:rPr>
            <w:rStyle w:val="Hyperlink"/>
            <w:strike/>
            <w:u w:val="none"/>
          </w:rPr>
          <w:t>http://www.flrules.org/Gateway/reference.asp?No=Ref-07923</w:t>
        </w:r>
      </w:hyperlink>
      <w:r>
        <w:t xml:space="preserve">. 49 C.F.R. 199 </w:t>
      </w:r>
      <w:r>
        <w:rPr>
          <w:u w:val="single"/>
        </w:rPr>
        <w:t>(2019</w:t>
      </w:r>
      <w:r w:rsidRPr="00D371FD">
        <w:rPr>
          <w:u w:val="single"/>
        </w:rPr>
        <w:t>)</w:t>
      </w:r>
      <w:r w:rsidRPr="00D371FD">
        <w:t xml:space="preserve"> </w:t>
      </w:r>
      <w:r w:rsidRPr="00D371FD">
        <w:rPr>
          <w:strike/>
        </w:rPr>
        <w:t>(2017)</w:t>
      </w:r>
      <w:r w:rsidRPr="000B3556">
        <w:t>, “Drug and Alcohol Testing,” is adopted and incorporated by reference to control drug use, by setting standards and requirements to apply to the testing and use of all emergency response personnel under the direct authority or control of a gas utility or pipeline operator, as well as all employees directly or indirectly employed by gas pipeline operators for the purpose of operation and maintenance and all employees directly or indirectly employed by intrastate gas distribution utilities for onsite construction of natural gas transporting pipeline</w:t>
      </w:r>
      <w:r>
        <w:t xml:space="preserve"> facilities. 49 C.F.R. 199 </w:t>
      </w:r>
      <w:r>
        <w:rPr>
          <w:u w:val="single"/>
        </w:rPr>
        <w:t>(2019</w:t>
      </w:r>
      <w:r w:rsidRPr="00D371FD">
        <w:rPr>
          <w:u w:val="single"/>
        </w:rPr>
        <w:t>)</w:t>
      </w:r>
      <w:r w:rsidRPr="000B3556">
        <w:t xml:space="preserve"> </w:t>
      </w:r>
      <w:r w:rsidRPr="00D371FD">
        <w:rPr>
          <w:strike/>
        </w:rPr>
        <w:t>(2017)</w:t>
      </w:r>
      <w:r>
        <w:t xml:space="preserve"> </w:t>
      </w:r>
      <w:r w:rsidRPr="000B3556">
        <w:t xml:space="preserve">may be accessed at </w:t>
      </w:r>
      <w:r w:rsidRPr="000B3556">
        <w:rPr>
          <w:u w:val="single"/>
        </w:rPr>
        <w:t xml:space="preserve">[insert hyperlink] </w:t>
      </w:r>
      <w:hyperlink r:id="rId16" w:history="1">
        <w:r w:rsidRPr="009048B0">
          <w:rPr>
            <w:rStyle w:val="Hyperlink"/>
            <w:strike/>
            <w:u w:val="none"/>
          </w:rPr>
          <w:t>http://www.flrules.org/Gateway/reference.asp?No=Ref-07921</w:t>
        </w:r>
      </w:hyperlink>
      <w:r w:rsidRPr="000B3556">
        <w:t>. Part 199 also is adopted to prescribe standards for use of employees who do not meet the requirements of the regulations.</w:t>
      </w:r>
    </w:p>
    <w:p w:rsidR="00AF736E" w:rsidRPr="000B3556" w:rsidRDefault="00AF736E" w:rsidP="00817F15">
      <w:pPr>
        <w:pStyle w:val="Rule"/>
        <w:tabs>
          <w:tab w:val="clear" w:pos="720"/>
          <w:tab w:val="left" w:pos="360"/>
        </w:tabs>
      </w:pPr>
      <w:r w:rsidRPr="000B3556">
        <w:rPr>
          <w:i/>
        </w:rPr>
        <w:t>Rulemaking Authority 368.03, 368.05(2), 350.127(2) FS. Law Implemented 368.03, 368.05 FS. History–New 11-14-70, Amended 9-24-71, 9-21-74, 10-7-75, 11-30-82, 10-2-84, Formerly 25-12.05, Amended 8-8-89, 1-7-92, 5-13-99, 4-26-01, 12-15-09, 10-11-12, 3-2-17</w:t>
      </w:r>
      <w:r>
        <w:rPr>
          <w:i/>
        </w:rPr>
        <w:t>, ________</w:t>
      </w:r>
      <w:r w:rsidRPr="000B3556">
        <w:rPr>
          <w:i/>
        </w:rPr>
        <w:t>.</w:t>
      </w:r>
    </w:p>
    <w:p w:rsidR="00AF736E" w:rsidRDefault="00AF736E" w:rsidP="00817F15">
      <w:pPr>
        <w:pStyle w:val="Rule"/>
        <w:tabs>
          <w:tab w:val="clear" w:pos="720"/>
          <w:tab w:val="left" w:pos="360"/>
        </w:tabs>
      </w:pPr>
    </w:p>
    <w:p w:rsidR="00AF736E" w:rsidRDefault="00AF736E" w:rsidP="00AF736E">
      <w:pPr>
        <w:pStyle w:val="BodyText"/>
        <w:sectPr w:rsidR="00AF736E" w:rsidSect="00FC279B">
          <w:headerReference w:type="even" r:id="rId17"/>
          <w:headerReference w:type="default" r:id="rId18"/>
          <w:footerReference w:type="even" r:id="rId19"/>
          <w:footerReference w:type="default" r:id="rId20"/>
          <w:headerReference w:type="first" r:id="rId21"/>
          <w:footerReference w:type="first" r:id="rId22"/>
          <w:pgSz w:w="12240" w:h="15840" w:code="1"/>
          <w:pgMar w:top="360" w:right="720" w:bottom="360" w:left="2405" w:header="360" w:footer="360" w:gutter="0"/>
          <w:cols w:space="720"/>
          <w:formProt w:val="0"/>
          <w:docGrid w:linePitch="360"/>
        </w:sectPr>
      </w:pPr>
    </w:p>
    <w:p w:rsidR="00AF736E" w:rsidRDefault="00AF736E" w:rsidP="00AF736E">
      <w:pPr>
        <w:pStyle w:val="BodyText"/>
      </w:pPr>
      <w:r>
        <w:rPr>
          <w:noProof/>
        </w:rPr>
        <w:lastRenderedPageBreak/>
        <w:drawing>
          <wp:inline distT="0" distB="0" distL="0" distR="0">
            <wp:extent cx="5943600" cy="7688580"/>
            <wp:effectExtent l="0" t="0" r="0" b="762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7688580"/>
                    </a:xfrm>
                    <a:prstGeom prst="rect">
                      <a:avLst/>
                    </a:prstGeom>
                  </pic:spPr>
                </pic:pic>
              </a:graphicData>
            </a:graphic>
          </wp:inline>
        </w:drawing>
      </w:r>
    </w:p>
    <w:p w:rsidR="00AF736E" w:rsidRDefault="00AF736E">
      <w:r>
        <w:br w:type="page"/>
      </w:r>
    </w:p>
    <w:p w:rsidR="00AF736E" w:rsidRDefault="00AF736E" w:rsidP="00AF736E">
      <w:pPr>
        <w:pStyle w:val="BodyText"/>
      </w:pPr>
      <w:r>
        <w:rPr>
          <w:noProof/>
        </w:rPr>
        <w:lastRenderedPageBreak/>
        <w:drawing>
          <wp:inline distT="0" distB="0" distL="0" distR="0">
            <wp:extent cx="5943600" cy="7680325"/>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7680325"/>
                    </a:xfrm>
                    <a:prstGeom prst="rect">
                      <a:avLst/>
                    </a:prstGeom>
                  </pic:spPr>
                </pic:pic>
              </a:graphicData>
            </a:graphic>
          </wp:inline>
        </w:drawing>
      </w:r>
    </w:p>
    <w:p w:rsidR="00AF736E" w:rsidRDefault="00AF736E">
      <w:r>
        <w:br w:type="page"/>
      </w:r>
    </w:p>
    <w:p w:rsidR="00AF736E" w:rsidRDefault="00AF736E" w:rsidP="00AF736E">
      <w:pPr>
        <w:pStyle w:val="BodyText"/>
      </w:pPr>
      <w:r>
        <w:rPr>
          <w:noProof/>
        </w:rPr>
        <w:lastRenderedPageBreak/>
        <w:drawing>
          <wp:inline distT="0" distB="0" distL="0" distR="0">
            <wp:extent cx="5943600" cy="769747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7697470"/>
                    </a:xfrm>
                    <a:prstGeom prst="rect">
                      <a:avLst/>
                    </a:prstGeom>
                  </pic:spPr>
                </pic:pic>
              </a:graphicData>
            </a:graphic>
          </wp:inline>
        </w:drawing>
      </w:r>
    </w:p>
    <w:p w:rsidR="00AF736E" w:rsidRDefault="00AF736E">
      <w:r>
        <w:br w:type="page"/>
      </w:r>
    </w:p>
    <w:p w:rsidR="00AF736E" w:rsidRDefault="00AF736E" w:rsidP="00AF736E">
      <w:pPr>
        <w:pStyle w:val="BodyText"/>
      </w:pPr>
      <w:r>
        <w:rPr>
          <w:noProof/>
        </w:rPr>
        <w:lastRenderedPageBreak/>
        <w:drawing>
          <wp:inline distT="0" distB="0" distL="0" distR="0">
            <wp:extent cx="5943600" cy="7688580"/>
            <wp:effectExtent l="0" t="0" r="0" b="762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7688580"/>
                    </a:xfrm>
                    <a:prstGeom prst="rect">
                      <a:avLst/>
                    </a:prstGeom>
                  </pic:spPr>
                </pic:pic>
              </a:graphicData>
            </a:graphic>
          </wp:inline>
        </w:drawing>
      </w:r>
    </w:p>
    <w:p w:rsidR="00AF736E" w:rsidRDefault="00AF736E">
      <w:r>
        <w:br w:type="page"/>
      </w:r>
    </w:p>
    <w:p w:rsidR="00AF736E" w:rsidRDefault="00AF736E" w:rsidP="00AF736E">
      <w:pPr>
        <w:pStyle w:val="BodyText"/>
      </w:pPr>
      <w:r>
        <w:rPr>
          <w:noProof/>
        </w:rPr>
        <w:lastRenderedPageBreak/>
        <w:drawing>
          <wp:inline distT="0" distB="0" distL="0" distR="0">
            <wp:extent cx="5943600" cy="7693025"/>
            <wp:effectExtent l="0" t="0" r="0" b="3175"/>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7693025"/>
                    </a:xfrm>
                    <a:prstGeom prst="rect">
                      <a:avLst/>
                    </a:prstGeom>
                  </pic:spPr>
                </pic:pic>
              </a:graphicData>
            </a:graphic>
          </wp:inline>
        </w:drawing>
      </w:r>
    </w:p>
    <w:sectPr w:rsidR="00AF736E" w:rsidSect="00AF736E">
      <w:headerReference w:type="default" r:id="rId28"/>
      <w:footerReference w:type="default" r:id="rId29"/>
      <w:pgSz w:w="12240" w:h="15840" w:code="1"/>
      <w:pgMar w:top="1440" w:right="1440" w:bottom="1440" w:left="1440" w:header="360" w:footer="36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FBF" w:rsidRDefault="00674FBF">
      <w:r>
        <w:separator/>
      </w:r>
    </w:p>
  </w:endnote>
  <w:endnote w:type="continuationSeparator" w:id="0">
    <w:p w:rsidR="00674FBF" w:rsidRDefault="00674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A60D60">
      <w:rPr>
        <w:rStyle w:val="PageNumber"/>
        <w:noProof/>
      </w:rPr>
      <w:t>5</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A196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6038D">
    <w:pPr>
      <w:pStyle w:val="Footer"/>
    </w:pPr>
    <w:r>
      <w:t xml:space="preserve">CODING: Words </w:t>
    </w:r>
    <w:r>
      <w:rPr>
        <w:u w:val="single"/>
      </w:rPr>
      <w:t>underlined</w:t>
    </w:r>
    <w:r>
      <w:t xml:space="preserve"> are additions; words in </w:t>
    </w:r>
    <w:r>
      <w:rPr>
        <w:strike/>
      </w:rPr>
      <w:t>struck through</w:t>
    </w:r>
    <w:r>
      <w:t xml:space="preserve"> type are deletions from existing law.</w:t>
    </w:r>
  </w:p>
  <w:p w:rsidR="00FF1497" w:rsidRDefault="00A6038D">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60D60">
      <w:rPr>
        <w:rStyle w:val="PageNumber"/>
        <w:noProof/>
      </w:rPr>
      <w:t>6</w:t>
    </w:r>
    <w:r>
      <w:rPr>
        <w:rStyle w:val="PageNumber"/>
      </w:rPr>
      <w:fldChar w:fldCharType="end"/>
    </w:r>
    <w:r>
      <w:rPr>
        <w:rStyle w:val="PageNumber"/>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603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FF1497" w:rsidRDefault="00A6038D">
    <w:pPr>
      <w:pStyle w:val="Footer"/>
    </w:pPr>
    <w:r>
      <w:t xml:space="preserve">CODING: Words </w:t>
    </w:r>
    <w:r>
      <w:rPr>
        <w:u w:val="single"/>
      </w:rPr>
      <w:t>underlined</w:t>
    </w:r>
    <w:r>
      <w:t xml:space="preserve"> are additions; words in struck through type are deletions from existing law.</w:t>
    </w:r>
  </w:p>
  <w:p w:rsidR="00FF1497" w:rsidRDefault="00A6038D">
    <w:pPr>
      <w:pStyle w:val="Footer"/>
    </w:pP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36E" w:rsidRDefault="00AF736E">
    <w:pPr>
      <w:pStyle w:val="Footer"/>
    </w:pPr>
    <w:r>
      <w:tab/>
      <w:t xml:space="preserve">- </w:t>
    </w:r>
    <w:r>
      <w:rPr>
        <w:rStyle w:val="PageNumber"/>
      </w:rPr>
      <w:fldChar w:fldCharType="begin"/>
    </w:r>
    <w:r>
      <w:rPr>
        <w:rStyle w:val="PageNumber"/>
      </w:rPr>
      <w:instrText xml:space="preserve"> PAGE </w:instrText>
    </w:r>
    <w:r>
      <w:rPr>
        <w:rStyle w:val="PageNumber"/>
      </w:rPr>
      <w:fldChar w:fldCharType="separate"/>
    </w:r>
    <w:r w:rsidR="00A60D60">
      <w:rPr>
        <w:rStyle w:val="PageNumber"/>
        <w:noProof/>
      </w:rPr>
      <w:t>10</w:t>
    </w:r>
    <w:r>
      <w:rPr>
        <w:rStyle w:val="PageNumber"/>
      </w:rPr>
      <w:fldChar w:fldCharType="end"/>
    </w:r>
    <w:r>
      <w:rPr>
        <w:rStyle w:val="PageNumbe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FBF" w:rsidRDefault="00674FBF">
      <w:r>
        <w:separator/>
      </w:r>
    </w:p>
  </w:footnote>
  <w:footnote w:type="continuationSeparator" w:id="0">
    <w:p w:rsidR="00674FBF" w:rsidRDefault="00674FBF">
      <w:r>
        <w:continuationSeparator/>
      </w:r>
    </w:p>
  </w:footnote>
  <w:footnote w:id="1">
    <w:p w:rsidR="002E1181" w:rsidRDefault="002E1181" w:rsidP="002E1181">
      <w:pPr>
        <w:pStyle w:val="FootnoteText"/>
      </w:pPr>
      <w:r>
        <w:rPr>
          <w:rStyle w:val="FootnoteReference"/>
        </w:rPr>
        <w:footnoteRef/>
      </w:r>
      <w:r>
        <w:t>Section 120.541(2), 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674FBF"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20190047-GU</w:t>
    </w:r>
    <w:bookmarkEnd w:id="15"/>
  </w:p>
  <w:p w:rsidR="00BC402E" w:rsidRDefault="00BC402E">
    <w:pPr>
      <w:pStyle w:val="Header"/>
    </w:pPr>
    <w:r>
      <w:t xml:space="preserve">Date: </w:t>
    </w:r>
    <w:fldSimple w:instr=" REF FilingDate ">
      <w:r w:rsidR="00CD1A86">
        <w:t>March 21, 2019</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CD1A86">
      <w:t>Docket No.</w:t>
    </w:r>
    <w:r>
      <w:fldChar w:fldCharType="end"/>
    </w:r>
    <w:r>
      <w:t xml:space="preserve"> </w:t>
    </w:r>
    <w:r>
      <w:fldChar w:fldCharType="begin"/>
    </w:r>
    <w:r>
      <w:instrText xml:space="preserve"> REF DocketList</w:instrText>
    </w:r>
    <w:r>
      <w:fldChar w:fldCharType="separate"/>
    </w:r>
    <w:r w:rsidR="00CD1A86">
      <w:t>20190047-GU</w:t>
    </w:r>
    <w:r>
      <w:fldChar w:fldCharType="end"/>
    </w:r>
    <w:r>
      <w:tab/>
      <w:t xml:space="preserve">Issue </w:t>
    </w:r>
    <w:fldSimple w:instr=" Seq Issue \c \* Arabic ">
      <w:r w:rsidR="00A60D60">
        <w:rPr>
          <w:noProof/>
        </w:rPr>
        <w:t>2</w:t>
      </w:r>
    </w:fldSimple>
  </w:p>
  <w:p w:rsidR="00BC402E" w:rsidRDefault="00BC402E">
    <w:pPr>
      <w:pStyle w:val="Header"/>
    </w:pPr>
    <w:r>
      <w:t xml:space="preserve">Date: </w:t>
    </w:r>
    <w:fldSimple w:instr=" REF FilingDate ">
      <w:r w:rsidR="00CD1A86">
        <w:t>March 21, 2019</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3A196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36E" w:rsidRDefault="00AF736E" w:rsidP="00AF736E">
    <w:pPr>
      <w:pStyle w:val="Header"/>
      <w:tabs>
        <w:tab w:val="clear" w:pos="4320"/>
        <w:tab w:val="clear" w:pos="8640"/>
        <w:tab w:val="right" w:pos="9360"/>
      </w:tabs>
    </w:pPr>
    <w:r>
      <w:fldChar w:fldCharType="begin"/>
    </w:r>
    <w:r>
      <w:instrText xml:space="preserve"> REF DocketLabel</w:instrText>
    </w:r>
    <w:r>
      <w:fldChar w:fldCharType="separate"/>
    </w:r>
    <w:r w:rsidR="00CD1A86">
      <w:t>Docket No.</w:t>
    </w:r>
    <w:r>
      <w:fldChar w:fldCharType="end"/>
    </w:r>
    <w:r>
      <w:t xml:space="preserve"> </w:t>
    </w:r>
    <w:r>
      <w:fldChar w:fldCharType="begin"/>
    </w:r>
    <w:r>
      <w:instrText xml:space="preserve"> REF DocketList</w:instrText>
    </w:r>
    <w:r>
      <w:fldChar w:fldCharType="separate"/>
    </w:r>
    <w:r w:rsidR="00CD1A86">
      <w:t>20190047-GU</w:t>
    </w:r>
    <w:r>
      <w:fldChar w:fldCharType="end"/>
    </w:r>
    <w:r>
      <w:tab/>
      <w:t>ATTACHMENT A</w:t>
    </w:r>
  </w:p>
  <w:p w:rsidR="00AF736E" w:rsidRDefault="00AF736E" w:rsidP="00AF736E">
    <w:pPr>
      <w:pStyle w:val="Header"/>
    </w:pPr>
    <w:r>
      <w:t xml:space="preserve">Date: </w:t>
    </w:r>
    <w:fldSimple w:instr=" REF FilingDate ">
      <w:r w:rsidR="00CD1A86">
        <w:t>March 21, 2019</w:t>
      </w:r>
    </w:fldSimple>
  </w:p>
  <w:p w:rsidR="00FF1497" w:rsidRDefault="00A6038D">
    <w:pPr>
      <w:tabs>
        <w:tab w:val="left" w:pos="3770"/>
      </w:tabs>
      <w:rPr>
        <w:b/>
      </w:rPr>
    </w:pPr>
    <w:r>
      <w:rPr>
        <w:b/>
        <w:noProof/>
      </w:rPr>
      <mc:AlternateContent>
        <mc:Choice Requires="wps">
          <w:drawing>
            <wp:anchor distT="0" distB="0" distL="114300" distR="114300" simplePos="0" relativeHeight="251659264" behindDoc="0" locked="0" layoutInCell="1" allowOverlap="1" wp14:anchorId="4796F777" wp14:editId="05A073F7">
              <wp:simplePos x="0" y="0"/>
              <wp:positionH relativeFrom="page">
                <wp:posOffset>1463040</wp:posOffset>
              </wp:positionH>
              <wp:positionV relativeFrom="page">
                <wp:posOffset>914400</wp:posOffset>
              </wp:positionV>
              <wp:extent cx="0" cy="8321040"/>
              <wp:effectExtent l="5715" t="9525" r="13335" b="13335"/>
              <wp:wrapNone/>
              <wp:docPr id="8"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15.2pt,1in" to="11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">
              <w10:wrap anchorx="page" anchory="page"/>
            </v:line>
          </w:pict>
        </mc:Fallback>
      </mc:AlternateContent>
    </w:r>
    <w:r>
      <w:rPr>
        <w:b/>
        <w:noProof/>
      </w:rPr>
      <mc:AlternateContent>
        <mc:Choice Requires="wps">
          <w:drawing>
            <wp:anchor distT="0" distB="0" distL="114300" distR="114300" simplePos="0" relativeHeight="251662336" behindDoc="0" locked="0" layoutInCell="1" allowOverlap="1" wp14:anchorId="778D7523" wp14:editId="08D3B894">
              <wp:simplePos x="0" y="0"/>
              <wp:positionH relativeFrom="page">
                <wp:posOffset>887095</wp:posOffset>
              </wp:positionH>
              <wp:positionV relativeFrom="margin">
                <wp:posOffset>0</wp:posOffset>
              </wp:positionV>
              <wp:extent cx="457200" cy="8686800"/>
              <wp:effectExtent l="1270" t="0" r="0" b="0"/>
              <wp:wrapNone/>
              <wp:docPr id="7"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A6038D">
                          <w:pPr>
                            <w:pStyle w:val="RuleHeader"/>
                            <w:rPr>
                              <w:rStyle w:val="RuleChar"/>
                            </w:rPr>
                          </w:pPr>
                          <w:r>
                            <w:t>1</w:t>
                          </w:r>
                        </w:p>
                        <w:p w:rsidR="00FF1497" w:rsidRDefault="00A6038D">
                          <w:pPr>
                            <w:pStyle w:val="RuleHeader"/>
                          </w:pPr>
                          <w:r>
                            <w:t>2</w:t>
                          </w:r>
                        </w:p>
                        <w:p w:rsidR="00FF1497" w:rsidRDefault="00A6038D">
                          <w:pPr>
                            <w:pStyle w:val="RuleHeader"/>
                          </w:pPr>
                          <w:r>
                            <w:t>3</w:t>
                          </w:r>
                        </w:p>
                        <w:p w:rsidR="00FF1497" w:rsidRDefault="00A6038D">
                          <w:pPr>
                            <w:pStyle w:val="RuleHeader"/>
                          </w:pPr>
                          <w:r>
                            <w:t>4</w:t>
                          </w:r>
                        </w:p>
                        <w:p w:rsidR="00FF1497" w:rsidRDefault="00A6038D">
                          <w:pPr>
                            <w:pStyle w:val="RuleHeader"/>
                          </w:pPr>
                          <w:r>
                            <w:t>5</w:t>
                          </w:r>
                        </w:p>
                        <w:p w:rsidR="00FF1497" w:rsidRDefault="00A6038D">
                          <w:pPr>
                            <w:pStyle w:val="RuleHeader"/>
                          </w:pPr>
                          <w:r>
                            <w:t>6</w:t>
                          </w:r>
                        </w:p>
                        <w:p w:rsidR="00FF1497" w:rsidRDefault="00A6038D">
                          <w:pPr>
                            <w:pStyle w:val="RuleHeader"/>
                          </w:pPr>
                          <w:r>
                            <w:t>7</w:t>
                          </w:r>
                        </w:p>
                        <w:p w:rsidR="00FF1497" w:rsidRDefault="00A6038D">
                          <w:pPr>
                            <w:pStyle w:val="RuleHeader"/>
                          </w:pPr>
                          <w:r>
                            <w:t>8</w:t>
                          </w:r>
                        </w:p>
                        <w:p w:rsidR="00FF1497" w:rsidRDefault="00A6038D">
                          <w:pPr>
                            <w:pStyle w:val="RuleHeader"/>
                          </w:pPr>
                          <w:r>
                            <w:t>9</w:t>
                          </w:r>
                        </w:p>
                        <w:p w:rsidR="00FF1497" w:rsidRDefault="00A6038D">
                          <w:pPr>
                            <w:pStyle w:val="RuleHeader"/>
                          </w:pPr>
                          <w:r>
                            <w:t>10</w:t>
                          </w:r>
                        </w:p>
                        <w:p w:rsidR="00FF1497" w:rsidRDefault="00A6038D">
                          <w:pPr>
                            <w:pStyle w:val="RuleHeader"/>
                          </w:pPr>
                          <w:r>
                            <w:t>11</w:t>
                          </w:r>
                        </w:p>
                        <w:p w:rsidR="00FF1497" w:rsidRDefault="00A6038D">
                          <w:pPr>
                            <w:pStyle w:val="RuleHeader"/>
                          </w:pPr>
                          <w:r>
                            <w:t>12</w:t>
                          </w:r>
                        </w:p>
                        <w:p w:rsidR="00FF1497" w:rsidRDefault="00A6038D">
                          <w:pPr>
                            <w:pStyle w:val="RuleHeader"/>
                          </w:pPr>
                          <w:r>
                            <w:t>13</w:t>
                          </w:r>
                        </w:p>
                        <w:p w:rsidR="00FF1497" w:rsidRDefault="00A6038D">
                          <w:pPr>
                            <w:pStyle w:val="RuleHeader"/>
                          </w:pPr>
                          <w:r>
                            <w:t>14</w:t>
                          </w:r>
                        </w:p>
                        <w:p w:rsidR="00FF1497" w:rsidRDefault="00A6038D">
                          <w:pPr>
                            <w:pStyle w:val="RuleHeader"/>
                          </w:pPr>
                          <w:r>
                            <w:t>15</w:t>
                          </w:r>
                        </w:p>
                        <w:p w:rsidR="00FF1497" w:rsidRDefault="00A6038D">
                          <w:pPr>
                            <w:pStyle w:val="RuleHeader"/>
                          </w:pPr>
                          <w:r>
                            <w:t>16</w:t>
                          </w:r>
                        </w:p>
                        <w:p w:rsidR="00FF1497" w:rsidRDefault="00A6038D">
                          <w:pPr>
                            <w:pStyle w:val="RuleHeader"/>
                          </w:pPr>
                          <w:r>
                            <w:t>17</w:t>
                          </w:r>
                        </w:p>
                        <w:p w:rsidR="00FF1497" w:rsidRDefault="00A6038D">
                          <w:pPr>
                            <w:pStyle w:val="RuleHeader"/>
                          </w:pPr>
                          <w:r>
                            <w:t>18</w:t>
                          </w:r>
                        </w:p>
                        <w:p w:rsidR="00FF1497" w:rsidRDefault="00A6038D">
                          <w:pPr>
                            <w:pStyle w:val="RuleHeader"/>
                          </w:pPr>
                          <w:r>
                            <w:t>19</w:t>
                          </w:r>
                        </w:p>
                        <w:p w:rsidR="00FF1497" w:rsidRDefault="00A6038D">
                          <w:pPr>
                            <w:pStyle w:val="RuleHeader"/>
                          </w:pPr>
                          <w:r>
                            <w:t>20</w:t>
                          </w:r>
                        </w:p>
                        <w:p w:rsidR="00FF1497" w:rsidRDefault="00A6038D">
                          <w:pPr>
                            <w:pStyle w:val="RuleHeader"/>
                          </w:pPr>
                          <w:r>
                            <w:t>21</w:t>
                          </w:r>
                        </w:p>
                        <w:p w:rsidR="00FF1497" w:rsidRDefault="00A6038D">
                          <w:pPr>
                            <w:pStyle w:val="RuleHeader"/>
                          </w:pPr>
                          <w:r>
                            <w:t>22</w:t>
                          </w:r>
                        </w:p>
                        <w:p w:rsidR="00FF1497" w:rsidRDefault="00A6038D">
                          <w:pPr>
                            <w:pStyle w:val="RuleHeader"/>
                          </w:pPr>
                          <w:r>
                            <w:t>23</w:t>
                          </w:r>
                        </w:p>
                        <w:p w:rsidR="00FF1497" w:rsidRDefault="00A6038D">
                          <w:pPr>
                            <w:pStyle w:val="RuleHeader"/>
                          </w:pPr>
                          <w:r>
                            <w:t>24</w:t>
                          </w:r>
                        </w:p>
                        <w:p w:rsidR="00FF1497" w:rsidRDefault="00A6038D">
                          <w:pPr>
                            <w:pStyle w:val="RuleHeader"/>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ineNumbers" o:spid="_x0000_s1026" type="#_x0000_t202" style="position:absolute;margin-left:69.85pt;margin-top:0;width:36pt;height:68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" stroked="f">
              <v:textbox inset="0,0,0,0">
                <w:txbxContent>
                  <w:p w:rsidR="00FF1497" w:rsidRDefault="00A6038D">
                    <w:pPr>
                      <w:pStyle w:val="RuleHeader"/>
                      <w:rPr>
                        <w:rStyle w:val="RuleChar"/>
                      </w:rPr>
                    </w:pPr>
                    <w:r>
                      <w:t>1</w:t>
                    </w:r>
                  </w:p>
                  <w:p w:rsidR="00FF1497" w:rsidRDefault="00A6038D">
                    <w:pPr>
                      <w:pStyle w:val="RuleHeader"/>
                    </w:pPr>
                    <w:r>
                      <w:t>2</w:t>
                    </w:r>
                  </w:p>
                  <w:p w:rsidR="00FF1497" w:rsidRDefault="00A6038D">
                    <w:pPr>
                      <w:pStyle w:val="RuleHeader"/>
                    </w:pPr>
                    <w:r>
                      <w:t>3</w:t>
                    </w:r>
                  </w:p>
                  <w:p w:rsidR="00FF1497" w:rsidRDefault="00A6038D">
                    <w:pPr>
                      <w:pStyle w:val="RuleHeader"/>
                    </w:pPr>
                    <w:r>
                      <w:t>4</w:t>
                    </w:r>
                  </w:p>
                  <w:p w:rsidR="00FF1497" w:rsidRDefault="00A6038D">
                    <w:pPr>
                      <w:pStyle w:val="RuleHeader"/>
                    </w:pPr>
                    <w:r>
                      <w:t>5</w:t>
                    </w:r>
                  </w:p>
                  <w:p w:rsidR="00FF1497" w:rsidRDefault="00A6038D">
                    <w:pPr>
                      <w:pStyle w:val="RuleHeader"/>
                    </w:pPr>
                    <w:r>
                      <w:t>6</w:t>
                    </w:r>
                  </w:p>
                  <w:p w:rsidR="00FF1497" w:rsidRDefault="00A6038D">
                    <w:pPr>
                      <w:pStyle w:val="RuleHeader"/>
                    </w:pPr>
                    <w:r>
                      <w:t>7</w:t>
                    </w:r>
                  </w:p>
                  <w:p w:rsidR="00FF1497" w:rsidRDefault="00A6038D">
                    <w:pPr>
                      <w:pStyle w:val="RuleHeader"/>
                    </w:pPr>
                    <w:r>
                      <w:t>8</w:t>
                    </w:r>
                  </w:p>
                  <w:p w:rsidR="00FF1497" w:rsidRDefault="00A6038D">
                    <w:pPr>
                      <w:pStyle w:val="RuleHeader"/>
                    </w:pPr>
                    <w:r>
                      <w:t>9</w:t>
                    </w:r>
                  </w:p>
                  <w:p w:rsidR="00FF1497" w:rsidRDefault="00A6038D">
                    <w:pPr>
                      <w:pStyle w:val="RuleHeader"/>
                    </w:pPr>
                    <w:r>
                      <w:t>10</w:t>
                    </w:r>
                  </w:p>
                  <w:p w:rsidR="00FF1497" w:rsidRDefault="00A6038D">
                    <w:pPr>
                      <w:pStyle w:val="RuleHeader"/>
                    </w:pPr>
                    <w:r>
                      <w:t>11</w:t>
                    </w:r>
                  </w:p>
                  <w:p w:rsidR="00FF1497" w:rsidRDefault="00A6038D">
                    <w:pPr>
                      <w:pStyle w:val="RuleHeader"/>
                    </w:pPr>
                    <w:r>
                      <w:t>12</w:t>
                    </w:r>
                  </w:p>
                  <w:p w:rsidR="00FF1497" w:rsidRDefault="00A6038D">
                    <w:pPr>
                      <w:pStyle w:val="RuleHeader"/>
                    </w:pPr>
                    <w:r>
                      <w:t>13</w:t>
                    </w:r>
                  </w:p>
                  <w:p w:rsidR="00FF1497" w:rsidRDefault="00A6038D">
                    <w:pPr>
                      <w:pStyle w:val="RuleHeader"/>
                    </w:pPr>
                    <w:r>
                      <w:t>14</w:t>
                    </w:r>
                  </w:p>
                  <w:p w:rsidR="00FF1497" w:rsidRDefault="00A6038D">
                    <w:pPr>
                      <w:pStyle w:val="RuleHeader"/>
                    </w:pPr>
                    <w:r>
                      <w:t>15</w:t>
                    </w:r>
                  </w:p>
                  <w:p w:rsidR="00FF1497" w:rsidRDefault="00A6038D">
                    <w:pPr>
                      <w:pStyle w:val="RuleHeader"/>
                    </w:pPr>
                    <w:r>
                      <w:t>16</w:t>
                    </w:r>
                  </w:p>
                  <w:p w:rsidR="00FF1497" w:rsidRDefault="00A6038D">
                    <w:pPr>
                      <w:pStyle w:val="RuleHeader"/>
                    </w:pPr>
                    <w:r>
                      <w:t>17</w:t>
                    </w:r>
                  </w:p>
                  <w:p w:rsidR="00FF1497" w:rsidRDefault="00A6038D">
                    <w:pPr>
                      <w:pStyle w:val="RuleHeader"/>
                    </w:pPr>
                    <w:r>
                      <w:t>18</w:t>
                    </w:r>
                  </w:p>
                  <w:p w:rsidR="00FF1497" w:rsidRDefault="00A6038D">
                    <w:pPr>
                      <w:pStyle w:val="RuleHeader"/>
                    </w:pPr>
                    <w:r>
                      <w:t>19</w:t>
                    </w:r>
                  </w:p>
                  <w:p w:rsidR="00FF1497" w:rsidRDefault="00A6038D">
                    <w:pPr>
                      <w:pStyle w:val="RuleHeader"/>
                    </w:pPr>
                    <w:r>
                      <w:t>20</w:t>
                    </w:r>
                  </w:p>
                  <w:p w:rsidR="00FF1497" w:rsidRDefault="00A6038D">
                    <w:pPr>
                      <w:pStyle w:val="RuleHeader"/>
                    </w:pPr>
                    <w:r>
                      <w:t>21</w:t>
                    </w:r>
                  </w:p>
                  <w:p w:rsidR="00FF1497" w:rsidRDefault="00A6038D">
                    <w:pPr>
                      <w:pStyle w:val="RuleHeader"/>
                    </w:pPr>
                    <w:r>
                      <w:t>22</w:t>
                    </w:r>
                  </w:p>
                  <w:p w:rsidR="00FF1497" w:rsidRDefault="00A6038D">
                    <w:pPr>
                      <w:pStyle w:val="RuleHeader"/>
                    </w:pPr>
                    <w:r>
                      <w:t>23</w:t>
                    </w:r>
                  </w:p>
                  <w:p w:rsidR="00FF1497" w:rsidRDefault="00A6038D">
                    <w:pPr>
                      <w:pStyle w:val="RuleHeader"/>
                    </w:pPr>
                    <w:r>
                      <w:t>24</w:t>
                    </w:r>
                  </w:p>
                  <w:p w:rsidR="00FF1497" w:rsidRDefault="00A6038D">
                    <w:pPr>
                      <w:pStyle w:val="RuleHeader"/>
                    </w:pPr>
                    <w:r>
                      <w:t>25</w:t>
                    </w:r>
                  </w:p>
                </w:txbxContent>
              </v:textbox>
              <w10:wrap anchorx="page" anchory="margin"/>
            </v:shape>
          </w:pict>
        </mc:Fallback>
      </mc:AlternateContent>
    </w:r>
    <w:r>
      <w:rPr>
        <w:b/>
        <w:noProof/>
      </w:rPr>
      <mc:AlternateContent>
        <mc:Choice Requires="wps">
          <w:drawing>
            <wp:anchor distT="0" distB="0" distL="114300" distR="114300" simplePos="0" relativeHeight="251661312" behindDoc="0" locked="0" layoutInCell="1" allowOverlap="1" wp14:anchorId="3D5CB8CB" wp14:editId="292A11F9">
              <wp:simplePos x="0" y="0"/>
              <wp:positionH relativeFrom="margin">
                <wp:posOffset>5943600</wp:posOffset>
              </wp:positionH>
              <wp:positionV relativeFrom="page">
                <wp:posOffset>0</wp:posOffset>
              </wp:positionV>
              <wp:extent cx="0" cy="10058400"/>
              <wp:effectExtent l="9525" t="9525" r="9525" b="9525"/>
              <wp:wrapNone/>
              <wp:docPr id="6"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1312;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mJ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h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z7kpiR4CAAA5BAAADgAAAAAAAAAAAAAAAAAuAgAAZHJzL2Uyb0RvYy54bWxQSwEC&#10;LQAUAAYACAAAACEAdm5VWt0AAAAJAQAADwAAAAAAAAAAAAAAAAB4BAAAZHJzL2Rvd25yZXYueG1s&#10;UEsFBgAAAAAEAAQA8wAAAIIFAAAAAA==&#10;">
              <w10:wrap anchorx="margin" anchory="page"/>
            </v:line>
          </w:pict>
        </mc:Fallback>
      </mc:AlternateContent>
    </w:r>
    <w:r>
      <w:rPr>
        <w:b/>
        <w:noProof/>
      </w:rPr>
      <mc:AlternateContent>
        <mc:Choice Requires="wps">
          <w:drawing>
            <wp:anchor distT="0" distB="0" distL="114300" distR="114300" simplePos="0" relativeHeight="251660288" behindDoc="0" locked="0" layoutInCell="1" allowOverlap="1" wp14:anchorId="4E004936" wp14:editId="7C056897">
              <wp:simplePos x="0" y="0"/>
              <wp:positionH relativeFrom="margin">
                <wp:posOffset>-91440</wp:posOffset>
              </wp:positionH>
              <wp:positionV relativeFrom="page">
                <wp:posOffset>0</wp:posOffset>
              </wp:positionV>
              <wp:extent cx="0" cy="10058400"/>
              <wp:effectExtent l="13335" t="9525" r="5715" b="9525"/>
              <wp:wrapNone/>
              <wp:docPr id="5"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028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Ws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C7YdWs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97" w:rsidRDefault="00A6038D">
    <w:pPr>
      <w:tabs>
        <w:tab w:val="left" w:pos="3770"/>
      </w:tabs>
    </w:pPr>
    <w:r>
      <w:rPr>
        <w:noProof/>
      </w:rPr>
      <mc:AlternateContent>
        <mc:Choice Requires="wps">
          <w:drawing>
            <wp:anchor distT="0" distB="0" distL="114300" distR="114300" simplePos="0" relativeHeight="251663360" behindDoc="0" locked="0" layoutInCell="1" allowOverlap="1" wp14:anchorId="39080727" wp14:editId="0407288E">
              <wp:simplePos x="0" y="0"/>
              <wp:positionH relativeFrom="margin">
                <wp:posOffset>-66040</wp:posOffset>
              </wp:positionH>
              <wp:positionV relativeFrom="page">
                <wp:posOffset>914400</wp:posOffset>
              </wp:positionV>
              <wp:extent cx="0" cy="8321040"/>
              <wp:effectExtent l="10160" t="9525" r="8890" b="13335"/>
              <wp:wrapNone/>
              <wp:docPr id="4" name="LeftBorder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21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1"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pt,1in" to="-5.2pt,7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">
              <w10:wrap anchorx="margin" anchory="page"/>
            </v:line>
          </w:pict>
        </mc:Fallback>
      </mc:AlternateContent>
    </w:r>
    <w:r>
      <w:rPr>
        <w:noProof/>
      </w:rPr>
      <mc:AlternateContent>
        <mc:Choice Requires="wps">
          <w:drawing>
            <wp:anchor distT="0" distB="0" distL="114300" distR="114300" simplePos="0" relativeHeight="251666432" behindDoc="0" locked="0" layoutInCell="1" allowOverlap="1" wp14:anchorId="21AB8AB5" wp14:editId="4CF5014B">
              <wp:simplePos x="0" y="0"/>
              <wp:positionH relativeFrom="margin">
                <wp:posOffset>-640080</wp:posOffset>
              </wp:positionH>
              <wp:positionV relativeFrom="margin">
                <wp:posOffset>0</wp:posOffset>
              </wp:positionV>
              <wp:extent cx="457200" cy="8686800"/>
              <wp:effectExtent l="0" t="0" r="1905" b="0"/>
              <wp:wrapNone/>
              <wp:docPr id="3" name="LineNumb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868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F1497" w:rsidRDefault="00A6038D">
                          <w:pPr>
                            <w:jc w:val="right"/>
                          </w:pPr>
                          <w:r>
                            <w:t>1</w:t>
                          </w:r>
                        </w:p>
                        <w:p w:rsidR="00FF1497" w:rsidRDefault="00A6038D">
                          <w:pPr>
                            <w:jc w:val="right"/>
                          </w:pPr>
                          <w:r>
                            <w:t>2</w:t>
                          </w:r>
                        </w:p>
                        <w:p w:rsidR="00FF1497" w:rsidRDefault="00A6038D">
                          <w:pPr>
                            <w:jc w:val="right"/>
                          </w:pPr>
                          <w:r>
                            <w:t>3</w:t>
                          </w:r>
                        </w:p>
                        <w:p w:rsidR="00FF1497" w:rsidRDefault="00A6038D">
                          <w:pPr>
                            <w:jc w:val="right"/>
                          </w:pPr>
                          <w:r>
                            <w:t>4</w:t>
                          </w:r>
                        </w:p>
                        <w:p w:rsidR="00FF1497" w:rsidRDefault="00A6038D">
                          <w:pPr>
                            <w:jc w:val="right"/>
                          </w:pPr>
                          <w:r>
                            <w:t>5</w:t>
                          </w:r>
                        </w:p>
                        <w:p w:rsidR="00FF1497" w:rsidRDefault="00A6038D">
                          <w:pPr>
                            <w:jc w:val="right"/>
                          </w:pPr>
                          <w:r>
                            <w:t>6</w:t>
                          </w:r>
                        </w:p>
                        <w:p w:rsidR="00FF1497" w:rsidRDefault="00A6038D">
                          <w:pPr>
                            <w:jc w:val="right"/>
                          </w:pPr>
                          <w:r>
                            <w:t>7</w:t>
                          </w:r>
                        </w:p>
                        <w:p w:rsidR="00FF1497" w:rsidRDefault="00A6038D">
                          <w:pPr>
                            <w:jc w:val="right"/>
                          </w:pPr>
                          <w:r>
                            <w:t>8</w:t>
                          </w:r>
                        </w:p>
                        <w:p w:rsidR="00FF1497" w:rsidRDefault="00A6038D">
                          <w:pPr>
                            <w:jc w:val="right"/>
                          </w:pPr>
                          <w:r>
                            <w:t>9</w:t>
                          </w:r>
                        </w:p>
                        <w:p w:rsidR="00FF1497" w:rsidRDefault="00A6038D">
                          <w:pPr>
                            <w:jc w:val="right"/>
                          </w:pPr>
                          <w:r>
                            <w:t>10</w:t>
                          </w:r>
                        </w:p>
                        <w:p w:rsidR="00FF1497" w:rsidRDefault="00A6038D">
                          <w:pPr>
                            <w:jc w:val="right"/>
                          </w:pPr>
                          <w:r>
                            <w:t>11</w:t>
                          </w:r>
                        </w:p>
                        <w:p w:rsidR="00FF1497" w:rsidRDefault="00A6038D">
                          <w:pPr>
                            <w:jc w:val="right"/>
                          </w:pPr>
                          <w:r>
                            <w:t>12</w:t>
                          </w:r>
                        </w:p>
                        <w:p w:rsidR="00FF1497" w:rsidRDefault="00A6038D">
                          <w:pPr>
                            <w:jc w:val="right"/>
                          </w:pPr>
                          <w:r>
                            <w:t>13</w:t>
                          </w:r>
                        </w:p>
                        <w:p w:rsidR="00FF1497" w:rsidRDefault="00A6038D">
                          <w:pPr>
                            <w:jc w:val="right"/>
                          </w:pPr>
                          <w:r>
                            <w:t>14</w:t>
                          </w:r>
                        </w:p>
                        <w:p w:rsidR="00FF1497" w:rsidRDefault="00A6038D">
                          <w:pPr>
                            <w:jc w:val="right"/>
                          </w:pPr>
                          <w:r>
                            <w:t>15</w:t>
                          </w:r>
                        </w:p>
                        <w:p w:rsidR="00FF1497" w:rsidRDefault="00A6038D">
                          <w:pPr>
                            <w:jc w:val="right"/>
                          </w:pPr>
                          <w:r>
                            <w:t>16</w:t>
                          </w:r>
                        </w:p>
                        <w:p w:rsidR="00FF1497" w:rsidRDefault="00A6038D">
                          <w:pPr>
                            <w:jc w:val="right"/>
                          </w:pPr>
                          <w:r>
                            <w:t>17</w:t>
                          </w:r>
                        </w:p>
                        <w:p w:rsidR="00FF1497" w:rsidRDefault="00A6038D">
                          <w:pPr>
                            <w:jc w:val="right"/>
                          </w:pPr>
                          <w:r>
                            <w:t>18</w:t>
                          </w:r>
                        </w:p>
                        <w:p w:rsidR="00FF1497" w:rsidRDefault="00A6038D">
                          <w:pPr>
                            <w:jc w:val="right"/>
                          </w:pPr>
                          <w:r>
                            <w:t>19</w:t>
                          </w:r>
                        </w:p>
                        <w:p w:rsidR="00FF1497" w:rsidRDefault="00A6038D">
                          <w:pPr>
                            <w:jc w:val="right"/>
                          </w:pPr>
                          <w:r>
                            <w:t>20</w:t>
                          </w:r>
                        </w:p>
                        <w:p w:rsidR="00FF1497" w:rsidRDefault="00A6038D">
                          <w:pPr>
                            <w:jc w:val="right"/>
                          </w:pPr>
                          <w:r>
                            <w:t>21</w:t>
                          </w:r>
                        </w:p>
                        <w:p w:rsidR="00FF1497" w:rsidRDefault="00A6038D">
                          <w:pPr>
                            <w:jc w:val="right"/>
                          </w:pPr>
                          <w:r>
                            <w:t>22</w:t>
                          </w:r>
                        </w:p>
                        <w:p w:rsidR="00FF1497" w:rsidRDefault="00A6038D">
                          <w:pPr>
                            <w:jc w:val="right"/>
                          </w:pPr>
                          <w:r>
                            <w:t>23</w:t>
                          </w:r>
                        </w:p>
                        <w:p w:rsidR="00FF1497" w:rsidRDefault="00A6038D">
                          <w:pPr>
                            <w:jc w:val="right"/>
                          </w:pPr>
                          <w:r>
                            <w:t>24</w:t>
                          </w:r>
                        </w:p>
                        <w:p w:rsidR="00FF1497" w:rsidRDefault="00A6038D">
                          <w:pPr>
                            <w:jc w:val="right"/>
                          </w:pPr>
                          <w:r>
                            <w:t>25</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50.4pt;margin-top:0;width:36pt;height:68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" stroked="f">
              <v:textbox inset="0,0,0,0">
                <w:txbxContent>
                  <w:p w:rsidR="00FF1497" w:rsidRDefault="00A6038D">
                    <w:pPr>
                      <w:jc w:val="right"/>
                    </w:pPr>
                    <w:r>
                      <w:t>1</w:t>
                    </w:r>
                  </w:p>
                  <w:p w:rsidR="00FF1497" w:rsidRDefault="00A6038D">
                    <w:pPr>
                      <w:jc w:val="right"/>
                    </w:pPr>
                    <w:r>
                      <w:t>2</w:t>
                    </w:r>
                  </w:p>
                  <w:p w:rsidR="00FF1497" w:rsidRDefault="00A6038D">
                    <w:pPr>
                      <w:jc w:val="right"/>
                    </w:pPr>
                    <w:r>
                      <w:t>3</w:t>
                    </w:r>
                  </w:p>
                  <w:p w:rsidR="00FF1497" w:rsidRDefault="00A6038D">
                    <w:pPr>
                      <w:jc w:val="right"/>
                    </w:pPr>
                    <w:r>
                      <w:t>4</w:t>
                    </w:r>
                  </w:p>
                  <w:p w:rsidR="00FF1497" w:rsidRDefault="00A6038D">
                    <w:pPr>
                      <w:jc w:val="right"/>
                    </w:pPr>
                    <w:r>
                      <w:t>5</w:t>
                    </w:r>
                  </w:p>
                  <w:p w:rsidR="00FF1497" w:rsidRDefault="00A6038D">
                    <w:pPr>
                      <w:jc w:val="right"/>
                    </w:pPr>
                    <w:r>
                      <w:t>6</w:t>
                    </w:r>
                  </w:p>
                  <w:p w:rsidR="00FF1497" w:rsidRDefault="00A6038D">
                    <w:pPr>
                      <w:jc w:val="right"/>
                    </w:pPr>
                    <w:r>
                      <w:t>7</w:t>
                    </w:r>
                  </w:p>
                  <w:p w:rsidR="00FF1497" w:rsidRDefault="00A6038D">
                    <w:pPr>
                      <w:jc w:val="right"/>
                    </w:pPr>
                    <w:r>
                      <w:t>8</w:t>
                    </w:r>
                  </w:p>
                  <w:p w:rsidR="00FF1497" w:rsidRDefault="00A6038D">
                    <w:pPr>
                      <w:jc w:val="right"/>
                    </w:pPr>
                    <w:r>
                      <w:t>9</w:t>
                    </w:r>
                  </w:p>
                  <w:p w:rsidR="00FF1497" w:rsidRDefault="00A6038D">
                    <w:pPr>
                      <w:jc w:val="right"/>
                    </w:pPr>
                    <w:r>
                      <w:t>10</w:t>
                    </w:r>
                  </w:p>
                  <w:p w:rsidR="00FF1497" w:rsidRDefault="00A6038D">
                    <w:pPr>
                      <w:jc w:val="right"/>
                    </w:pPr>
                    <w:r>
                      <w:t>11</w:t>
                    </w:r>
                  </w:p>
                  <w:p w:rsidR="00FF1497" w:rsidRDefault="00A6038D">
                    <w:pPr>
                      <w:jc w:val="right"/>
                    </w:pPr>
                    <w:r>
                      <w:t>12</w:t>
                    </w:r>
                  </w:p>
                  <w:p w:rsidR="00FF1497" w:rsidRDefault="00A6038D">
                    <w:pPr>
                      <w:jc w:val="right"/>
                    </w:pPr>
                    <w:r>
                      <w:t>13</w:t>
                    </w:r>
                  </w:p>
                  <w:p w:rsidR="00FF1497" w:rsidRDefault="00A6038D">
                    <w:pPr>
                      <w:jc w:val="right"/>
                    </w:pPr>
                    <w:r>
                      <w:t>14</w:t>
                    </w:r>
                  </w:p>
                  <w:p w:rsidR="00FF1497" w:rsidRDefault="00A6038D">
                    <w:pPr>
                      <w:jc w:val="right"/>
                    </w:pPr>
                    <w:r>
                      <w:t>15</w:t>
                    </w:r>
                  </w:p>
                  <w:p w:rsidR="00FF1497" w:rsidRDefault="00A6038D">
                    <w:pPr>
                      <w:jc w:val="right"/>
                    </w:pPr>
                    <w:r>
                      <w:t>16</w:t>
                    </w:r>
                  </w:p>
                  <w:p w:rsidR="00FF1497" w:rsidRDefault="00A6038D">
                    <w:pPr>
                      <w:jc w:val="right"/>
                    </w:pPr>
                    <w:r>
                      <w:t>17</w:t>
                    </w:r>
                  </w:p>
                  <w:p w:rsidR="00FF1497" w:rsidRDefault="00A6038D">
                    <w:pPr>
                      <w:jc w:val="right"/>
                    </w:pPr>
                    <w:r>
                      <w:t>18</w:t>
                    </w:r>
                  </w:p>
                  <w:p w:rsidR="00FF1497" w:rsidRDefault="00A6038D">
                    <w:pPr>
                      <w:jc w:val="right"/>
                    </w:pPr>
                    <w:r>
                      <w:t>19</w:t>
                    </w:r>
                  </w:p>
                  <w:p w:rsidR="00FF1497" w:rsidRDefault="00A6038D">
                    <w:pPr>
                      <w:jc w:val="right"/>
                    </w:pPr>
                    <w:r>
                      <w:t>20</w:t>
                    </w:r>
                  </w:p>
                  <w:p w:rsidR="00FF1497" w:rsidRDefault="00A6038D">
                    <w:pPr>
                      <w:jc w:val="right"/>
                    </w:pPr>
                    <w:r>
                      <w:t>21</w:t>
                    </w:r>
                  </w:p>
                  <w:p w:rsidR="00FF1497" w:rsidRDefault="00A6038D">
                    <w:pPr>
                      <w:jc w:val="right"/>
                    </w:pPr>
                    <w:r>
                      <w:t>22</w:t>
                    </w:r>
                  </w:p>
                  <w:p w:rsidR="00FF1497" w:rsidRDefault="00A6038D">
                    <w:pPr>
                      <w:jc w:val="right"/>
                    </w:pPr>
                    <w:r>
                      <w:t>23</w:t>
                    </w:r>
                  </w:p>
                  <w:p w:rsidR="00FF1497" w:rsidRDefault="00A6038D">
                    <w:pPr>
                      <w:jc w:val="right"/>
                    </w:pPr>
                    <w:r>
                      <w:t>24</w:t>
                    </w:r>
                  </w:p>
                  <w:p w:rsidR="00FF1497" w:rsidRDefault="00A6038D">
                    <w:pPr>
                      <w:jc w:val="right"/>
                    </w:pPr>
                    <w:r>
                      <w:t>25</w:t>
                    </w:r>
                  </w:p>
                </w:txbxContent>
              </v:textbox>
              <w10:wrap anchorx="margin" anchory="margin"/>
            </v:shape>
          </w:pict>
        </mc:Fallback>
      </mc:AlternateContent>
    </w:r>
    <w:r>
      <w:rPr>
        <w:noProof/>
      </w:rPr>
      <mc:AlternateContent>
        <mc:Choice Requires="wps">
          <w:drawing>
            <wp:anchor distT="0" distB="0" distL="114300" distR="114300" simplePos="0" relativeHeight="251665408" behindDoc="0" locked="0" layoutInCell="1" allowOverlap="1" wp14:anchorId="6E3F7548" wp14:editId="13833F99">
              <wp:simplePos x="0" y="0"/>
              <wp:positionH relativeFrom="margin">
                <wp:posOffset>5943600</wp:posOffset>
              </wp:positionH>
              <wp:positionV relativeFrom="page">
                <wp:posOffset>0</wp:posOffset>
              </wp:positionV>
              <wp:extent cx="0" cy="10058400"/>
              <wp:effectExtent l="9525" t="9525" r="9525" b="9525"/>
              <wp:wrapNone/>
              <wp:docPr id="2" name="RightBorder"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ightBorder" o:spid="_x0000_s1026" style="position:absolute;z-index:251665408;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8pt,0" to="468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">
              <w10:wrap anchorx="margin" anchory="page"/>
            </v:line>
          </w:pict>
        </mc:Fallback>
      </mc:AlternateContent>
    </w:r>
    <w:r>
      <w:rPr>
        <w:noProof/>
      </w:rPr>
      <mc:AlternateContent>
        <mc:Choice Requires="wps">
          <w:drawing>
            <wp:anchor distT="0" distB="0" distL="114300" distR="114300" simplePos="0" relativeHeight="251664384" behindDoc="0" locked="0" layoutInCell="1" allowOverlap="1" wp14:anchorId="2D2B8E66" wp14:editId="7B02B345">
              <wp:simplePos x="0" y="0"/>
              <wp:positionH relativeFrom="margin">
                <wp:posOffset>-91440</wp:posOffset>
              </wp:positionH>
              <wp:positionV relativeFrom="page">
                <wp:posOffset>0</wp:posOffset>
              </wp:positionV>
              <wp:extent cx="0" cy="10058400"/>
              <wp:effectExtent l="13335" t="9525" r="5715" b="9525"/>
              <wp:wrapNone/>
              <wp:docPr id="9" name="LeftBorder2"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eftBorder2" o:spid="_x0000_s1026" style="position:absolute;z-index:251664384;visibility:hidden;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2pt,0" to="-7.2pt,1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">
              <w10:wrap anchorx="margin" anchory="page"/>
            </v: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36E" w:rsidRDefault="00AF736E" w:rsidP="00AF736E">
    <w:pPr>
      <w:pStyle w:val="Header"/>
      <w:tabs>
        <w:tab w:val="clear" w:pos="4320"/>
        <w:tab w:val="clear" w:pos="8640"/>
        <w:tab w:val="right" w:pos="9360"/>
      </w:tabs>
    </w:pPr>
    <w:r>
      <w:fldChar w:fldCharType="begin"/>
    </w:r>
    <w:r>
      <w:instrText xml:space="preserve"> REF DocketLabel</w:instrText>
    </w:r>
    <w:r>
      <w:fldChar w:fldCharType="separate"/>
    </w:r>
    <w:r w:rsidR="00CD1A86">
      <w:t>Docket No.</w:t>
    </w:r>
    <w:r>
      <w:fldChar w:fldCharType="end"/>
    </w:r>
    <w:r>
      <w:t xml:space="preserve"> </w:t>
    </w:r>
    <w:r>
      <w:fldChar w:fldCharType="begin"/>
    </w:r>
    <w:r>
      <w:instrText xml:space="preserve"> REF DocketList</w:instrText>
    </w:r>
    <w:r>
      <w:fldChar w:fldCharType="separate"/>
    </w:r>
    <w:r w:rsidR="00CD1A86">
      <w:t>20190047-GU</w:t>
    </w:r>
    <w:r>
      <w:fldChar w:fldCharType="end"/>
    </w:r>
    <w:r>
      <w:tab/>
      <w:t>ATTACHMENT B</w:t>
    </w:r>
  </w:p>
  <w:p w:rsidR="00AF736E" w:rsidRDefault="00AF736E" w:rsidP="00AF736E">
    <w:pPr>
      <w:pStyle w:val="Header"/>
    </w:pPr>
    <w:r>
      <w:t xml:space="preserve">Date: </w:t>
    </w:r>
    <w:fldSimple w:instr=" REF FilingDate ">
      <w:r w:rsidR="00CD1A86">
        <w:t>March 21, 2019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2867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74FBF"/>
    <w:rsid w:val="000043D5"/>
    <w:rsid w:val="00006170"/>
    <w:rsid w:val="00010E37"/>
    <w:rsid w:val="000172DA"/>
    <w:rsid w:val="000247C5"/>
    <w:rsid w:val="000277C2"/>
    <w:rsid w:val="000303AA"/>
    <w:rsid w:val="00035B48"/>
    <w:rsid w:val="00036CE2"/>
    <w:rsid w:val="00041E28"/>
    <w:rsid w:val="000437FE"/>
    <w:rsid w:val="000513BE"/>
    <w:rsid w:val="00065A06"/>
    <w:rsid w:val="000666F3"/>
    <w:rsid w:val="00070DCB"/>
    <w:rsid w:val="00072CCA"/>
    <w:rsid w:val="00073120"/>
    <w:rsid w:val="000764D0"/>
    <w:rsid w:val="000828D3"/>
    <w:rsid w:val="00094149"/>
    <w:rsid w:val="000A2B57"/>
    <w:rsid w:val="000A418B"/>
    <w:rsid w:val="000C4431"/>
    <w:rsid w:val="000D1C06"/>
    <w:rsid w:val="000D4319"/>
    <w:rsid w:val="000F374A"/>
    <w:rsid w:val="001076AF"/>
    <w:rsid w:val="00117C8C"/>
    <w:rsid w:val="00124E2E"/>
    <w:rsid w:val="00125ED4"/>
    <w:rsid w:val="001305E9"/>
    <w:rsid w:val="001307AF"/>
    <w:rsid w:val="00135687"/>
    <w:rsid w:val="0015506E"/>
    <w:rsid w:val="00163031"/>
    <w:rsid w:val="00165D1D"/>
    <w:rsid w:val="00171A90"/>
    <w:rsid w:val="00180254"/>
    <w:rsid w:val="00191E1F"/>
    <w:rsid w:val="00192943"/>
    <w:rsid w:val="001A7406"/>
    <w:rsid w:val="001B4FEE"/>
    <w:rsid w:val="001B51C5"/>
    <w:rsid w:val="001B6F3F"/>
    <w:rsid w:val="001C52B5"/>
    <w:rsid w:val="001D0D3E"/>
    <w:rsid w:val="001F2245"/>
    <w:rsid w:val="001F2C63"/>
    <w:rsid w:val="001F48C7"/>
    <w:rsid w:val="001F6DA1"/>
    <w:rsid w:val="002044E6"/>
    <w:rsid w:val="00205C82"/>
    <w:rsid w:val="00205DC2"/>
    <w:rsid w:val="00212B17"/>
    <w:rsid w:val="002143A1"/>
    <w:rsid w:val="002163B6"/>
    <w:rsid w:val="00220732"/>
    <w:rsid w:val="00221D32"/>
    <w:rsid w:val="00225C3F"/>
    <w:rsid w:val="00236517"/>
    <w:rsid w:val="00250B06"/>
    <w:rsid w:val="00263D44"/>
    <w:rsid w:val="002702AD"/>
    <w:rsid w:val="00292D82"/>
    <w:rsid w:val="002963CB"/>
    <w:rsid w:val="002D226D"/>
    <w:rsid w:val="002D6DCA"/>
    <w:rsid w:val="002E1181"/>
    <w:rsid w:val="002F6030"/>
    <w:rsid w:val="003037E1"/>
    <w:rsid w:val="00307E51"/>
    <w:rsid w:val="003103EC"/>
    <w:rsid w:val="003144EF"/>
    <w:rsid w:val="00322F74"/>
    <w:rsid w:val="00336FD5"/>
    <w:rsid w:val="00340073"/>
    <w:rsid w:val="003632FD"/>
    <w:rsid w:val="00372805"/>
    <w:rsid w:val="00373180"/>
    <w:rsid w:val="00375AB9"/>
    <w:rsid w:val="003821A0"/>
    <w:rsid w:val="00385B04"/>
    <w:rsid w:val="003864CF"/>
    <w:rsid w:val="003A22A6"/>
    <w:rsid w:val="003A5494"/>
    <w:rsid w:val="003B2510"/>
    <w:rsid w:val="003C2CC4"/>
    <w:rsid w:val="003C3710"/>
    <w:rsid w:val="003E0EFC"/>
    <w:rsid w:val="003E29F0"/>
    <w:rsid w:val="003E4A2B"/>
    <w:rsid w:val="003E76C2"/>
    <w:rsid w:val="003F1679"/>
    <w:rsid w:val="003F21EB"/>
    <w:rsid w:val="003F396A"/>
    <w:rsid w:val="003F4A35"/>
    <w:rsid w:val="003F7FDD"/>
    <w:rsid w:val="00402481"/>
    <w:rsid w:val="004042B4"/>
    <w:rsid w:val="00410DC4"/>
    <w:rsid w:val="00412DAE"/>
    <w:rsid w:val="004242E6"/>
    <w:rsid w:val="00431598"/>
    <w:rsid w:val="004319AD"/>
    <w:rsid w:val="004426B8"/>
    <w:rsid w:val="00444432"/>
    <w:rsid w:val="00471860"/>
    <w:rsid w:val="00477026"/>
    <w:rsid w:val="004A744D"/>
    <w:rsid w:val="004B60BD"/>
    <w:rsid w:val="004C3150"/>
    <w:rsid w:val="004C3641"/>
    <w:rsid w:val="004C4390"/>
    <w:rsid w:val="004C4AF7"/>
    <w:rsid w:val="004D2881"/>
    <w:rsid w:val="004D385F"/>
    <w:rsid w:val="004D5B39"/>
    <w:rsid w:val="004E330D"/>
    <w:rsid w:val="004E5147"/>
    <w:rsid w:val="004E69B5"/>
    <w:rsid w:val="004F5C43"/>
    <w:rsid w:val="0050652D"/>
    <w:rsid w:val="00506C03"/>
    <w:rsid w:val="00511A11"/>
    <w:rsid w:val="00516496"/>
    <w:rsid w:val="00523B11"/>
    <w:rsid w:val="0052572A"/>
    <w:rsid w:val="00543CB3"/>
    <w:rsid w:val="005442E4"/>
    <w:rsid w:val="0055529B"/>
    <w:rsid w:val="00560FF0"/>
    <w:rsid w:val="005614BD"/>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5423"/>
    <w:rsid w:val="006165B2"/>
    <w:rsid w:val="00617276"/>
    <w:rsid w:val="0062527B"/>
    <w:rsid w:val="00625D97"/>
    <w:rsid w:val="00625F1C"/>
    <w:rsid w:val="006279E1"/>
    <w:rsid w:val="00630CEB"/>
    <w:rsid w:val="00632264"/>
    <w:rsid w:val="00644A00"/>
    <w:rsid w:val="006470BC"/>
    <w:rsid w:val="006554D3"/>
    <w:rsid w:val="00667036"/>
    <w:rsid w:val="00673BDB"/>
    <w:rsid w:val="00674341"/>
    <w:rsid w:val="00674FBF"/>
    <w:rsid w:val="006771B8"/>
    <w:rsid w:val="006843B6"/>
    <w:rsid w:val="0068481F"/>
    <w:rsid w:val="0069211E"/>
    <w:rsid w:val="00696F5D"/>
    <w:rsid w:val="00697249"/>
    <w:rsid w:val="006B3947"/>
    <w:rsid w:val="006B4293"/>
    <w:rsid w:val="006B624F"/>
    <w:rsid w:val="006C0C95"/>
    <w:rsid w:val="006C31E3"/>
    <w:rsid w:val="006D09EE"/>
    <w:rsid w:val="006D18D3"/>
    <w:rsid w:val="006E08CB"/>
    <w:rsid w:val="006E598D"/>
    <w:rsid w:val="00700E1C"/>
    <w:rsid w:val="0070437D"/>
    <w:rsid w:val="00704CF1"/>
    <w:rsid w:val="00705B04"/>
    <w:rsid w:val="00710B60"/>
    <w:rsid w:val="00724992"/>
    <w:rsid w:val="00734820"/>
    <w:rsid w:val="007349DC"/>
    <w:rsid w:val="0074365E"/>
    <w:rsid w:val="00744B55"/>
    <w:rsid w:val="007515FD"/>
    <w:rsid w:val="00760D80"/>
    <w:rsid w:val="00780C09"/>
    <w:rsid w:val="00780DDF"/>
    <w:rsid w:val="007834E9"/>
    <w:rsid w:val="00787DBC"/>
    <w:rsid w:val="0079019A"/>
    <w:rsid w:val="00792935"/>
    <w:rsid w:val="007A04A1"/>
    <w:rsid w:val="007A1840"/>
    <w:rsid w:val="007C0528"/>
    <w:rsid w:val="007C3D38"/>
    <w:rsid w:val="007D0F35"/>
    <w:rsid w:val="007D4FEB"/>
    <w:rsid w:val="007D6146"/>
    <w:rsid w:val="007E0CE7"/>
    <w:rsid w:val="007E69B1"/>
    <w:rsid w:val="007F1193"/>
    <w:rsid w:val="007F417F"/>
    <w:rsid w:val="007F7644"/>
    <w:rsid w:val="008042BD"/>
    <w:rsid w:val="008101F4"/>
    <w:rsid w:val="00816624"/>
    <w:rsid w:val="00822427"/>
    <w:rsid w:val="00822562"/>
    <w:rsid w:val="00823663"/>
    <w:rsid w:val="00832DDC"/>
    <w:rsid w:val="00840E8C"/>
    <w:rsid w:val="00850BAC"/>
    <w:rsid w:val="00850D7C"/>
    <w:rsid w:val="00854A3E"/>
    <w:rsid w:val="00854C88"/>
    <w:rsid w:val="00855D08"/>
    <w:rsid w:val="00874344"/>
    <w:rsid w:val="00882155"/>
    <w:rsid w:val="0088233B"/>
    <w:rsid w:val="0088599E"/>
    <w:rsid w:val="00886C37"/>
    <w:rsid w:val="00892D99"/>
    <w:rsid w:val="00893315"/>
    <w:rsid w:val="008A6BD0"/>
    <w:rsid w:val="008B62AE"/>
    <w:rsid w:val="008C04B5"/>
    <w:rsid w:val="008C14FA"/>
    <w:rsid w:val="008C2935"/>
    <w:rsid w:val="008C7B0B"/>
    <w:rsid w:val="008D4057"/>
    <w:rsid w:val="008E0906"/>
    <w:rsid w:val="008E1F19"/>
    <w:rsid w:val="008F2262"/>
    <w:rsid w:val="008F4D2B"/>
    <w:rsid w:val="008F7736"/>
    <w:rsid w:val="0090019E"/>
    <w:rsid w:val="00901086"/>
    <w:rsid w:val="00901C8A"/>
    <w:rsid w:val="009048B0"/>
    <w:rsid w:val="00905886"/>
    <w:rsid w:val="009070D6"/>
    <w:rsid w:val="009076C6"/>
    <w:rsid w:val="0091019E"/>
    <w:rsid w:val="009106F1"/>
    <w:rsid w:val="00912404"/>
    <w:rsid w:val="009145D6"/>
    <w:rsid w:val="00920E64"/>
    <w:rsid w:val="00922002"/>
    <w:rsid w:val="00924020"/>
    <w:rsid w:val="00924B69"/>
    <w:rsid w:val="009271A7"/>
    <w:rsid w:val="0093658B"/>
    <w:rsid w:val="009429FF"/>
    <w:rsid w:val="00945BD6"/>
    <w:rsid w:val="009479FB"/>
    <w:rsid w:val="00951C45"/>
    <w:rsid w:val="009656F2"/>
    <w:rsid w:val="00966A08"/>
    <w:rsid w:val="00971207"/>
    <w:rsid w:val="00975CB4"/>
    <w:rsid w:val="009863B0"/>
    <w:rsid w:val="00987DE1"/>
    <w:rsid w:val="00990571"/>
    <w:rsid w:val="0099673A"/>
    <w:rsid w:val="009A3330"/>
    <w:rsid w:val="009A7C96"/>
    <w:rsid w:val="009C3DB9"/>
    <w:rsid w:val="009D46E5"/>
    <w:rsid w:val="009D568A"/>
    <w:rsid w:val="009D619A"/>
    <w:rsid w:val="009F04EC"/>
    <w:rsid w:val="009F2A7C"/>
    <w:rsid w:val="009F3B36"/>
    <w:rsid w:val="00A019B9"/>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038D"/>
    <w:rsid w:val="00A60D60"/>
    <w:rsid w:val="00A675AC"/>
    <w:rsid w:val="00A7581F"/>
    <w:rsid w:val="00A85B4C"/>
    <w:rsid w:val="00A92FB1"/>
    <w:rsid w:val="00A95A0C"/>
    <w:rsid w:val="00AA2765"/>
    <w:rsid w:val="00AA77B5"/>
    <w:rsid w:val="00AB6C5D"/>
    <w:rsid w:val="00AC3401"/>
    <w:rsid w:val="00AC51A7"/>
    <w:rsid w:val="00AD1992"/>
    <w:rsid w:val="00AD444B"/>
    <w:rsid w:val="00AD5614"/>
    <w:rsid w:val="00AD6C78"/>
    <w:rsid w:val="00AE2EAB"/>
    <w:rsid w:val="00AF5F89"/>
    <w:rsid w:val="00AF736E"/>
    <w:rsid w:val="00AF73CB"/>
    <w:rsid w:val="00B002D6"/>
    <w:rsid w:val="00B03379"/>
    <w:rsid w:val="00B05B51"/>
    <w:rsid w:val="00B14E5A"/>
    <w:rsid w:val="00B15370"/>
    <w:rsid w:val="00B16DA4"/>
    <w:rsid w:val="00B17BEB"/>
    <w:rsid w:val="00B21A3C"/>
    <w:rsid w:val="00B223C0"/>
    <w:rsid w:val="00B234ED"/>
    <w:rsid w:val="00B249B2"/>
    <w:rsid w:val="00B25CA3"/>
    <w:rsid w:val="00B2765A"/>
    <w:rsid w:val="00B3109A"/>
    <w:rsid w:val="00B516ED"/>
    <w:rsid w:val="00B57A6A"/>
    <w:rsid w:val="00B760F1"/>
    <w:rsid w:val="00B7669E"/>
    <w:rsid w:val="00B77DA1"/>
    <w:rsid w:val="00B822A0"/>
    <w:rsid w:val="00B858AE"/>
    <w:rsid w:val="00B85964"/>
    <w:rsid w:val="00B96250"/>
    <w:rsid w:val="00BA0D55"/>
    <w:rsid w:val="00BA37B3"/>
    <w:rsid w:val="00BA40EA"/>
    <w:rsid w:val="00BA4CC6"/>
    <w:rsid w:val="00BB3493"/>
    <w:rsid w:val="00BB7468"/>
    <w:rsid w:val="00BC188A"/>
    <w:rsid w:val="00BC402E"/>
    <w:rsid w:val="00BD0F48"/>
    <w:rsid w:val="00BE6DDB"/>
    <w:rsid w:val="00BF5010"/>
    <w:rsid w:val="00C03D5F"/>
    <w:rsid w:val="00C13791"/>
    <w:rsid w:val="00C24B93"/>
    <w:rsid w:val="00C31BB3"/>
    <w:rsid w:val="00C36977"/>
    <w:rsid w:val="00C467DA"/>
    <w:rsid w:val="00C477D9"/>
    <w:rsid w:val="00C60BA3"/>
    <w:rsid w:val="00C623F7"/>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D1A86"/>
    <w:rsid w:val="00CE2BF8"/>
    <w:rsid w:val="00CE484E"/>
    <w:rsid w:val="00CE656F"/>
    <w:rsid w:val="00CF023C"/>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907"/>
    <w:rsid w:val="00D87B78"/>
    <w:rsid w:val="00D9073E"/>
    <w:rsid w:val="00D9221D"/>
    <w:rsid w:val="00D92306"/>
    <w:rsid w:val="00D958DF"/>
    <w:rsid w:val="00D96DA1"/>
    <w:rsid w:val="00DA51E7"/>
    <w:rsid w:val="00DB0260"/>
    <w:rsid w:val="00DB1C78"/>
    <w:rsid w:val="00DB7D96"/>
    <w:rsid w:val="00DC23FE"/>
    <w:rsid w:val="00DC59E6"/>
    <w:rsid w:val="00DD150B"/>
    <w:rsid w:val="00DD5025"/>
    <w:rsid w:val="00DD733B"/>
    <w:rsid w:val="00DF1510"/>
    <w:rsid w:val="00E02F1F"/>
    <w:rsid w:val="00E06484"/>
    <w:rsid w:val="00E20A7D"/>
    <w:rsid w:val="00E275D8"/>
    <w:rsid w:val="00E30F6A"/>
    <w:rsid w:val="00E3117C"/>
    <w:rsid w:val="00E375CA"/>
    <w:rsid w:val="00E567E8"/>
    <w:rsid w:val="00E64679"/>
    <w:rsid w:val="00E65EBC"/>
    <w:rsid w:val="00E677FE"/>
    <w:rsid w:val="00E73432"/>
    <w:rsid w:val="00E77B0C"/>
    <w:rsid w:val="00E77FB8"/>
    <w:rsid w:val="00E838B0"/>
    <w:rsid w:val="00E86A7C"/>
    <w:rsid w:val="00E878E1"/>
    <w:rsid w:val="00E87F2C"/>
    <w:rsid w:val="00E93501"/>
    <w:rsid w:val="00E95278"/>
    <w:rsid w:val="00EA2273"/>
    <w:rsid w:val="00EA7C3C"/>
    <w:rsid w:val="00EB1B04"/>
    <w:rsid w:val="00EB2DB3"/>
    <w:rsid w:val="00EC3FBB"/>
    <w:rsid w:val="00EC6B7A"/>
    <w:rsid w:val="00ED3A87"/>
    <w:rsid w:val="00ED5B67"/>
    <w:rsid w:val="00EF264C"/>
    <w:rsid w:val="00EF3FEE"/>
    <w:rsid w:val="00F04B59"/>
    <w:rsid w:val="00F11741"/>
    <w:rsid w:val="00F12B1C"/>
    <w:rsid w:val="00F13CF8"/>
    <w:rsid w:val="00F15855"/>
    <w:rsid w:val="00F227DC"/>
    <w:rsid w:val="00F25E7A"/>
    <w:rsid w:val="00F32978"/>
    <w:rsid w:val="00F45CB2"/>
    <w:rsid w:val="00F544C0"/>
    <w:rsid w:val="00F55332"/>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mphasis">
    <w:name w:val="Emphasis"/>
    <w:qFormat/>
    <w:rsid w:val="00250B06"/>
    <w:rPr>
      <w:rFonts w:ascii="Times New Roman" w:hAnsi="Times New Roman"/>
      <w:i/>
      <w:iCs/>
      <w:sz w:val="24"/>
      <w:szCs w:val="24"/>
    </w:rPr>
  </w:style>
  <w:style w:type="character" w:styleId="FootnoteReference">
    <w:name w:val="footnote reference"/>
    <w:basedOn w:val="DefaultParagraphFont"/>
    <w:uiPriority w:val="99"/>
    <w:unhideWhenUsed/>
    <w:rsid w:val="002E1181"/>
    <w:rPr>
      <w:vertAlign w:val="superscript"/>
    </w:rPr>
  </w:style>
  <w:style w:type="character" w:customStyle="1" w:styleId="FootnoteTextChar">
    <w:name w:val="Footnote Text Char"/>
    <w:basedOn w:val="DefaultParagraphFont"/>
    <w:link w:val="FootnoteText"/>
    <w:uiPriority w:val="99"/>
    <w:rsid w:val="002E1181"/>
  </w:style>
  <w:style w:type="character" w:customStyle="1" w:styleId="HeaderChar">
    <w:name w:val="Header Char"/>
    <w:basedOn w:val="DefaultParagraphFont"/>
    <w:link w:val="Header"/>
    <w:rsid w:val="002E1181"/>
    <w:rPr>
      <w:sz w:val="24"/>
      <w:szCs w:val="24"/>
    </w:rPr>
  </w:style>
  <w:style w:type="paragraph" w:customStyle="1" w:styleId="Rule">
    <w:name w:val="Rule"/>
    <w:link w:val="RuleChar"/>
    <w:rsid w:val="00AF736E"/>
    <w:pPr>
      <w:widowControl w:val="0"/>
      <w:tabs>
        <w:tab w:val="left" w:pos="720"/>
      </w:tabs>
      <w:spacing w:line="536" w:lineRule="exact"/>
    </w:pPr>
    <w:rPr>
      <w:sz w:val="24"/>
      <w:szCs w:val="24"/>
    </w:rPr>
  </w:style>
  <w:style w:type="character" w:customStyle="1" w:styleId="RuleChar">
    <w:name w:val="Rule Char"/>
    <w:link w:val="Rule"/>
    <w:rsid w:val="00AF736E"/>
    <w:rPr>
      <w:sz w:val="24"/>
      <w:szCs w:val="24"/>
    </w:rPr>
  </w:style>
  <w:style w:type="paragraph" w:customStyle="1" w:styleId="RuleHeader">
    <w:name w:val="Rule Header"/>
    <w:basedOn w:val="Rule"/>
    <w:rsid w:val="00AF736E"/>
    <w:pPr>
      <w:jc w:val="righ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caption" w:qFormat="1"/>
    <w:lsdException w:name="footnote reference"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link w:val="HeaderChar"/>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Emphasis">
    <w:name w:val="Emphasis"/>
    <w:qFormat/>
    <w:rsid w:val="00250B06"/>
    <w:rPr>
      <w:rFonts w:ascii="Times New Roman" w:hAnsi="Times New Roman"/>
      <w:i/>
      <w:iCs/>
      <w:sz w:val="24"/>
      <w:szCs w:val="24"/>
    </w:rPr>
  </w:style>
  <w:style w:type="character" w:styleId="FootnoteReference">
    <w:name w:val="footnote reference"/>
    <w:basedOn w:val="DefaultParagraphFont"/>
    <w:uiPriority w:val="99"/>
    <w:unhideWhenUsed/>
    <w:rsid w:val="002E1181"/>
    <w:rPr>
      <w:vertAlign w:val="superscript"/>
    </w:rPr>
  </w:style>
  <w:style w:type="character" w:customStyle="1" w:styleId="FootnoteTextChar">
    <w:name w:val="Footnote Text Char"/>
    <w:basedOn w:val="DefaultParagraphFont"/>
    <w:link w:val="FootnoteText"/>
    <w:uiPriority w:val="99"/>
    <w:rsid w:val="002E1181"/>
  </w:style>
  <w:style w:type="character" w:customStyle="1" w:styleId="HeaderChar">
    <w:name w:val="Header Char"/>
    <w:basedOn w:val="DefaultParagraphFont"/>
    <w:link w:val="Header"/>
    <w:rsid w:val="002E1181"/>
    <w:rPr>
      <w:sz w:val="24"/>
      <w:szCs w:val="24"/>
    </w:rPr>
  </w:style>
  <w:style w:type="paragraph" w:customStyle="1" w:styleId="Rule">
    <w:name w:val="Rule"/>
    <w:link w:val="RuleChar"/>
    <w:rsid w:val="00AF736E"/>
    <w:pPr>
      <w:widowControl w:val="0"/>
      <w:tabs>
        <w:tab w:val="left" w:pos="720"/>
      </w:tabs>
      <w:spacing w:line="536" w:lineRule="exact"/>
    </w:pPr>
    <w:rPr>
      <w:sz w:val="24"/>
      <w:szCs w:val="24"/>
    </w:rPr>
  </w:style>
  <w:style w:type="character" w:customStyle="1" w:styleId="RuleChar">
    <w:name w:val="Rule Char"/>
    <w:link w:val="Rule"/>
    <w:rsid w:val="00AF736E"/>
    <w:rPr>
      <w:sz w:val="24"/>
      <w:szCs w:val="24"/>
    </w:rPr>
  </w:style>
  <w:style w:type="paragraph" w:customStyle="1" w:styleId="RuleHeader">
    <w:name w:val="Rule Header"/>
    <w:basedOn w:val="Rule"/>
    <w:rsid w:val="00AF736E"/>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505675">
      <w:bodyDiv w:val="1"/>
      <w:marLeft w:val="0"/>
      <w:marRight w:val="0"/>
      <w:marTop w:val="0"/>
      <w:marBottom w:val="0"/>
      <w:divBdr>
        <w:top w:val="none" w:sz="0" w:space="0" w:color="auto"/>
        <w:left w:val="none" w:sz="0" w:space="0" w:color="auto"/>
        <w:bottom w:val="none" w:sz="0" w:space="0" w:color="auto"/>
        <w:right w:val="none" w:sz="0" w:space="0" w:color="auto"/>
      </w:divBdr>
    </w:div>
    <w:div w:id="133818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5.JPG"/><Relationship Id="rId3" Type="http://schemas.microsoft.com/office/2007/relationships/stylesWithEffects" Target="stylesWithEffect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image" Target="media/image4.JPG"/><Relationship Id="rId2" Type="http://schemas.openxmlformats.org/officeDocument/2006/relationships/styles" Target="styles.xml"/><Relationship Id="rId16" Type="http://schemas.openxmlformats.org/officeDocument/2006/relationships/hyperlink" Target="http://www.flrules.org/Gateway/reference.asp?No=Ref-07921" TargetMode="External"/><Relationship Id="rId20" Type="http://schemas.openxmlformats.org/officeDocument/2006/relationships/footer" Target="footer4.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flrules.org/Gateway/reference.asp?No=Ref-07923" TargetMode="External"/><Relationship Id="rId23" Type="http://schemas.openxmlformats.org/officeDocument/2006/relationships/image" Target="media/image2.JPG"/><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flrules.org/Gateway/reference.asp?No=Ref-07920" TargetMode="External"/><Relationship Id="rId22" Type="http://schemas.openxmlformats.org/officeDocument/2006/relationships/footer" Target="footer5.xml"/><Relationship Id="rId27" Type="http://schemas.openxmlformats.org/officeDocument/2006/relationships/image" Target="media/image6.JP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Recommendation (Regular).dotm</Template>
  <TotalTime>0</TotalTime>
  <Pages>11</Pages>
  <Words>1128</Words>
  <Characters>6957</Characters>
  <Application>Microsoft Office Word</Application>
  <DocSecurity>0</DocSecurity>
  <Lines>131</Lines>
  <Paragraphs>55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8030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Julie Phillips</dc:creator>
  <cp:lastModifiedBy>Carolyn Craig</cp:lastModifiedBy>
  <cp:revision>2</cp:revision>
  <cp:lastPrinted>2019-03-07T15:08:00Z</cp:lastPrinted>
  <dcterms:created xsi:type="dcterms:W3CDTF">2019-03-21T14:24:00Z</dcterms:created>
  <dcterms:modified xsi:type="dcterms:W3CDTF">2019-03-21T14:24:00Z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20190047-GU</vt:lpwstr>
  </property>
  <property fmtid="{D5CDD505-2E9C-101B-9397-08002B2CF9AE}" pid="3" name="MasterDocument">
    <vt:bool>false</vt:bool>
  </property>
</Properties>
</file>