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650BE">
            <w:pPr>
              <w:pStyle w:val="MemoHeading"/>
            </w:pPr>
            <w:bookmarkStart w:id="0" w:name="FilingDate"/>
            <w:r>
              <w:t>May 30, 2019</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650BE" w:rsidRDefault="005650BE">
            <w:pPr>
              <w:pStyle w:val="MemoHeading"/>
            </w:pPr>
            <w:bookmarkStart w:id="1" w:name="From"/>
            <w:r>
              <w:t>Division of Economics (McNulty, Redda)</w:t>
            </w:r>
          </w:p>
          <w:p w:rsidR="005650BE" w:rsidRDefault="005650BE">
            <w:pPr>
              <w:pStyle w:val="MemoHeading"/>
            </w:pPr>
            <w:r>
              <w:t>Division of Accounting and Finance (</w:t>
            </w:r>
            <w:proofErr w:type="spellStart"/>
            <w:r>
              <w:t>Mouring</w:t>
            </w:r>
            <w:proofErr w:type="spellEnd"/>
            <w:r>
              <w:t>)</w:t>
            </w:r>
          </w:p>
          <w:p w:rsidR="007C0528" w:rsidRDefault="005650BE">
            <w:pPr>
              <w:pStyle w:val="MemoHeading"/>
            </w:pPr>
            <w:r>
              <w:t>Office of the General Counsel (</w:t>
            </w:r>
            <w:proofErr w:type="spellStart"/>
            <w:r>
              <w:t>DuVal</w:t>
            </w:r>
            <w:proofErr w:type="spellEnd"/>
            <w:r>
              <w:t>)</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650BE">
            <w:pPr>
              <w:pStyle w:val="MemoHeadingRe"/>
            </w:pPr>
            <w:bookmarkStart w:id="2" w:name="Re"/>
            <w:r>
              <w:t>Docket No. 20170183-EI – Application for limited proceeding to approve 2017 second revised and restated settlement agreement, including certain rate adjustments, by Duke Energy Florida, LLC.</w:t>
            </w:r>
            <w:bookmarkEnd w:id="2"/>
          </w:p>
        </w:tc>
        <w:bookmarkStart w:id="3" w:name="_GoBack"/>
        <w:bookmarkEnd w:id="3"/>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650BE">
            <w:pPr>
              <w:pStyle w:val="MemoHeading"/>
            </w:pPr>
            <w:bookmarkStart w:id="4" w:name="AgendaDate"/>
            <w:r>
              <w:t>06/11/19</w:t>
            </w:r>
            <w:bookmarkEnd w:id="4"/>
            <w:r w:rsidR="007C0528">
              <w:t xml:space="preserve"> – </w:t>
            </w:r>
            <w:bookmarkStart w:id="5" w:name="PermittedStatus"/>
            <w:r>
              <w:t xml:space="preserve">Regular Agenda – </w:t>
            </w:r>
            <w:r w:rsidR="00226F3A">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650B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650BE">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650B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650B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5650BE" w:rsidP="00225B82">
      <w:pPr>
        <w:pStyle w:val="BodyText"/>
      </w:pPr>
      <w:r>
        <w:t>Duke Energy Florida, LLC (DEF</w:t>
      </w:r>
      <w:r w:rsidR="00631FBC">
        <w:t>, or the Company</w:t>
      </w:r>
      <w:r>
        <w:t>) filed its Motion to Approve Re</w:t>
      </w:r>
      <w:r w:rsidR="00C8628A">
        <w:t>-</w:t>
      </w:r>
      <w:r w:rsidR="00BE0524">
        <w:t>a</w:t>
      </w:r>
      <w:r>
        <w:t>llocation of Electric Vehicle Charging Station Pilot Segments (Motion) on April 17, 2019. In its Motion, DEF request</w:t>
      </w:r>
      <w:r w:rsidR="00BA5571">
        <w:t>s</w:t>
      </w:r>
      <w:r>
        <w:t xml:space="preserve"> a change in the </w:t>
      </w:r>
      <w:r w:rsidR="00303550">
        <w:t xml:space="preserve">required </w:t>
      </w:r>
      <w:r>
        <w:t>allocation of Electric Vehicle Service Equipment (EVSE</w:t>
      </w:r>
      <w:r w:rsidR="0071088C">
        <w:t>, “ports</w:t>
      </w:r>
      <w:r w:rsidR="00226F3A">
        <w:t>,</w:t>
      </w:r>
      <w:r w:rsidR="0071088C">
        <w:t>” “charging stations”</w:t>
      </w:r>
      <w:r>
        <w:t>) to the four customer locations, or segments, identified in its 2017</w:t>
      </w:r>
      <w:r w:rsidR="00226F3A">
        <w:t xml:space="preserve"> Second</w:t>
      </w:r>
      <w:r>
        <w:t xml:space="preserve"> Revised and Restated Settlement Agreement</w:t>
      </w:r>
      <w:r w:rsidR="00303550">
        <w:t xml:space="preserve"> (</w:t>
      </w:r>
      <w:r w:rsidR="0020559E">
        <w:t xml:space="preserve">2017 </w:t>
      </w:r>
      <w:r w:rsidR="00303550">
        <w:t>Settlement)</w:t>
      </w:r>
      <w:r>
        <w:t>.</w:t>
      </w:r>
      <w:r w:rsidR="00BA5571">
        <w:rPr>
          <w:rStyle w:val="FootnoteReference"/>
        </w:rPr>
        <w:footnoteReference w:id="1"/>
      </w:r>
      <w:r w:rsidR="00303550">
        <w:t xml:space="preserve"> </w:t>
      </w:r>
      <w:r w:rsidR="0020559E">
        <w:t xml:space="preserve">The </w:t>
      </w:r>
      <w:r w:rsidR="00226F3A">
        <w:t xml:space="preserve">2017 </w:t>
      </w:r>
      <w:r w:rsidR="0020559E">
        <w:t xml:space="preserve">Settlement specified an EVSE allocation to four different customer segments: </w:t>
      </w:r>
      <w:r w:rsidR="000973AF">
        <w:t>Multi-unit</w:t>
      </w:r>
      <w:r w:rsidR="0020559E">
        <w:t xml:space="preserve"> dwellings (</w:t>
      </w:r>
      <w:r w:rsidR="000973AF">
        <w:t>Multi-unit), W</w:t>
      </w:r>
      <w:r w:rsidR="0020559E">
        <w:t xml:space="preserve">orkplaces, “Long dwell time” public locations (Public L2), and DC Fast Charging </w:t>
      </w:r>
      <w:r w:rsidR="0020559E">
        <w:lastRenderedPageBreak/>
        <w:t>Depots (DCFC).</w:t>
      </w:r>
      <w:r w:rsidR="0020559E">
        <w:rPr>
          <w:rStyle w:val="FootnoteReference"/>
        </w:rPr>
        <w:footnoteReference w:id="2"/>
      </w:r>
      <w:r w:rsidR="0020559E">
        <w:t xml:space="preserve"> </w:t>
      </w:r>
      <w:r w:rsidR="00303550">
        <w:t xml:space="preserve">The </w:t>
      </w:r>
      <w:r w:rsidR="00226F3A">
        <w:t xml:space="preserve">2017 </w:t>
      </w:r>
      <w:r w:rsidR="00303550">
        <w:t>Settlement, among other things,</w:t>
      </w:r>
      <w:r w:rsidR="00A12F9F">
        <w:t xml:space="preserve"> established a five-year</w:t>
      </w:r>
      <w:r w:rsidR="00303550">
        <w:t xml:space="preserve"> EVSE pilot program wherein DEF is authorized to purchase, install, own, and support 53</w:t>
      </w:r>
      <w:r w:rsidR="0020559E">
        <w:t xml:space="preserve">0 </w:t>
      </w:r>
      <w:r w:rsidR="00225B82">
        <w:t>charging stations</w:t>
      </w:r>
      <w:r w:rsidR="0020559E">
        <w:t xml:space="preserve"> in its service territory</w:t>
      </w:r>
      <w:r w:rsidR="00241589">
        <w:t xml:space="preserve"> </w:t>
      </w:r>
      <w:r w:rsidR="00303550">
        <w:t xml:space="preserve">during </w:t>
      </w:r>
      <w:r w:rsidR="0020559E">
        <w:t xml:space="preserve">the </w:t>
      </w:r>
      <w:r w:rsidR="00E13B6B">
        <w:t xml:space="preserve">term of the </w:t>
      </w:r>
      <w:r w:rsidR="0020559E">
        <w:t xml:space="preserve">2017 </w:t>
      </w:r>
      <w:r w:rsidR="00A12F9F">
        <w:t xml:space="preserve">Settlement </w:t>
      </w:r>
      <w:r w:rsidR="00E13B6B">
        <w:t xml:space="preserve">(through 2021). </w:t>
      </w:r>
      <w:r w:rsidR="00420830">
        <w:t xml:space="preserve">The maximum capital outlay for this program was set at $8.0 </w:t>
      </w:r>
      <w:r w:rsidR="00225B82">
        <w:t>million</w:t>
      </w:r>
      <w:r w:rsidR="00420830">
        <w:t>, along with reasonable operati</w:t>
      </w:r>
      <w:r w:rsidR="00225B82">
        <w:t>on</w:t>
      </w:r>
      <w:r w:rsidR="00420830">
        <w:t xml:space="preserve"> and maintenance expense, to be deferred to a regulatory asset and collected during a period initiating after the term of the </w:t>
      </w:r>
      <w:r w:rsidR="0020559E">
        <w:t xml:space="preserve">2017 </w:t>
      </w:r>
      <w:r w:rsidR="00420830">
        <w:t xml:space="preserve">Settlement. </w:t>
      </w:r>
      <w:r w:rsidR="006E7689">
        <w:t xml:space="preserve">In addition, the </w:t>
      </w:r>
      <w:r w:rsidR="00225B82">
        <w:t xml:space="preserve">2017 </w:t>
      </w:r>
      <w:r w:rsidR="006E7689">
        <w:t xml:space="preserve">Settlement required ten percent of the charging stations must be installed in low income communities. </w:t>
      </w:r>
      <w:r w:rsidR="00A12F9F">
        <w:t xml:space="preserve">The </w:t>
      </w:r>
      <w:r w:rsidR="0020559E">
        <w:t xml:space="preserve">2017 </w:t>
      </w:r>
      <w:r w:rsidR="00A12F9F">
        <w:t xml:space="preserve">Settlement also contemplated a </w:t>
      </w:r>
      <w:r w:rsidR="00EE7128">
        <w:t xml:space="preserve">shift in program expenditures from a segment for which the Company is unable to find willing host sites to other segments </w:t>
      </w:r>
      <w:r w:rsidR="00A12F9F">
        <w:t xml:space="preserve">or even </w:t>
      </w:r>
      <w:r w:rsidR="00241589">
        <w:t>new seg</w:t>
      </w:r>
      <w:r w:rsidR="00A12F9F">
        <w:t>ments</w:t>
      </w:r>
      <w:r w:rsidR="00EE7128">
        <w:t>,</w:t>
      </w:r>
      <w:r w:rsidR="006E7689">
        <w:t xml:space="preserve"> as approved in advance by the Commission</w:t>
      </w:r>
      <w:r w:rsidR="00A12F9F">
        <w:t>.</w:t>
      </w:r>
    </w:p>
    <w:p w:rsidR="007C0528" w:rsidRDefault="00631FBC" w:rsidP="00225B82">
      <w:pPr>
        <w:jc w:val="both"/>
      </w:pPr>
      <w:r>
        <w:t xml:space="preserve">In its Motion, DEF maintains that it has become necessary to reallocate a portion of proposed EVSE away from </w:t>
      </w:r>
      <w:r w:rsidR="000973AF">
        <w:t>Multi-unit</w:t>
      </w:r>
      <w:r>
        <w:t xml:space="preserve"> to the other segments due to the significant challenge it has experienced in meeting the minimum number of EVSE for that segment</w:t>
      </w:r>
      <w:r w:rsidR="006E7689">
        <w:t xml:space="preserve"> to date</w:t>
      </w:r>
      <w:r>
        <w:t>. Towards that end, the Company proposes revised allocations at this time, as well as further reallocation</w:t>
      </w:r>
      <w:r w:rsidR="006E7689">
        <w:t>s</w:t>
      </w:r>
      <w:r w:rsidR="0020559E">
        <w:t xml:space="preserve"> at the end of 2019 to other segments</w:t>
      </w:r>
      <w:r>
        <w:t xml:space="preserve">, as necessary, of any revised </w:t>
      </w:r>
      <w:r w:rsidR="000973AF">
        <w:t>Multi-unit</w:t>
      </w:r>
      <w:r>
        <w:t xml:space="preserve"> EVSE assignments not subscribed.</w:t>
      </w:r>
    </w:p>
    <w:p w:rsidR="00CC6B5A" w:rsidRDefault="00CC6B5A" w:rsidP="00225B82">
      <w:pPr>
        <w:jc w:val="both"/>
      </w:pPr>
    </w:p>
    <w:p w:rsidR="00CC6B5A" w:rsidRDefault="00CC6B5A" w:rsidP="00225B82">
      <w:pPr>
        <w:jc w:val="both"/>
      </w:pPr>
      <w:r>
        <w:t xml:space="preserve">DEF states in its Motion that it has conferred with the signatories to the 2017 Settlement and represents that the Office of Public Counsel, Florida Retail Federation, and Southern Alliance for Clean Energy have no objection to the Motion, while </w:t>
      </w:r>
      <w:r w:rsidR="00226F3A">
        <w:t>White Springs Agricultural Chemical</w:t>
      </w:r>
      <w:r w:rsidR="003C6E00">
        <w:t>s</w:t>
      </w:r>
      <w:r w:rsidR="00226F3A">
        <w:t xml:space="preserve"> Inc. d/b/a </w:t>
      </w:r>
      <w:r>
        <w:t xml:space="preserve">PCS </w:t>
      </w:r>
      <w:r w:rsidR="00226F3A">
        <w:t xml:space="preserve">Phosphate - </w:t>
      </w:r>
      <w:r>
        <w:t xml:space="preserve">White Springs and the Florida Industrial Power Users Group take no position on the Motion. </w:t>
      </w:r>
    </w:p>
    <w:p w:rsidR="006E7689" w:rsidRDefault="006E7689" w:rsidP="00225B82">
      <w:pPr>
        <w:jc w:val="both"/>
      </w:pPr>
    </w:p>
    <w:p w:rsidR="006E7689" w:rsidRDefault="006E7689" w:rsidP="00225B82">
      <w:pPr>
        <w:jc w:val="both"/>
      </w:pPr>
      <w:r>
        <w:t>The Commission has jurisdiction over this matter pursuant to Sections 366.05 and 366.06, Florida Statutes.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06484" w:rsidRDefault="001518F9" w:rsidP="00E275D8">
      <w:pPr>
        <w:pStyle w:val="BodyText"/>
      </w:pPr>
      <w:r w:rsidRPr="001518F9">
        <w:rPr>
          <w:rFonts w:ascii="Arial" w:hAnsi="Arial" w:cs="Arial"/>
          <w:b/>
          <w:i/>
        </w:rPr>
        <w:t xml:space="preserve">Issue </w:t>
      </w:r>
      <w:r w:rsidRPr="001518F9">
        <w:rPr>
          <w:rFonts w:ascii="Arial" w:hAnsi="Arial" w:cs="Arial"/>
          <w:b/>
          <w:i/>
        </w:rPr>
        <w:fldChar w:fldCharType="begin"/>
      </w:r>
      <w:r w:rsidRPr="001518F9">
        <w:rPr>
          <w:rFonts w:ascii="Arial" w:hAnsi="Arial" w:cs="Arial"/>
          <w:b/>
          <w:i/>
        </w:rPr>
        <w:instrText xml:space="preserve"> SEQ Issue \* MERGEFORMAT </w:instrText>
      </w:r>
      <w:r w:rsidRPr="001518F9">
        <w:rPr>
          <w:rFonts w:ascii="Arial" w:hAnsi="Arial" w:cs="Arial"/>
          <w:b/>
          <w:i/>
        </w:rPr>
        <w:fldChar w:fldCharType="separate"/>
      </w:r>
      <w:r w:rsidR="00D61A7E">
        <w:rPr>
          <w:rFonts w:ascii="Arial" w:hAnsi="Arial" w:cs="Arial"/>
          <w:b/>
          <w:i/>
          <w:noProof/>
        </w:rPr>
        <w:t>1</w:t>
      </w:r>
      <w:r w:rsidRPr="001518F9">
        <w:rPr>
          <w:rFonts w:ascii="Arial" w:hAnsi="Arial" w:cs="Arial"/>
          <w:b/>
          <w:i/>
        </w:rPr>
        <w:fldChar w:fldCharType="end"/>
      </w:r>
      <w:r w:rsidR="00C3622E" w:rsidRPr="00A85BFC">
        <w:rPr>
          <w:rFonts w:ascii="Arial" w:hAnsi="Arial" w:cs="Arial"/>
          <w:b/>
          <w:i/>
        </w:rPr>
        <w:t>:</w:t>
      </w:r>
      <w:r w:rsidR="00C3622E">
        <w:t xml:space="preserve"> Should the Commission approve DEF’s Motion to </w:t>
      </w:r>
      <w:r w:rsidR="00226F3A">
        <w:t>A</w:t>
      </w:r>
      <w:r w:rsidR="00C3622E">
        <w:t xml:space="preserve">pprove </w:t>
      </w:r>
      <w:r w:rsidR="00226F3A">
        <w:t>R</w:t>
      </w:r>
      <w:r w:rsidR="00C3622E">
        <w:t xml:space="preserve">eallocation of </w:t>
      </w:r>
      <w:r w:rsidR="00226F3A">
        <w:t>E</w:t>
      </w:r>
      <w:r w:rsidR="00C3622E">
        <w:t xml:space="preserve">lectric </w:t>
      </w:r>
      <w:r w:rsidR="00226F3A">
        <w:t>V</w:t>
      </w:r>
      <w:r w:rsidR="00C3622E">
        <w:t xml:space="preserve">ehicle </w:t>
      </w:r>
      <w:r w:rsidR="00226F3A">
        <w:t>C</w:t>
      </w:r>
      <w:r w:rsidR="00C3622E">
        <w:t xml:space="preserve">harging </w:t>
      </w:r>
      <w:r w:rsidR="00226F3A">
        <w:t>S</w:t>
      </w:r>
      <w:r w:rsidR="00C3622E">
        <w:t xml:space="preserve">tation </w:t>
      </w:r>
      <w:r w:rsidR="00226F3A">
        <w:t>P</w:t>
      </w:r>
      <w:r w:rsidR="00C3622E">
        <w:t xml:space="preserve">ilot </w:t>
      </w:r>
      <w:r w:rsidR="00226F3A">
        <w:t>S</w:t>
      </w:r>
      <w:r w:rsidR="00C3622E">
        <w:t>egments?</w:t>
      </w:r>
    </w:p>
    <w:p w:rsidR="00C3622E" w:rsidRDefault="00C3622E" w:rsidP="00E275D8">
      <w:pPr>
        <w:pStyle w:val="BodyText"/>
      </w:pPr>
      <w:r w:rsidRPr="00A85BFC">
        <w:rPr>
          <w:rFonts w:ascii="Arial" w:hAnsi="Arial" w:cs="Arial"/>
          <w:b/>
          <w:i/>
        </w:rPr>
        <w:t>Recommendation:</w:t>
      </w:r>
      <w:r>
        <w:t xml:space="preserve">  Yes, </w:t>
      </w:r>
      <w:r w:rsidR="00CE2CEA">
        <w:t xml:space="preserve">staff recommends </w:t>
      </w:r>
      <w:r>
        <w:t xml:space="preserve">the Commission approve DEF’s </w:t>
      </w:r>
      <w:r w:rsidR="003C6E00">
        <w:t xml:space="preserve">proposed </w:t>
      </w:r>
      <w:r>
        <w:t xml:space="preserve">reallocation of </w:t>
      </w:r>
      <w:r w:rsidR="0020559E">
        <w:t xml:space="preserve">EVSE </w:t>
      </w:r>
      <w:r>
        <w:t xml:space="preserve">pilot segments. </w:t>
      </w:r>
      <w:r w:rsidR="00EF52D5">
        <w:t xml:space="preserve">In the event DEF has fewer than 210 </w:t>
      </w:r>
      <w:r w:rsidR="000973AF">
        <w:t>Multi-unit</w:t>
      </w:r>
      <w:r w:rsidR="00EF52D5">
        <w:t xml:space="preserve"> EVSE subscriptions by December 31, 2019, D</w:t>
      </w:r>
      <w:r>
        <w:t xml:space="preserve">EF </w:t>
      </w:r>
      <w:r w:rsidR="00CE2CEA">
        <w:t xml:space="preserve">should </w:t>
      </w:r>
      <w:r w:rsidR="00C8628A">
        <w:t xml:space="preserve">be required to </w:t>
      </w:r>
      <w:r w:rsidR="0020559E">
        <w:t>supplement</w:t>
      </w:r>
      <w:r>
        <w:t xml:space="preserve"> its </w:t>
      </w:r>
      <w:r w:rsidR="00EF52D5">
        <w:t xml:space="preserve">2019 </w:t>
      </w:r>
      <w:r>
        <w:t>ann</w:t>
      </w:r>
      <w:r w:rsidR="00EF52D5">
        <w:t>ual data report</w:t>
      </w:r>
      <w:r w:rsidR="00226F3A">
        <w:t xml:space="preserve"> </w:t>
      </w:r>
      <w:r w:rsidR="00C8628A">
        <w:t xml:space="preserve">to the Commission </w:t>
      </w:r>
      <w:r w:rsidR="00226F3A">
        <w:t>regarding its Electric Vehicle Charging Station Pilot Program</w:t>
      </w:r>
      <w:r w:rsidR="00EF52D5">
        <w:t xml:space="preserve"> to include a</w:t>
      </w:r>
      <w:r w:rsidR="001C2E1D">
        <w:t>ny</w:t>
      </w:r>
      <w:r w:rsidR="00EF52D5">
        <w:t xml:space="preserve"> further reallocation of unsubscribed </w:t>
      </w:r>
      <w:r w:rsidR="000973AF">
        <w:t>Multi-unit</w:t>
      </w:r>
      <w:r w:rsidR="00EF52D5">
        <w:t xml:space="preserve"> </w:t>
      </w:r>
      <w:r w:rsidR="0071088C">
        <w:t xml:space="preserve">EVSE </w:t>
      </w:r>
      <w:r w:rsidR="00EF52D5">
        <w:t>to other segments.</w:t>
      </w:r>
      <w:r w:rsidR="00A85BFC">
        <w:t xml:space="preserve"> </w:t>
      </w:r>
      <w:r w:rsidR="00C8628A">
        <w:t xml:space="preserve">Staff recommends </w:t>
      </w:r>
      <w:r w:rsidR="00A85BFC">
        <w:t>DEF’s filing of its 2019 annual data report may be delayed</w:t>
      </w:r>
      <w:r w:rsidR="00C8628A">
        <w:t>, as necessary,</w:t>
      </w:r>
      <w:r w:rsidR="00A85BFC">
        <w:t xml:space="preserve"> until January 31, 2020 for this purpose.</w:t>
      </w:r>
      <w:r w:rsidR="00443EE4">
        <w:t xml:space="preserve"> (McNulty, Redda)</w:t>
      </w:r>
    </w:p>
    <w:p w:rsidR="00A85BFC" w:rsidRPr="00A85BFC" w:rsidRDefault="00A85BFC" w:rsidP="00E275D8">
      <w:pPr>
        <w:pStyle w:val="BodyText"/>
        <w:rPr>
          <w:rFonts w:ascii="Arial" w:hAnsi="Arial" w:cs="Arial"/>
          <w:b/>
          <w:i/>
        </w:rPr>
      </w:pPr>
      <w:r w:rsidRPr="00A85BFC">
        <w:rPr>
          <w:rFonts w:ascii="Arial" w:hAnsi="Arial" w:cs="Arial"/>
          <w:b/>
          <w:i/>
        </w:rPr>
        <w:t xml:space="preserve">Staff Analysis:  </w:t>
      </w:r>
    </w:p>
    <w:p w:rsidR="00CE7031" w:rsidRPr="00752ED9" w:rsidRDefault="00CE7031" w:rsidP="00E275D8">
      <w:pPr>
        <w:pStyle w:val="BodyText"/>
        <w:rPr>
          <w:rFonts w:ascii="Arial" w:hAnsi="Arial" w:cs="Arial"/>
          <w:b/>
        </w:rPr>
      </w:pPr>
      <w:r w:rsidRPr="00752ED9">
        <w:rPr>
          <w:rFonts w:ascii="Arial" w:hAnsi="Arial" w:cs="Arial"/>
          <w:b/>
        </w:rPr>
        <w:t>DEF’s Motion</w:t>
      </w:r>
    </w:p>
    <w:p w:rsidR="001A11D0" w:rsidRDefault="00A85BFC" w:rsidP="00E275D8">
      <w:pPr>
        <w:pStyle w:val="BodyText"/>
      </w:pPr>
      <w:r>
        <w:t xml:space="preserve">In its Motion, DEF explains that its goal is to have as many installations of </w:t>
      </w:r>
      <w:r w:rsidR="0071088C">
        <w:t xml:space="preserve">the targeted 530 </w:t>
      </w:r>
      <w:r>
        <w:t xml:space="preserve">EVSE </w:t>
      </w:r>
      <w:r w:rsidR="00226F3A">
        <w:t xml:space="preserve">as possible </w:t>
      </w:r>
      <w:r>
        <w:t>completed by the end of 2019</w:t>
      </w:r>
      <w:r w:rsidR="0071088C">
        <w:t xml:space="preserve"> in order to</w:t>
      </w:r>
      <w:r>
        <w:t xml:space="preserve"> maximize the information it gathers during the pilot program. </w:t>
      </w:r>
      <w:r w:rsidR="001A11D0">
        <w:t xml:space="preserve">However, DEF has been unable to meet is subscription goals set forth in </w:t>
      </w:r>
      <w:r w:rsidR="0020559E">
        <w:t>th</w:t>
      </w:r>
      <w:r w:rsidR="001A11D0">
        <w:t xml:space="preserve">e </w:t>
      </w:r>
      <w:r w:rsidR="0020559E">
        <w:t xml:space="preserve">2017 </w:t>
      </w:r>
      <w:r w:rsidR="001A11D0">
        <w:t xml:space="preserve">Settlement for </w:t>
      </w:r>
      <w:r w:rsidR="000973AF">
        <w:t>Multi-unit</w:t>
      </w:r>
      <w:r w:rsidR="001A11D0">
        <w:t xml:space="preserve">. </w:t>
      </w:r>
      <w:r w:rsidR="00413DA4">
        <w:t>DEF offers t</w:t>
      </w:r>
      <w:r w:rsidR="0071088C">
        <w:t>wo</w:t>
      </w:r>
      <w:r w:rsidR="00413DA4">
        <w:t xml:space="preserve"> reasons for this deficit of </w:t>
      </w:r>
      <w:r w:rsidR="000973AF">
        <w:t>Multi-unit</w:t>
      </w:r>
      <w:r w:rsidR="00413DA4">
        <w:t xml:space="preserve"> EVSE</w:t>
      </w:r>
      <w:r w:rsidR="002E173B">
        <w:t xml:space="preserve"> subscriptions</w:t>
      </w:r>
      <w:r w:rsidR="00226F3A">
        <w:t>, including l</w:t>
      </w:r>
      <w:r w:rsidR="00413DA4">
        <w:t xml:space="preserve">imited available parking spaces at apartment complexes and condominiums and </w:t>
      </w:r>
      <w:r w:rsidR="00226F3A">
        <w:t>l</w:t>
      </w:r>
      <w:r w:rsidR="00413DA4">
        <w:t xml:space="preserve">engthy lead times to conclude site host agreements.  </w:t>
      </w:r>
      <w:r w:rsidR="001A11D0">
        <w:t xml:space="preserve">Table </w:t>
      </w:r>
      <w:r w:rsidR="004C093D">
        <w:t>1</w:t>
      </w:r>
      <w:r w:rsidR="00226F3A">
        <w:t>-1</w:t>
      </w:r>
      <w:r w:rsidR="004C093D">
        <w:t xml:space="preserve"> </w:t>
      </w:r>
      <w:r w:rsidR="001A11D0">
        <w:t xml:space="preserve">shows the pertinent data regarding the original and requested allocations, ports </w:t>
      </w:r>
      <w:proofErr w:type="gramStart"/>
      <w:r w:rsidR="001A11D0">
        <w:t>subscribed,</w:t>
      </w:r>
      <w:proofErr w:type="gramEnd"/>
      <w:r w:rsidR="001A11D0">
        <w:t xml:space="preserve"> ports </w:t>
      </w:r>
      <w:r w:rsidR="004C093D">
        <w:t>i</w:t>
      </w:r>
      <w:r w:rsidR="001A11D0">
        <w:t xml:space="preserve">nstalled, and </w:t>
      </w:r>
      <w:r w:rsidR="004C093D">
        <w:t xml:space="preserve">further reallocation </w:t>
      </w:r>
      <w:r w:rsidR="001A11D0">
        <w:t xml:space="preserve">of </w:t>
      </w:r>
      <w:r w:rsidR="000973AF">
        <w:t>Multi-unit</w:t>
      </w:r>
      <w:r w:rsidR="001A11D0">
        <w:t xml:space="preserve"> EVSE </w:t>
      </w:r>
      <w:r w:rsidR="004C093D">
        <w:t xml:space="preserve">by percentage range at the end of 2019, </w:t>
      </w:r>
      <w:r w:rsidR="001A11D0">
        <w:t>if needed.</w:t>
      </w:r>
    </w:p>
    <w:p w:rsidR="00CE7031" w:rsidRDefault="00CE7031">
      <w:r>
        <w:br w:type="page"/>
      </w:r>
    </w:p>
    <w:p w:rsidR="00CE7031" w:rsidRDefault="00CE7031" w:rsidP="00E275D8">
      <w:pPr>
        <w:pStyle w:val="BodyText"/>
      </w:pPr>
    </w:p>
    <w:p w:rsidR="004C093D" w:rsidRPr="00413DA4" w:rsidRDefault="004C093D" w:rsidP="004C093D">
      <w:pPr>
        <w:pStyle w:val="BodyText"/>
        <w:spacing w:after="0"/>
        <w:jc w:val="center"/>
        <w:rPr>
          <w:rFonts w:ascii="Arial Narrow" w:hAnsi="Arial Narrow"/>
          <w:b/>
        </w:rPr>
      </w:pPr>
      <w:r w:rsidRPr="00413DA4">
        <w:rPr>
          <w:rFonts w:ascii="Arial Narrow" w:hAnsi="Arial Narrow"/>
          <w:b/>
        </w:rPr>
        <w:t xml:space="preserve">Table 1-1 </w:t>
      </w:r>
    </w:p>
    <w:p w:rsidR="004C093D" w:rsidRPr="00413DA4" w:rsidRDefault="004C093D" w:rsidP="004C093D">
      <w:pPr>
        <w:pStyle w:val="BodyText"/>
        <w:spacing w:after="0"/>
        <w:jc w:val="center"/>
        <w:rPr>
          <w:rFonts w:ascii="Arial Narrow" w:hAnsi="Arial Narrow"/>
          <w:b/>
        </w:rPr>
      </w:pPr>
      <w:r w:rsidRPr="00413DA4">
        <w:rPr>
          <w:rFonts w:ascii="Arial Narrow" w:hAnsi="Arial Narrow"/>
          <w:b/>
        </w:rPr>
        <w:t>EVSE by Segments</w:t>
      </w:r>
    </w:p>
    <w:p w:rsidR="004C093D" w:rsidRPr="00413DA4" w:rsidRDefault="004C093D" w:rsidP="004C093D">
      <w:pPr>
        <w:pStyle w:val="BodyText"/>
        <w:spacing w:after="0"/>
        <w:jc w:val="center"/>
        <w:rPr>
          <w:u w:val="single"/>
        </w:rPr>
      </w:pPr>
    </w:p>
    <w:tbl>
      <w:tblPr>
        <w:tblStyle w:val="TableGrid"/>
        <w:tblW w:w="0" w:type="auto"/>
        <w:tblLook w:val="04A0" w:firstRow="1" w:lastRow="0" w:firstColumn="1" w:lastColumn="0" w:noHBand="0" w:noVBand="1"/>
      </w:tblPr>
      <w:tblGrid>
        <w:gridCol w:w="2718"/>
        <w:gridCol w:w="1710"/>
        <w:gridCol w:w="1350"/>
        <w:gridCol w:w="1440"/>
        <w:gridCol w:w="1260"/>
        <w:gridCol w:w="1098"/>
      </w:tblGrid>
      <w:tr w:rsidR="001A11D0" w:rsidRPr="00413DA4" w:rsidTr="001A11D0">
        <w:tc>
          <w:tcPr>
            <w:tcW w:w="2718" w:type="dxa"/>
          </w:tcPr>
          <w:p w:rsidR="001A11D0" w:rsidRPr="00413DA4" w:rsidRDefault="001A11D0" w:rsidP="00E275D8">
            <w:pPr>
              <w:pStyle w:val="BodyText"/>
              <w:rPr>
                <w:u w:val="single"/>
              </w:rPr>
            </w:pPr>
            <w:r w:rsidRPr="00413DA4">
              <w:rPr>
                <w:u w:val="single"/>
              </w:rPr>
              <w:t>Segment</w:t>
            </w:r>
          </w:p>
        </w:tc>
        <w:tc>
          <w:tcPr>
            <w:tcW w:w="1710" w:type="dxa"/>
          </w:tcPr>
          <w:p w:rsidR="001A11D0" w:rsidRPr="00413DA4" w:rsidRDefault="000973AF" w:rsidP="00727976">
            <w:pPr>
              <w:pStyle w:val="BodyText"/>
              <w:rPr>
                <w:u w:val="single"/>
              </w:rPr>
            </w:pPr>
            <w:r>
              <w:rPr>
                <w:u w:val="single"/>
              </w:rPr>
              <w:t>M</w:t>
            </w:r>
            <w:r w:rsidR="00727976">
              <w:rPr>
                <w:u w:val="single"/>
              </w:rPr>
              <w:t>ulti</w:t>
            </w:r>
            <w:r>
              <w:rPr>
                <w:u w:val="single"/>
              </w:rPr>
              <w:t>-</w:t>
            </w:r>
            <w:r w:rsidR="00727976">
              <w:rPr>
                <w:u w:val="single"/>
              </w:rPr>
              <w:t>unit</w:t>
            </w:r>
          </w:p>
        </w:tc>
        <w:tc>
          <w:tcPr>
            <w:tcW w:w="1350" w:type="dxa"/>
          </w:tcPr>
          <w:p w:rsidR="001A11D0" w:rsidRPr="00413DA4" w:rsidRDefault="001A11D0" w:rsidP="00E275D8">
            <w:pPr>
              <w:pStyle w:val="BodyText"/>
              <w:rPr>
                <w:u w:val="single"/>
              </w:rPr>
            </w:pPr>
            <w:r w:rsidRPr="00413DA4">
              <w:rPr>
                <w:u w:val="single"/>
              </w:rPr>
              <w:t>Workplace</w:t>
            </w:r>
          </w:p>
        </w:tc>
        <w:tc>
          <w:tcPr>
            <w:tcW w:w="1440" w:type="dxa"/>
          </w:tcPr>
          <w:p w:rsidR="001A11D0" w:rsidRPr="00413DA4" w:rsidRDefault="001A11D0" w:rsidP="00E275D8">
            <w:pPr>
              <w:pStyle w:val="BodyText"/>
              <w:rPr>
                <w:u w:val="single"/>
              </w:rPr>
            </w:pPr>
            <w:r w:rsidRPr="00413DA4">
              <w:rPr>
                <w:u w:val="single"/>
              </w:rPr>
              <w:t>Public L2</w:t>
            </w:r>
          </w:p>
        </w:tc>
        <w:tc>
          <w:tcPr>
            <w:tcW w:w="1260" w:type="dxa"/>
          </w:tcPr>
          <w:p w:rsidR="001A11D0" w:rsidRPr="00413DA4" w:rsidRDefault="001A11D0" w:rsidP="00E275D8">
            <w:pPr>
              <w:pStyle w:val="BodyText"/>
              <w:rPr>
                <w:u w:val="single"/>
              </w:rPr>
            </w:pPr>
            <w:r w:rsidRPr="00413DA4">
              <w:rPr>
                <w:u w:val="single"/>
              </w:rPr>
              <w:t>DCFC</w:t>
            </w:r>
          </w:p>
        </w:tc>
        <w:tc>
          <w:tcPr>
            <w:tcW w:w="1098" w:type="dxa"/>
          </w:tcPr>
          <w:p w:rsidR="001A11D0" w:rsidRPr="00413DA4" w:rsidRDefault="001A11D0" w:rsidP="00E275D8">
            <w:pPr>
              <w:pStyle w:val="BodyText"/>
              <w:rPr>
                <w:u w:val="single"/>
              </w:rPr>
            </w:pPr>
            <w:r w:rsidRPr="00413DA4">
              <w:rPr>
                <w:u w:val="single"/>
              </w:rPr>
              <w:t>Total</w:t>
            </w:r>
          </w:p>
        </w:tc>
      </w:tr>
      <w:tr w:rsidR="001A11D0" w:rsidTr="001A11D0">
        <w:tc>
          <w:tcPr>
            <w:tcW w:w="2718" w:type="dxa"/>
          </w:tcPr>
          <w:p w:rsidR="001A11D0" w:rsidRDefault="001A11D0" w:rsidP="00000356">
            <w:pPr>
              <w:pStyle w:val="BodyText"/>
              <w:jc w:val="left"/>
            </w:pPr>
            <w:r>
              <w:t>Original</w:t>
            </w:r>
            <w:r w:rsidR="00000356">
              <w:t xml:space="preserve"> Allocation (11/2017)</w:t>
            </w:r>
          </w:p>
        </w:tc>
        <w:tc>
          <w:tcPr>
            <w:tcW w:w="1710" w:type="dxa"/>
          </w:tcPr>
          <w:p w:rsidR="001A11D0" w:rsidRDefault="004C093D" w:rsidP="00000356">
            <w:pPr>
              <w:pStyle w:val="BodyText"/>
              <w:jc w:val="center"/>
            </w:pPr>
            <w:r>
              <w:t>325</w:t>
            </w:r>
          </w:p>
        </w:tc>
        <w:tc>
          <w:tcPr>
            <w:tcW w:w="1350" w:type="dxa"/>
          </w:tcPr>
          <w:p w:rsidR="001A11D0" w:rsidRDefault="004C093D" w:rsidP="00000356">
            <w:pPr>
              <w:pStyle w:val="BodyText"/>
              <w:jc w:val="center"/>
            </w:pPr>
            <w:r>
              <w:t>100</w:t>
            </w:r>
          </w:p>
        </w:tc>
        <w:tc>
          <w:tcPr>
            <w:tcW w:w="1440" w:type="dxa"/>
          </w:tcPr>
          <w:p w:rsidR="001A11D0" w:rsidRDefault="004C093D" w:rsidP="00000356">
            <w:pPr>
              <w:pStyle w:val="BodyText"/>
              <w:jc w:val="center"/>
            </w:pPr>
            <w:r>
              <w:t>75</w:t>
            </w:r>
          </w:p>
        </w:tc>
        <w:tc>
          <w:tcPr>
            <w:tcW w:w="1260" w:type="dxa"/>
          </w:tcPr>
          <w:p w:rsidR="001A11D0" w:rsidRDefault="004C093D" w:rsidP="00000356">
            <w:pPr>
              <w:pStyle w:val="BodyText"/>
              <w:jc w:val="center"/>
            </w:pPr>
            <w:r>
              <w:t>30</w:t>
            </w:r>
          </w:p>
        </w:tc>
        <w:tc>
          <w:tcPr>
            <w:tcW w:w="1098" w:type="dxa"/>
          </w:tcPr>
          <w:p w:rsidR="001A11D0" w:rsidRDefault="004C093D" w:rsidP="00000356">
            <w:pPr>
              <w:pStyle w:val="BodyText"/>
              <w:jc w:val="center"/>
            </w:pPr>
            <w:r>
              <w:t>530</w:t>
            </w:r>
          </w:p>
        </w:tc>
      </w:tr>
      <w:tr w:rsidR="001A11D0" w:rsidTr="001A11D0">
        <w:tc>
          <w:tcPr>
            <w:tcW w:w="2718" w:type="dxa"/>
          </w:tcPr>
          <w:p w:rsidR="001A11D0" w:rsidRDefault="001A11D0" w:rsidP="00000356">
            <w:pPr>
              <w:pStyle w:val="BodyText"/>
              <w:jc w:val="left"/>
            </w:pPr>
            <w:r>
              <w:t>Ports Subscribed</w:t>
            </w:r>
            <w:r w:rsidR="00000356">
              <w:t xml:space="preserve"> (4/2019)</w:t>
            </w:r>
          </w:p>
        </w:tc>
        <w:tc>
          <w:tcPr>
            <w:tcW w:w="1710" w:type="dxa"/>
          </w:tcPr>
          <w:p w:rsidR="001A11D0" w:rsidRDefault="004C093D" w:rsidP="00000356">
            <w:pPr>
              <w:pStyle w:val="BodyText"/>
              <w:jc w:val="center"/>
            </w:pPr>
            <w:r>
              <w:t>62</w:t>
            </w:r>
          </w:p>
        </w:tc>
        <w:tc>
          <w:tcPr>
            <w:tcW w:w="1350" w:type="dxa"/>
          </w:tcPr>
          <w:p w:rsidR="001A11D0" w:rsidRDefault="004C093D" w:rsidP="00000356">
            <w:pPr>
              <w:pStyle w:val="BodyText"/>
              <w:jc w:val="center"/>
            </w:pPr>
            <w:r>
              <w:t>73</w:t>
            </w:r>
          </w:p>
        </w:tc>
        <w:tc>
          <w:tcPr>
            <w:tcW w:w="1440" w:type="dxa"/>
          </w:tcPr>
          <w:p w:rsidR="001A11D0" w:rsidRDefault="004C093D" w:rsidP="00000356">
            <w:pPr>
              <w:pStyle w:val="BodyText"/>
              <w:jc w:val="center"/>
            </w:pPr>
            <w:r>
              <w:t>76</w:t>
            </w:r>
          </w:p>
        </w:tc>
        <w:tc>
          <w:tcPr>
            <w:tcW w:w="1260" w:type="dxa"/>
          </w:tcPr>
          <w:p w:rsidR="001A11D0" w:rsidRDefault="004C093D" w:rsidP="00000356">
            <w:pPr>
              <w:pStyle w:val="BodyText"/>
              <w:jc w:val="center"/>
            </w:pPr>
            <w:r>
              <w:t>14</w:t>
            </w:r>
          </w:p>
        </w:tc>
        <w:tc>
          <w:tcPr>
            <w:tcW w:w="1098" w:type="dxa"/>
          </w:tcPr>
          <w:p w:rsidR="001A11D0" w:rsidRDefault="00B0668E" w:rsidP="00000356">
            <w:pPr>
              <w:pStyle w:val="BodyText"/>
              <w:jc w:val="center"/>
            </w:pPr>
            <w:r>
              <w:t>225</w:t>
            </w:r>
          </w:p>
        </w:tc>
      </w:tr>
      <w:tr w:rsidR="00AC5DFE" w:rsidTr="001A11D0">
        <w:tc>
          <w:tcPr>
            <w:tcW w:w="2718" w:type="dxa"/>
          </w:tcPr>
          <w:p w:rsidR="00AC5DFE" w:rsidRDefault="00AC5DFE" w:rsidP="00CE7031">
            <w:pPr>
              <w:pStyle w:val="BodyText"/>
              <w:jc w:val="left"/>
            </w:pPr>
            <w:r>
              <w:t>Percent Subscribed</w:t>
            </w:r>
            <w:r w:rsidR="00CE7031">
              <w:t xml:space="preserve"> (4/2019)</w:t>
            </w:r>
          </w:p>
        </w:tc>
        <w:tc>
          <w:tcPr>
            <w:tcW w:w="1710" w:type="dxa"/>
          </w:tcPr>
          <w:p w:rsidR="00AC5DFE" w:rsidRDefault="00AC5DFE" w:rsidP="00000356">
            <w:pPr>
              <w:pStyle w:val="BodyText"/>
              <w:jc w:val="center"/>
            </w:pPr>
            <w:r>
              <w:t>19%</w:t>
            </w:r>
          </w:p>
        </w:tc>
        <w:tc>
          <w:tcPr>
            <w:tcW w:w="1350" w:type="dxa"/>
          </w:tcPr>
          <w:p w:rsidR="00AC5DFE" w:rsidRDefault="00AC5DFE" w:rsidP="00000356">
            <w:pPr>
              <w:pStyle w:val="BodyText"/>
              <w:jc w:val="center"/>
            </w:pPr>
            <w:r>
              <w:t>73%</w:t>
            </w:r>
          </w:p>
        </w:tc>
        <w:tc>
          <w:tcPr>
            <w:tcW w:w="1440" w:type="dxa"/>
          </w:tcPr>
          <w:p w:rsidR="00AC5DFE" w:rsidRDefault="00AC5DFE" w:rsidP="00000356">
            <w:pPr>
              <w:pStyle w:val="BodyText"/>
              <w:jc w:val="center"/>
            </w:pPr>
            <w:r>
              <w:t>101%</w:t>
            </w:r>
          </w:p>
        </w:tc>
        <w:tc>
          <w:tcPr>
            <w:tcW w:w="1260" w:type="dxa"/>
          </w:tcPr>
          <w:p w:rsidR="00AC5DFE" w:rsidRDefault="00AC5DFE" w:rsidP="00000356">
            <w:pPr>
              <w:pStyle w:val="BodyText"/>
              <w:jc w:val="center"/>
            </w:pPr>
            <w:r>
              <w:t>47%</w:t>
            </w:r>
          </w:p>
        </w:tc>
        <w:tc>
          <w:tcPr>
            <w:tcW w:w="1098" w:type="dxa"/>
          </w:tcPr>
          <w:p w:rsidR="00AC5DFE" w:rsidRDefault="002E173B" w:rsidP="00000356">
            <w:pPr>
              <w:pStyle w:val="BodyText"/>
              <w:jc w:val="center"/>
            </w:pPr>
            <w:r>
              <w:t>42%</w:t>
            </w:r>
          </w:p>
        </w:tc>
      </w:tr>
      <w:tr w:rsidR="001A11D0" w:rsidTr="001A11D0">
        <w:tc>
          <w:tcPr>
            <w:tcW w:w="2718" w:type="dxa"/>
          </w:tcPr>
          <w:p w:rsidR="001A11D0" w:rsidRDefault="001A11D0" w:rsidP="00CE7031">
            <w:pPr>
              <w:pStyle w:val="BodyText"/>
              <w:jc w:val="left"/>
            </w:pPr>
            <w:r>
              <w:t>Ports Installed</w:t>
            </w:r>
            <w:r w:rsidR="00000356">
              <w:t xml:space="preserve"> (</w:t>
            </w:r>
            <w:r w:rsidR="00CE7031">
              <w:t>4</w:t>
            </w:r>
            <w:r w:rsidR="00000356">
              <w:t>/201</w:t>
            </w:r>
            <w:r w:rsidR="00CE7031">
              <w:t>9</w:t>
            </w:r>
            <w:r w:rsidR="00000356">
              <w:t>)</w:t>
            </w:r>
          </w:p>
        </w:tc>
        <w:tc>
          <w:tcPr>
            <w:tcW w:w="1710" w:type="dxa"/>
          </w:tcPr>
          <w:p w:rsidR="001A11D0" w:rsidRDefault="004C093D" w:rsidP="00000356">
            <w:pPr>
              <w:pStyle w:val="BodyText"/>
              <w:jc w:val="center"/>
            </w:pPr>
            <w:r>
              <w:t>23</w:t>
            </w:r>
          </w:p>
        </w:tc>
        <w:tc>
          <w:tcPr>
            <w:tcW w:w="1350" w:type="dxa"/>
          </w:tcPr>
          <w:p w:rsidR="001A11D0" w:rsidRDefault="004C093D" w:rsidP="00000356">
            <w:pPr>
              <w:pStyle w:val="BodyText"/>
              <w:jc w:val="center"/>
            </w:pPr>
            <w:r>
              <w:t>31</w:t>
            </w:r>
          </w:p>
        </w:tc>
        <w:tc>
          <w:tcPr>
            <w:tcW w:w="1440" w:type="dxa"/>
          </w:tcPr>
          <w:p w:rsidR="001A11D0" w:rsidRDefault="004C093D" w:rsidP="00000356">
            <w:pPr>
              <w:pStyle w:val="BodyText"/>
              <w:jc w:val="center"/>
            </w:pPr>
            <w:r>
              <w:t>32</w:t>
            </w:r>
          </w:p>
        </w:tc>
        <w:tc>
          <w:tcPr>
            <w:tcW w:w="1260" w:type="dxa"/>
          </w:tcPr>
          <w:p w:rsidR="001A11D0" w:rsidRDefault="004C093D" w:rsidP="00000356">
            <w:pPr>
              <w:pStyle w:val="BodyText"/>
              <w:jc w:val="center"/>
            </w:pPr>
            <w:r>
              <w:t>4</w:t>
            </w:r>
          </w:p>
        </w:tc>
        <w:tc>
          <w:tcPr>
            <w:tcW w:w="1098" w:type="dxa"/>
          </w:tcPr>
          <w:p w:rsidR="001A11D0" w:rsidRDefault="004C093D" w:rsidP="00000356">
            <w:pPr>
              <w:pStyle w:val="BodyText"/>
              <w:jc w:val="center"/>
            </w:pPr>
            <w:r>
              <w:t>90</w:t>
            </w:r>
          </w:p>
        </w:tc>
      </w:tr>
      <w:tr w:rsidR="00000356" w:rsidTr="001A11D0">
        <w:tc>
          <w:tcPr>
            <w:tcW w:w="2718" w:type="dxa"/>
          </w:tcPr>
          <w:p w:rsidR="00000356" w:rsidRDefault="00000356" w:rsidP="0046020F">
            <w:pPr>
              <w:pStyle w:val="BodyText"/>
              <w:jc w:val="left"/>
            </w:pPr>
            <w:r>
              <w:t>Revised Allocation (4/2019)</w:t>
            </w:r>
          </w:p>
        </w:tc>
        <w:tc>
          <w:tcPr>
            <w:tcW w:w="1710" w:type="dxa"/>
          </w:tcPr>
          <w:p w:rsidR="00000356" w:rsidRDefault="00000356" w:rsidP="0046020F">
            <w:pPr>
              <w:pStyle w:val="BodyText"/>
              <w:jc w:val="center"/>
            </w:pPr>
            <w:r>
              <w:t>210</w:t>
            </w:r>
          </w:p>
        </w:tc>
        <w:tc>
          <w:tcPr>
            <w:tcW w:w="1350" w:type="dxa"/>
          </w:tcPr>
          <w:p w:rsidR="00000356" w:rsidRDefault="00000356" w:rsidP="0046020F">
            <w:pPr>
              <w:pStyle w:val="BodyText"/>
              <w:jc w:val="center"/>
            </w:pPr>
            <w:r>
              <w:t>140</w:t>
            </w:r>
          </w:p>
        </w:tc>
        <w:tc>
          <w:tcPr>
            <w:tcW w:w="1440" w:type="dxa"/>
          </w:tcPr>
          <w:p w:rsidR="00000356" w:rsidRDefault="00000356" w:rsidP="0046020F">
            <w:pPr>
              <w:pStyle w:val="BodyText"/>
              <w:jc w:val="center"/>
            </w:pPr>
            <w:r>
              <w:t>130</w:t>
            </w:r>
          </w:p>
        </w:tc>
        <w:tc>
          <w:tcPr>
            <w:tcW w:w="1260" w:type="dxa"/>
          </w:tcPr>
          <w:p w:rsidR="00000356" w:rsidRDefault="00000356" w:rsidP="0046020F">
            <w:pPr>
              <w:pStyle w:val="BodyText"/>
              <w:jc w:val="center"/>
            </w:pPr>
            <w:r>
              <w:t>50</w:t>
            </w:r>
          </w:p>
        </w:tc>
        <w:tc>
          <w:tcPr>
            <w:tcW w:w="1098" w:type="dxa"/>
          </w:tcPr>
          <w:p w:rsidR="00000356" w:rsidRDefault="00000356" w:rsidP="0046020F">
            <w:pPr>
              <w:pStyle w:val="BodyText"/>
              <w:jc w:val="center"/>
            </w:pPr>
            <w:r>
              <w:t>530</w:t>
            </w:r>
          </w:p>
        </w:tc>
      </w:tr>
      <w:tr w:rsidR="00000356" w:rsidTr="001A11D0">
        <w:tc>
          <w:tcPr>
            <w:tcW w:w="2718" w:type="dxa"/>
          </w:tcPr>
          <w:p w:rsidR="00000356" w:rsidRDefault="00000356" w:rsidP="00000356">
            <w:pPr>
              <w:pStyle w:val="BodyText"/>
              <w:jc w:val="left"/>
            </w:pPr>
            <w:r>
              <w:t xml:space="preserve">Segment Percentage Range Target for Reallocation of </w:t>
            </w:r>
            <w:r w:rsidR="000973AF">
              <w:t>MULTI-UNIT</w:t>
            </w:r>
            <w:r>
              <w:t xml:space="preserve"> Ports (if needed -  12/2019)</w:t>
            </w:r>
          </w:p>
        </w:tc>
        <w:tc>
          <w:tcPr>
            <w:tcW w:w="1710" w:type="dxa"/>
          </w:tcPr>
          <w:p w:rsidR="00000356" w:rsidRDefault="00000356" w:rsidP="00E275D8">
            <w:pPr>
              <w:pStyle w:val="BodyText"/>
            </w:pPr>
          </w:p>
        </w:tc>
        <w:tc>
          <w:tcPr>
            <w:tcW w:w="1350" w:type="dxa"/>
          </w:tcPr>
          <w:p w:rsidR="00000356" w:rsidRDefault="00000356" w:rsidP="00000356">
            <w:pPr>
              <w:pStyle w:val="BodyText"/>
              <w:jc w:val="center"/>
            </w:pPr>
            <w:r>
              <w:t>20-50%</w:t>
            </w:r>
          </w:p>
        </w:tc>
        <w:tc>
          <w:tcPr>
            <w:tcW w:w="1440" w:type="dxa"/>
          </w:tcPr>
          <w:p w:rsidR="00000356" w:rsidRDefault="00000356" w:rsidP="00000356">
            <w:pPr>
              <w:pStyle w:val="BodyText"/>
              <w:jc w:val="center"/>
            </w:pPr>
            <w:r>
              <w:t>20-50%</w:t>
            </w:r>
          </w:p>
        </w:tc>
        <w:tc>
          <w:tcPr>
            <w:tcW w:w="1260" w:type="dxa"/>
          </w:tcPr>
          <w:p w:rsidR="00000356" w:rsidRDefault="00000356" w:rsidP="00000356">
            <w:pPr>
              <w:pStyle w:val="BodyText"/>
              <w:jc w:val="center"/>
            </w:pPr>
            <w:r>
              <w:t>10-30%</w:t>
            </w:r>
          </w:p>
        </w:tc>
        <w:tc>
          <w:tcPr>
            <w:tcW w:w="1098" w:type="dxa"/>
          </w:tcPr>
          <w:p w:rsidR="00000356" w:rsidRDefault="00000356" w:rsidP="00E275D8">
            <w:pPr>
              <w:pStyle w:val="BodyText"/>
            </w:pPr>
          </w:p>
        </w:tc>
      </w:tr>
    </w:tbl>
    <w:p w:rsidR="00A85BFC" w:rsidRDefault="00225B82" w:rsidP="00E275D8">
      <w:pPr>
        <w:pStyle w:val="BodyText"/>
      </w:pPr>
      <w:r>
        <w:t>Source</w:t>
      </w:r>
      <w:r w:rsidR="006D0E04">
        <w:t>s</w:t>
      </w:r>
      <w:r>
        <w:t xml:space="preserve">: </w:t>
      </w:r>
      <w:r w:rsidR="006D0E04">
        <w:t>Motion, DEF’s response to Staff’s First Data Request, No. 11 (ports installed).</w:t>
      </w:r>
    </w:p>
    <w:p w:rsidR="00400284" w:rsidRDefault="00000356" w:rsidP="00E275D8">
      <w:pPr>
        <w:pStyle w:val="BodyText"/>
      </w:pPr>
      <w:r>
        <w:t>DEF maintains</w:t>
      </w:r>
      <w:r w:rsidR="00400284" w:rsidRPr="00400284">
        <w:t xml:space="preserve"> </w:t>
      </w:r>
      <w:r w:rsidR="00400284">
        <w:t xml:space="preserve">that </w:t>
      </w:r>
      <w:r w:rsidR="00BE0524">
        <w:t xml:space="preserve">it is </w:t>
      </w:r>
      <w:r w:rsidR="00400284">
        <w:t xml:space="preserve">significantly behind in its </w:t>
      </w:r>
      <w:r w:rsidR="000973AF">
        <w:t>Multi-unit</w:t>
      </w:r>
      <w:r w:rsidR="00BE0524">
        <w:t xml:space="preserve"> </w:t>
      </w:r>
      <w:r w:rsidR="00B72304">
        <w:t xml:space="preserve">EVSE </w:t>
      </w:r>
      <w:r w:rsidR="00400284">
        <w:t xml:space="preserve">subscriptions and </w:t>
      </w:r>
      <w:r w:rsidR="00BE0524">
        <w:t xml:space="preserve">the Company </w:t>
      </w:r>
      <w:r w:rsidR="00400284">
        <w:t>makes its request for reallocation on that basis. If</w:t>
      </w:r>
      <w:r w:rsidR="00CE7031">
        <w:t>,</w:t>
      </w:r>
      <w:r w:rsidR="00400284">
        <w:t xml:space="preserve"> by December 31, 2019, DEF’s number of </w:t>
      </w:r>
      <w:r w:rsidR="00C9367F">
        <w:t xml:space="preserve">subscribed </w:t>
      </w:r>
      <w:r w:rsidR="000973AF">
        <w:t>Multi-unit</w:t>
      </w:r>
      <w:r w:rsidR="00400284">
        <w:t xml:space="preserve"> EVSE is less than </w:t>
      </w:r>
      <w:r w:rsidR="00CE7031">
        <w:t>its</w:t>
      </w:r>
      <w:r w:rsidR="00400284">
        <w:t xml:space="preserve"> revised goal (210 EVSE), DEF also requests</w:t>
      </w:r>
      <w:r w:rsidR="00CE7031">
        <w:t xml:space="preserve"> </w:t>
      </w:r>
      <w:r w:rsidR="00400284">
        <w:t xml:space="preserve">that it be allowed to reallocate any remaining unsubscribed </w:t>
      </w:r>
      <w:r w:rsidR="000973AF">
        <w:t>Multi-unit</w:t>
      </w:r>
      <w:r w:rsidR="00400284">
        <w:t xml:space="preserve"> EVSE to other segments in the percentages shown in Table 1-1.</w:t>
      </w:r>
      <w:r w:rsidR="00C12464" w:rsidRPr="00C12464">
        <w:t xml:space="preserve"> </w:t>
      </w:r>
      <w:r w:rsidR="00C12464">
        <w:t>In response to a staff data request, DEF stated that meeting even the revised numeric goal appears unlikely given current trends year-to-date.</w:t>
      </w:r>
    </w:p>
    <w:p w:rsidR="004F3EB3" w:rsidRPr="00752ED9" w:rsidRDefault="004F3EB3" w:rsidP="00E275D8">
      <w:pPr>
        <w:pStyle w:val="BodyText"/>
        <w:rPr>
          <w:rFonts w:ascii="Arial" w:hAnsi="Arial" w:cs="Arial"/>
          <w:b/>
        </w:rPr>
      </w:pPr>
      <w:r w:rsidRPr="00752ED9">
        <w:rPr>
          <w:rFonts w:ascii="Arial" w:hAnsi="Arial" w:cs="Arial"/>
          <w:b/>
        </w:rPr>
        <w:t>Staff Review</w:t>
      </w:r>
    </w:p>
    <w:p w:rsidR="00AC5DFE" w:rsidRDefault="0026119A" w:rsidP="00E275D8">
      <w:pPr>
        <w:pStyle w:val="BodyText"/>
      </w:pPr>
      <w:r>
        <w:t xml:space="preserve">Staff believes the current </w:t>
      </w:r>
      <w:r w:rsidR="000973AF">
        <w:t>Multi-unit</w:t>
      </w:r>
      <w:r>
        <w:t xml:space="preserve"> </w:t>
      </w:r>
      <w:r w:rsidR="00B72304">
        <w:t xml:space="preserve">EVSE </w:t>
      </w:r>
      <w:r>
        <w:t>subscription data, at just 19 percent</w:t>
      </w:r>
      <w:r w:rsidR="0071088C">
        <w:t xml:space="preserve"> of </w:t>
      </w:r>
      <w:r w:rsidR="00225B82">
        <w:t xml:space="preserve">the </w:t>
      </w:r>
      <w:r w:rsidR="0071088C">
        <w:t>goal</w:t>
      </w:r>
      <w:r>
        <w:t>, and the other segments</w:t>
      </w:r>
      <w:r w:rsidR="00B0668E">
        <w:t>’</w:t>
      </w:r>
      <w:r>
        <w:t xml:space="preserve"> subscription data, ranging from 47 percent to 101 percent</w:t>
      </w:r>
      <w:r w:rsidR="0071088C">
        <w:t xml:space="preserve"> of</w:t>
      </w:r>
      <w:r w:rsidR="00225B82">
        <w:t xml:space="preserve"> the</w:t>
      </w:r>
      <w:r w:rsidR="0071088C">
        <w:t xml:space="preserve"> goal</w:t>
      </w:r>
      <w:r>
        <w:t xml:space="preserve">, provides strong support for a significant reallocation of </w:t>
      </w:r>
      <w:r w:rsidR="000973AF">
        <w:t>Multi-unit</w:t>
      </w:r>
      <w:r w:rsidR="0071088C">
        <w:t xml:space="preserve"> </w:t>
      </w:r>
      <w:r>
        <w:t xml:space="preserve">EVSE </w:t>
      </w:r>
      <w:r w:rsidR="0071088C">
        <w:t xml:space="preserve">to </w:t>
      </w:r>
      <w:r>
        <w:t xml:space="preserve">the </w:t>
      </w:r>
      <w:r w:rsidR="0071088C">
        <w:t xml:space="preserve">other </w:t>
      </w:r>
      <w:r>
        <w:t>segments.</w:t>
      </w:r>
      <w:r w:rsidR="00AC5DFE">
        <w:t xml:space="preserve"> </w:t>
      </w:r>
      <w:r w:rsidR="00C12464">
        <w:t xml:space="preserve">Given DEF’s assessment that it is unlikely to meet its revised </w:t>
      </w:r>
      <w:r w:rsidR="000973AF">
        <w:t>Multi-unit</w:t>
      </w:r>
      <w:r w:rsidR="00C12464">
        <w:t xml:space="preserve"> goal by year end 2019, it is thus likely that </w:t>
      </w:r>
      <w:r w:rsidR="00AC5DFE">
        <w:t xml:space="preserve">a </w:t>
      </w:r>
      <w:r w:rsidR="00C9367F">
        <w:t xml:space="preserve">further </w:t>
      </w:r>
      <w:r w:rsidR="00AC5DFE">
        <w:t xml:space="preserve">redeployment of the unsubscribed ports to other market segments, per the percentage reallocation method quantified in </w:t>
      </w:r>
      <w:r w:rsidR="00225B82">
        <w:t>T</w:t>
      </w:r>
      <w:r w:rsidR="00AC5DFE">
        <w:t>able</w:t>
      </w:r>
      <w:r w:rsidR="00225B82">
        <w:t xml:space="preserve"> 1</w:t>
      </w:r>
      <w:r w:rsidR="00B72304">
        <w:t>-1</w:t>
      </w:r>
      <w:r w:rsidR="00AC5DFE">
        <w:t>, will be required at the end of 2019.</w:t>
      </w:r>
      <w:r w:rsidR="005F0A3C">
        <w:t xml:space="preserve"> In this regard, staff believes the revised allocations may be considered a stretch goal for the </w:t>
      </w:r>
      <w:r w:rsidR="00225B82">
        <w:t>Company</w:t>
      </w:r>
      <w:r w:rsidR="005F0A3C">
        <w:t xml:space="preserve">, augmented by a safety mechanism </w:t>
      </w:r>
      <w:r w:rsidR="00C9367F">
        <w:t>that</w:t>
      </w:r>
      <w:r w:rsidR="005F0A3C">
        <w:t xml:space="preserve"> can be activated at year’s end.</w:t>
      </w:r>
      <w:r w:rsidR="00AC5DFE">
        <w:t xml:space="preserve"> </w:t>
      </w:r>
    </w:p>
    <w:p w:rsidR="00CC6B5A" w:rsidRDefault="00CC6B5A" w:rsidP="00E275D8">
      <w:pPr>
        <w:pStyle w:val="BodyText"/>
      </w:pPr>
      <w:r>
        <w:lastRenderedPageBreak/>
        <w:t xml:space="preserve">Staff reviewed the other </w:t>
      </w:r>
      <w:r w:rsidR="00C9367F">
        <w:t xml:space="preserve">EVSE-related </w:t>
      </w:r>
      <w:r>
        <w:t>requ</w:t>
      </w:r>
      <w:r w:rsidR="00400284">
        <w:t xml:space="preserve">irements of the </w:t>
      </w:r>
      <w:r w:rsidR="00B0668E">
        <w:t xml:space="preserve">2017 </w:t>
      </w:r>
      <w:r w:rsidR="00400284">
        <w:t>Settlement to en</w:t>
      </w:r>
      <w:r>
        <w:t xml:space="preserve">sure that the Company’s reallocation strategy, if approved, would </w:t>
      </w:r>
      <w:r w:rsidR="00400284">
        <w:t xml:space="preserve">be consistent </w:t>
      </w:r>
      <w:r>
        <w:t xml:space="preserve">the 2017 Settlement. First, the Company states in its Motion that the reallocation process may be needed to meet </w:t>
      </w:r>
      <w:r w:rsidR="00400284">
        <w:t>the low income requirement. With 23 of 221 ports subscribed located in low income c</w:t>
      </w:r>
      <w:r w:rsidR="0026119A">
        <w:t xml:space="preserve">ommunities, DEF is currently on </w:t>
      </w:r>
      <w:r w:rsidR="00400284">
        <w:t xml:space="preserve">track to meet the </w:t>
      </w:r>
      <w:r w:rsidR="00C9367F">
        <w:t xml:space="preserve">10 percent low-income </w:t>
      </w:r>
      <w:r w:rsidR="00400284">
        <w:t xml:space="preserve">requirement, but all such </w:t>
      </w:r>
      <w:r w:rsidR="0026119A">
        <w:t>sub</w:t>
      </w:r>
      <w:r w:rsidR="00CE7031">
        <w:t>s</w:t>
      </w:r>
      <w:r w:rsidR="0026119A">
        <w:t xml:space="preserve">cribed low income community </w:t>
      </w:r>
      <w:r w:rsidR="00400284">
        <w:t xml:space="preserve">ports are </w:t>
      </w:r>
      <w:r w:rsidR="0026119A">
        <w:t xml:space="preserve">located </w:t>
      </w:r>
      <w:r w:rsidR="00400284">
        <w:t xml:space="preserve">in the Public L2 segment.  This is a clear indication that the reallocation strategy by DEF is </w:t>
      </w:r>
      <w:r w:rsidR="0026119A">
        <w:t xml:space="preserve">necessary to support the low income </w:t>
      </w:r>
      <w:r w:rsidR="005F0A3C">
        <w:t>EVSE target contained in</w:t>
      </w:r>
      <w:r w:rsidR="0026119A">
        <w:t xml:space="preserve"> the </w:t>
      </w:r>
      <w:r w:rsidR="00225B82">
        <w:t xml:space="preserve">2017 </w:t>
      </w:r>
      <w:r w:rsidR="0026119A">
        <w:t>Settlement.</w:t>
      </w:r>
      <w:r w:rsidR="00C12464">
        <w:t xml:space="preserve"> </w:t>
      </w:r>
    </w:p>
    <w:p w:rsidR="0026119A" w:rsidRDefault="00880017" w:rsidP="00E275D8">
      <w:pPr>
        <w:pStyle w:val="BodyText"/>
      </w:pPr>
      <w:r>
        <w:t xml:space="preserve">Staff </w:t>
      </w:r>
      <w:r w:rsidR="00C9367F">
        <w:t xml:space="preserve">also </w:t>
      </w:r>
      <w:r>
        <w:t xml:space="preserve">considered whether the revised allocation or year-end redeployment scenario would </w:t>
      </w:r>
      <w:r w:rsidR="000B379A">
        <w:t xml:space="preserve">potentially </w:t>
      </w:r>
      <w:r>
        <w:t xml:space="preserve">result in DEF incurring higher capital costs than </w:t>
      </w:r>
      <w:r w:rsidR="0026119A">
        <w:t xml:space="preserve">the </w:t>
      </w:r>
      <w:r w:rsidR="00225B82">
        <w:t xml:space="preserve">2017 </w:t>
      </w:r>
      <w:r w:rsidR="0026119A">
        <w:t>Settlement</w:t>
      </w:r>
      <w:r w:rsidR="005F0A3C">
        <w:t>’</w:t>
      </w:r>
      <w:r w:rsidR="0026119A">
        <w:t xml:space="preserve">s investment cap of $8.0 </w:t>
      </w:r>
      <w:r w:rsidR="00225B82">
        <w:t>million</w:t>
      </w:r>
      <w:r w:rsidR="0026119A">
        <w:t xml:space="preserve">. </w:t>
      </w:r>
      <w:r w:rsidR="00263F69">
        <w:t xml:space="preserve">DEF reports that the projected total capital </w:t>
      </w:r>
      <w:r w:rsidR="000B379A">
        <w:t xml:space="preserve">costs </w:t>
      </w:r>
      <w:r w:rsidR="00263F69">
        <w:t xml:space="preserve">for the program under the proposed pilot program reallocation is approximately $4.6 </w:t>
      </w:r>
      <w:r w:rsidR="00225B82">
        <w:t>million</w:t>
      </w:r>
      <w:r w:rsidR="00263F69">
        <w:t>, plus or minus a 10 percent variance due to potential upgrades</w:t>
      </w:r>
      <w:r w:rsidR="005D2581">
        <w:t xml:space="preserve"> (i.e. transformer upgrade, panel upgrade, etc.)</w:t>
      </w:r>
      <w:r w:rsidR="00263F69">
        <w:t>.</w:t>
      </w:r>
      <w:r w:rsidR="000B379A">
        <w:rPr>
          <w:rStyle w:val="FootnoteReference"/>
        </w:rPr>
        <w:footnoteReference w:id="3"/>
      </w:r>
      <w:r w:rsidR="00263F69">
        <w:t xml:space="preserve"> </w:t>
      </w:r>
      <w:r>
        <w:t xml:space="preserve">This is somewhat higher than DEF’s projected total capital costs under the current allocation, which is about $3.8 </w:t>
      </w:r>
      <w:r w:rsidR="00225B82">
        <w:t>million</w:t>
      </w:r>
      <w:r>
        <w:t xml:space="preserve">, due primarily to the higher per unit capital costs associated with the DCFC segment. The EVSE per unit costs for Public L2 and Workplace segments is in line with </w:t>
      </w:r>
      <w:proofErr w:type="gramStart"/>
      <w:r>
        <w:t>the per</w:t>
      </w:r>
      <w:proofErr w:type="gramEnd"/>
      <w:r>
        <w:t xml:space="preserve"> unit costs of </w:t>
      </w:r>
      <w:r w:rsidR="000973AF">
        <w:t>Multi-unit</w:t>
      </w:r>
      <w:r>
        <w:t xml:space="preserve">. It appears to staff that a </w:t>
      </w:r>
      <w:r w:rsidR="0026119A">
        <w:t xml:space="preserve">reallocation of EVSE as contemplated, even under the year-end redeployment scenario, </w:t>
      </w:r>
      <w:r w:rsidR="004F3EB3">
        <w:t xml:space="preserve">is not likely to </w:t>
      </w:r>
      <w:r w:rsidR="0026119A">
        <w:t xml:space="preserve">cause the Company to exceed the Settlement’s $8.0 </w:t>
      </w:r>
      <w:r w:rsidR="00225B82">
        <w:t>million</w:t>
      </w:r>
      <w:r w:rsidR="0026119A">
        <w:t xml:space="preserve"> </w:t>
      </w:r>
      <w:r w:rsidR="00C12464">
        <w:t xml:space="preserve">EVSE </w:t>
      </w:r>
      <w:r w:rsidR="0026119A">
        <w:t>investment cap.</w:t>
      </w:r>
    </w:p>
    <w:p w:rsidR="00CE7031" w:rsidRPr="00752ED9" w:rsidRDefault="00CE7031" w:rsidP="001075E9">
      <w:pPr>
        <w:pStyle w:val="BodyText"/>
        <w:rPr>
          <w:rFonts w:ascii="Arial" w:hAnsi="Arial" w:cs="Arial"/>
          <w:b/>
        </w:rPr>
      </w:pPr>
      <w:r w:rsidRPr="00752ED9">
        <w:rPr>
          <w:rFonts w:ascii="Arial" w:hAnsi="Arial" w:cs="Arial"/>
          <w:b/>
        </w:rPr>
        <w:t>Conclusion</w:t>
      </w:r>
    </w:p>
    <w:p w:rsidR="00BE0524" w:rsidRDefault="00CE7031" w:rsidP="001075E9">
      <w:pPr>
        <w:pStyle w:val="BodyText"/>
      </w:pPr>
      <w:r>
        <w:t xml:space="preserve">Staff believes that </w:t>
      </w:r>
      <w:r w:rsidR="00C3500C">
        <w:t xml:space="preserve">DEF’s proposed </w:t>
      </w:r>
      <w:r>
        <w:t xml:space="preserve">reallocation strategy is necessary in order for </w:t>
      </w:r>
      <w:r w:rsidR="00C3500C">
        <w:t>it</w:t>
      </w:r>
      <w:r>
        <w:t xml:space="preserve"> to </w:t>
      </w:r>
      <w:r w:rsidR="005F0A3C">
        <w:t>m</w:t>
      </w:r>
      <w:r>
        <w:t xml:space="preserve">aintain </w:t>
      </w:r>
      <w:r w:rsidR="004F3EB3">
        <w:t xml:space="preserve">the </w:t>
      </w:r>
      <w:r w:rsidR="006D0E04">
        <w:t xml:space="preserve">2017 </w:t>
      </w:r>
      <w:r w:rsidR="004F3EB3">
        <w:t>Settlement’s</w:t>
      </w:r>
      <w:r>
        <w:t xml:space="preserve"> </w:t>
      </w:r>
      <w:r w:rsidR="004F3EB3">
        <w:t xml:space="preserve">minimum </w:t>
      </w:r>
      <w:r>
        <w:t xml:space="preserve">530 EVSE subscription </w:t>
      </w:r>
      <w:r w:rsidR="005F0A3C">
        <w:t>target.  The strategy work</w:t>
      </w:r>
      <w:r w:rsidR="00C3500C">
        <w:t>s</w:t>
      </w:r>
      <w:r w:rsidR="005F0A3C">
        <w:t xml:space="preserve"> </w:t>
      </w:r>
      <w:r>
        <w:t xml:space="preserve">in conjunction with other requirements of the </w:t>
      </w:r>
      <w:r w:rsidR="006D0E04">
        <w:t xml:space="preserve">2017 </w:t>
      </w:r>
      <w:r>
        <w:t xml:space="preserve">Settlement, such as the low income EVSE </w:t>
      </w:r>
      <w:r w:rsidR="00BE0524">
        <w:t xml:space="preserve">percentage requirement </w:t>
      </w:r>
      <w:r>
        <w:t xml:space="preserve">and </w:t>
      </w:r>
      <w:r w:rsidR="00BE0524">
        <w:t xml:space="preserve">the EVSE </w:t>
      </w:r>
      <w:r>
        <w:t xml:space="preserve">$8.0 </w:t>
      </w:r>
      <w:r w:rsidR="00225B82">
        <w:t>million</w:t>
      </w:r>
      <w:r>
        <w:t xml:space="preserve"> </w:t>
      </w:r>
      <w:r w:rsidR="004F3EB3">
        <w:t xml:space="preserve">maximum </w:t>
      </w:r>
      <w:r>
        <w:t xml:space="preserve">investment cap. </w:t>
      </w:r>
      <w:r w:rsidR="005F0A3C">
        <w:t xml:space="preserve">Furthermore, </w:t>
      </w:r>
      <w:r w:rsidR="009327A6">
        <w:t xml:space="preserve">the reallocation increases the likelihood that </w:t>
      </w:r>
      <w:r w:rsidR="005F0A3C">
        <w:t xml:space="preserve">the Company </w:t>
      </w:r>
      <w:r w:rsidR="009327A6">
        <w:t xml:space="preserve">will be able to </w:t>
      </w:r>
      <w:r w:rsidR="005F0A3C">
        <w:t xml:space="preserve">collect </w:t>
      </w:r>
      <w:r w:rsidR="009327A6">
        <w:t xml:space="preserve">sufficient </w:t>
      </w:r>
      <w:r w:rsidR="005F0A3C">
        <w:t>EVSE deployment data by the end of the pilot</w:t>
      </w:r>
      <w:r w:rsidR="00C3500C">
        <w:t xml:space="preserve"> program to allow consideration of the merits of a </w:t>
      </w:r>
      <w:r w:rsidR="005F0A3C">
        <w:t>permanent program</w:t>
      </w:r>
      <w:r w:rsidR="00C3500C">
        <w:t>. P</w:t>
      </w:r>
      <w:r w:rsidR="005F0A3C">
        <w:t xml:space="preserve">er the </w:t>
      </w:r>
      <w:r w:rsidR="00225B82">
        <w:t xml:space="preserve">2017 </w:t>
      </w:r>
      <w:r w:rsidR="005F0A3C">
        <w:t xml:space="preserve">Settlement, </w:t>
      </w:r>
      <w:r w:rsidR="00C3500C">
        <w:t xml:space="preserve">a permanent program </w:t>
      </w:r>
      <w:r w:rsidR="005F0A3C">
        <w:t>may be requested by the Company</w:t>
      </w:r>
      <w:r w:rsidR="00C3500C">
        <w:t xml:space="preserve"> at the conclusion of the pilot program</w:t>
      </w:r>
      <w:r w:rsidR="005F0A3C">
        <w:t xml:space="preserve">. </w:t>
      </w:r>
      <w:r w:rsidR="004F3EB3">
        <w:t xml:space="preserve">Staff thus recommends the Commission approve DEF’s Motion as filed. </w:t>
      </w:r>
    </w:p>
    <w:p w:rsidR="001075E9" w:rsidRDefault="005B6791" w:rsidP="001075E9">
      <w:pPr>
        <w:pStyle w:val="BodyText"/>
      </w:pPr>
      <w:r>
        <w:t>Finally</w:t>
      </w:r>
      <w:r w:rsidR="004F3EB3">
        <w:t>, s</w:t>
      </w:r>
      <w:r w:rsidR="001075E9">
        <w:t xml:space="preserve">taff believes DEF should take certain actions to ensure that the Commission and the parties to the </w:t>
      </w:r>
      <w:r w:rsidR="00225B82">
        <w:t xml:space="preserve">2017 </w:t>
      </w:r>
      <w:r w:rsidR="001075E9">
        <w:t xml:space="preserve">Settlement remain apprised of developments in the Company’s EVSE </w:t>
      </w:r>
      <w:r w:rsidR="00BE0524">
        <w:t>re</w:t>
      </w:r>
      <w:r w:rsidR="001075E9">
        <w:t>allocations</w:t>
      </w:r>
      <w:r w:rsidR="00BE0524">
        <w:t>,</w:t>
      </w:r>
      <w:r w:rsidR="001075E9">
        <w:t xml:space="preserve"> actual subscriptions</w:t>
      </w:r>
      <w:r w:rsidR="00BE0524">
        <w:t>,</w:t>
      </w:r>
      <w:r w:rsidR="001075E9">
        <w:t xml:space="preserve"> and installations. DEF’s annual data report </w:t>
      </w:r>
      <w:r w:rsidR="00B0668E">
        <w:t xml:space="preserve">regarding its Electric Vehicle Charging Station Pilot Program </w:t>
      </w:r>
      <w:r w:rsidR="001075E9">
        <w:t xml:space="preserve">provides an excellent vehicle in which DEF could </w:t>
      </w:r>
      <w:r w:rsidR="0088769F">
        <w:t xml:space="preserve">report the results of the </w:t>
      </w:r>
      <w:r w:rsidR="001075E9">
        <w:t xml:space="preserve">EVSE reallocations and, if needed, </w:t>
      </w:r>
      <w:r w:rsidR="0088769F">
        <w:t>identify further reallocations</w:t>
      </w:r>
      <w:r w:rsidR="001075E9">
        <w:t>.</w:t>
      </w:r>
      <w:r w:rsidR="004F3EB3">
        <w:t xml:space="preserve"> </w:t>
      </w:r>
      <w:r w:rsidR="001075E9">
        <w:t xml:space="preserve">In the event DEF has fewer than 210 </w:t>
      </w:r>
      <w:r w:rsidR="000973AF">
        <w:t xml:space="preserve">Multi-unit </w:t>
      </w:r>
      <w:r w:rsidR="001075E9">
        <w:t>EVSE subscriptions by December 31, 2019, staff recommends DEF be required to augment its 2019 annual data report to the Commission to include a</w:t>
      </w:r>
      <w:r w:rsidR="001C2E1D">
        <w:t>ny</w:t>
      </w:r>
      <w:r w:rsidR="001075E9">
        <w:t xml:space="preserve"> further reallocation of unsubscribed </w:t>
      </w:r>
      <w:r w:rsidR="000973AF">
        <w:t>Multi-unit</w:t>
      </w:r>
      <w:r w:rsidR="001075E9">
        <w:t xml:space="preserve"> </w:t>
      </w:r>
      <w:r w:rsidR="0088769F">
        <w:t xml:space="preserve">EVSE </w:t>
      </w:r>
      <w:r w:rsidR="001075E9">
        <w:t xml:space="preserve">to other segments. </w:t>
      </w:r>
      <w:r w:rsidR="004F3EB3">
        <w:t>In the event of further reallocation</w:t>
      </w:r>
      <w:r w:rsidR="00BE0524">
        <w:t>s</w:t>
      </w:r>
      <w:r w:rsidR="004F3EB3">
        <w:t xml:space="preserve">, staff believes it would be </w:t>
      </w:r>
      <w:r w:rsidR="0088769F">
        <w:t>app</w:t>
      </w:r>
      <w:r w:rsidR="004F3EB3">
        <w:t xml:space="preserve">ropriate for </w:t>
      </w:r>
      <w:r w:rsidR="0088769F">
        <w:t xml:space="preserve">the Commission to allow </w:t>
      </w:r>
      <w:r w:rsidR="001075E9">
        <w:t>DEF</w:t>
      </w:r>
      <w:r w:rsidR="004F3EB3">
        <w:t xml:space="preserve"> to delay its </w:t>
      </w:r>
      <w:r w:rsidR="001075E9">
        <w:t>filing of its 2019 annual data report</w:t>
      </w:r>
      <w:r w:rsidR="00B0668E">
        <w:t xml:space="preserve"> </w:t>
      </w:r>
      <w:r w:rsidR="001075E9">
        <w:t>until January 31, 2020</w:t>
      </w:r>
      <w:r w:rsidR="00BE0524">
        <w:t xml:space="preserve"> in order to supplement it</w:t>
      </w:r>
      <w:r w:rsidR="00C3500C">
        <w:t>s</w:t>
      </w:r>
      <w:r w:rsidR="00BE0524">
        <w:t xml:space="preserve"> filing accordingly</w:t>
      </w:r>
      <w:r w:rsidR="001075E9">
        <w:t>.</w:t>
      </w:r>
      <w:r w:rsidR="003C6E00">
        <w:t xml:space="preserve"> Staff will apprise the Commission should any further reallocations not </w:t>
      </w:r>
      <w:r w:rsidR="003C6E00">
        <w:lastRenderedPageBreak/>
        <w:t>comport with the segment percentage range targets proposed by the Company as shown in Table 1-1.</w:t>
      </w:r>
    </w:p>
    <w:p w:rsidR="002053CF" w:rsidRDefault="002053CF" w:rsidP="001075E9">
      <w:pPr>
        <w:pStyle w:val="BodyText"/>
        <w:sectPr w:rsidR="002053C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97FDD" w:rsidRDefault="001518F9" w:rsidP="00397FDD">
      <w:pPr>
        <w:pStyle w:val="BodyText"/>
      </w:pPr>
      <w:r w:rsidRPr="001518F9">
        <w:rPr>
          <w:rFonts w:ascii="Arial" w:hAnsi="Arial" w:cs="Arial"/>
          <w:b/>
          <w:i/>
        </w:rPr>
        <w:lastRenderedPageBreak/>
        <w:t xml:space="preserve">Issue </w:t>
      </w:r>
      <w:r w:rsidRPr="001518F9">
        <w:rPr>
          <w:rFonts w:ascii="Arial" w:hAnsi="Arial" w:cs="Arial"/>
          <w:b/>
          <w:i/>
        </w:rPr>
        <w:fldChar w:fldCharType="begin"/>
      </w:r>
      <w:r w:rsidRPr="001518F9">
        <w:rPr>
          <w:rFonts w:ascii="Arial" w:hAnsi="Arial" w:cs="Arial"/>
          <w:b/>
          <w:i/>
        </w:rPr>
        <w:instrText xml:space="preserve"> SEQ Issue \* MERGEFORMAT </w:instrText>
      </w:r>
      <w:r w:rsidRPr="001518F9">
        <w:rPr>
          <w:rFonts w:ascii="Arial" w:hAnsi="Arial" w:cs="Arial"/>
          <w:b/>
          <w:i/>
        </w:rPr>
        <w:fldChar w:fldCharType="separate"/>
      </w:r>
      <w:r w:rsidR="00D61A7E">
        <w:rPr>
          <w:rFonts w:ascii="Arial" w:hAnsi="Arial" w:cs="Arial"/>
          <w:b/>
          <w:i/>
          <w:noProof/>
        </w:rPr>
        <w:t>2</w:t>
      </w:r>
      <w:r w:rsidRPr="001518F9">
        <w:rPr>
          <w:rFonts w:ascii="Arial" w:hAnsi="Arial" w:cs="Arial"/>
          <w:b/>
          <w:i/>
        </w:rPr>
        <w:fldChar w:fldCharType="end"/>
      </w:r>
      <w:r w:rsidR="00397FDD" w:rsidRPr="00A85BFC">
        <w:rPr>
          <w:rFonts w:ascii="Arial" w:hAnsi="Arial" w:cs="Arial"/>
          <w:b/>
          <w:i/>
        </w:rPr>
        <w:t>:</w:t>
      </w:r>
      <w:r w:rsidR="00397FDD">
        <w:t xml:space="preserve">  Should this docket be closed</w:t>
      </w:r>
      <w:r w:rsidR="00C37986">
        <w:t>?</w:t>
      </w:r>
    </w:p>
    <w:p w:rsidR="00397FDD" w:rsidRDefault="00397FDD" w:rsidP="00397FDD">
      <w:pPr>
        <w:pStyle w:val="BodyText"/>
      </w:pPr>
      <w:r w:rsidRPr="00A85BFC">
        <w:rPr>
          <w:rFonts w:ascii="Arial" w:hAnsi="Arial" w:cs="Arial"/>
          <w:b/>
          <w:i/>
        </w:rPr>
        <w:t>Recommendation:</w:t>
      </w:r>
      <w:r w:rsidR="00C37986">
        <w:t xml:space="preserve">  Yes. This docket should be closed upon issuance of a Consummating Order unless a person whose substantial interests are affected by the Commission’s decision files a protest within 21 days of the issuance of the proposed agency action. </w:t>
      </w:r>
      <w:r w:rsidR="00443EE4">
        <w:t>(</w:t>
      </w:r>
      <w:proofErr w:type="spellStart"/>
      <w:r w:rsidR="00443EE4">
        <w:t>DuVal</w:t>
      </w:r>
      <w:proofErr w:type="spellEnd"/>
      <w:r w:rsidR="00443EE4">
        <w:t>)</w:t>
      </w:r>
    </w:p>
    <w:p w:rsidR="00397FDD" w:rsidRPr="00C37986" w:rsidRDefault="00397FDD" w:rsidP="001075E9">
      <w:pPr>
        <w:pStyle w:val="BodyText"/>
        <w:rPr>
          <w:rFonts w:ascii="Arial" w:hAnsi="Arial" w:cs="Arial"/>
          <w:b/>
          <w:i/>
        </w:rPr>
      </w:pPr>
      <w:r w:rsidRPr="00A85BFC">
        <w:rPr>
          <w:rFonts w:ascii="Arial" w:hAnsi="Arial" w:cs="Arial"/>
          <w:b/>
          <w:i/>
        </w:rPr>
        <w:t xml:space="preserve">Staff Analysis:  </w:t>
      </w:r>
      <w:r w:rsidR="00C37986">
        <w:t>This docket should be closed upon issuance of a Consummating Order unless a person whose substantial interests are affected by the Commission’s decision files a protest within 21 days of the issuance of the proposed agency action.</w:t>
      </w:r>
    </w:p>
    <w:sectPr w:rsidR="00397FDD" w:rsidRPr="00C37986"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BE" w:rsidRDefault="005650BE">
      <w:r>
        <w:separator/>
      </w:r>
    </w:p>
  </w:endnote>
  <w:endnote w:type="continuationSeparator" w:id="0">
    <w:p w:rsidR="005650BE" w:rsidRDefault="005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41C8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BE" w:rsidRDefault="005650BE">
      <w:r>
        <w:separator/>
      </w:r>
    </w:p>
  </w:footnote>
  <w:footnote w:type="continuationSeparator" w:id="0">
    <w:p w:rsidR="005650BE" w:rsidRDefault="005650BE">
      <w:r>
        <w:continuationSeparator/>
      </w:r>
    </w:p>
  </w:footnote>
  <w:footnote w:id="1">
    <w:p w:rsidR="00BA5571" w:rsidRDefault="00BA5571">
      <w:pPr>
        <w:pStyle w:val="FootnoteText"/>
      </w:pPr>
      <w:r>
        <w:rPr>
          <w:rStyle w:val="FootnoteReference"/>
        </w:rPr>
        <w:footnoteRef/>
      </w:r>
      <w:r>
        <w:t xml:space="preserve"> </w:t>
      </w:r>
      <w:proofErr w:type="gramStart"/>
      <w:r>
        <w:t>Order No.</w:t>
      </w:r>
      <w:proofErr w:type="gramEnd"/>
      <w:r>
        <w:t xml:space="preserve"> PSC-2017-0451-AS-EU, </w:t>
      </w:r>
      <w:r w:rsidR="00241589">
        <w:t>issued</w:t>
      </w:r>
      <w:r>
        <w:t xml:space="preserve"> November 20, 2017</w:t>
      </w:r>
      <w:r w:rsidR="00241589">
        <w:t>,</w:t>
      </w:r>
      <w:r>
        <w:t xml:space="preserve"> in Docket No. 20170</w:t>
      </w:r>
      <w:r w:rsidR="00241589">
        <w:t>183</w:t>
      </w:r>
      <w:r>
        <w:t xml:space="preserve">-EI, </w:t>
      </w:r>
      <w:r w:rsidR="00241589" w:rsidRPr="003E2B59">
        <w:rPr>
          <w:i/>
        </w:rPr>
        <w:t>In re: Application for limited proceeding to approve 2017 second revised and restated settlement agreement, including certain rate adjustments, by Duke Energy Florida, LLC</w:t>
      </w:r>
      <w:r w:rsidR="003E2B59">
        <w:rPr>
          <w:i/>
        </w:rPr>
        <w:t>.</w:t>
      </w:r>
    </w:p>
  </w:footnote>
  <w:footnote w:id="2">
    <w:p w:rsidR="0020559E" w:rsidRDefault="0020559E" w:rsidP="0020559E">
      <w:pPr>
        <w:pStyle w:val="FootnoteText"/>
      </w:pPr>
      <w:r>
        <w:rPr>
          <w:rStyle w:val="FootnoteReference"/>
        </w:rPr>
        <w:footnoteRef/>
      </w:r>
      <w:r>
        <w:t xml:space="preserve"> Docket No. 20170183-EI</w:t>
      </w:r>
      <w:proofErr w:type="gramStart"/>
      <w:r>
        <w:t>,  Document</w:t>
      </w:r>
      <w:proofErr w:type="gramEnd"/>
      <w:r>
        <w:t xml:space="preserve"> No. 09507-2017, Exhibit 2, BS 182.</w:t>
      </w:r>
    </w:p>
  </w:footnote>
  <w:footnote w:id="3">
    <w:p w:rsidR="000B379A" w:rsidRDefault="000B379A">
      <w:pPr>
        <w:pStyle w:val="FootnoteText"/>
      </w:pPr>
      <w:r>
        <w:rPr>
          <w:rStyle w:val="FootnoteReference"/>
        </w:rPr>
        <w:footnoteRef/>
      </w:r>
      <w:r>
        <w:t xml:space="preserve"> </w:t>
      </w:r>
      <w:proofErr w:type="gramStart"/>
      <w:r>
        <w:t>DEF’s response to Staff’s Second Data Request, Nos. 1 and 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5650B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20170183-EI</w:t>
    </w:r>
    <w:bookmarkEnd w:id="15"/>
  </w:p>
  <w:p w:rsidR="00BC402E" w:rsidRDefault="00BC402E">
    <w:pPr>
      <w:pStyle w:val="Header"/>
    </w:pPr>
    <w:r>
      <w:t xml:space="preserve">Date: </w:t>
    </w:r>
    <w:r w:rsidR="00AD4068">
      <w:fldChar w:fldCharType="begin"/>
    </w:r>
    <w:r w:rsidR="00AD4068">
      <w:instrText xml:space="preserve"> REF FilingDate </w:instrText>
    </w:r>
    <w:r w:rsidR="00AD4068">
      <w:fldChar w:fldCharType="separate"/>
    </w:r>
    <w:r w:rsidR="00D61A7E">
      <w:t>May 30, 2019</w:t>
    </w:r>
    <w:r w:rsidR="00AD406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61A7E">
      <w:t>Docket No.</w:t>
    </w:r>
    <w:r>
      <w:fldChar w:fldCharType="end"/>
    </w:r>
    <w:r>
      <w:t xml:space="preserve"> </w:t>
    </w:r>
    <w:r>
      <w:fldChar w:fldCharType="begin"/>
    </w:r>
    <w:r>
      <w:instrText xml:space="preserve"> REF DocketList</w:instrText>
    </w:r>
    <w:r>
      <w:fldChar w:fldCharType="separate"/>
    </w:r>
    <w:r w:rsidR="00D61A7E">
      <w:t>20170183-EI</w:t>
    </w:r>
    <w:r>
      <w:fldChar w:fldCharType="end"/>
    </w:r>
    <w:r>
      <w:tab/>
      <w:t xml:space="preserve">Issue </w:t>
    </w:r>
    <w:r w:rsidR="00AD4068">
      <w:fldChar w:fldCharType="begin"/>
    </w:r>
    <w:r w:rsidR="00AD4068">
      <w:instrText xml:space="preserve"> Seq Issue \c \* Arabic </w:instrText>
    </w:r>
    <w:r w:rsidR="00AD4068">
      <w:fldChar w:fldCharType="separate"/>
    </w:r>
    <w:r w:rsidR="00941C8E">
      <w:rPr>
        <w:noProof/>
      </w:rPr>
      <w:t>1</w:t>
    </w:r>
    <w:r w:rsidR="00AD4068">
      <w:rPr>
        <w:noProof/>
      </w:rPr>
      <w:fldChar w:fldCharType="end"/>
    </w:r>
  </w:p>
  <w:p w:rsidR="00BC402E" w:rsidRDefault="00BC402E">
    <w:pPr>
      <w:pStyle w:val="Header"/>
    </w:pPr>
    <w:r>
      <w:t xml:space="preserve">Date: </w:t>
    </w:r>
    <w:r w:rsidR="00AD4068">
      <w:fldChar w:fldCharType="begin"/>
    </w:r>
    <w:r w:rsidR="00AD4068">
      <w:instrText xml:space="preserve"> REF FilingDate </w:instrText>
    </w:r>
    <w:r w:rsidR="00AD4068">
      <w:fldChar w:fldCharType="separate"/>
    </w:r>
    <w:r w:rsidR="00D61A7E">
      <w:t>May 30, 2019</w:t>
    </w:r>
    <w:r w:rsidR="00AD406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650BE"/>
    <w:rsid w:val="00000356"/>
    <w:rsid w:val="000043D5"/>
    <w:rsid w:val="00006170"/>
    <w:rsid w:val="00010E37"/>
    <w:rsid w:val="000172DA"/>
    <w:rsid w:val="00022D88"/>
    <w:rsid w:val="000247C5"/>
    <w:rsid w:val="000277C2"/>
    <w:rsid w:val="00035B48"/>
    <w:rsid w:val="00036CE2"/>
    <w:rsid w:val="000437FE"/>
    <w:rsid w:val="000513BE"/>
    <w:rsid w:val="00065A06"/>
    <w:rsid w:val="000666F3"/>
    <w:rsid w:val="00070DCB"/>
    <w:rsid w:val="00072CCA"/>
    <w:rsid w:val="00073120"/>
    <w:rsid w:val="000764D0"/>
    <w:rsid w:val="000828D3"/>
    <w:rsid w:val="0009588A"/>
    <w:rsid w:val="000973AF"/>
    <w:rsid w:val="000A2B57"/>
    <w:rsid w:val="000A418B"/>
    <w:rsid w:val="000B379A"/>
    <w:rsid w:val="000C4431"/>
    <w:rsid w:val="000D1C06"/>
    <w:rsid w:val="000D4319"/>
    <w:rsid w:val="000E3E74"/>
    <w:rsid w:val="000F374A"/>
    <w:rsid w:val="001075E9"/>
    <w:rsid w:val="001076AF"/>
    <w:rsid w:val="00117C8C"/>
    <w:rsid w:val="00124E2E"/>
    <w:rsid w:val="00125ED4"/>
    <w:rsid w:val="001305E9"/>
    <w:rsid w:val="001307AF"/>
    <w:rsid w:val="00135687"/>
    <w:rsid w:val="001518F9"/>
    <w:rsid w:val="0015506E"/>
    <w:rsid w:val="00155D76"/>
    <w:rsid w:val="00163031"/>
    <w:rsid w:val="00171A90"/>
    <w:rsid w:val="00180254"/>
    <w:rsid w:val="00191E1F"/>
    <w:rsid w:val="00192943"/>
    <w:rsid w:val="001A11D0"/>
    <w:rsid w:val="001A7406"/>
    <w:rsid w:val="001B4FEE"/>
    <w:rsid w:val="001B51C5"/>
    <w:rsid w:val="001B6F3F"/>
    <w:rsid w:val="001C2E1D"/>
    <w:rsid w:val="001C52B5"/>
    <w:rsid w:val="001D0D3E"/>
    <w:rsid w:val="001F2245"/>
    <w:rsid w:val="001F2C63"/>
    <w:rsid w:val="001F48C7"/>
    <w:rsid w:val="001F6DA1"/>
    <w:rsid w:val="002044E6"/>
    <w:rsid w:val="002053CF"/>
    <w:rsid w:val="0020559E"/>
    <w:rsid w:val="00205C82"/>
    <w:rsid w:val="00205DC2"/>
    <w:rsid w:val="00212B17"/>
    <w:rsid w:val="002163B6"/>
    <w:rsid w:val="00220732"/>
    <w:rsid w:val="00221D32"/>
    <w:rsid w:val="00225B82"/>
    <w:rsid w:val="00225C3F"/>
    <w:rsid w:val="00226F3A"/>
    <w:rsid w:val="002414B8"/>
    <w:rsid w:val="00241589"/>
    <w:rsid w:val="00242B7C"/>
    <w:rsid w:val="0026119A"/>
    <w:rsid w:val="00263D44"/>
    <w:rsid w:val="00263F69"/>
    <w:rsid w:val="002702AD"/>
    <w:rsid w:val="00292D82"/>
    <w:rsid w:val="002963CB"/>
    <w:rsid w:val="002D226D"/>
    <w:rsid w:val="002E173B"/>
    <w:rsid w:val="002F6030"/>
    <w:rsid w:val="00303550"/>
    <w:rsid w:val="003037E1"/>
    <w:rsid w:val="00307E51"/>
    <w:rsid w:val="003103EC"/>
    <w:rsid w:val="003144EF"/>
    <w:rsid w:val="00322F74"/>
    <w:rsid w:val="00340073"/>
    <w:rsid w:val="00357F5D"/>
    <w:rsid w:val="003632FD"/>
    <w:rsid w:val="00372805"/>
    <w:rsid w:val="00373180"/>
    <w:rsid w:val="00375AB9"/>
    <w:rsid w:val="003821A0"/>
    <w:rsid w:val="00385B04"/>
    <w:rsid w:val="003864CF"/>
    <w:rsid w:val="00397FDD"/>
    <w:rsid w:val="003A22A6"/>
    <w:rsid w:val="003A5494"/>
    <w:rsid w:val="003B2510"/>
    <w:rsid w:val="003C2CC4"/>
    <w:rsid w:val="003C3710"/>
    <w:rsid w:val="003C6E00"/>
    <w:rsid w:val="003E0EFC"/>
    <w:rsid w:val="003E2B59"/>
    <w:rsid w:val="003E4A2B"/>
    <w:rsid w:val="003E76C2"/>
    <w:rsid w:val="003F1679"/>
    <w:rsid w:val="003F21EB"/>
    <w:rsid w:val="003F4A35"/>
    <w:rsid w:val="003F7FDD"/>
    <w:rsid w:val="00400284"/>
    <w:rsid w:val="00402481"/>
    <w:rsid w:val="004042B4"/>
    <w:rsid w:val="004074B1"/>
    <w:rsid w:val="00410DC4"/>
    <w:rsid w:val="00412DAE"/>
    <w:rsid w:val="00413DA4"/>
    <w:rsid w:val="00420830"/>
    <w:rsid w:val="004242E6"/>
    <w:rsid w:val="00431598"/>
    <w:rsid w:val="004319AD"/>
    <w:rsid w:val="00432DCA"/>
    <w:rsid w:val="004426B8"/>
    <w:rsid w:val="00443EE4"/>
    <w:rsid w:val="00444432"/>
    <w:rsid w:val="00471860"/>
    <w:rsid w:val="00477026"/>
    <w:rsid w:val="004A744D"/>
    <w:rsid w:val="004B60BD"/>
    <w:rsid w:val="004C093D"/>
    <w:rsid w:val="004C3150"/>
    <w:rsid w:val="004C3641"/>
    <w:rsid w:val="004C4390"/>
    <w:rsid w:val="004C4AF7"/>
    <w:rsid w:val="004D2881"/>
    <w:rsid w:val="004D385F"/>
    <w:rsid w:val="004D5B39"/>
    <w:rsid w:val="004E330D"/>
    <w:rsid w:val="004E5147"/>
    <w:rsid w:val="004E69B5"/>
    <w:rsid w:val="004F3EB3"/>
    <w:rsid w:val="004F5C43"/>
    <w:rsid w:val="0050652D"/>
    <w:rsid w:val="00506C03"/>
    <w:rsid w:val="00511A11"/>
    <w:rsid w:val="00516496"/>
    <w:rsid w:val="00523B11"/>
    <w:rsid w:val="0052572A"/>
    <w:rsid w:val="00532DFB"/>
    <w:rsid w:val="00543CB3"/>
    <w:rsid w:val="005442E4"/>
    <w:rsid w:val="0055529B"/>
    <w:rsid w:val="00560FF0"/>
    <w:rsid w:val="005614BD"/>
    <w:rsid w:val="005650BE"/>
    <w:rsid w:val="0057154F"/>
    <w:rsid w:val="00580F69"/>
    <w:rsid w:val="00581CA3"/>
    <w:rsid w:val="00587A44"/>
    <w:rsid w:val="00597730"/>
    <w:rsid w:val="005977EC"/>
    <w:rsid w:val="00597DE7"/>
    <w:rsid w:val="005A4AA2"/>
    <w:rsid w:val="005B34B6"/>
    <w:rsid w:val="005B6791"/>
    <w:rsid w:val="005B6C8F"/>
    <w:rsid w:val="005B6EC3"/>
    <w:rsid w:val="005D0F74"/>
    <w:rsid w:val="005D2581"/>
    <w:rsid w:val="005D2E7D"/>
    <w:rsid w:val="005D4A8F"/>
    <w:rsid w:val="005D561B"/>
    <w:rsid w:val="005D5ECF"/>
    <w:rsid w:val="005F0A3C"/>
    <w:rsid w:val="005F468D"/>
    <w:rsid w:val="005F69A3"/>
    <w:rsid w:val="00604CC7"/>
    <w:rsid w:val="00615423"/>
    <w:rsid w:val="006165B2"/>
    <w:rsid w:val="00617276"/>
    <w:rsid w:val="0062527B"/>
    <w:rsid w:val="00625D97"/>
    <w:rsid w:val="00625F1C"/>
    <w:rsid w:val="006279E1"/>
    <w:rsid w:val="00630CEB"/>
    <w:rsid w:val="00631FBC"/>
    <w:rsid w:val="00632264"/>
    <w:rsid w:val="006470BC"/>
    <w:rsid w:val="006554D3"/>
    <w:rsid w:val="00667036"/>
    <w:rsid w:val="00673BDB"/>
    <w:rsid w:val="00674341"/>
    <w:rsid w:val="006771B8"/>
    <w:rsid w:val="00680E44"/>
    <w:rsid w:val="006843B6"/>
    <w:rsid w:val="0068481F"/>
    <w:rsid w:val="00696F5D"/>
    <w:rsid w:val="00697249"/>
    <w:rsid w:val="006B3947"/>
    <w:rsid w:val="006B39A6"/>
    <w:rsid w:val="006B4293"/>
    <w:rsid w:val="006B624F"/>
    <w:rsid w:val="006C0C95"/>
    <w:rsid w:val="006C31E3"/>
    <w:rsid w:val="006D0E04"/>
    <w:rsid w:val="006D18D3"/>
    <w:rsid w:val="006E08CB"/>
    <w:rsid w:val="006E598D"/>
    <w:rsid w:val="006E7689"/>
    <w:rsid w:val="0070437D"/>
    <w:rsid w:val="00704CF1"/>
    <w:rsid w:val="00705B04"/>
    <w:rsid w:val="0071088C"/>
    <w:rsid w:val="00724992"/>
    <w:rsid w:val="00727976"/>
    <w:rsid w:val="00734820"/>
    <w:rsid w:val="007349DC"/>
    <w:rsid w:val="00737FC3"/>
    <w:rsid w:val="0074365E"/>
    <w:rsid w:val="00744B55"/>
    <w:rsid w:val="007515FD"/>
    <w:rsid w:val="00752ED9"/>
    <w:rsid w:val="00760D80"/>
    <w:rsid w:val="00780C09"/>
    <w:rsid w:val="00780DDF"/>
    <w:rsid w:val="007834E9"/>
    <w:rsid w:val="00787DBC"/>
    <w:rsid w:val="0079019A"/>
    <w:rsid w:val="00792935"/>
    <w:rsid w:val="00794C07"/>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0017"/>
    <w:rsid w:val="00882155"/>
    <w:rsid w:val="0088233B"/>
    <w:rsid w:val="0088599E"/>
    <w:rsid w:val="00886C37"/>
    <w:rsid w:val="0088769F"/>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1D38"/>
    <w:rsid w:val="00922002"/>
    <w:rsid w:val="00924020"/>
    <w:rsid w:val="009271A7"/>
    <w:rsid w:val="009327A6"/>
    <w:rsid w:val="0093658B"/>
    <w:rsid w:val="00941C8E"/>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2F9F"/>
    <w:rsid w:val="00A13A27"/>
    <w:rsid w:val="00A175B6"/>
    <w:rsid w:val="00A21835"/>
    <w:rsid w:val="00A2374B"/>
    <w:rsid w:val="00A27D6E"/>
    <w:rsid w:val="00A328EC"/>
    <w:rsid w:val="00A33A51"/>
    <w:rsid w:val="00A33E51"/>
    <w:rsid w:val="00A41CA6"/>
    <w:rsid w:val="00A47927"/>
    <w:rsid w:val="00A47FFC"/>
    <w:rsid w:val="00A52724"/>
    <w:rsid w:val="00A5442F"/>
    <w:rsid w:val="00A54FF9"/>
    <w:rsid w:val="00A56765"/>
    <w:rsid w:val="00A675AC"/>
    <w:rsid w:val="00A7581F"/>
    <w:rsid w:val="00A85BFC"/>
    <w:rsid w:val="00A92FB1"/>
    <w:rsid w:val="00A95A0C"/>
    <w:rsid w:val="00AA2765"/>
    <w:rsid w:val="00AA77B5"/>
    <w:rsid w:val="00AB6C5D"/>
    <w:rsid w:val="00AC3401"/>
    <w:rsid w:val="00AC51A7"/>
    <w:rsid w:val="00AC5DFE"/>
    <w:rsid w:val="00AD444B"/>
    <w:rsid w:val="00AD5614"/>
    <w:rsid w:val="00AD6C78"/>
    <w:rsid w:val="00AE2EAB"/>
    <w:rsid w:val="00AF5F89"/>
    <w:rsid w:val="00AF73CB"/>
    <w:rsid w:val="00B002D6"/>
    <w:rsid w:val="00B03379"/>
    <w:rsid w:val="00B05B51"/>
    <w:rsid w:val="00B0668E"/>
    <w:rsid w:val="00B14E5A"/>
    <w:rsid w:val="00B15370"/>
    <w:rsid w:val="00B16DA4"/>
    <w:rsid w:val="00B17BEB"/>
    <w:rsid w:val="00B21A3C"/>
    <w:rsid w:val="00B223C0"/>
    <w:rsid w:val="00B234ED"/>
    <w:rsid w:val="00B249B2"/>
    <w:rsid w:val="00B25CA3"/>
    <w:rsid w:val="00B2765A"/>
    <w:rsid w:val="00B3109A"/>
    <w:rsid w:val="00B516ED"/>
    <w:rsid w:val="00B57A6A"/>
    <w:rsid w:val="00B72304"/>
    <w:rsid w:val="00B760F1"/>
    <w:rsid w:val="00B7669E"/>
    <w:rsid w:val="00B77DA1"/>
    <w:rsid w:val="00B813F4"/>
    <w:rsid w:val="00B822A0"/>
    <w:rsid w:val="00B858AE"/>
    <w:rsid w:val="00B85964"/>
    <w:rsid w:val="00B96250"/>
    <w:rsid w:val="00BA0D55"/>
    <w:rsid w:val="00BA37B3"/>
    <w:rsid w:val="00BA4CC6"/>
    <w:rsid w:val="00BA5571"/>
    <w:rsid w:val="00BB3493"/>
    <w:rsid w:val="00BB7468"/>
    <w:rsid w:val="00BC188A"/>
    <w:rsid w:val="00BC402E"/>
    <w:rsid w:val="00BD0F48"/>
    <w:rsid w:val="00BE0524"/>
    <w:rsid w:val="00BE6DDB"/>
    <w:rsid w:val="00BF5010"/>
    <w:rsid w:val="00C03D5F"/>
    <w:rsid w:val="00C12464"/>
    <w:rsid w:val="00C13791"/>
    <w:rsid w:val="00C31BB3"/>
    <w:rsid w:val="00C3500C"/>
    <w:rsid w:val="00C3622E"/>
    <w:rsid w:val="00C36977"/>
    <w:rsid w:val="00C37986"/>
    <w:rsid w:val="00C467DA"/>
    <w:rsid w:val="00C477D9"/>
    <w:rsid w:val="00C53689"/>
    <w:rsid w:val="00C60BA3"/>
    <w:rsid w:val="00C623F7"/>
    <w:rsid w:val="00C75BC5"/>
    <w:rsid w:val="00C81670"/>
    <w:rsid w:val="00C81773"/>
    <w:rsid w:val="00C82861"/>
    <w:rsid w:val="00C8628A"/>
    <w:rsid w:val="00C86896"/>
    <w:rsid w:val="00C907A8"/>
    <w:rsid w:val="00C93211"/>
    <w:rsid w:val="00C9367F"/>
    <w:rsid w:val="00C942EC"/>
    <w:rsid w:val="00C96047"/>
    <w:rsid w:val="00C979D0"/>
    <w:rsid w:val="00CA0818"/>
    <w:rsid w:val="00CA15C8"/>
    <w:rsid w:val="00CA2C8F"/>
    <w:rsid w:val="00CA30DA"/>
    <w:rsid w:val="00CA3A24"/>
    <w:rsid w:val="00CB1777"/>
    <w:rsid w:val="00CB33E9"/>
    <w:rsid w:val="00CC10A9"/>
    <w:rsid w:val="00CC6B5A"/>
    <w:rsid w:val="00CE2BF8"/>
    <w:rsid w:val="00CE2CEA"/>
    <w:rsid w:val="00CE484E"/>
    <w:rsid w:val="00CE656F"/>
    <w:rsid w:val="00CE7031"/>
    <w:rsid w:val="00CF0DA8"/>
    <w:rsid w:val="00CF2E25"/>
    <w:rsid w:val="00CF4453"/>
    <w:rsid w:val="00CF5D94"/>
    <w:rsid w:val="00CF7E0F"/>
    <w:rsid w:val="00D034D7"/>
    <w:rsid w:val="00D04BE4"/>
    <w:rsid w:val="00D06FC7"/>
    <w:rsid w:val="00D12565"/>
    <w:rsid w:val="00D14127"/>
    <w:rsid w:val="00D60B16"/>
    <w:rsid w:val="00D60F02"/>
    <w:rsid w:val="00D61A7E"/>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3B6B"/>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7128"/>
    <w:rsid w:val="00EF264C"/>
    <w:rsid w:val="00EF3FEE"/>
    <w:rsid w:val="00EF52D5"/>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A55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A5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C84F-8C6B-4910-9C94-6D74AB57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1649</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Bill McNulty</dc:creator>
  <cp:lastModifiedBy>Andrea Mick</cp:lastModifiedBy>
  <cp:revision>2</cp:revision>
  <cp:lastPrinted>2019-05-30T14:19:00Z</cp:lastPrinted>
  <dcterms:created xsi:type="dcterms:W3CDTF">2019-05-30T15:28:00Z</dcterms:created>
  <dcterms:modified xsi:type="dcterms:W3CDTF">2019-05-30T15:28:00Z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20170183-EI</vt:lpwstr>
  </property>
  <property fmtid="{D5CDD505-2E9C-101B-9397-08002B2CF9AE}" pid="3" name="MasterDocument">
    <vt:bool>false</vt:bool>
  </property>
</Properties>
</file>