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F641A">
            <w:pPr>
              <w:pStyle w:val="MemoHeading"/>
            </w:pPr>
            <w:bookmarkStart w:id="1" w:name="FilingDate"/>
            <w:bookmarkEnd w:id="1"/>
            <w:r>
              <w:t>July 25, 2019</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EF641A">
            <w:pPr>
              <w:pStyle w:val="MemoHeading"/>
            </w:pPr>
            <w:bookmarkStart w:id="2" w:name="From"/>
            <w:bookmarkEnd w:id="2"/>
            <w:r>
              <w:t>Division of Accounting and Finance (Cicchetti)</w:t>
            </w:r>
          </w:p>
          <w:p w:rsidR="00EF641A" w:rsidRPr="00EF641A" w:rsidRDefault="00EF641A" w:rsidP="00EF641A">
            <w:r>
              <w:t>Office of the General counsel (Brownless)</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F641A">
            <w:pPr>
              <w:pStyle w:val="MemoHeadingRe"/>
            </w:pPr>
            <w:bookmarkStart w:id="3" w:name="Re"/>
            <w:bookmarkEnd w:id="3"/>
            <w:r>
              <w:t xml:space="preserve">Docket No. </w:t>
            </w:r>
            <w:r w:rsidR="00FE4066">
              <w:t>20180013-PU – Petition to establish a generic docket to investigate and adjust rates for 2018 tax savings, by Office of Public Counsel</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C0528">
            <w:pPr>
              <w:pStyle w:val="MemoHeading"/>
            </w:pPr>
            <w:bookmarkStart w:id="4" w:name="AgendaDate"/>
            <w:bookmarkEnd w:id="4"/>
            <w:r>
              <w:t xml:space="preserve"> </w:t>
            </w:r>
            <w:bookmarkStart w:id="5" w:name="PermittedStatus"/>
            <w:bookmarkEnd w:id="5"/>
            <w:r w:rsidR="006A344F">
              <w:t>08/06/19</w:t>
            </w:r>
            <w:r w:rsidR="008928AE">
              <w:t xml:space="preserve"> – Proposed Agency Action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93EFD">
            <w:pPr>
              <w:pStyle w:val="MemoHeading"/>
            </w:pPr>
            <w:bookmarkStart w:id="6" w:name="CommissionersAssigned"/>
            <w:bookmarkEnd w:id="6"/>
            <w:r>
              <w:t>Clark, Brown, Graham</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93EFD">
            <w:pPr>
              <w:pStyle w:val="MemoHeading"/>
            </w:pPr>
            <w:bookmarkStart w:id="7" w:name="PrehearingOfficer"/>
            <w:bookmarkEnd w:id="7"/>
            <w:r>
              <w:t>Clark</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93EFD">
            <w:pPr>
              <w:pStyle w:val="MemoHeading"/>
            </w:pPr>
            <w:bookmarkStart w:id="9" w:name="CriticalDates"/>
            <w:bookmarkEnd w:id="9"/>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93EFD">
            <w:pPr>
              <w:pStyle w:val="MemoHeading"/>
            </w:pPr>
            <w:bookmarkStart w:id="10" w:name="SpecialInstructions"/>
            <w:bookmarkEnd w:id="10"/>
            <w:r>
              <w:t>None</w:t>
            </w:r>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E3E7E" w:rsidRDefault="00751FAA">
      <w:pPr>
        <w:pStyle w:val="BodyText"/>
      </w:pPr>
      <w:r>
        <w:t>The Tax Cuts and Jobs Act of 2017 (TCJA) was signed into law on December 22, 2017 and became effec</w:t>
      </w:r>
      <w:r w:rsidR="003C1ABD">
        <w:t>t</w:t>
      </w:r>
      <w:r>
        <w:t xml:space="preserve">ive for the taxable year beginning January 1, 2018. </w:t>
      </w:r>
      <w:r w:rsidR="004674E7">
        <w:t xml:space="preserve">On January 9, 2018, the Office of Public Counsel (OPC) filed a </w:t>
      </w:r>
      <w:r w:rsidR="00B86F6D">
        <w:t>“</w:t>
      </w:r>
      <w:r w:rsidR="004674E7">
        <w:t>Petition to Establish Generic Docket to Investigate and Adjust Rates for 2018 Tax Savings.</w:t>
      </w:r>
      <w:r w:rsidR="00B86F6D">
        <w:t>”</w:t>
      </w:r>
      <w:r>
        <w:t xml:space="preserve"> </w:t>
      </w:r>
      <w:r w:rsidR="00C279D0">
        <w:t>On February 6, 2018, in Order No. PSC-2018-0104-PCO-PU,</w:t>
      </w:r>
      <w:r w:rsidR="00C279D0">
        <w:rPr>
          <w:rStyle w:val="FootnoteReference"/>
        </w:rPr>
        <w:footnoteReference w:id="1"/>
      </w:r>
      <w:r w:rsidR="00C279D0">
        <w:t xml:space="preserve"> the Florida Public Service Commission </w:t>
      </w:r>
      <w:r w:rsidR="00243DA3">
        <w:t>(C</w:t>
      </w:r>
      <w:r w:rsidR="00E7680F">
        <w:t>ommission</w:t>
      </w:r>
      <w:r w:rsidR="00243DA3">
        <w:t xml:space="preserve">) </w:t>
      </w:r>
      <w:r w:rsidR="00C279D0">
        <w:t xml:space="preserve">established jurisdiction over </w:t>
      </w:r>
      <w:r w:rsidR="003C1ABD">
        <w:t>utilities</w:t>
      </w:r>
      <w:r w:rsidR="00C279D0">
        <w:t xml:space="preserve">’ tax savings if </w:t>
      </w:r>
      <w:r w:rsidR="00243DA3">
        <w:t xml:space="preserve">such a date was not contained in an applicable settlement agreement. Subsequently, the </w:t>
      </w:r>
      <w:r w:rsidR="00E7680F">
        <w:t>Commission</w:t>
      </w:r>
      <w:r w:rsidR="00243DA3">
        <w:t xml:space="preserve"> opened </w:t>
      </w:r>
      <w:r w:rsidR="00123392">
        <w:t>separate</w:t>
      </w:r>
      <w:r w:rsidR="00E7680F">
        <w:t xml:space="preserve"> </w:t>
      </w:r>
      <w:r w:rsidR="00243DA3">
        <w:t xml:space="preserve">dockets to address </w:t>
      </w:r>
      <w:r w:rsidR="003C1ABD">
        <w:t xml:space="preserve">the </w:t>
      </w:r>
      <w:r w:rsidR="00243DA3">
        <w:t xml:space="preserve">tax savings for electric and natural gas utilities. At this time, all electric and </w:t>
      </w:r>
      <w:r w:rsidR="009E3E7E">
        <w:t xml:space="preserve">natural </w:t>
      </w:r>
      <w:r w:rsidR="00243DA3">
        <w:t>gas</w:t>
      </w:r>
      <w:r w:rsidR="009E3E7E">
        <w:t xml:space="preserve"> </w:t>
      </w:r>
      <w:r w:rsidR="003C1ABD">
        <w:t xml:space="preserve">utilities </w:t>
      </w:r>
      <w:r w:rsidR="009E3E7E">
        <w:t>tax savings dockets have been resolved. The instant docket remain</w:t>
      </w:r>
      <w:r w:rsidR="00E7680F">
        <w:t>s</w:t>
      </w:r>
      <w:r w:rsidR="009E3E7E">
        <w:t xml:space="preserve"> open to address tax savings associated with water and wastewater utilities (WAW). </w:t>
      </w:r>
    </w:p>
    <w:p w:rsidR="00E7680F" w:rsidRDefault="009E3E7E" w:rsidP="00E7680F">
      <w:pPr>
        <w:pStyle w:val="BodyText"/>
      </w:pPr>
      <w:r>
        <w:lastRenderedPageBreak/>
        <w:t>For WAW utilities that have income taxes included in their revenue r</w:t>
      </w:r>
      <w:r w:rsidR="003C1ABD">
        <w:t>e</w:t>
      </w:r>
      <w:r>
        <w:t>quirement, t</w:t>
      </w:r>
      <w:r w:rsidRPr="009E3E7E">
        <w:t xml:space="preserve">he 2018 annual reports are necessary to determine </w:t>
      </w:r>
      <w:r w:rsidR="00E7680F">
        <w:t xml:space="preserve">each utility’s earned return and </w:t>
      </w:r>
      <w:r w:rsidRPr="009E3E7E">
        <w:t>if</w:t>
      </w:r>
      <w:r>
        <w:t xml:space="preserve"> a</w:t>
      </w:r>
      <w:r w:rsidR="003C1ABD">
        <w:t xml:space="preserve"> utility </w:t>
      </w:r>
      <w:r w:rsidR="00E7680F">
        <w:t xml:space="preserve">earned in excess of its allowed </w:t>
      </w:r>
      <w:r w:rsidR="003C1ABD">
        <w:t xml:space="preserve">return. </w:t>
      </w:r>
      <w:r w:rsidR="00930286">
        <w:t xml:space="preserve">As of July 25, 2019, </w:t>
      </w:r>
      <w:r w:rsidR="007E5227">
        <w:t xml:space="preserve">13 of 15 WAW utilities that have income taxes included in their revenue requirement have filed their 2018 annual reports. </w:t>
      </w:r>
      <w:r w:rsidR="003C1ABD">
        <w:t xml:space="preserve">This recommendation addresses </w:t>
      </w:r>
      <w:r w:rsidR="007E5227">
        <w:t xml:space="preserve">the </w:t>
      </w:r>
      <w:r w:rsidR="003C1ABD">
        <w:t xml:space="preserve">tax savings for </w:t>
      </w:r>
      <w:r w:rsidR="00E7680F">
        <w:t xml:space="preserve">the 13 </w:t>
      </w:r>
      <w:r w:rsidR="003C1ABD">
        <w:t>WAW utilities that have income taxes included in their revenue requirement</w:t>
      </w:r>
      <w:r w:rsidR="00E7680F">
        <w:t xml:space="preserve"> and have filed 2018 annual reports.</w:t>
      </w:r>
    </w:p>
    <w:p w:rsidR="00EA2273" w:rsidRDefault="00E7680F" w:rsidP="00E7680F">
      <w:pPr>
        <w:pStyle w:val="BodyText"/>
      </w:pPr>
      <w:r>
        <w:t xml:space="preserve">The Commission has jurisdiction in this case pursuant to Sections </w:t>
      </w:r>
      <w:r w:rsidR="007E4D2F">
        <w:t>366.04, 366.041, 366.06, and 366.07, Florida Statutes.</w:t>
      </w:r>
      <w:r w:rsidR="003C1ABD">
        <w:t xml:space="preserve"> </w:t>
      </w:r>
      <w:r w:rsidR="009E3E7E">
        <w:t xml:space="preserve">  </w:t>
      </w:r>
      <w:r w:rsidR="00243DA3">
        <w:t xml:space="preserve">  </w:t>
      </w:r>
      <w:bookmarkEnd w:id="12"/>
    </w:p>
    <w:p w:rsidR="00E7680F" w:rsidRDefault="00E7680F" w:rsidP="00E7680F">
      <w:pPr>
        <w:pStyle w:val="BodyText"/>
        <w:sectPr w:rsidR="00E7680F">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E06484" w:rsidRDefault="0022371D" w:rsidP="00E275D8">
      <w:pPr>
        <w:pStyle w:val="BodyText"/>
      </w:pPr>
      <w:r w:rsidRPr="006758CD">
        <w:rPr>
          <w:rFonts w:ascii="Arial" w:hAnsi="Arial" w:cs="Arial"/>
          <w:b/>
          <w:i/>
        </w:rPr>
        <w:t>Issue 1:</w:t>
      </w:r>
      <w:r>
        <w:rPr>
          <w:b/>
        </w:rPr>
        <w:t xml:space="preserve"> </w:t>
      </w:r>
      <w:r w:rsidR="00D50D57">
        <w:t>What is the appropriate disposition of</w:t>
      </w:r>
      <w:r w:rsidR="005835DC">
        <w:t xml:space="preserve"> the tax impacts resulting from the passage of the TCJA for WAW utilit</w:t>
      </w:r>
      <w:r w:rsidR="00D50D57">
        <w:t>i</w:t>
      </w:r>
      <w:r w:rsidR="005835DC">
        <w:t>es that have income taxes included in their revenue requirement?</w:t>
      </w:r>
    </w:p>
    <w:p w:rsidR="00441B89" w:rsidRDefault="00D50D57" w:rsidP="00E275D8">
      <w:pPr>
        <w:pStyle w:val="BodyText"/>
      </w:pPr>
      <w:r w:rsidRPr="006758CD">
        <w:rPr>
          <w:rFonts w:ascii="Arial" w:hAnsi="Arial" w:cs="Arial"/>
          <w:b/>
          <w:i/>
        </w:rPr>
        <w:t>Recommendation</w:t>
      </w:r>
      <w:r>
        <w:rPr>
          <w:b/>
        </w:rPr>
        <w:t xml:space="preserve">: </w:t>
      </w:r>
      <w:r w:rsidR="007E4D2F" w:rsidRPr="007E4D2F">
        <w:t>Of the 13 WAW utilities that have income taxes included in their revenue requirement and have filed their 2018 annual report, none are earning above their allowed rate of return range.</w:t>
      </w:r>
      <w:r w:rsidR="007E4D2F">
        <w:t xml:space="preserve"> </w:t>
      </w:r>
      <w:r w:rsidRPr="00D50D57">
        <w:t>No adjustments</w:t>
      </w:r>
      <w:r>
        <w:t xml:space="preserve"> to </w:t>
      </w:r>
      <w:r w:rsidR="00EA5B86">
        <w:t xml:space="preserve">base </w:t>
      </w:r>
      <w:r>
        <w:t xml:space="preserve">rates are necessary regarding the tax impacts resulting from the passage of the </w:t>
      </w:r>
      <w:r w:rsidR="00570ED9">
        <w:t>TCJA</w:t>
      </w:r>
      <w:r>
        <w:t xml:space="preserve"> for </w:t>
      </w:r>
      <w:r w:rsidR="007E4D2F">
        <w:t xml:space="preserve">these </w:t>
      </w:r>
      <w:r>
        <w:t>WAW utilities</w:t>
      </w:r>
      <w:r w:rsidR="00A2677B">
        <w:t>.</w:t>
      </w:r>
      <w:r>
        <w:t xml:space="preserve"> </w:t>
      </w:r>
      <w:r w:rsidR="00EA5B86">
        <w:t>(Cicchetti)</w:t>
      </w:r>
      <w:r w:rsidR="00570ED9">
        <w:t xml:space="preserve">  </w:t>
      </w:r>
    </w:p>
    <w:p w:rsidR="00DD224B" w:rsidRDefault="00DD224B" w:rsidP="00DD224B">
      <w:pPr>
        <w:pStyle w:val="BodyText"/>
        <w:rPr>
          <w:b/>
        </w:rPr>
      </w:pPr>
      <w:r w:rsidRPr="006758CD">
        <w:rPr>
          <w:rFonts w:ascii="Arial" w:hAnsi="Arial" w:cs="Arial"/>
          <w:b/>
          <w:i/>
        </w:rPr>
        <w:t>Staff Analysis</w:t>
      </w:r>
      <w:r>
        <w:rPr>
          <w:b/>
        </w:rPr>
        <w:t>:</w:t>
      </w:r>
    </w:p>
    <w:p w:rsidR="00D50D57" w:rsidRDefault="00441B89" w:rsidP="00DD224B">
      <w:pPr>
        <w:pStyle w:val="BodyText"/>
      </w:pPr>
      <w:r>
        <w:t xml:space="preserve">The 15 WAW utilities that have income taxes included in their revenue requirement are: </w:t>
      </w:r>
    </w:p>
    <w:p w:rsidR="00DD224B" w:rsidRPr="00DD224B" w:rsidRDefault="00DD224B" w:rsidP="00905C51">
      <w:pPr>
        <w:pStyle w:val="BodyText"/>
        <w:numPr>
          <w:ilvl w:val="0"/>
          <w:numId w:val="13"/>
        </w:numPr>
        <w:spacing w:after="0"/>
        <w:rPr>
          <w:b/>
        </w:rPr>
      </w:pPr>
      <w:r>
        <w:t>East Central Florida Services</w:t>
      </w:r>
    </w:p>
    <w:p w:rsidR="00DD224B" w:rsidRPr="00DD224B" w:rsidRDefault="00DD224B" w:rsidP="00905C51">
      <w:pPr>
        <w:pStyle w:val="BodyText"/>
        <w:numPr>
          <w:ilvl w:val="0"/>
          <w:numId w:val="13"/>
        </w:numPr>
        <w:spacing w:after="0"/>
        <w:rPr>
          <w:b/>
        </w:rPr>
      </w:pPr>
      <w:r>
        <w:t>Forest Utilities</w:t>
      </w:r>
    </w:p>
    <w:p w:rsidR="00DD224B" w:rsidRPr="00DD224B" w:rsidRDefault="00DD224B" w:rsidP="00905C51">
      <w:pPr>
        <w:pStyle w:val="BodyText"/>
        <w:numPr>
          <w:ilvl w:val="0"/>
          <w:numId w:val="13"/>
        </w:numPr>
        <w:spacing w:after="0"/>
        <w:rPr>
          <w:b/>
        </w:rPr>
      </w:pPr>
      <w:r>
        <w:t>Gold Coast Utility Corporation</w:t>
      </w:r>
    </w:p>
    <w:p w:rsidR="00DD224B" w:rsidRPr="00DD224B" w:rsidRDefault="00DD224B" w:rsidP="00905C51">
      <w:pPr>
        <w:pStyle w:val="BodyText"/>
        <w:numPr>
          <w:ilvl w:val="0"/>
          <w:numId w:val="13"/>
        </w:numPr>
        <w:spacing w:after="0"/>
        <w:rPr>
          <w:b/>
        </w:rPr>
      </w:pPr>
      <w:r>
        <w:t>Indiantown Company</w:t>
      </w:r>
    </w:p>
    <w:p w:rsidR="00DD224B" w:rsidRPr="00DD224B" w:rsidRDefault="00DD224B" w:rsidP="00905C51">
      <w:pPr>
        <w:pStyle w:val="BodyText"/>
        <w:numPr>
          <w:ilvl w:val="0"/>
          <w:numId w:val="13"/>
        </w:numPr>
        <w:spacing w:after="0"/>
        <w:rPr>
          <w:b/>
        </w:rPr>
      </w:pPr>
      <w:r>
        <w:t>Marion Utilities</w:t>
      </w:r>
    </w:p>
    <w:p w:rsidR="00DD224B" w:rsidRPr="00DD224B" w:rsidRDefault="00DD224B" w:rsidP="00905C51">
      <w:pPr>
        <w:pStyle w:val="BodyText"/>
        <w:numPr>
          <w:ilvl w:val="0"/>
          <w:numId w:val="13"/>
        </w:numPr>
        <w:spacing w:after="0"/>
        <w:rPr>
          <w:b/>
        </w:rPr>
      </w:pPr>
      <w:r>
        <w:t>NHC Utilities</w:t>
      </w:r>
    </w:p>
    <w:p w:rsidR="00DD224B" w:rsidRPr="00DD224B" w:rsidRDefault="00DD224B" w:rsidP="00905C51">
      <w:pPr>
        <w:pStyle w:val="BodyText"/>
        <w:numPr>
          <w:ilvl w:val="0"/>
          <w:numId w:val="13"/>
        </w:numPr>
        <w:spacing w:after="0"/>
        <w:rPr>
          <w:b/>
        </w:rPr>
      </w:pPr>
      <w:r>
        <w:t>Ni Florida</w:t>
      </w:r>
    </w:p>
    <w:p w:rsidR="00DD224B" w:rsidRPr="00DD224B" w:rsidRDefault="00DD224B" w:rsidP="00905C51">
      <w:pPr>
        <w:pStyle w:val="BodyText"/>
        <w:numPr>
          <w:ilvl w:val="0"/>
          <w:numId w:val="13"/>
        </w:numPr>
        <w:spacing w:after="0"/>
        <w:rPr>
          <w:b/>
        </w:rPr>
      </w:pPr>
      <w:r>
        <w:t>North Beach Utilities</w:t>
      </w:r>
    </w:p>
    <w:p w:rsidR="00DD224B" w:rsidRPr="00DD224B" w:rsidRDefault="00DD224B" w:rsidP="00905C51">
      <w:pPr>
        <w:pStyle w:val="BodyText"/>
        <w:numPr>
          <w:ilvl w:val="0"/>
          <w:numId w:val="13"/>
        </w:numPr>
        <w:spacing w:after="0"/>
        <w:rPr>
          <w:b/>
        </w:rPr>
      </w:pPr>
      <w:r>
        <w:t>Peoples Water Service Company</w:t>
      </w:r>
    </w:p>
    <w:p w:rsidR="00DD224B" w:rsidRPr="00DD224B" w:rsidRDefault="00DD224B" w:rsidP="00905C51">
      <w:pPr>
        <w:pStyle w:val="BodyText"/>
        <w:numPr>
          <w:ilvl w:val="0"/>
          <w:numId w:val="13"/>
        </w:numPr>
        <w:spacing w:after="0"/>
        <w:rPr>
          <w:b/>
        </w:rPr>
      </w:pPr>
      <w:r>
        <w:t>Pine Island Cove HOA</w:t>
      </w:r>
    </w:p>
    <w:p w:rsidR="00DD224B" w:rsidRPr="00DD224B" w:rsidRDefault="00DD224B" w:rsidP="00905C51">
      <w:pPr>
        <w:pStyle w:val="BodyText"/>
        <w:numPr>
          <w:ilvl w:val="0"/>
          <w:numId w:val="13"/>
        </w:numPr>
        <w:spacing w:after="0"/>
        <w:rPr>
          <w:b/>
        </w:rPr>
      </w:pPr>
      <w:r>
        <w:t>Placid Lakes</w:t>
      </w:r>
    </w:p>
    <w:p w:rsidR="00DD224B" w:rsidRPr="00DD224B" w:rsidRDefault="00DD224B" w:rsidP="00905C51">
      <w:pPr>
        <w:pStyle w:val="BodyText"/>
        <w:numPr>
          <w:ilvl w:val="0"/>
          <w:numId w:val="13"/>
        </w:numPr>
        <w:spacing w:after="0"/>
        <w:rPr>
          <w:b/>
        </w:rPr>
      </w:pPr>
      <w:r>
        <w:t>Pluris Wedg</w:t>
      </w:r>
      <w:r w:rsidR="008928AE">
        <w:t>e</w:t>
      </w:r>
      <w:r>
        <w:t>field</w:t>
      </w:r>
    </w:p>
    <w:p w:rsidR="00DD224B" w:rsidRPr="00DD224B" w:rsidRDefault="00DD224B" w:rsidP="00905C51">
      <w:pPr>
        <w:pStyle w:val="BodyText"/>
        <w:numPr>
          <w:ilvl w:val="0"/>
          <w:numId w:val="13"/>
        </w:numPr>
        <w:spacing w:after="0"/>
        <w:rPr>
          <w:b/>
        </w:rPr>
      </w:pPr>
      <w:r>
        <w:t>St. James Island</w:t>
      </w:r>
    </w:p>
    <w:p w:rsidR="00DD224B" w:rsidRPr="00DD224B" w:rsidRDefault="00DD224B" w:rsidP="00905C51">
      <w:pPr>
        <w:pStyle w:val="BodyText"/>
        <w:numPr>
          <w:ilvl w:val="0"/>
          <w:numId w:val="13"/>
        </w:numPr>
        <w:spacing w:after="0"/>
        <w:rPr>
          <w:b/>
        </w:rPr>
      </w:pPr>
      <w:r>
        <w:t>Utilities Inc. of Florida</w:t>
      </w:r>
    </w:p>
    <w:p w:rsidR="00DD224B" w:rsidRPr="00DD224B" w:rsidRDefault="00DD224B" w:rsidP="00DD224B">
      <w:pPr>
        <w:pStyle w:val="BodyText"/>
        <w:numPr>
          <w:ilvl w:val="0"/>
          <w:numId w:val="13"/>
        </w:numPr>
        <w:rPr>
          <w:b/>
        </w:rPr>
      </w:pPr>
      <w:r>
        <w:t>Wildwood Water Company</w:t>
      </w:r>
    </w:p>
    <w:p w:rsidR="00EA5B86" w:rsidRDefault="00DD224B" w:rsidP="00DD224B">
      <w:pPr>
        <w:pStyle w:val="BodyText"/>
        <w:ind w:left="90"/>
      </w:pPr>
      <w:r>
        <w:t xml:space="preserve">Of the 15, all have filed their 2018 annual report except </w:t>
      </w:r>
      <w:r w:rsidR="004C4DF4">
        <w:t>Gold Coast</w:t>
      </w:r>
      <w:r>
        <w:t xml:space="preserve"> Utilit</w:t>
      </w:r>
      <w:r w:rsidR="004C4DF4">
        <w:t>y Corporation</w:t>
      </w:r>
      <w:r>
        <w:t xml:space="preserve"> and St</w:t>
      </w:r>
      <w:r w:rsidR="00822E49">
        <w:t>.</w:t>
      </w:r>
      <w:r>
        <w:t xml:space="preserve"> James Island.</w:t>
      </w:r>
      <w:r w:rsidR="003714A0">
        <w:t xml:space="preserve"> All utilities that have filed their 2018 annual report have reported either negative re</w:t>
      </w:r>
      <w:r w:rsidR="00EA5B86">
        <w:t>t</w:t>
      </w:r>
      <w:r w:rsidR="003714A0">
        <w:t>urns or returns below their rate of return ceilings.</w:t>
      </w:r>
      <w:r w:rsidR="00EA5B86">
        <w:t xml:space="preserve"> Attachment A shows all the utilities’ </w:t>
      </w:r>
      <w:r w:rsidR="00F37ADE">
        <w:t>Net Operating Income</w:t>
      </w:r>
      <w:r w:rsidR="00EA5B86">
        <w:t xml:space="preserve">, Rate Base, Achieved Rate of Return, and Approved Rate of Return Cap. </w:t>
      </w:r>
    </w:p>
    <w:p w:rsidR="00333C3F" w:rsidRDefault="008558A8" w:rsidP="00DD224B">
      <w:pPr>
        <w:pStyle w:val="BodyText"/>
        <w:ind w:left="90"/>
      </w:pPr>
      <w:r>
        <w:t xml:space="preserve">It is staff’s opinion that it is </w:t>
      </w:r>
      <w:r w:rsidR="004C4DF4">
        <w:t>reasonable for the C</w:t>
      </w:r>
      <w:r w:rsidR="00EA5B86">
        <w:t xml:space="preserve">ommission to consider the earnings position of the utility </w:t>
      </w:r>
      <w:r>
        <w:t>when deciding if base rates should be reduced for changes in tax rates</w:t>
      </w:r>
      <w:r w:rsidR="00EA5B86">
        <w:t xml:space="preserve">. </w:t>
      </w:r>
      <w:r w:rsidR="004C4DF4">
        <w:t>Reducing base rates would result in cash flow reductions for the utilit</w:t>
      </w:r>
      <w:r>
        <w:t>i</w:t>
      </w:r>
      <w:r w:rsidR="004C4DF4">
        <w:t xml:space="preserve">es, put downward pressure on earnings, and would accelerate the need for a rate case sooner </w:t>
      </w:r>
      <w:r>
        <w:t>versus later. Consequently, staff recommends that n</w:t>
      </w:r>
      <w:r w:rsidRPr="008558A8">
        <w:t xml:space="preserve">o adjustments to base rates are necessary regarding the tax impacts resulting from the passage of the TCJA for WAW utilities that have income taxes included in their </w:t>
      </w:r>
      <w:r w:rsidRPr="008558A8">
        <w:lastRenderedPageBreak/>
        <w:t>revenue requirement.</w:t>
      </w:r>
      <w:r w:rsidR="004C4DF4">
        <w:t xml:space="preserve"> </w:t>
      </w:r>
      <w:r w:rsidR="00BC2DB5">
        <w:t xml:space="preserve">Such treatment is consistent with the Commission’s decisions </w:t>
      </w:r>
      <w:r w:rsidR="00F42667">
        <w:t>in Docket Nos. 20180051-GU, 20180052-GU, 20180053-GU, and 20180054-GU.</w:t>
      </w:r>
      <w:r w:rsidR="00F42667">
        <w:rPr>
          <w:rStyle w:val="FootnoteReference"/>
        </w:rPr>
        <w:footnoteReference w:id="2"/>
      </w:r>
      <w:r w:rsidR="00BC2DB5">
        <w:t xml:space="preserve"> </w:t>
      </w: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6758CD" w:rsidRDefault="006758CD" w:rsidP="006758CD">
      <w:pPr>
        <w:rPr>
          <w:b/>
        </w:rPr>
        <w:sectPr w:rsidR="006758C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Pr>
          <w:b/>
        </w:rPr>
        <w:t xml:space="preserve">  </w:t>
      </w:r>
    </w:p>
    <w:p w:rsidR="00333C3F" w:rsidRDefault="00333C3F" w:rsidP="006758CD">
      <w:pPr>
        <w:pStyle w:val="BodyText"/>
      </w:pPr>
      <w:r w:rsidRPr="006758CD">
        <w:rPr>
          <w:rFonts w:ascii="Arial" w:hAnsi="Arial" w:cs="Arial"/>
          <w:b/>
          <w:i/>
        </w:rPr>
        <w:lastRenderedPageBreak/>
        <w:t>Issue 2:</w:t>
      </w:r>
      <w:r>
        <w:t xml:space="preserve"> Should this docket be closed?</w:t>
      </w:r>
    </w:p>
    <w:p w:rsidR="00333C3F" w:rsidRDefault="00333C3F" w:rsidP="006758CD">
      <w:pPr>
        <w:pStyle w:val="BodyText"/>
      </w:pPr>
      <w:r w:rsidRPr="006758CD">
        <w:rPr>
          <w:rFonts w:ascii="Arial" w:hAnsi="Arial" w:cs="Arial"/>
          <w:b/>
          <w:i/>
        </w:rPr>
        <w:t>Recommendation:</w:t>
      </w:r>
      <w:r w:rsidRPr="006758CD">
        <w:rPr>
          <w:rFonts w:ascii="Arial" w:hAnsi="Arial" w:cs="Arial"/>
          <w:i/>
        </w:rPr>
        <w:t xml:space="preserve"> </w:t>
      </w:r>
      <w:r>
        <w:t>Yes</w:t>
      </w:r>
      <w:r w:rsidR="00C93CA6">
        <w:t>.</w:t>
      </w:r>
      <w:r>
        <w:t xml:space="preserve"> </w:t>
      </w:r>
      <w:r w:rsidR="003403C9">
        <w:t xml:space="preserve">Upon expiration of the protest period, if a timely protest is not </w:t>
      </w:r>
      <w:r w:rsidR="00DC7D62">
        <w:t>received</w:t>
      </w:r>
      <w:r w:rsidR="003403C9">
        <w:t xml:space="preserve"> from a substantially affected person, the decision should become final and effective upon issuance of the </w:t>
      </w:r>
      <w:r w:rsidR="00DC7D62">
        <w:t>Consummating</w:t>
      </w:r>
      <w:r w:rsidR="003403C9">
        <w:t xml:space="preserve"> Order and </w:t>
      </w:r>
      <w:r>
        <w:t xml:space="preserve">this docket should be closed and </w:t>
      </w:r>
      <w:r w:rsidR="00520B16">
        <w:t>separate</w:t>
      </w:r>
      <w:r>
        <w:t xml:space="preserve"> dockets opened to </w:t>
      </w:r>
      <w:r w:rsidR="00520B16">
        <w:t>address the tax impacts associated with the passage of the TCJA for Gold Coast Utility Corporation and St. James Island. (Brownless)</w:t>
      </w:r>
    </w:p>
    <w:p w:rsidR="003403C9" w:rsidRDefault="00520B16" w:rsidP="006758CD">
      <w:pPr>
        <w:pStyle w:val="BodyText"/>
      </w:pPr>
      <w:r w:rsidRPr="006758CD">
        <w:rPr>
          <w:rFonts w:ascii="Arial" w:hAnsi="Arial" w:cs="Arial"/>
          <w:b/>
          <w:i/>
        </w:rPr>
        <w:t>Staff Analysis:</w:t>
      </w:r>
      <w:r>
        <w:t xml:space="preserve"> </w:t>
      </w:r>
      <w:r w:rsidR="003403C9" w:rsidRPr="003403C9">
        <w:t xml:space="preserve">Upon expiration of the protest period, if a timely protest is not </w:t>
      </w:r>
      <w:r w:rsidR="00DC7D62" w:rsidRPr="003403C9">
        <w:t>received</w:t>
      </w:r>
      <w:r w:rsidR="003403C9" w:rsidRPr="003403C9">
        <w:t xml:space="preserve"> from a substantially affected person, the decision should become final and effective upon issuance of the </w:t>
      </w:r>
      <w:r w:rsidR="00DC7D62" w:rsidRPr="003403C9">
        <w:t>Consummating</w:t>
      </w:r>
      <w:r w:rsidR="003403C9" w:rsidRPr="003403C9">
        <w:t xml:space="preserve"> Order and this docket should be closed and separate dockets opened to address the tax impacts associated with the passage of the TCJA for Gold Coast Utility Corporation and St. James Island.</w:t>
      </w:r>
    </w:p>
    <w:p w:rsidR="00520B16" w:rsidRPr="00333C3F" w:rsidRDefault="00520B16" w:rsidP="006758CD">
      <w:pPr>
        <w:pStyle w:val="BodyText"/>
      </w:pPr>
      <w:r>
        <w:t xml:space="preserve">Gold Coast Utility Corporation and St. James Island have not yet filed their 2018 annual reports. Consequently, the tax impacts associated with the TCJA cannot be evaluated for these two utilities. </w:t>
      </w:r>
      <w:r w:rsidR="007E4D2F">
        <w:t>Both</w:t>
      </w:r>
      <w:r>
        <w:t xml:space="preserve"> of these utilities </w:t>
      </w:r>
      <w:r w:rsidR="007E4D2F">
        <w:t>are</w:t>
      </w:r>
      <w:r>
        <w:t xml:space="preserve"> facing unique circumstances that </w:t>
      </w:r>
      <w:r w:rsidR="007E4D2F">
        <w:t>will</w:t>
      </w:r>
      <w:r>
        <w:t xml:space="preserve"> be addressed in dockets of their own. </w:t>
      </w:r>
      <w:r w:rsidR="00F71431">
        <w:t>Also, closing this docket will resolve th</w:t>
      </w:r>
      <w:r w:rsidR="00186565">
        <w:t>is</w:t>
      </w:r>
      <w:r w:rsidR="00F71431">
        <w:t xml:space="preserve"> tax issue for financial reporting purposes for the </w:t>
      </w:r>
      <w:r w:rsidR="007E4D2F">
        <w:t xml:space="preserve">13 </w:t>
      </w:r>
      <w:r w:rsidR="00F71431">
        <w:t xml:space="preserve">utilities </w:t>
      </w:r>
      <w:r w:rsidR="007E4D2F">
        <w:t xml:space="preserve">identified in Issue 1 </w:t>
      </w:r>
      <w:r w:rsidR="00F71431">
        <w:t xml:space="preserve">that have filed their 2018 annual reports. </w:t>
      </w:r>
      <w:r>
        <w:t xml:space="preserve">Staff recommends the instant docket be closed and individual dockets be opened </w:t>
      </w:r>
      <w:r w:rsidR="007E4D2F">
        <w:t xml:space="preserve">to address this tax issue </w:t>
      </w:r>
      <w:r>
        <w:t xml:space="preserve">for Gold Coast Utility Corporation and St. James Island. </w:t>
      </w:r>
    </w:p>
    <w:p w:rsidR="00257D6D" w:rsidRDefault="00257D6D" w:rsidP="00DD224B">
      <w:pPr>
        <w:pStyle w:val="BodyText"/>
        <w:ind w:left="90"/>
        <w:sectPr w:rsidR="00257D6D" w:rsidSect="006758CD">
          <w:headerReference w:type="default" r:id="rId15"/>
          <w:pgSz w:w="12240" w:h="15840" w:code="1"/>
          <w:pgMar w:top="1584" w:right="1440" w:bottom="1440" w:left="1440" w:header="720" w:footer="720" w:gutter="0"/>
          <w:cols w:space="720"/>
          <w:formProt w:val="0"/>
          <w:docGrid w:linePitch="360"/>
        </w:sectPr>
      </w:pPr>
    </w:p>
    <w:p w:rsidR="00333C3F" w:rsidRDefault="00257D6D" w:rsidP="00257D6D">
      <w:pPr>
        <w:pStyle w:val="BodyText"/>
        <w:spacing w:after="0"/>
        <w:ind w:left="90"/>
        <w:jc w:val="center"/>
        <w:rPr>
          <w:rFonts w:ascii="Arial" w:hAnsi="Arial" w:cs="Arial"/>
          <w:b/>
        </w:rPr>
      </w:pPr>
      <w:r>
        <w:rPr>
          <w:rFonts w:ascii="Arial" w:hAnsi="Arial" w:cs="Arial"/>
          <w:b/>
        </w:rPr>
        <w:lastRenderedPageBreak/>
        <w:t>Table 1-1</w:t>
      </w:r>
    </w:p>
    <w:p w:rsidR="00257D6D" w:rsidRPr="00257D6D" w:rsidRDefault="00257D6D" w:rsidP="00257D6D">
      <w:pPr>
        <w:pStyle w:val="BodyText"/>
        <w:spacing w:after="0"/>
        <w:ind w:left="90"/>
        <w:jc w:val="center"/>
        <w:rPr>
          <w:rFonts w:ascii="Arial" w:hAnsi="Arial" w:cs="Arial"/>
          <w:b/>
        </w:rPr>
      </w:pPr>
      <w:r>
        <w:rPr>
          <w:rFonts w:ascii="Arial" w:hAnsi="Arial" w:cs="Arial"/>
          <w:b/>
        </w:rPr>
        <w:t>Tax Cuts and Jobs Act WAW Analysis</w:t>
      </w:r>
    </w:p>
    <w:tbl>
      <w:tblPr>
        <w:tblStyle w:val="TableGrid"/>
        <w:tblW w:w="9500" w:type="dxa"/>
        <w:tblInd w:w="90" w:type="dxa"/>
        <w:tblLayout w:type="fixed"/>
        <w:tblLook w:val="04A0" w:firstRow="1" w:lastRow="0" w:firstColumn="1" w:lastColumn="0" w:noHBand="0" w:noVBand="1"/>
      </w:tblPr>
      <w:tblGrid>
        <w:gridCol w:w="468"/>
        <w:gridCol w:w="3060"/>
        <w:gridCol w:w="1800"/>
        <w:gridCol w:w="1710"/>
        <w:gridCol w:w="1170"/>
        <w:gridCol w:w="1292"/>
      </w:tblGrid>
      <w:tr w:rsidR="00257D6D" w:rsidRPr="00257D6D" w:rsidTr="00257D6D">
        <w:tc>
          <w:tcPr>
            <w:tcW w:w="468" w:type="dxa"/>
            <w:tcBorders>
              <w:bottom w:val="nil"/>
            </w:tcBorders>
          </w:tcPr>
          <w:p w:rsidR="00257D6D" w:rsidRPr="00257D6D" w:rsidRDefault="00257D6D" w:rsidP="00BD4B70">
            <w:pPr>
              <w:jc w:val="center"/>
              <w:rPr>
                <w:b/>
              </w:rPr>
            </w:pPr>
          </w:p>
        </w:tc>
        <w:tc>
          <w:tcPr>
            <w:tcW w:w="3060" w:type="dxa"/>
            <w:tcBorders>
              <w:bottom w:val="nil"/>
            </w:tcBorders>
          </w:tcPr>
          <w:p w:rsidR="00257D6D" w:rsidRPr="00257D6D" w:rsidRDefault="00257D6D" w:rsidP="00BD4B70">
            <w:pPr>
              <w:jc w:val="center"/>
              <w:rPr>
                <w:b/>
              </w:rPr>
            </w:pPr>
          </w:p>
        </w:tc>
        <w:tc>
          <w:tcPr>
            <w:tcW w:w="1800" w:type="dxa"/>
            <w:tcBorders>
              <w:bottom w:val="nil"/>
            </w:tcBorders>
          </w:tcPr>
          <w:p w:rsidR="00257D6D" w:rsidRPr="00257D6D" w:rsidRDefault="00257D6D" w:rsidP="00BD4B70">
            <w:pPr>
              <w:jc w:val="center"/>
              <w:rPr>
                <w:b/>
              </w:rPr>
            </w:pPr>
            <w:r w:rsidRPr="00257D6D">
              <w:rPr>
                <w:b/>
              </w:rPr>
              <w:t xml:space="preserve">Net Operating </w:t>
            </w:r>
          </w:p>
        </w:tc>
        <w:tc>
          <w:tcPr>
            <w:tcW w:w="1710" w:type="dxa"/>
            <w:tcBorders>
              <w:bottom w:val="nil"/>
            </w:tcBorders>
          </w:tcPr>
          <w:p w:rsidR="00257D6D" w:rsidRPr="00257D6D" w:rsidRDefault="00257D6D" w:rsidP="00257D6D">
            <w:pPr>
              <w:jc w:val="center"/>
              <w:rPr>
                <w:b/>
              </w:rPr>
            </w:pPr>
          </w:p>
        </w:tc>
        <w:tc>
          <w:tcPr>
            <w:tcW w:w="1170" w:type="dxa"/>
            <w:tcBorders>
              <w:bottom w:val="nil"/>
            </w:tcBorders>
          </w:tcPr>
          <w:p w:rsidR="00257D6D" w:rsidRPr="00257D6D" w:rsidRDefault="00257D6D" w:rsidP="00BD4B70">
            <w:pPr>
              <w:jc w:val="center"/>
              <w:rPr>
                <w:b/>
              </w:rPr>
            </w:pPr>
            <w:r w:rsidRPr="00257D6D">
              <w:rPr>
                <w:b/>
              </w:rPr>
              <w:t xml:space="preserve">Achieved </w:t>
            </w:r>
          </w:p>
        </w:tc>
        <w:tc>
          <w:tcPr>
            <w:tcW w:w="1292" w:type="dxa"/>
            <w:tcBorders>
              <w:bottom w:val="nil"/>
            </w:tcBorders>
          </w:tcPr>
          <w:p w:rsidR="00257D6D" w:rsidRPr="00257D6D" w:rsidRDefault="00257D6D" w:rsidP="00BD4B70">
            <w:pPr>
              <w:jc w:val="center"/>
              <w:rPr>
                <w:b/>
              </w:rPr>
            </w:pPr>
            <w:r w:rsidRPr="00257D6D">
              <w:rPr>
                <w:b/>
              </w:rPr>
              <w:t xml:space="preserve">Approved </w:t>
            </w:r>
          </w:p>
        </w:tc>
      </w:tr>
      <w:tr w:rsidR="00257D6D" w:rsidRPr="00257D6D" w:rsidTr="00257D6D">
        <w:tc>
          <w:tcPr>
            <w:tcW w:w="468" w:type="dxa"/>
            <w:tcBorders>
              <w:top w:val="nil"/>
            </w:tcBorders>
          </w:tcPr>
          <w:p w:rsidR="00257D6D" w:rsidRPr="00257D6D" w:rsidRDefault="00257D6D" w:rsidP="00BD4B70">
            <w:pPr>
              <w:jc w:val="center"/>
              <w:rPr>
                <w:b/>
              </w:rPr>
            </w:pPr>
          </w:p>
        </w:tc>
        <w:tc>
          <w:tcPr>
            <w:tcW w:w="3060" w:type="dxa"/>
            <w:tcBorders>
              <w:top w:val="nil"/>
            </w:tcBorders>
          </w:tcPr>
          <w:p w:rsidR="00257D6D" w:rsidRPr="00257D6D" w:rsidRDefault="00257D6D" w:rsidP="00BD4B70">
            <w:pPr>
              <w:jc w:val="center"/>
              <w:rPr>
                <w:b/>
              </w:rPr>
            </w:pPr>
            <w:r w:rsidRPr="00257D6D">
              <w:rPr>
                <w:b/>
              </w:rPr>
              <w:t>Company</w:t>
            </w:r>
          </w:p>
        </w:tc>
        <w:tc>
          <w:tcPr>
            <w:tcW w:w="1800" w:type="dxa"/>
            <w:tcBorders>
              <w:top w:val="nil"/>
            </w:tcBorders>
          </w:tcPr>
          <w:p w:rsidR="00257D6D" w:rsidRPr="00257D6D" w:rsidRDefault="00257D6D" w:rsidP="00BD4B70">
            <w:pPr>
              <w:jc w:val="center"/>
              <w:rPr>
                <w:b/>
              </w:rPr>
            </w:pPr>
            <w:r w:rsidRPr="00257D6D">
              <w:rPr>
                <w:b/>
              </w:rPr>
              <w:t>Income</w:t>
            </w:r>
          </w:p>
        </w:tc>
        <w:tc>
          <w:tcPr>
            <w:tcW w:w="1710" w:type="dxa"/>
            <w:tcBorders>
              <w:top w:val="nil"/>
            </w:tcBorders>
          </w:tcPr>
          <w:p w:rsidR="00257D6D" w:rsidRPr="00257D6D" w:rsidRDefault="00257D6D" w:rsidP="00257D6D">
            <w:pPr>
              <w:jc w:val="center"/>
              <w:rPr>
                <w:b/>
              </w:rPr>
            </w:pPr>
            <w:r>
              <w:rPr>
                <w:b/>
              </w:rPr>
              <w:t xml:space="preserve">Rate </w:t>
            </w:r>
            <w:r w:rsidRPr="00257D6D">
              <w:rPr>
                <w:b/>
              </w:rPr>
              <w:t>Base</w:t>
            </w:r>
          </w:p>
        </w:tc>
        <w:tc>
          <w:tcPr>
            <w:tcW w:w="1170" w:type="dxa"/>
            <w:tcBorders>
              <w:top w:val="nil"/>
            </w:tcBorders>
          </w:tcPr>
          <w:p w:rsidR="00257D6D" w:rsidRPr="00257D6D" w:rsidRDefault="00257D6D" w:rsidP="00BD4B70">
            <w:pPr>
              <w:jc w:val="center"/>
              <w:rPr>
                <w:b/>
              </w:rPr>
            </w:pPr>
            <w:r w:rsidRPr="00257D6D">
              <w:rPr>
                <w:b/>
              </w:rPr>
              <w:t>ROR</w:t>
            </w:r>
          </w:p>
        </w:tc>
        <w:tc>
          <w:tcPr>
            <w:tcW w:w="1292" w:type="dxa"/>
            <w:tcBorders>
              <w:top w:val="nil"/>
            </w:tcBorders>
          </w:tcPr>
          <w:p w:rsidR="00257D6D" w:rsidRPr="00257D6D" w:rsidRDefault="00257D6D" w:rsidP="00BD4B70">
            <w:pPr>
              <w:jc w:val="center"/>
              <w:rPr>
                <w:b/>
              </w:rPr>
            </w:pPr>
            <w:r w:rsidRPr="00257D6D">
              <w:rPr>
                <w:b/>
              </w:rPr>
              <w:t>ROR Cap</w:t>
            </w:r>
          </w:p>
        </w:tc>
      </w:tr>
      <w:tr w:rsidR="00257D6D" w:rsidTr="00387558">
        <w:tc>
          <w:tcPr>
            <w:tcW w:w="468" w:type="dxa"/>
          </w:tcPr>
          <w:p w:rsidR="00257D6D" w:rsidRDefault="00257D6D" w:rsidP="00BD4B70">
            <w:pPr>
              <w:jc w:val="center"/>
            </w:pPr>
            <w:r>
              <w:t>1</w:t>
            </w:r>
          </w:p>
        </w:tc>
        <w:tc>
          <w:tcPr>
            <w:tcW w:w="3060" w:type="dxa"/>
          </w:tcPr>
          <w:p w:rsidR="00257D6D" w:rsidRDefault="00257D6D" w:rsidP="00BD4B70">
            <w:r>
              <w:t>East Central Florida Services</w:t>
            </w:r>
          </w:p>
        </w:tc>
        <w:tc>
          <w:tcPr>
            <w:tcW w:w="1800" w:type="dxa"/>
            <w:vAlign w:val="bottom"/>
          </w:tcPr>
          <w:p w:rsidR="00257D6D" w:rsidRPr="00257D6D" w:rsidRDefault="00257D6D" w:rsidP="00BD4B70">
            <w:pPr>
              <w:rPr>
                <w:color w:val="000000"/>
              </w:rPr>
            </w:pPr>
            <w:r w:rsidRPr="00257D6D">
              <w:rPr>
                <w:color w:val="000000"/>
              </w:rPr>
              <w:t xml:space="preserve"> $       (114,909)</w:t>
            </w:r>
          </w:p>
        </w:tc>
        <w:tc>
          <w:tcPr>
            <w:tcW w:w="1710" w:type="dxa"/>
            <w:vAlign w:val="bottom"/>
          </w:tcPr>
          <w:p w:rsidR="00257D6D" w:rsidRPr="00257D6D" w:rsidRDefault="00257D6D" w:rsidP="00BD4B70">
            <w:pPr>
              <w:rPr>
                <w:color w:val="000000"/>
              </w:rPr>
            </w:pPr>
            <w:r w:rsidRPr="00257D6D">
              <w:rPr>
                <w:color w:val="000000"/>
              </w:rPr>
              <w:t xml:space="preserve"> $        258,447 </w:t>
            </w:r>
          </w:p>
        </w:tc>
        <w:tc>
          <w:tcPr>
            <w:tcW w:w="1170" w:type="dxa"/>
            <w:vAlign w:val="bottom"/>
          </w:tcPr>
          <w:p w:rsidR="00257D6D" w:rsidRPr="00257D6D" w:rsidRDefault="00257D6D" w:rsidP="00BD4B70">
            <w:pPr>
              <w:jc w:val="right"/>
              <w:rPr>
                <w:color w:val="000000"/>
              </w:rPr>
            </w:pPr>
            <w:r w:rsidRPr="00257D6D">
              <w:rPr>
                <w:color w:val="000000"/>
              </w:rPr>
              <w:t>-44.46%</w:t>
            </w:r>
          </w:p>
        </w:tc>
        <w:tc>
          <w:tcPr>
            <w:tcW w:w="1292" w:type="dxa"/>
            <w:vAlign w:val="bottom"/>
          </w:tcPr>
          <w:p w:rsidR="00257D6D" w:rsidRPr="00257D6D" w:rsidRDefault="00257D6D" w:rsidP="00BD4B70">
            <w:pPr>
              <w:jc w:val="right"/>
              <w:rPr>
                <w:color w:val="000000"/>
              </w:rPr>
            </w:pPr>
            <w:r w:rsidRPr="00257D6D">
              <w:rPr>
                <w:color w:val="000000"/>
              </w:rPr>
              <w:t>8.12%</w:t>
            </w:r>
          </w:p>
        </w:tc>
      </w:tr>
      <w:tr w:rsidR="00257D6D" w:rsidTr="00387558">
        <w:tc>
          <w:tcPr>
            <w:tcW w:w="468" w:type="dxa"/>
          </w:tcPr>
          <w:p w:rsidR="00257D6D" w:rsidRDefault="00257D6D" w:rsidP="00BD4B70">
            <w:pPr>
              <w:jc w:val="center"/>
            </w:pPr>
            <w:r>
              <w:t>2</w:t>
            </w:r>
          </w:p>
        </w:tc>
        <w:tc>
          <w:tcPr>
            <w:tcW w:w="3060" w:type="dxa"/>
          </w:tcPr>
          <w:p w:rsidR="00257D6D" w:rsidRDefault="00257D6D" w:rsidP="00BD4B70">
            <w:r>
              <w:t>Forest Utilities</w:t>
            </w:r>
          </w:p>
        </w:tc>
        <w:tc>
          <w:tcPr>
            <w:tcW w:w="1800" w:type="dxa"/>
            <w:vAlign w:val="bottom"/>
          </w:tcPr>
          <w:p w:rsidR="00257D6D" w:rsidRPr="00257D6D" w:rsidRDefault="00257D6D" w:rsidP="00BD4B70">
            <w:pPr>
              <w:rPr>
                <w:color w:val="000000"/>
              </w:rPr>
            </w:pPr>
            <w:r w:rsidRPr="00257D6D">
              <w:rPr>
                <w:color w:val="000000"/>
              </w:rPr>
              <w:t xml:space="preserve"> $          49,819 </w:t>
            </w:r>
          </w:p>
        </w:tc>
        <w:tc>
          <w:tcPr>
            <w:tcW w:w="1710" w:type="dxa"/>
            <w:vAlign w:val="bottom"/>
          </w:tcPr>
          <w:p w:rsidR="00257D6D" w:rsidRPr="00257D6D" w:rsidRDefault="00257D6D" w:rsidP="00BD4B70">
            <w:pPr>
              <w:rPr>
                <w:color w:val="000000"/>
              </w:rPr>
            </w:pPr>
            <w:r w:rsidRPr="00257D6D">
              <w:rPr>
                <w:color w:val="000000"/>
              </w:rPr>
              <w:t xml:space="preserve"> $     2,523,171 </w:t>
            </w:r>
          </w:p>
        </w:tc>
        <w:tc>
          <w:tcPr>
            <w:tcW w:w="1170" w:type="dxa"/>
            <w:vAlign w:val="bottom"/>
          </w:tcPr>
          <w:p w:rsidR="00257D6D" w:rsidRPr="00257D6D" w:rsidRDefault="00257D6D" w:rsidP="00BD4B70">
            <w:pPr>
              <w:jc w:val="right"/>
              <w:rPr>
                <w:color w:val="000000"/>
              </w:rPr>
            </w:pPr>
            <w:r w:rsidRPr="00257D6D">
              <w:rPr>
                <w:color w:val="000000"/>
              </w:rPr>
              <w:t>1.97%</w:t>
            </w:r>
          </w:p>
        </w:tc>
        <w:tc>
          <w:tcPr>
            <w:tcW w:w="1292" w:type="dxa"/>
            <w:vAlign w:val="bottom"/>
          </w:tcPr>
          <w:p w:rsidR="00257D6D" w:rsidRPr="00257D6D" w:rsidRDefault="00257D6D" w:rsidP="00BD4B70">
            <w:pPr>
              <w:jc w:val="right"/>
              <w:rPr>
                <w:color w:val="000000"/>
              </w:rPr>
            </w:pPr>
            <w:r w:rsidRPr="00257D6D">
              <w:rPr>
                <w:color w:val="000000"/>
              </w:rPr>
              <w:t>4.94%</w:t>
            </w:r>
          </w:p>
        </w:tc>
      </w:tr>
      <w:tr w:rsidR="00257D6D" w:rsidTr="00387558">
        <w:tc>
          <w:tcPr>
            <w:tcW w:w="468" w:type="dxa"/>
          </w:tcPr>
          <w:p w:rsidR="00257D6D" w:rsidRDefault="00257D6D" w:rsidP="00BD4B70">
            <w:pPr>
              <w:jc w:val="center"/>
            </w:pPr>
            <w:r>
              <w:t>3</w:t>
            </w:r>
          </w:p>
        </w:tc>
        <w:tc>
          <w:tcPr>
            <w:tcW w:w="3060" w:type="dxa"/>
          </w:tcPr>
          <w:p w:rsidR="00257D6D" w:rsidRDefault="00257D6D" w:rsidP="00BD4B70">
            <w:r>
              <w:t>Gold Coast Utility Corporation</w:t>
            </w:r>
          </w:p>
        </w:tc>
        <w:tc>
          <w:tcPr>
            <w:tcW w:w="1800" w:type="dxa"/>
            <w:vAlign w:val="bottom"/>
          </w:tcPr>
          <w:p w:rsidR="00257D6D" w:rsidRPr="00257D6D" w:rsidRDefault="00257D6D" w:rsidP="00BD4B70">
            <w:pPr>
              <w:rPr>
                <w:color w:val="000000"/>
              </w:rPr>
            </w:pPr>
            <w:r w:rsidRPr="00257D6D">
              <w:rPr>
                <w:color w:val="000000"/>
              </w:rPr>
              <w:t> </w:t>
            </w:r>
          </w:p>
        </w:tc>
        <w:tc>
          <w:tcPr>
            <w:tcW w:w="1710" w:type="dxa"/>
            <w:vAlign w:val="bottom"/>
          </w:tcPr>
          <w:p w:rsidR="00257D6D" w:rsidRPr="00257D6D" w:rsidRDefault="00257D6D" w:rsidP="00BD4B70">
            <w:pPr>
              <w:rPr>
                <w:color w:val="000000"/>
              </w:rPr>
            </w:pPr>
            <w:r w:rsidRPr="00257D6D">
              <w:rPr>
                <w:color w:val="000000"/>
              </w:rPr>
              <w:t> </w:t>
            </w:r>
          </w:p>
        </w:tc>
        <w:tc>
          <w:tcPr>
            <w:tcW w:w="1170" w:type="dxa"/>
            <w:vAlign w:val="bottom"/>
          </w:tcPr>
          <w:p w:rsidR="00257D6D" w:rsidRPr="00257D6D" w:rsidRDefault="00257D6D" w:rsidP="00BD4B70">
            <w:pPr>
              <w:rPr>
                <w:color w:val="000000"/>
              </w:rPr>
            </w:pPr>
            <w:r w:rsidRPr="00257D6D">
              <w:rPr>
                <w:color w:val="000000"/>
              </w:rPr>
              <w:t> </w:t>
            </w:r>
          </w:p>
        </w:tc>
        <w:tc>
          <w:tcPr>
            <w:tcW w:w="1292" w:type="dxa"/>
            <w:vAlign w:val="bottom"/>
          </w:tcPr>
          <w:p w:rsidR="00257D6D" w:rsidRPr="00257D6D" w:rsidRDefault="00257D6D" w:rsidP="00BD4B70">
            <w:pPr>
              <w:jc w:val="right"/>
              <w:rPr>
                <w:color w:val="000000"/>
              </w:rPr>
            </w:pPr>
            <w:r w:rsidRPr="00257D6D">
              <w:rPr>
                <w:color w:val="000000"/>
              </w:rPr>
              <w:t>5.91%</w:t>
            </w:r>
          </w:p>
        </w:tc>
      </w:tr>
      <w:tr w:rsidR="00257D6D" w:rsidTr="00387558">
        <w:tc>
          <w:tcPr>
            <w:tcW w:w="468" w:type="dxa"/>
          </w:tcPr>
          <w:p w:rsidR="00257D6D" w:rsidRDefault="00257D6D" w:rsidP="00BD4B70">
            <w:pPr>
              <w:jc w:val="center"/>
            </w:pPr>
            <w:r>
              <w:t>4</w:t>
            </w:r>
          </w:p>
        </w:tc>
        <w:tc>
          <w:tcPr>
            <w:tcW w:w="3060" w:type="dxa"/>
          </w:tcPr>
          <w:p w:rsidR="00257D6D" w:rsidRDefault="00257D6D" w:rsidP="00BD4B70">
            <w:r>
              <w:t>Indiantown Company</w:t>
            </w:r>
          </w:p>
        </w:tc>
        <w:tc>
          <w:tcPr>
            <w:tcW w:w="1800" w:type="dxa"/>
            <w:vAlign w:val="bottom"/>
          </w:tcPr>
          <w:p w:rsidR="00257D6D" w:rsidRPr="00257D6D" w:rsidRDefault="00257D6D" w:rsidP="00BD4B70">
            <w:pPr>
              <w:rPr>
                <w:color w:val="000000"/>
              </w:rPr>
            </w:pPr>
            <w:r w:rsidRPr="00257D6D">
              <w:rPr>
                <w:color w:val="000000"/>
              </w:rPr>
              <w:t xml:space="preserve"> $         (56,565)</w:t>
            </w:r>
          </w:p>
        </w:tc>
        <w:tc>
          <w:tcPr>
            <w:tcW w:w="1710" w:type="dxa"/>
            <w:vAlign w:val="bottom"/>
          </w:tcPr>
          <w:p w:rsidR="00257D6D" w:rsidRPr="00257D6D" w:rsidRDefault="00257D6D" w:rsidP="00BD4B70">
            <w:pPr>
              <w:rPr>
                <w:color w:val="000000"/>
              </w:rPr>
            </w:pPr>
            <w:r w:rsidRPr="00257D6D">
              <w:rPr>
                <w:color w:val="000000"/>
              </w:rPr>
              <w:t xml:space="preserve"> $        486,821 </w:t>
            </w:r>
          </w:p>
        </w:tc>
        <w:tc>
          <w:tcPr>
            <w:tcW w:w="1170" w:type="dxa"/>
            <w:vAlign w:val="bottom"/>
          </w:tcPr>
          <w:p w:rsidR="00257D6D" w:rsidRPr="00257D6D" w:rsidRDefault="00257D6D" w:rsidP="00BD4B70">
            <w:pPr>
              <w:jc w:val="right"/>
              <w:rPr>
                <w:color w:val="000000"/>
              </w:rPr>
            </w:pPr>
            <w:r w:rsidRPr="00257D6D">
              <w:rPr>
                <w:color w:val="000000"/>
              </w:rPr>
              <w:t>-11.62%</w:t>
            </w:r>
          </w:p>
        </w:tc>
        <w:tc>
          <w:tcPr>
            <w:tcW w:w="1292" w:type="dxa"/>
            <w:vAlign w:val="bottom"/>
          </w:tcPr>
          <w:p w:rsidR="00257D6D" w:rsidRPr="00257D6D" w:rsidRDefault="00257D6D" w:rsidP="00BD4B70">
            <w:pPr>
              <w:jc w:val="right"/>
              <w:rPr>
                <w:color w:val="000000"/>
              </w:rPr>
            </w:pPr>
            <w:r w:rsidRPr="00257D6D">
              <w:rPr>
                <w:color w:val="000000"/>
              </w:rPr>
              <w:t>4.21%</w:t>
            </w:r>
          </w:p>
        </w:tc>
      </w:tr>
      <w:tr w:rsidR="00257D6D" w:rsidTr="00387558">
        <w:tc>
          <w:tcPr>
            <w:tcW w:w="468" w:type="dxa"/>
          </w:tcPr>
          <w:p w:rsidR="00257D6D" w:rsidRDefault="00257D6D" w:rsidP="00BD4B70">
            <w:pPr>
              <w:jc w:val="center"/>
            </w:pPr>
            <w:r>
              <w:t>5</w:t>
            </w:r>
          </w:p>
        </w:tc>
        <w:tc>
          <w:tcPr>
            <w:tcW w:w="3060" w:type="dxa"/>
          </w:tcPr>
          <w:p w:rsidR="00257D6D" w:rsidRDefault="00257D6D" w:rsidP="00BD4B70">
            <w:r>
              <w:t>Marion Utilities</w:t>
            </w:r>
          </w:p>
        </w:tc>
        <w:tc>
          <w:tcPr>
            <w:tcW w:w="1800" w:type="dxa"/>
            <w:vAlign w:val="bottom"/>
          </w:tcPr>
          <w:p w:rsidR="00257D6D" w:rsidRPr="00257D6D" w:rsidRDefault="00257D6D" w:rsidP="00BD4B70">
            <w:pPr>
              <w:rPr>
                <w:color w:val="000000"/>
              </w:rPr>
            </w:pPr>
            <w:r w:rsidRPr="00257D6D">
              <w:rPr>
                <w:color w:val="000000"/>
              </w:rPr>
              <w:t xml:space="preserve"> $         (68,168)</w:t>
            </w:r>
          </w:p>
        </w:tc>
        <w:tc>
          <w:tcPr>
            <w:tcW w:w="1710" w:type="dxa"/>
            <w:vAlign w:val="bottom"/>
          </w:tcPr>
          <w:p w:rsidR="00257D6D" w:rsidRPr="00257D6D" w:rsidRDefault="00257D6D" w:rsidP="00BD4B70">
            <w:pPr>
              <w:rPr>
                <w:color w:val="000000"/>
              </w:rPr>
            </w:pPr>
            <w:r w:rsidRPr="00257D6D">
              <w:rPr>
                <w:color w:val="000000"/>
              </w:rPr>
              <w:t xml:space="preserve"> $     1,232,286 </w:t>
            </w:r>
          </w:p>
        </w:tc>
        <w:tc>
          <w:tcPr>
            <w:tcW w:w="1170" w:type="dxa"/>
            <w:vAlign w:val="bottom"/>
          </w:tcPr>
          <w:p w:rsidR="00257D6D" w:rsidRPr="00257D6D" w:rsidRDefault="00257D6D" w:rsidP="00BD4B70">
            <w:pPr>
              <w:jc w:val="right"/>
              <w:rPr>
                <w:color w:val="000000"/>
              </w:rPr>
            </w:pPr>
            <w:r w:rsidRPr="00257D6D">
              <w:rPr>
                <w:color w:val="000000"/>
              </w:rPr>
              <w:t>-5.53%</w:t>
            </w:r>
          </w:p>
        </w:tc>
        <w:tc>
          <w:tcPr>
            <w:tcW w:w="1292" w:type="dxa"/>
            <w:vAlign w:val="bottom"/>
          </w:tcPr>
          <w:p w:rsidR="00257D6D" w:rsidRPr="00257D6D" w:rsidRDefault="00257D6D" w:rsidP="00BD4B70">
            <w:pPr>
              <w:jc w:val="right"/>
              <w:rPr>
                <w:color w:val="000000"/>
              </w:rPr>
            </w:pPr>
            <w:r w:rsidRPr="00257D6D">
              <w:rPr>
                <w:color w:val="000000"/>
              </w:rPr>
              <w:t>8.19%</w:t>
            </w:r>
          </w:p>
        </w:tc>
      </w:tr>
      <w:tr w:rsidR="00257D6D" w:rsidTr="00387558">
        <w:tc>
          <w:tcPr>
            <w:tcW w:w="468" w:type="dxa"/>
          </w:tcPr>
          <w:p w:rsidR="00257D6D" w:rsidRDefault="00257D6D" w:rsidP="00BD4B70">
            <w:pPr>
              <w:jc w:val="center"/>
            </w:pPr>
            <w:r>
              <w:t>6</w:t>
            </w:r>
          </w:p>
        </w:tc>
        <w:tc>
          <w:tcPr>
            <w:tcW w:w="3060" w:type="dxa"/>
          </w:tcPr>
          <w:p w:rsidR="00257D6D" w:rsidRDefault="00257D6D" w:rsidP="00BD4B70">
            <w:r>
              <w:t>NHC Utilities</w:t>
            </w:r>
          </w:p>
        </w:tc>
        <w:tc>
          <w:tcPr>
            <w:tcW w:w="1800" w:type="dxa"/>
            <w:vAlign w:val="bottom"/>
          </w:tcPr>
          <w:p w:rsidR="00257D6D" w:rsidRPr="00257D6D" w:rsidRDefault="00257D6D" w:rsidP="00BD4B70">
            <w:pPr>
              <w:rPr>
                <w:color w:val="000000"/>
              </w:rPr>
            </w:pPr>
            <w:r w:rsidRPr="00257D6D">
              <w:rPr>
                <w:color w:val="000000"/>
              </w:rPr>
              <w:t xml:space="preserve"> $         (18,724)</w:t>
            </w:r>
          </w:p>
        </w:tc>
        <w:tc>
          <w:tcPr>
            <w:tcW w:w="1710" w:type="dxa"/>
            <w:vAlign w:val="bottom"/>
          </w:tcPr>
          <w:p w:rsidR="00257D6D" w:rsidRPr="00257D6D" w:rsidRDefault="00257D6D" w:rsidP="00BD4B70">
            <w:pPr>
              <w:rPr>
                <w:color w:val="000000"/>
              </w:rPr>
            </w:pPr>
            <w:r w:rsidRPr="00257D6D">
              <w:rPr>
                <w:color w:val="000000"/>
              </w:rPr>
              <w:t xml:space="preserve"> $          71,054 </w:t>
            </w:r>
          </w:p>
        </w:tc>
        <w:tc>
          <w:tcPr>
            <w:tcW w:w="1170" w:type="dxa"/>
            <w:vAlign w:val="bottom"/>
          </w:tcPr>
          <w:p w:rsidR="00257D6D" w:rsidRPr="00257D6D" w:rsidRDefault="00257D6D" w:rsidP="00BD4B70">
            <w:pPr>
              <w:jc w:val="right"/>
              <w:rPr>
                <w:color w:val="000000"/>
              </w:rPr>
            </w:pPr>
            <w:r w:rsidRPr="00257D6D">
              <w:rPr>
                <w:color w:val="000000"/>
              </w:rPr>
              <w:t>-26.35%</w:t>
            </w:r>
          </w:p>
        </w:tc>
        <w:tc>
          <w:tcPr>
            <w:tcW w:w="1292" w:type="dxa"/>
            <w:vAlign w:val="bottom"/>
          </w:tcPr>
          <w:p w:rsidR="00257D6D" w:rsidRPr="00257D6D" w:rsidRDefault="00257D6D" w:rsidP="00BD4B70">
            <w:pPr>
              <w:jc w:val="right"/>
              <w:rPr>
                <w:color w:val="000000"/>
              </w:rPr>
            </w:pPr>
            <w:r w:rsidRPr="00257D6D">
              <w:rPr>
                <w:color w:val="000000"/>
              </w:rPr>
              <w:t>8.74%</w:t>
            </w:r>
          </w:p>
        </w:tc>
      </w:tr>
      <w:tr w:rsidR="00257D6D" w:rsidTr="00387558">
        <w:tc>
          <w:tcPr>
            <w:tcW w:w="468" w:type="dxa"/>
          </w:tcPr>
          <w:p w:rsidR="00257D6D" w:rsidRDefault="00257D6D" w:rsidP="00BD4B70">
            <w:pPr>
              <w:jc w:val="center"/>
            </w:pPr>
            <w:r>
              <w:t>7</w:t>
            </w:r>
          </w:p>
        </w:tc>
        <w:tc>
          <w:tcPr>
            <w:tcW w:w="3060" w:type="dxa"/>
          </w:tcPr>
          <w:p w:rsidR="00257D6D" w:rsidRDefault="00257D6D" w:rsidP="00BD4B70">
            <w:r>
              <w:t>Ni Florida</w:t>
            </w:r>
          </w:p>
        </w:tc>
        <w:tc>
          <w:tcPr>
            <w:tcW w:w="1800" w:type="dxa"/>
            <w:vAlign w:val="bottom"/>
          </w:tcPr>
          <w:p w:rsidR="00257D6D" w:rsidRPr="00257D6D" w:rsidRDefault="00257D6D" w:rsidP="00BD4B70">
            <w:pPr>
              <w:rPr>
                <w:color w:val="000000"/>
              </w:rPr>
            </w:pPr>
            <w:r w:rsidRPr="00257D6D">
              <w:rPr>
                <w:color w:val="000000"/>
              </w:rPr>
              <w:t xml:space="preserve"> $        258,149 </w:t>
            </w:r>
          </w:p>
        </w:tc>
        <w:tc>
          <w:tcPr>
            <w:tcW w:w="1710" w:type="dxa"/>
            <w:vAlign w:val="bottom"/>
          </w:tcPr>
          <w:p w:rsidR="00257D6D" w:rsidRPr="00257D6D" w:rsidRDefault="00257D6D" w:rsidP="00BD4B70">
            <w:pPr>
              <w:rPr>
                <w:color w:val="000000"/>
              </w:rPr>
            </w:pPr>
            <w:r w:rsidRPr="00257D6D">
              <w:rPr>
                <w:color w:val="000000"/>
              </w:rPr>
              <w:t xml:space="preserve"> $     4,254,955 </w:t>
            </w:r>
          </w:p>
        </w:tc>
        <w:tc>
          <w:tcPr>
            <w:tcW w:w="1170" w:type="dxa"/>
            <w:vAlign w:val="bottom"/>
          </w:tcPr>
          <w:p w:rsidR="00257D6D" w:rsidRPr="00257D6D" w:rsidRDefault="00257D6D" w:rsidP="00BD4B70">
            <w:pPr>
              <w:jc w:val="right"/>
              <w:rPr>
                <w:color w:val="000000"/>
              </w:rPr>
            </w:pPr>
            <w:r w:rsidRPr="00257D6D">
              <w:rPr>
                <w:color w:val="000000"/>
              </w:rPr>
              <w:t>6.07%</w:t>
            </w:r>
          </w:p>
        </w:tc>
        <w:tc>
          <w:tcPr>
            <w:tcW w:w="1292" w:type="dxa"/>
            <w:vAlign w:val="bottom"/>
          </w:tcPr>
          <w:p w:rsidR="00257D6D" w:rsidRPr="00257D6D" w:rsidRDefault="00257D6D" w:rsidP="00BD4B70">
            <w:pPr>
              <w:jc w:val="right"/>
              <w:rPr>
                <w:color w:val="000000"/>
              </w:rPr>
            </w:pPr>
            <w:r w:rsidRPr="00257D6D">
              <w:rPr>
                <w:color w:val="000000"/>
              </w:rPr>
              <w:t>8.00%</w:t>
            </w:r>
          </w:p>
        </w:tc>
      </w:tr>
      <w:tr w:rsidR="00257D6D" w:rsidTr="00387558">
        <w:tc>
          <w:tcPr>
            <w:tcW w:w="468" w:type="dxa"/>
          </w:tcPr>
          <w:p w:rsidR="00257D6D" w:rsidRDefault="00257D6D" w:rsidP="00BD4B70">
            <w:pPr>
              <w:jc w:val="center"/>
            </w:pPr>
            <w:r>
              <w:t>8</w:t>
            </w:r>
          </w:p>
        </w:tc>
        <w:tc>
          <w:tcPr>
            <w:tcW w:w="3060" w:type="dxa"/>
          </w:tcPr>
          <w:p w:rsidR="00257D6D" w:rsidRDefault="00257D6D" w:rsidP="00BD4B70">
            <w:r>
              <w:t>North Beach Utilities</w:t>
            </w:r>
          </w:p>
        </w:tc>
        <w:tc>
          <w:tcPr>
            <w:tcW w:w="1800" w:type="dxa"/>
            <w:vAlign w:val="bottom"/>
          </w:tcPr>
          <w:p w:rsidR="00257D6D" w:rsidRPr="00257D6D" w:rsidRDefault="00257D6D" w:rsidP="00BD4B70">
            <w:pPr>
              <w:rPr>
                <w:color w:val="000000"/>
              </w:rPr>
            </w:pPr>
            <w:r w:rsidRPr="00257D6D">
              <w:rPr>
                <w:color w:val="000000"/>
              </w:rPr>
              <w:t xml:space="preserve"> $          97,188 </w:t>
            </w:r>
          </w:p>
        </w:tc>
        <w:tc>
          <w:tcPr>
            <w:tcW w:w="1710" w:type="dxa"/>
            <w:vAlign w:val="bottom"/>
          </w:tcPr>
          <w:p w:rsidR="00257D6D" w:rsidRPr="00257D6D" w:rsidRDefault="00257D6D" w:rsidP="00BD4B70">
            <w:pPr>
              <w:rPr>
                <w:color w:val="000000"/>
              </w:rPr>
            </w:pPr>
            <w:r w:rsidRPr="00257D6D">
              <w:rPr>
                <w:color w:val="000000"/>
              </w:rPr>
              <w:t xml:space="preserve"> $     1,280,162 </w:t>
            </w:r>
          </w:p>
        </w:tc>
        <w:tc>
          <w:tcPr>
            <w:tcW w:w="1170" w:type="dxa"/>
            <w:vAlign w:val="bottom"/>
          </w:tcPr>
          <w:p w:rsidR="00257D6D" w:rsidRPr="00257D6D" w:rsidRDefault="00257D6D" w:rsidP="00BD4B70">
            <w:pPr>
              <w:jc w:val="right"/>
              <w:rPr>
                <w:color w:val="000000"/>
              </w:rPr>
            </w:pPr>
            <w:r w:rsidRPr="00257D6D">
              <w:rPr>
                <w:color w:val="000000"/>
              </w:rPr>
              <w:t>7.59%</w:t>
            </w:r>
          </w:p>
        </w:tc>
        <w:tc>
          <w:tcPr>
            <w:tcW w:w="1292" w:type="dxa"/>
            <w:vAlign w:val="bottom"/>
          </w:tcPr>
          <w:p w:rsidR="00257D6D" w:rsidRPr="00257D6D" w:rsidRDefault="00257D6D" w:rsidP="00BD4B70">
            <w:pPr>
              <w:jc w:val="right"/>
              <w:rPr>
                <w:color w:val="000000"/>
              </w:rPr>
            </w:pPr>
            <w:r w:rsidRPr="00257D6D">
              <w:rPr>
                <w:color w:val="000000"/>
              </w:rPr>
              <w:t>7.69%</w:t>
            </w:r>
          </w:p>
        </w:tc>
      </w:tr>
      <w:tr w:rsidR="00257D6D" w:rsidTr="00387558">
        <w:tc>
          <w:tcPr>
            <w:tcW w:w="468" w:type="dxa"/>
          </w:tcPr>
          <w:p w:rsidR="00257D6D" w:rsidRDefault="00257D6D" w:rsidP="00BD4B70">
            <w:pPr>
              <w:jc w:val="center"/>
            </w:pPr>
            <w:r>
              <w:t>9</w:t>
            </w:r>
          </w:p>
        </w:tc>
        <w:tc>
          <w:tcPr>
            <w:tcW w:w="3060" w:type="dxa"/>
          </w:tcPr>
          <w:p w:rsidR="00257D6D" w:rsidRDefault="00257D6D" w:rsidP="00BD4B70">
            <w:r>
              <w:t>Peoples Water Service Company</w:t>
            </w:r>
          </w:p>
        </w:tc>
        <w:tc>
          <w:tcPr>
            <w:tcW w:w="1800" w:type="dxa"/>
            <w:vAlign w:val="bottom"/>
          </w:tcPr>
          <w:p w:rsidR="00257D6D" w:rsidRPr="00257D6D" w:rsidRDefault="00257D6D" w:rsidP="00BD4B70">
            <w:pPr>
              <w:rPr>
                <w:color w:val="000000"/>
              </w:rPr>
            </w:pPr>
            <w:r w:rsidRPr="00257D6D">
              <w:rPr>
                <w:color w:val="000000"/>
              </w:rPr>
              <w:t xml:space="preserve"> $        259,716 </w:t>
            </w:r>
          </w:p>
        </w:tc>
        <w:tc>
          <w:tcPr>
            <w:tcW w:w="1710" w:type="dxa"/>
            <w:vAlign w:val="bottom"/>
          </w:tcPr>
          <w:p w:rsidR="00257D6D" w:rsidRPr="00257D6D" w:rsidRDefault="00257D6D" w:rsidP="00BD4B70">
            <w:pPr>
              <w:rPr>
                <w:color w:val="000000"/>
              </w:rPr>
            </w:pPr>
            <w:r w:rsidRPr="00257D6D">
              <w:rPr>
                <w:color w:val="000000"/>
              </w:rPr>
              <w:t xml:space="preserve"> $     3,599,525 </w:t>
            </w:r>
          </w:p>
        </w:tc>
        <w:tc>
          <w:tcPr>
            <w:tcW w:w="1170" w:type="dxa"/>
            <w:vAlign w:val="bottom"/>
          </w:tcPr>
          <w:p w:rsidR="00257D6D" w:rsidRPr="00257D6D" w:rsidRDefault="00257D6D" w:rsidP="00BD4B70">
            <w:pPr>
              <w:jc w:val="right"/>
              <w:rPr>
                <w:color w:val="000000"/>
              </w:rPr>
            </w:pPr>
            <w:r w:rsidRPr="00257D6D">
              <w:rPr>
                <w:color w:val="000000"/>
              </w:rPr>
              <w:t>7.22%</w:t>
            </w:r>
          </w:p>
        </w:tc>
        <w:tc>
          <w:tcPr>
            <w:tcW w:w="1292" w:type="dxa"/>
            <w:vAlign w:val="bottom"/>
          </w:tcPr>
          <w:p w:rsidR="00257D6D" w:rsidRPr="00257D6D" w:rsidRDefault="00257D6D" w:rsidP="00BD4B70">
            <w:pPr>
              <w:jc w:val="right"/>
              <w:rPr>
                <w:color w:val="000000"/>
              </w:rPr>
            </w:pPr>
            <w:r w:rsidRPr="00257D6D">
              <w:rPr>
                <w:color w:val="000000"/>
              </w:rPr>
              <w:t>8.05%</w:t>
            </w:r>
          </w:p>
        </w:tc>
      </w:tr>
      <w:tr w:rsidR="00257D6D" w:rsidTr="00387558">
        <w:tc>
          <w:tcPr>
            <w:tcW w:w="468" w:type="dxa"/>
          </w:tcPr>
          <w:p w:rsidR="00257D6D" w:rsidRDefault="00257D6D" w:rsidP="00BD4B70">
            <w:pPr>
              <w:jc w:val="center"/>
            </w:pPr>
            <w:r>
              <w:t>10</w:t>
            </w:r>
          </w:p>
        </w:tc>
        <w:tc>
          <w:tcPr>
            <w:tcW w:w="3060" w:type="dxa"/>
          </w:tcPr>
          <w:p w:rsidR="00257D6D" w:rsidRDefault="00257D6D" w:rsidP="00BD4B70">
            <w:r>
              <w:t>Pine Island Cove HOA</w:t>
            </w:r>
          </w:p>
        </w:tc>
        <w:tc>
          <w:tcPr>
            <w:tcW w:w="1800" w:type="dxa"/>
            <w:vAlign w:val="bottom"/>
          </w:tcPr>
          <w:p w:rsidR="00257D6D" w:rsidRPr="00257D6D" w:rsidRDefault="00257D6D" w:rsidP="00BD4B70">
            <w:pPr>
              <w:rPr>
                <w:color w:val="000000"/>
              </w:rPr>
            </w:pPr>
            <w:r w:rsidRPr="00257D6D">
              <w:rPr>
                <w:color w:val="000000"/>
              </w:rPr>
              <w:t xml:space="preserve"> $         (70,504)</w:t>
            </w:r>
          </w:p>
        </w:tc>
        <w:tc>
          <w:tcPr>
            <w:tcW w:w="1710" w:type="dxa"/>
            <w:vAlign w:val="bottom"/>
          </w:tcPr>
          <w:p w:rsidR="00257D6D" w:rsidRPr="00257D6D" w:rsidRDefault="00257D6D" w:rsidP="00BD4B70">
            <w:pPr>
              <w:rPr>
                <w:color w:val="000000"/>
              </w:rPr>
            </w:pPr>
            <w:r w:rsidRPr="00257D6D">
              <w:rPr>
                <w:color w:val="000000"/>
              </w:rPr>
              <w:t xml:space="preserve"> $          42,979 </w:t>
            </w:r>
          </w:p>
        </w:tc>
        <w:tc>
          <w:tcPr>
            <w:tcW w:w="1170" w:type="dxa"/>
            <w:vAlign w:val="bottom"/>
          </w:tcPr>
          <w:p w:rsidR="00257D6D" w:rsidRPr="00257D6D" w:rsidRDefault="00257D6D" w:rsidP="00BD4B70">
            <w:pPr>
              <w:jc w:val="right"/>
              <w:rPr>
                <w:color w:val="000000"/>
              </w:rPr>
            </w:pPr>
            <w:r w:rsidRPr="00257D6D">
              <w:rPr>
                <w:color w:val="000000"/>
              </w:rPr>
              <w:t>-164.04%</w:t>
            </w:r>
          </w:p>
        </w:tc>
        <w:tc>
          <w:tcPr>
            <w:tcW w:w="1292" w:type="dxa"/>
            <w:vAlign w:val="bottom"/>
          </w:tcPr>
          <w:p w:rsidR="00257D6D" w:rsidRPr="00257D6D" w:rsidRDefault="00257D6D" w:rsidP="00BD4B70">
            <w:pPr>
              <w:jc w:val="right"/>
              <w:rPr>
                <w:color w:val="000000"/>
              </w:rPr>
            </w:pPr>
            <w:r w:rsidRPr="00257D6D">
              <w:rPr>
                <w:color w:val="000000"/>
              </w:rPr>
              <w:t>8.12%</w:t>
            </w:r>
          </w:p>
        </w:tc>
      </w:tr>
      <w:tr w:rsidR="00257D6D" w:rsidTr="00387558">
        <w:tc>
          <w:tcPr>
            <w:tcW w:w="468" w:type="dxa"/>
          </w:tcPr>
          <w:p w:rsidR="00257D6D" w:rsidRDefault="00257D6D" w:rsidP="00BD4B70">
            <w:pPr>
              <w:jc w:val="center"/>
            </w:pPr>
            <w:r>
              <w:t>11</w:t>
            </w:r>
          </w:p>
        </w:tc>
        <w:tc>
          <w:tcPr>
            <w:tcW w:w="3060" w:type="dxa"/>
          </w:tcPr>
          <w:p w:rsidR="00257D6D" w:rsidRDefault="00257D6D" w:rsidP="00BD4B70">
            <w:r>
              <w:t>Placid Lakes</w:t>
            </w:r>
          </w:p>
        </w:tc>
        <w:tc>
          <w:tcPr>
            <w:tcW w:w="1800" w:type="dxa"/>
            <w:vAlign w:val="bottom"/>
          </w:tcPr>
          <w:p w:rsidR="00257D6D" w:rsidRPr="00257D6D" w:rsidRDefault="00257D6D" w:rsidP="00BD4B70">
            <w:pPr>
              <w:rPr>
                <w:color w:val="000000"/>
              </w:rPr>
            </w:pPr>
            <w:r w:rsidRPr="00257D6D">
              <w:rPr>
                <w:color w:val="000000"/>
              </w:rPr>
              <w:t xml:space="preserve"> $         (12,020)</w:t>
            </w:r>
          </w:p>
        </w:tc>
        <w:tc>
          <w:tcPr>
            <w:tcW w:w="1710" w:type="dxa"/>
            <w:vAlign w:val="bottom"/>
          </w:tcPr>
          <w:p w:rsidR="00257D6D" w:rsidRPr="00257D6D" w:rsidRDefault="00257D6D" w:rsidP="00BD4B70">
            <w:pPr>
              <w:rPr>
                <w:color w:val="000000"/>
              </w:rPr>
            </w:pPr>
            <w:r w:rsidRPr="00257D6D">
              <w:rPr>
                <w:color w:val="000000"/>
              </w:rPr>
              <w:t xml:space="preserve"> $        546,969 </w:t>
            </w:r>
          </w:p>
        </w:tc>
        <w:tc>
          <w:tcPr>
            <w:tcW w:w="1170" w:type="dxa"/>
            <w:vAlign w:val="bottom"/>
          </w:tcPr>
          <w:p w:rsidR="00257D6D" w:rsidRPr="00257D6D" w:rsidRDefault="00257D6D" w:rsidP="00BD4B70">
            <w:pPr>
              <w:jc w:val="right"/>
              <w:rPr>
                <w:color w:val="000000"/>
              </w:rPr>
            </w:pPr>
            <w:r w:rsidRPr="00257D6D">
              <w:rPr>
                <w:color w:val="000000"/>
              </w:rPr>
              <w:t>-2.20%</w:t>
            </w:r>
          </w:p>
        </w:tc>
        <w:tc>
          <w:tcPr>
            <w:tcW w:w="1292" w:type="dxa"/>
            <w:vAlign w:val="bottom"/>
          </w:tcPr>
          <w:p w:rsidR="00257D6D" w:rsidRPr="00257D6D" w:rsidRDefault="00257D6D" w:rsidP="00BD4B70">
            <w:pPr>
              <w:jc w:val="right"/>
              <w:rPr>
                <w:color w:val="000000"/>
              </w:rPr>
            </w:pPr>
            <w:r w:rsidRPr="00257D6D">
              <w:rPr>
                <w:color w:val="000000"/>
              </w:rPr>
              <w:t>6.80%</w:t>
            </w:r>
          </w:p>
        </w:tc>
      </w:tr>
      <w:tr w:rsidR="00257D6D" w:rsidTr="00387558">
        <w:tc>
          <w:tcPr>
            <w:tcW w:w="468" w:type="dxa"/>
          </w:tcPr>
          <w:p w:rsidR="00257D6D" w:rsidRDefault="00257D6D" w:rsidP="00BD4B70">
            <w:pPr>
              <w:jc w:val="center"/>
            </w:pPr>
            <w:r>
              <w:t>12</w:t>
            </w:r>
          </w:p>
        </w:tc>
        <w:tc>
          <w:tcPr>
            <w:tcW w:w="3060" w:type="dxa"/>
          </w:tcPr>
          <w:p w:rsidR="00257D6D" w:rsidRDefault="00257D6D" w:rsidP="00BD4B70">
            <w:r>
              <w:t>Pluris Wedgefield</w:t>
            </w:r>
          </w:p>
        </w:tc>
        <w:tc>
          <w:tcPr>
            <w:tcW w:w="1800" w:type="dxa"/>
            <w:vAlign w:val="bottom"/>
          </w:tcPr>
          <w:p w:rsidR="00257D6D" w:rsidRPr="00257D6D" w:rsidRDefault="00257D6D" w:rsidP="00BD4B70">
            <w:pPr>
              <w:rPr>
                <w:color w:val="000000"/>
              </w:rPr>
            </w:pPr>
            <w:r w:rsidRPr="00257D6D">
              <w:rPr>
                <w:color w:val="000000"/>
              </w:rPr>
              <w:t xml:space="preserve"> $          64,259 </w:t>
            </w:r>
          </w:p>
        </w:tc>
        <w:tc>
          <w:tcPr>
            <w:tcW w:w="1710" w:type="dxa"/>
            <w:vAlign w:val="bottom"/>
          </w:tcPr>
          <w:p w:rsidR="00257D6D" w:rsidRPr="00257D6D" w:rsidRDefault="00257D6D" w:rsidP="00BD4B70">
            <w:pPr>
              <w:rPr>
                <w:color w:val="000000"/>
              </w:rPr>
            </w:pPr>
            <w:r w:rsidRPr="00257D6D">
              <w:rPr>
                <w:color w:val="000000"/>
              </w:rPr>
              <w:t xml:space="preserve"> $     6,336,871 </w:t>
            </w:r>
          </w:p>
        </w:tc>
        <w:tc>
          <w:tcPr>
            <w:tcW w:w="1170" w:type="dxa"/>
            <w:vAlign w:val="bottom"/>
          </w:tcPr>
          <w:p w:rsidR="00257D6D" w:rsidRPr="00257D6D" w:rsidRDefault="00257D6D" w:rsidP="00BD4B70">
            <w:pPr>
              <w:jc w:val="right"/>
              <w:rPr>
                <w:color w:val="000000"/>
              </w:rPr>
            </w:pPr>
            <w:r w:rsidRPr="00257D6D">
              <w:rPr>
                <w:color w:val="000000"/>
              </w:rPr>
              <w:t>1.01%</w:t>
            </w:r>
          </w:p>
        </w:tc>
        <w:tc>
          <w:tcPr>
            <w:tcW w:w="1292" w:type="dxa"/>
            <w:vAlign w:val="bottom"/>
          </w:tcPr>
          <w:p w:rsidR="00257D6D" w:rsidRPr="00257D6D" w:rsidRDefault="00257D6D" w:rsidP="00BD4B70">
            <w:pPr>
              <w:jc w:val="right"/>
              <w:rPr>
                <w:color w:val="000000"/>
              </w:rPr>
            </w:pPr>
            <w:r w:rsidRPr="00257D6D">
              <w:rPr>
                <w:color w:val="000000"/>
              </w:rPr>
              <w:t>9.85%</w:t>
            </w:r>
          </w:p>
        </w:tc>
      </w:tr>
      <w:tr w:rsidR="00257D6D" w:rsidTr="00387558">
        <w:tc>
          <w:tcPr>
            <w:tcW w:w="468" w:type="dxa"/>
          </w:tcPr>
          <w:p w:rsidR="00257D6D" w:rsidRDefault="00257D6D" w:rsidP="00BD4B70">
            <w:pPr>
              <w:jc w:val="center"/>
            </w:pPr>
            <w:r>
              <w:t>13</w:t>
            </w:r>
          </w:p>
        </w:tc>
        <w:tc>
          <w:tcPr>
            <w:tcW w:w="3060" w:type="dxa"/>
          </w:tcPr>
          <w:p w:rsidR="00257D6D" w:rsidRDefault="00257D6D" w:rsidP="00BD4B70">
            <w:r>
              <w:t>St. James Island</w:t>
            </w:r>
          </w:p>
        </w:tc>
        <w:tc>
          <w:tcPr>
            <w:tcW w:w="1800" w:type="dxa"/>
            <w:vAlign w:val="bottom"/>
          </w:tcPr>
          <w:p w:rsidR="00257D6D" w:rsidRPr="00257D6D" w:rsidRDefault="00257D6D" w:rsidP="00BD4B70">
            <w:pPr>
              <w:rPr>
                <w:color w:val="000000"/>
              </w:rPr>
            </w:pPr>
            <w:r w:rsidRPr="00257D6D">
              <w:rPr>
                <w:color w:val="000000"/>
              </w:rPr>
              <w:t> </w:t>
            </w:r>
          </w:p>
        </w:tc>
        <w:tc>
          <w:tcPr>
            <w:tcW w:w="1710" w:type="dxa"/>
            <w:vAlign w:val="bottom"/>
          </w:tcPr>
          <w:p w:rsidR="00257D6D" w:rsidRPr="00257D6D" w:rsidRDefault="00257D6D" w:rsidP="00BD4B70">
            <w:pPr>
              <w:rPr>
                <w:color w:val="000000"/>
              </w:rPr>
            </w:pPr>
            <w:r w:rsidRPr="00257D6D">
              <w:rPr>
                <w:color w:val="000000"/>
              </w:rPr>
              <w:t> </w:t>
            </w:r>
          </w:p>
        </w:tc>
        <w:tc>
          <w:tcPr>
            <w:tcW w:w="1170" w:type="dxa"/>
            <w:vAlign w:val="bottom"/>
          </w:tcPr>
          <w:p w:rsidR="00257D6D" w:rsidRPr="00257D6D" w:rsidRDefault="00257D6D" w:rsidP="00BD4B70">
            <w:pPr>
              <w:rPr>
                <w:color w:val="000000"/>
              </w:rPr>
            </w:pPr>
            <w:r w:rsidRPr="00257D6D">
              <w:rPr>
                <w:color w:val="000000"/>
              </w:rPr>
              <w:t> </w:t>
            </w:r>
          </w:p>
        </w:tc>
        <w:tc>
          <w:tcPr>
            <w:tcW w:w="1292" w:type="dxa"/>
            <w:vAlign w:val="bottom"/>
          </w:tcPr>
          <w:p w:rsidR="00257D6D" w:rsidRPr="00257D6D" w:rsidRDefault="00257D6D" w:rsidP="00BD4B70">
            <w:pPr>
              <w:jc w:val="right"/>
              <w:rPr>
                <w:color w:val="000000"/>
              </w:rPr>
            </w:pPr>
            <w:r w:rsidRPr="00257D6D">
              <w:rPr>
                <w:color w:val="000000"/>
              </w:rPr>
              <w:t>8.74%</w:t>
            </w:r>
          </w:p>
        </w:tc>
      </w:tr>
      <w:tr w:rsidR="00257D6D" w:rsidTr="00387558">
        <w:tc>
          <w:tcPr>
            <w:tcW w:w="468" w:type="dxa"/>
          </w:tcPr>
          <w:p w:rsidR="00257D6D" w:rsidRDefault="00257D6D" w:rsidP="00BD4B70">
            <w:pPr>
              <w:jc w:val="center"/>
            </w:pPr>
            <w:r>
              <w:t>14</w:t>
            </w:r>
          </w:p>
        </w:tc>
        <w:tc>
          <w:tcPr>
            <w:tcW w:w="3060" w:type="dxa"/>
          </w:tcPr>
          <w:p w:rsidR="00257D6D" w:rsidRDefault="00257D6D" w:rsidP="00BD4B70">
            <w:r>
              <w:t>Utilities, Inc. of Florida</w:t>
            </w:r>
          </w:p>
        </w:tc>
        <w:tc>
          <w:tcPr>
            <w:tcW w:w="1800" w:type="dxa"/>
            <w:vAlign w:val="bottom"/>
          </w:tcPr>
          <w:p w:rsidR="00257D6D" w:rsidRPr="00257D6D" w:rsidRDefault="00257D6D" w:rsidP="00BD4B70">
            <w:pPr>
              <w:rPr>
                <w:color w:val="000000"/>
              </w:rPr>
            </w:pPr>
            <w:r w:rsidRPr="00257D6D">
              <w:rPr>
                <w:color w:val="000000"/>
              </w:rPr>
              <w:t xml:space="preserve"> $     6,555,469 </w:t>
            </w:r>
          </w:p>
        </w:tc>
        <w:tc>
          <w:tcPr>
            <w:tcW w:w="1710" w:type="dxa"/>
            <w:vAlign w:val="bottom"/>
          </w:tcPr>
          <w:p w:rsidR="00257D6D" w:rsidRPr="00257D6D" w:rsidRDefault="00257D6D" w:rsidP="00BD4B70">
            <w:pPr>
              <w:rPr>
                <w:color w:val="000000"/>
              </w:rPr>
            </w:pPr>
            <w:r w:rsidRPr="00257D6D">
              <w:rPr>
                <w:color w:val="000000"/>
              </w:rPr>
              <w:t xml:space="preserve"> $ 114,572,234 </w:t>
            </w:r>
          </w:p>
        </w:tc>
        <w:tc>
          <w:tcPr>
            <w:tcW w:w="1170" w:type="dxa"/>
            <w:vAlign w:val="bottom"/>
          </w:tcPr>
          <w:p w:rsidR="00257D6D" w:rsidRPr="00257D6D" w:rsidRDefault="00257D6D" w:rsidP="00BD4B70">
            <w:pPr>
              <w:jc w:val="right"/>
              <w:rPr>
                <w:color w:val="000000"/>
              </w:rPr>
            </w:pPr>
            <w:r w:rsidRPr="00257D6D">
              <w:rPr>
                <w:color w:val="000000"/>
              </w:rPr>
              <w:t>5.72%</w:t>
            </w:r>
          </w:p>
        </w:tc>
        <w:tc>
          <w:tcPr>
            <w:tcW w:w="1292" w:type="dxa"/>
            <w:vAlign w:val="bottom"/>
          </w:tcPr>
          <w:p w:rsidR="00257D6D" w:rsidRPr="00257D6D" w:rsidRDefault="00257D6D" w:rsidP="00BD4B70">
            <w:pPr>
              <w:jc w:val="right"/>
              <w:rPr>
                <w:color w:val="000000"/>
              </w:rPr>
            </w:pPr>
            <w:r w:rsidRPr="00257D6D">
              <w:rPr>
                <w:color w:val="000000"/>
              </w:rPr>
              <w:t>7.54%</w:t>
            </w:r>
          </w:p>
        </w:tc>
      </w:tr>
      <w:tr w:rsidR="00257D6D" w:rsidTr="00387558">
        <w:tc>
          <w:tcPr>
            <w:tcW w:w="468" w:type="dxa"/>
          </w:tcPr>
          <w:p w:rsidR="00257D6D" w:rsidRDefault="00257D6D" w:rsidP="00BD4B70">
            <w:pPr>
              <w:jc w:val="center"/>
            </w:pPr>
            <w:r>
              <w:t>15</w:t>
            </w:r>
          </w:p>
        </w:tc>
        <w:tc>
          <w:tcPr>
            <w:tcW w:w="3060" w:type="dxa"/>
          </w:tcPr>
          <w:p w:rsidR="00257D6D" w:rsidRDefault="00257D6D" w:rsidP="00BD4B70">
            <w:r>
              <w:t>Wildwood Water Company</w:t>
            </w:r>
          </w:p>
        </w:tc>
        <w:tc>
          <w:tcPr>
            <w:tcW w:w="1800" w:type="dxa"/>
            <w:vAlign w:val="bottom"/>
          </w:tcPr>
          <w:p w:rsidR="00257D6D" w:rsidRPr="00257D6D" w:rsidRDefault="00257D6D" w:rsidP="00BD4B70">
            <w:pPr>
              <w:rPr>
                <w:color w:val="000000"/>
              </w:rPr>
            </w:pPr>
            <w:r w:rsidRPr="00257D6D">
              <w:rPr>
                <w:color w:val="000000"/>
              </w:rPr>
              <w:t xml:space="preserve"> $         (33,893)</w:t>
            </w:r>
          </w:p>
        </w:tc>
        <w:tc>
          <w:tcPr>
            <w:tcW w:w="1710" w:type="dxa"/>
            <w:vAlign w:val="bottom"/>
          </w:tcPr>
          <w:p w:rsidR="00257D6D" w:rsidRPr="00257D6D" w:rsidRDefault="00257D6D" w:rsidP="00BD4B70">
            <w:pPr>
              <w:rPr>
                <w:color w:val="000000"/>
              </w:rPr>
            </w:pPr>
            <w:r w:rsidRPr="00257D6D">
              <w:rPr>
                <w:color w:val="000000"/>
              </w:rPr>
              <w:t xml:space="preserve"> $          89,021 </w:t>
            </w:r>
          </w:p>
        </w:tc>
        <w:tc>
          <w:tcPr>
            <w:tcW w:w="1170" w:type="dxa"/>
            <w:vAlign w:val="bottom"/>
          </w:tcPr>
          <w:p w:rsidR="00257D6D" w:rsidRPr="00257D6D" w:rsidRDefault="00257D6D" w:rsidP="00BD4B70">
            <w:pPr>
              <w:jc w:val="right"/>
              <w:rPr>
                <w:color w:val="000000"/>
              </w:rPr>
            </w:pPr>
            <w:r w:rsidRPr="00257D6D">
              <w:rPr>
                <w:color w:val="000000"/>
              </w:rPr>
              <w:t>-38.07%</w:t>
            </w:r>
          </w:p>
        </w:tc>
        <w:tc>
          <w:tcPr>
            <w:tcW w:w="1292" w:type="dxa"/>
            <w:vAlign w:val="bottom"/>
          </w:tcPr>
          <w:p w:rsidR="00257D6D" w:rsidRPr="00257D6D" w:rsidRDefault="00257D6D" w:rsidP="00BD4B70">
            <w:pPr>
              <w:jc w:val="right"/>
              <w:rPr>
                <w:color w:val="000000"/>
              </w:rPr>
            </w:pPr>
            <w:r w:rsidRPr="00257D6D">
              <w:rPr>
                <w:color w:val="000000"/>
              </w:rPr>
              <w:t>8.18%</w:t>
            </w:r>
          </w:p>
        </w:tc>
      </w:tr>
    </w:tbl>
    <w:p w:rsidR="00257D6D" w:rsidRDefault="00257D6D" w:rsidP="00DD224B">
      <w:pPr>
        <w:pStyle w:val="BodyText"/>
        <w:ind w:left="90"/>
      </w:pPr>
      <w:r>
        <w:t>Source: 2018 Annual Reports</w:t>
      </w: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333C3F" w:rsidRDefault="00333C3F" w:rsidP="00DD224B">
      <w:pPr>
        <w:pStyle w:val="BodyText"/>
        <w:ind w:left="90"/>
      </w:pPr>
    </w:p>
    <w:p w:rsidR="00DD224B" w:rsidRPr="00DD224B" w:rsidRDefault="003714A0" w:rsidP="00DD224B">
      <w:pPr>
        <w:pStyle w:val="BodyText"/>
        <w:ind w:left="90"/>
        <w:rPr>
          <w:b/>
        </w:rPr>
      </w:pPr>
      <w:r>
        <w:t xml:space="preserve"> </w:t>
      </w:r>
      <w:r w:rsidR="00DD224B">
        <w:t xml:space="preserve"> </w:t>
      </w:r>
    </w:p>
    <w:sectPr w:rsidR="00DD224B" w:rsidRPr="00DD224B" w:rsidSect="006758CD">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1A" w:rsidRDefault="00EF641A">
      <w:r>
        <w:separator/>
      </w:r>
    </w:p>
  </w:endnote>
  <w:endnote w:type="continuationSeparator" w:id="0">
    <w:p w:rsidR="00EF641A" w:rsidRDefault="00EF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8165A">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1A" w:rsidRDefault="00EF641A">
      <w:r>
        <w:separator/>
      </w:r>
    </w:p>
  </w:footnote>
  <w:footnote w:type="continuationSeparator" w:id="0">
    <w:p w:rsidR="00EF641A" w:rsidRDefault="00EF641A">
      <w:r>
        <w:continuationSeparator/>
      </w:r>
    </w:p>
  </w:footnote>
  <w:footnote w:id="1">
    <w:p w:rsidR="00C279D0" w:rsidRPr="00C279D0" w:rsidRDefault="00C279D0">
      <w:pPr>
        <w:pStyle w:val="FootnoteText"/>
        <w:rPr>
          <w:i/>
        </w:rPr>
      </w:pPr>
      <w:r>
        <w:rPr>
          <w:rStyle w:val="FootnoteReference"/>
        </w:rPr>
        <w:footnoteRef/>
      </w:r>
      <w:r>
        <w:t>Order No. PSC-2018-0104-PCO-PU, issued February 6, 2018</w:t>
      </w:r>
      <w:r w:rsidR="00E7680F">
        <w:t xml:space="preserve"> in Docket No. 20180013-PU, </w:t>
      </w:r>
      <w:r w:rsidR="00E7680F" w:rsidRPr="00C600AE">
        <w:rPr>
          <w:i/>
        </w:rPr>
        <w:t>I</w:t>
      </w:r>
      <w:r w:rsidRPr="00C600AE">
        <w:rPr>
          <w:i/>
        </w:rPr>
        <w:t>n re:</w:t>
      </w:r>
      <w:r>
        <w:t xml:space="preserve"> </w:t>
      </w:r>
      <w:r>
        <w:rPr>
          <w:i/>
        </w:rPr>
        <w:t>Petition to establish a generic docket to investigate and adjust rates for 2018 tax savings</w:t>
      </w:r>
      <w:r w:rsidR="00243DA3">
        <w:rPr>
          <w:i/>
        </w:rPr>
        <w:t>, by Office of Public Counsel.</w:t>
      </w:r>
    </w:p>
  </w:footnote>
  <w:footnote w:id="2">
    <w:p w:rsidR="00F42667" w:rsidRPr="00F42667" w:rsidRDefault="00F42667">
      <w:pPr>
        <w:pStyle w:val="FootnoteText"/>
        <w:rPr>
          <w:i/>
        </w:rPr>
      </w:pPr>
      <w:r>
        <w:rPr>
          <w:rStyle w:val="FootnoteReference"/>
        </w:rPr>
        <w:footnoteRef/>
      </w:r>
      <w:r>
        <w:t>Order No. PSC-2019-0076-FO</w:t>
      </w:r>
      <w:r w:rsidR="00822E49">
        <w:t>F-GU, issued February 25, 2019</w:t>
      </w:r>
      <w:r w:rsidR="00DE1A89">
        <w:t>,</w:t>
      </w:r>
      <w:r w:rsidR="00822E49">
        <w:t xml:space="preserve"> in Docket No. 20180051-GU,</w:t>
      </w:r>
      <w:r w:rsidR="00822E49" w:rsidRPr="00537190">
        <w:rPr>
          <w:i/>
        </w:rPr>
        <w:t xml:space="preserve"> </w:t>
      </w:r>
      <w:r w:rsidRPr="00537190">
        <w:rPr>
          <w:i/>
        </w:rPr>
        <w:t>In re:</w:t>
      </w:r>
      <w:r>
        <w:t xml:space="preserve"> </w:t>
      </w:r>
      <w:r>
        <w:rPr>
          <w:i/>
        </w:rPr>
        <w:t xml:space="preserve">Consideration of the tax impacts associated with the Tax Cuts and Jobs Act of 2017 for </w:t>
      </w:r>
      <w:r w:rsidR="00F71431">
        <w:rPr>
          <w:i/>
        </w:rPr>
        <w:t>F</w:t>
      </w:r>
      <w:r>
        <w:rPr>
          <w:i/>
        </w:rPr>
        <w:t>lorida Public Utilities Company – Gas;</w:t>
      </w:r>
      <w:r w:rsidRPr="00F42667">
        <w:t xml:space="preserve"> </w:t>
      </w:r>
      <w:r w:rsidRPr="00F42667">
        <w:rPr>
          <w:i/>
        </w:rPr>
        <w:t>Order No. PSC-2019-007</w:t>
      </w:r>
      <w:r>
        <w:rPr>
          <w:i/>
        </w:rPr>
        <w:t>7</w:t>
      </w:r>
      <w:r w:rsidRPr="00F42667">
        <w:rPr>
          <w:i/>
        </w:rPr>
        <w:t>-</w:t>
      </w:r>
      <w:r w:rsidR="00822E49">
        <w:rPr>
          <w:i/>
        </w:rPr>
        <w:t>FOF-GU, issued February 25, 2019</w:t>
      </w:r>
      <w:r w:rsidR="00DE1A89">
        <w:rPr>
          <w:i/>
        </w:rPr>
        <w:t>,</w:t>
      </w:r>
      <w:r w:rsidR="00822E49">
        <w:rPr>
          <w:i/>
        </w:rPr>
        <w:t xml:space="preserve"> in Docket No. 20180052-GU, </w:t>
      </w:r>
      <w:r w:rsidRPr="00F42667">
        <w:rPr>
          <w:i/>
        </w:rPr>
        <w:t xml:space="preserve"> In re: Consideration of the tax impacts associated with the Tax Cuts and Jobs Act of 2017 for </w:t>
      </w:r>
      <w:r>
        <w:rPr>
          <w:i/>
        </w:rPr>
        <w:t>F</w:t>
      </w:r>
      <w:r w:rsidRPr="00F42667">
        <w:rPr>
          <w:i/>
        </w:rPr>
        <w:t xml:space="preserve">lorida Public Utilities Company – </w:t>
      </w:r>
      <w:r>
        <w:rPr>
          <w:i/>
        </w:rPr>
        <w:t>Indiantown Division</w:t>
      </w:r>
      <w:r w:rsidRPr="00F42667">
        <w:rPr>
          <w:i/>
        </w:rPr>
        <w:t>;</w:t>
      </w:r>
      <w:r>
        <w:rPr>
          <w:i/>
        </w:rPr>
        <w:t xml:space="preserve"> </w:t>
      </w:r>
      <w:r w:rsidRPr="00F42667">
        <w:rPr>
          <w:i/>
        </w:rPr>
        <w:t>Order No. PSC-2019-007</w:t>
      </w:r>
      <w:r>
        <w:rPr>
          <w:i/>
        </w:rPr>
        <w:t>9</w:t>
      </w:r>
      <w:r w:rsidRPr="00F42667">
        <w:rPr>
          <w:i/>
        </w:rPr>
        <w:t>-FOF-GU, issued February 25, 2019</w:t>
      </w:r>
      <w:r w:rsidR="00DE1A89">
        <w:rPr>
          <w:i/>
        </w:rPr>
        <w:t>,</w:t>
      </w:r>
      <w:r w:rsidR="00822E49">
        <w:rPr>
          <w:i/>
        </w:rPr>
        <w:t xml:space="preserve"> in Docket No. 20180053-GU</w:t>
      </w:r>
      <w:r w:rsidRPr="00F42667">
        <w:rPr>
          <w:i/>
        </w:rPr>
        <w:t xml:space="preserve">, In re: Consideration of the tax impacts associated with the Tax Cuts and Jobs Act of 2017 for </w:t>
      </w:r>
      <w:r w:rsidR="00F71431">
        <w:rPr>
          <w:i/>
        </w:rPr>
        <w:t>F</w:t>
      </w:r>
      <w:r w:rsidRPr="00F42667">
        <w:rPr>
          <w:i/>
        </w:rPr>
        <w:t xml:space="preserve">lorida Public Utilities Company – </w:t>
      </w:r>
      <w:r>
        <w:rPr>
          <w:i/>
        </w:rPr>
        <w:t>Fort Meade Division</w:t>
      </w:r>
      <w:r w:rsidRPr="00F42667">
        <w:rPr>
          <w:i/>
        </w:rPr>
        <w:t>; Order No. PSC-2019-007</w:t>
      </w:r>
      <w:r>
        <w:rPr>
          <w:i/>
        </w:rPr>
        <w:t>8</w:t>
      </w:r>
      <w:r w:rsidRPr="00F42667">
        <w:rPr>
          <w:i/>
        </w:rPr>
        <w:t>-FOF-GU, issued February 25, 2019</w:t>
      </w:r>
      <w:r w:rsidR="00DE1A89">
        <w:rPr>
          <w:i/>
        </w:rPr>
        <w:t>,</w:t>
      </w:r>
      <w:r w:rsidR="00822E49">
        <w:rPr>
          <w:i/>
        </w:rPr>
        <w:t xml:space="preserve"> in Docket No. 20180054-GU</w:t>
      </w:r>
      <w:r w:rsidRPr="00F42667">
        <w:rPr>
          <w:i/>
        </w:rPr>
        <w:t xml:space="preserve">, In re: Consideration of the tax impacts associated with the Tax Cuts and Jobs Act of 2017 for </w:t>
      </w:r>
      <w:r>
        <w:rPr>
          <w:i/>
        </w:rPr>
        <w:t>the F</w:t>
      </w:r>
      <w:r w:rsidRPr="00F42667">
        <w:rPr>
          <w:i/>
        </w:rPr>
        <w:t xml:space="preserve">lorida </w:t>
      </w:r>
      <w:r>
        <w:rPr>
          <w:i/>
        </w:rPr>
        <w:t>Division of Chesapeake Utilities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2371D" w:rsidP="0022371D">
    <w:pPr>
      <w:pStyle w:val="Header"/>
      <w:tabs>
        <w:tab w:val="clear" w:pos="4320"/>
        <w:tab w:val="clear" w:pos="8640"/>
        <w:tab w:val="right" w:pos="9360"/>
      </w:tabs>
    </w:pPr>
    <w:r>
      <w:t>Docket No. 20180013-PU</w:t>
    </w:r>
    <w:r w:rsidR="00BC402E">
      <w:fldChar w:fldCharType="begin"/>
    </w:r>
    <w:r w:rsidR="00BC402E">
      <w:instrText xml:space="preserve"> REF FilingDate </w:instrText>
    </w:r>
    <w:r w:rsidR="00BC402E">
      <w:fldChar w:fldCharType="end"/>
    </w:r>
  </w:p>
  <w:p w:rsidR="0022371D" w:rsidRDefault="0022371D" w:rsidP="0022371D">
    <w:pPr>
      <w:pStyle w:val="Header"/>
      <w:tabs>
        <w:tab w:val="clear" w:pos="4320"/>
        <w:tab w:val="clear" w:pos="8640"/>
        <w:tab w:val="right" w:pos="9360"/>
      </w:tabs>
    </w:pPr>
    <w:r>
      <w:t>Date: July 25,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CD" w:rsidRDefault="00F5505E" w:rsidP="006758CD">
    <w:pPr>
      <w:pStyle w:val="Header"/>
      <w:tabs>
        <w:tab w:val="clear" w:pos="8640"/>
        <w:tab w:val="right" w:pos="9360"/>
      </w:tabs>
    </w:pPr>
    <w:r>
      <w:t>Docket No. 20180013-PU</w:t>
    </w:r>
    <w:r w:rsidR="006758CD">
      <w:t xml:space="preserve">    </w:t>
    </w:r>
    <w:r w:rsidR="006758CD">
      <w:tab/>
    </w:r>
    <w:r w:rsidR="006758CD">
      <w:tab/>
      <w:t xml:space="preserve">              Issue 1</w:t>
    </w:r>
  </w:p>
  <w:p w:rsidR="00F5505E" w:rsidRPr="00F5505E" w:rsidRDefault="00F5505E" w:rsidP="00F5505E">
    <w:pPr>
      <w:pStyle w:val="Header"/>
    </w:pPr>
    <w:r>
      <w:t>Date: July 25,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CD" w:rsidRDefault="006758CD" w:rsidP="006758CD">
    <w:pPr>
      <w:pStyle w:val="Header"/>
      <w:tabs>
        <w:tab w:val="clear" w:pos="8640"/>
        <w:tab w:val="right" w:pos="9360"/>
      </w:tabs>
    </w:pPr>
    <w:r>
      <w:t xml:space="preserve">Docket No. 20180013-PU    </w:t>
    </w:r>
    <w:r>
      <w:tab/>
    </w:r>
    <w:r>
      <w:tab/>
      <w:t xml:space="preserve">              Issue 2</w:t>
    </w:r>
  </w:p>
  <w:p w:rsidR="006758CD" w:rsidRPr="00F5505E" w:rsidRDefault="006758CD" w:rsidP="00F5505E">
    <w:pPr>
      <w:pStyle w:val="Header"/>
    </w:pPr>
    <w:r>
      <w:t>Date: July 25, 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D6D" w:rsidRDefault="00257D6D" w:rsidP="006758CD">
    <w:pPr>
      <w:pStyle w:val="Header"/>
      <w:tabs>
        <w:tab w:val="clear" w:pos="8640"/>
        <w:tab w:val="right" w:pos="9360"/>
      </w:tabs>
    </w:pPr>
    <w:r>
      <w:t xml:space="preserve">Docket No. 20180013-PU    </w:t>
    </w:r>
    <w:r>
      <w:tab/>
    </w:r>
    <w:r>
      <w:tab/>
      <w:t xml:space="preserve">              Attachment </w:t>
    </w:r>
    <w:r w:rsidR="00262AFB">
      <w:t>A</w:t>
    </w:r>
  </w:p>
  <w:p w:rsidR="00257D6D" w:rsidRPr="00F5505E" w:rsidRDefault="00257D6D" w:rsidP="00F5505E">
    <w:pPr>
      <w:pStyle w:val="Header"/>
    </w:pPr>
    <w:r>
      <w:t>Date: July 25,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8E94819"/>
    <w:multiLevelType w:val="hybridMultilevel"/>
    <w:tmpl w:val="765C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2E2683"/>
    <w:multiLevelType w:val="hybridMultilevel"/>
    <w:tmpl w:val="4AD8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07238"/>
    <w:multiLevelType w:val="hybridMultilevel"/>
    <w:tmpl w:val="1C2A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F641A"/>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3392"/>
    <w:rsid w:val="00124E2E"/>
    <w:rsid w:val="00125ED4"/>
    <w:rsid w:val="001305E9"/>
    <w:rsid w:val="001307AF"/>
    <w:rsid w:val="00134AFC"/>
    <w:rsid w:val="00135687"/>
    <w:rsid w:val="0013629D"/>
    <w:rsid w:val="00145025"/>
    <w:rsid w:val="0015506E"/>
    <w:rsid w:val="00163031"/>
    <w:rsid w:val="00171A90"/>
    <w:rsid w:val="00180254"/>
    <w:rsid w:val="00186565"/>
    <w:rsid w:val="00191E1F"/>
    <w:rsid w:val="00192943"/>
    <w:rsid w:val="00193EFD"/>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371D"/>
    <w:rsid w:val="00225C3F"/>
    <w:rsid w:val="00243DA3"/>
    <w:rsid w:val="00257D6D"/>
    <w:rsid w:val="00262AFB"/>
    <w:rsid w:val="00263D44"/>
    <w:rsid w:val="002702AD"/>
    <w:rsid w:val="00292D82"/>
    <w:rsid w:val="002963CB"/>
    <w:rsid w:val="002B4A01"/>
    <w:rsid w:val="002D226D"/>
    <w:rsid w:val="002F6030"/>
    <w:rsid w:val="003037E1"/>
    <w:rsid w:val="00307E51"/>
    <w:rsid w:val="003103EC"/>
    <w:rsid w:val="003144EF"/>
    <w:rsid w:val="00322F74"/>
    <w:rsid w:val="00333C3F"/>
    <w:rsid w:val="00340073"/>
    <w:rsid w:val="003403C9"/>
    <w:rsid w:val="003632FD"/>
    <w:rsid w:val="003714A0"/>
    <w:rsid w:val="00372805"/>
    <w:rsid w:val="00373180"/>
    <w:rsid w:val="00375AB9"/>
    <w:rsid w:val="003821A0"/>
    <w:rsid w:val="00385B04"/>
    <w:rsid w:val="003864CF"/>
    <w:rsid w:val="00387558"/>
    <w:rsid w:val="003A22A6"/>
    <w:rsid w:val="003A5494"/>
    <w:rsid w:val="003B2510"/>
    <w:rsid w:val="003C1643"/>
    <w:rsid w:val="003C1ABD"/>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1B89"/>
    <w:rsid w:val="004426B8"/>
    <w:rsid w:val="00444432"/>
    <w:rsid w:val="004674E7"/>
    <w:rsid w:val="00471860"/>
    <w:rsid w:val="00477026"/>
    <w:rsid w:val="00486A4F"/>
    <w:rsid w:val="004A744D"/>
    <w:rsid w:val="004B60BD"/>
    <w:rsid w:val="004C3150"/>
    <w:rsid w:val="004C3641"/>
    <w:rsid w:val="004C4390"/>
    <w:rsid w:val="004C4AF7"/>
    <w:rsid w:val="004C4DF4"/>
    <w:rsid w:val="004D2881"/>
    <w:rsid w:val="004D385F"/>
    <w:rsid w:val="004D5B39"/>
    <w:rsid w:val="004E330D"/>
    <w:rsid w:val="004E5147"/>
    <w:rsid w:val="004E69B5"/>
    <w:rsid w:val="004F5C43"/>
    <w:rsid w:val="0050652D"/>
    <w:rsid w:val="00506C03"/>
    <w:rsid w:val="00511A11"/>
    <w:rsid w:val="00516496"/>
    <w:rsid w:val="00520B16"/>
    <w:rsid w:val="00523B11"/>
    <w:rsid w:val="0052572A"/>
    <w:rsid w:val="00532DFB"/>
    <w:rsid w:val="00537190"/>
    <w:rsid w:val="00543CB3"/>
    <w:rsid w:val="005442E4"/>
    <w:rsid w:val="0055529B"/>
    <w:rsid w:val="00560FF0"/>
    <w:rsid w:val="005614BD"/>
    <w:rsid w:val="00570ED9"/>
    <w:rsid w:val="0057154F"/>
    <w:rsid w:val="00580F69"/>
    <w:rsid w:val="00581CA3"/>
    <w:rsid w:val="005835DC"/>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58CD"/>
    <w:rsid w:val="006771B8"/>
    <w:rsid w:val="006843B6"/>
    <w:rsid w:val="0068481F"/>
    <w:rsid w:val="00696F5D"/>
    <w:rsid w:val="00697249"/>
    <w:rsid w:val="006A344F"/>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1FAA"/>
    <w:rsid w:val="00760D80"/>
    <w:rsid w:val="00780C09"/>
    <w:rsid w:val="00780DDF"/>
    <w:rsid w:val="007834E9"/>
    <w:rsid w:val="00787DBC"/>
    <w:rsid w:val="0079019A"/>
    <w:rsid w:val="00792935"/>
    <w:rsid w:val="007A04A1"/>
    <w:rsid w:val="007A1840"/>
    <w:rsid w:val="007B16F7"/>
    <w:rsid w:val="007C0528"/>
    <w:rsid w:val="007C3D38"/>
    <w:rsid w:val="007D0F35"/>
    <w:rsid w:val="007D4FEB"/>
    <w:rsid w:val="007D6146"/>
    <w:rsid w:val="007E0CE7"/>
    <w:rsid w:val="007E4D2F"/>
    <w:rsid w:val="007E5227"/>
    <w:rsid w:val="007F1193"/>
    <w:rsid w:val="007F417F"/>
    <w:rsid w:val="007F7644"/>
    <w:rsid w:val="008042BD"/>
    <w:rsid w:val="00816624"/>
    <w:rsid w:val="00822427"/>
    <w:rsid w:val="00822562"/>
    <w:rsid w:val="00822E49"/>
    <w:rsid w:val="00823663"/>
    <w:rsid w:val="00832DDC"/>
    <w:rsid w:val="00850BAC"/>
    <w:rsid w:val="00854A3E"/>
    <w:rsid w:val="008558A8"/>
    <w:rsid w:val="00855D08"/>
    <w:rsid w:val="00874344"/>
    <w:rsid w:val="00882155"/>
    <w:rsid w:val="0088233B"/>
    <w:rsid w:val="0088599E"/>
    <w:rsid w:val="00886589"/>
    <w:rsid w:val="00886C37"/>
    <w:rsid w:val="008928AE"/>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5C51"/>
    <w:rsid w:val="009070D6"/>
    <w:rsid w:val="009076C6"/>
    <w:rsid w:val="0091019E"/>
    <w:rsid w:val="009106F1"/>
    <w:rsid w:val="00912404"/>
    <w:rsid w:val="009145D6"/>
    <w:rsid w:val="00920E64"/>
    <w:rsid w:val="00922002"/>
    <w:rsid w:val="00924020"/>
    <w:rsid w:val="009271A7"/>
    <w:rsid w:val="00930286"/>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E3E7E"/>
    <w:rsid w:val="009F04EC"/>
    <w:rsid w:val="009F2A7C"/>
    <w:rsid w:val="009F3B36"/>
    <w:rsid w:val="00A019B9"/>
    <w:rsid w:val="00A12508"/>
    <w:rsid w:val="00A1282B"/>
    <w:rsid w:val="00A13A27"/>
    <w:rsid w:val="00A175B6"/>
    <w:rsid w:val="00A21835"/>
    <w:rsid w:val="00A2374B"/>
    <w:rsid w:val="00A2677B"/>
    <w:rsid w:val="00A27D6E"/>
    <w:rsid w:val="00A328EC"/>
    <w:rsid w:val="00A33A51"/>
    <w:rsid w:val="00A41CA6"/>
    <w:rsid w:val="00A47927"/>
    <w:rsid w:val="00A47FFC"/>
    <w:rsid w:val="00A5442F"/>
    <w:rsid w:val="00A54FF9"/>
    <w:rsid w:val="00A56765"/>
    <w:rsid w:val="00A675AC"/>
    <w:rsid w:val="00A7581F"/>
    <w:rsid w:val="00A8165A"/>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5EFA"/>
    <w:rsid w:val="00B516ED"/>
    <w:rsid w:val="00B57A6A"/>
    <w:rsid w:val="00B760F1"/>
    <w:rsid w:val="00B7669E"/>
    <w:rsid w:val="00B77DA1"/>
    <w:rsid w:val="00B822A0"/>
    <w:rsid w:val="00B858AE"/>
    <w:rsid w:val="00B85964"/>
    <w:rsid w:val="00B86F6D"/>
    <w:rsid w:val="00B96250"/>
    <w:rsid w:val="00BA0D55"/>
    <w:rsid w:val="00BA37B3"/>
    <w:rsid w:val="00BA4CC6"/>
    <w:rsid w:val="00BB3493"/>
    <w:rsid w:val="00BB7468"/>
    <w:rsid w:val="00BC188A"/>
    <w:rsid w:val="00BC2DB5"/>
    <w:rsid w:val="00BC402E"/>
    <w:rsid w:val="00BD0F48"/>
    <w:rsid w:val="00BE6DDB"/>
    <w:rsid w:val="00BF5010"/>
    <w:rsid w:val="00C03D5F"/>
    <w:rsid w:val="00C13791"/>
    <w:rsid w:val="00C279D0"/>
    <w:rsid w:val="00C31BB3"/>
    <w:rsid w:val="00C36977"/>
    <w:rsid w:val="00C467DA"/>
    <w:rsid w:val="00C477D9"/>
    <w:rsid w:val="00C600AE"/>
    <w:rsid w:val="00C60BA3"/>
    <w:rsid w:val="00C623F7"/>
    <w:rsid w:val="00C75BC5"/>
    <w:rsid w:val="00C81670"/>
    <w:rsid w:val="00C81773"/>
    <w:rsid w:val="00C82861"/>
    <w:rsid w:val="00C86896"/>
    <w:rsid w:val="00C907A8"/>
    <w:rsid w:val="00C93211"/>
    <w:rsid w:val="00C93CA6"/>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50D57"/>
    <w:rsid w:val="00D60B16"/>
    <w:rsid w:val="00D60F02"/>
    <w:rsid w:val="00D66D87"/>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C7D62"/>
    <w:rsid w:val="00DD150B"/>
    <w:rsid w:val="00DD224B"/>
    <w:rsid w:val="00DD5025"/>
    <w:rsid w:val="00DE1A89"/>
    <w:rsid w:val="00DF1510"/>
    <w:rsid w:val="00E02F1F"/>
    <w:rsid w:val="00E06484"/>
    <w:rsid w:val="00E07E40"/>
    <w:rsid w:val="00E20A7D"/>
    <w:rsid w:val="00E275D8"/>
    <w:rsid w:val="00E30F6A"/>
    <w:rsid w:val="00E3117C"/>
    <w:rsid w:val="00E375CA"/>
    <w:rsid w:val="00E40DC9"/>
    <w:rsid w:val="00E567E8"/>
    <w:rsid w:val="00E64679"/>
    <w:rsid w:val="00E65EBC"/>
    <w:rsid w:val="00E677FE"/>
    <w:rsid w:val="00E73432"/>
    <w:rsid w:val="00E7680F"/>
    <w:rsid w:val="00E77B0C"/>
    <w:rsid w:val="00E77FB8"/>
    <w:rsid w:val="00E838B0"/>
    <w:rsid w:val="00E86A7C"/>
    <w:rsid w:val="00E878E1"/>
    <w:rsid w:val="00E87F2C"/>
    <w:rsid w:val="00E95278"/>
    <w:rsid w:val="00EA2273"/>
    <w:rsid w:val="00EA5B86"/>
    <w:rsid w:val="00EA7C3C"/>
    <w:rsid w:val="00EB2DB3"/>
    <w:rsid w:val="00EC3FBB"/>
    <w:rsid w:val="00EC6B7A"/>
    <w:rsid w:val="00ED3A87"/>
    <w:rsid w:val="00ED5B67"/>
    <w:rsid w:val="00EF264C"/>
    <w:rsid w:val="00EF3FEE"/>
    <w:rsid w:val="00EF641A"/>
    <w:rsid w:val="00F04B59"/>
    <w:rsid w:val="00F11741"/>
    <w:rsid w:val="00F12B1C"/>
    <w:rsid w:val="00F13CF8"/>
    <w:rsid w:val="00F15855"/>
    <w:rsid w:val="00F200B2"/>
    <w:rsid w:val="00F227DC"/>
    <w:rsid w:val="00F32978"/>
    <w:rsid w:val="00F37ADE"/>
    <w:rsid w:val="00F42667"/>
    <w:rsid w:val="00F45CB2"/>
    <w:rsid w:val="00F544C0"/>
    <w:rsid w:val="00F5505E"/>
    <w:rsid w:val="00F55332"/>
    <w:rsid w:val="00F6504A"/>
    <w:rsid w:val="00F65519"/>
    <w:rsid w:val="00F713C0"/>
    <w:rsid w:val="00F71431"/>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4066"/>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279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27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437D-97DE-4FCF-ABEB-C2160A12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1048</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Mark Cicchetti</dc:creator>
  <cp:lastModifiedBy>Shari Cornelius</cp:lastModifiedBy>
  <cp:revision>2</cp:revision>
  <cp:lastPrinted>2019-07-23T15:49:00Z</cp:lastPrinted>
  <dcterms:created xsi:type="dcterms:W3CDTF">2019-07-25T11:47:00Z</dcterms:created>
  <dcterms:modified xsi:type="dcterms:W3CDTF">2019-07-25T11:47:00Z</dcterms:modified>
  <cp:category>recommendation</cp:category>
</cp:coreProperties>
</file>