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F758F">
            <w:pPr>
              <w:pStyle w:val="MemoHeading"/>
            </w:pPr>
            <w:bookmarkStart w:id="1" w:name="FilingDate"/>
            <w:r w:rsidRPr="004F65D4">
              <w:t>July 25,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F758F" w:rsidRDefault="00FF758F">
            <w:pPr>
              <w:pStyle w:val="MemoHeading"/>
            </w:pPr>
            <w:bookmarkStart w:id="2" w:name="From"/>
            <w:r>
              <w:t>Division of Economics (Doherty)</w:t>
            </w:r>
          </w:p>
          <w:p w:rsidR="007C0528" w:rsidRDefault="00FF758F">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F758F">
            <w:pPr>
              <w:pStyle w:val="MemoHeadingRe"/>
            </w:pPr>
            <w:bookmarkStart w:id="3" w:name="Re"/>
            <w:r>
              <w:t>Docket No. 20190081-EI – Petition for approval of 2019 revisions to underground residential and commercial differential tariffs, by Florida Power &amp; Light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Pr="004F65D4" w:rsidRDefault="00FF758F">
            <w:pPr>
              <w:pStyle w:val="MemoHeading"/>
            </w:pPr>
            <w:bookmarkStart w:id="4" w:name="AgendaDate"/>
            <w:r w:rsidRPr="004F65D4">
              <w:t>08/06/19</w:t>
            </w:r>
            <w:bookmarkEnd w:id="4"/>
            <w:r w:rsidR="007C0528" w:rsidRPr="004F65D4">
              <w:t xml:space="preserve"> – </w:t>
            </w:r>
            <w:bookmarkStart w:id="5" w:name="PermittedStatus"/>
            <w:r w:rsidRPr="004F65D4">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F758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F758F">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F758F">
            <w:pPr>
              <w:pStyle w:val="MemoHeading"/>
            </w:pPr>
            <w:bookmarkStart w:id="9" w:name="CriticalDates"/>
            <w:r>
              <w:t>12/01/19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F758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AE02E5">
      <w:pPr>
        <w:pStyle w:val="BodyText"/>
      </w:pPr>
      <w:r>
        <w:t>On April 1, 2019, Florida Power &amp; Light Company (FPL</w:t>
      </w:r>
      <w:r w:rsidR="00187FE9">
        <w:t xml:space="preserve"> or utility</w:t>
      </w:r>
      <w:r>
        <w:t>) filed a petition for approval of revisions to its underground residential differential (URD) and underground commercial differential (UCD) tariffs. The URD and UCD tariffs apply to new residential and commercial developments and represent the additional costs</w:t>
      </w:r>
      <w:r w:rsidR="006B3418">
        <w:t xml:space="preserve">, if </w:t>
      </w:r>
      <w:proofErr w:type="gramStart"/>
      <w:r w:rsidR="006B3418">
        <w:t>any,</w:t>
      </w:r>
      <w:proofErr w:type="gramEnd"/>
      <w:r>
        <w:t xml:space="preserve"> FPL incurs to provide underground distribution service in place of overhead service. </w:t>
      </w:r>
      <w:r w:rsidR="004D7872">
        <w:t xml:space="preserve">As discussed in the recommendation, based on current cost, </w:t>
      </w:r>
      <w:r w:rsidR="00410788">
        <w:t>including long term operation</w:t>
      </w:r>
      <w:r w:rsidR="00FB4FFB">
        <w:t>al</w:t>
      </w:r>
      <w:r w:rsidR="00410788">
        <w:t xml:space="preserve"> cost, </w:t>
      </w:r>
      <w:r w:rsidR="004D7872">
        <w:t xml:space="preserve">FPL does not incur any additional costs to provide </w:t>
      </w:r>
      <w:r w:rsidR="0094796C">
        <w:t xml:space="preserve">residential </w:t>
      </w:r>
      <w:r w:rsidR="004D7872">
        <w:t xml:space="preserve">underground service; therefore, the </w:t>
      </w:r>
      <w:r w:rsidR="004E284D">
        <w:t xml:space="preserve">proposed URD </w:t>
      </w:r>
      <w:r w:rsidR="004D7872">
        <w:t>differential</w:t>
      </w:r>
      <w:r w:rsidR="004E284D">
        <w:t>s</w:t>
      </w:r>
      <w:r w:rsidR="004D7872">
        <w:t xml:space="preserve"> </w:t>
      </w:r>
      <w:r w:rsidR="004E284D">
        <w:t>are</w:t>
      </w:r>
      <w:r w:rsidR="004D7872">
        <w:t xml:space="preserve"> $0. </w:t>
      </w:r>
      <w:r w:rsidRPr="00770E9A">
        <w:t xml:space="preserve">The proposed </w:t>
      </w:r>
      <w:r w:rsidR="004F65D4" w:rsidRPr="00770E9A">
        <w:t xml:space="preserve">(legislative version) </w:t>
      </w:r>
      <w:r w:rsidRPr="00770E9A">
        <w:t xml:space="preserve">URD </w:t>
      </w:r>
      <w:r w:rsidR="00305F1D">
        <w:t xml:space="preserve">and UCD </w:t>
      </w:r>
      <w:r w:rsidRPr="00770E9A">
        <w:t>tariffs are contained in Attachment</w:t>
      </w:r>
      <w:r w:rsidR="00B027AD">
        <w:t>s</w:t>
      </w:r>
      <w:r w:rsidRPr="00770E9A">
        <w:t xml:space="preserve"> </w:t>
      </w:r>
      <w:r w:rsidR="00677562" w:rsidRPr="00770E9A">
        <w:t>A</w:t>
      </w:r>
      <w:r w:rsidRPr="00770E9A">
        <w:t xml:space="preserve"> </w:t>
      </w:r>
      <w:r w:rsidR="00636F35">
        <w:t xml:space="preserve">and </w:t>
      </w:r>
      <w:r w:rsidR="00305F1D">
        <w:t>B</w:t>
      </w:r>
      <w:r w:rsidR="00636F35">
        <w:t xml:space="preserve"> </w:t>
      </w:r>
      <w:r w:rsidRPr="00770E9A">
        <w:t xml:space="preserve">to the </w:t>
      </w:r>
      <w:r w:rsidRPr="00770E9A">
        <w:lastRenderedPageBreak/>
        <w:t>recommendation.</w:t>
      </w:r>
      <w:r>
        <w:t xml:space="preserve"> FPL’s current </w:t>
      </w:r>
      <w:r w:rsidR="00FB4FFB">
        <w:t>URD and UCD tariffs</w:t>
      </w:r>
      <w:r>
        <w:t xml:space="preserve"> were approved </w:t>
      </w:r>
      <w:r w:rsidR="007C1C3D">
        <w:t>by</w:t>
      </w:r>
      <w:r>
        <w:t xml:space="preserve"> Order No. </w:t>
      </w:r>
      <w:proofErr w:type="gramStart"/>
      <w:r>
        <w:t>PSC-16-0424-TRF-EI.</w:t>
      </w:r>
      <w:proofErr w:type="gramEnd"/>
      <w:r>
        <w:rPr>
          <w:rStyle w:val="FootnoteReference"/>
        </w:rPr>
        <w:footnoteReference w:id="1"/>
      </w:r>
    </w:p>
    <w:p w:rsidR="00AE02E5" w:rsidRDefault="00AE02E5">
      <w:pPr>
        <w:pStyle w:val="BodyText"/>
      </w:pPr>
      <w:r>
        <w:t xml:space="preserve">The Commission suspended FPL’s proposed tariffs in </w:t>
      </w:r>
      <w:r w:rsidR="007C1C3D">
        <w:t xml:space="preserve">Order No. </w:t>
      </w:r>
      <w:proofErr w:type="gramStart"/>
      <w:r w:rsidR="007C1C3D">
        <w:t>PSC-2019-0211-PCO-EI.</w:t>
      </w:r>
      <w:proofErr w:type="gramEnd"/>
      <w:r>
        <w:rPr>
          <w:rStyle w:val="FootnoteReference"/>
        </w:rPr>
        <w:footnoteReference w:id="2"/>
      </w:r>
      <w:r w:rsidR="001E64C6">
        <w:t xml:space="preserve"> FPL responded to staff’s first data request on May 31, 2019</w:t>
      </w:r>
      <w:r w:rsidR="006D48CE">
        <w:t xml:space="preserve"> and filed a revised response to </w:t>
      </w:r>
      <w:r w:rsidR="006B3418">
        <w:t>staff’s</w:t>
      </w:r>
      <w:r w:rsidR="00BA797D">
        <w:t xml:space="preserve"> data request </w:t>
      </w:r>
      <w:r w:rsidR="006B3418">
        <w:t xml:space="preserve">No. 6 </w:t>
      </w:r>
      <w:r w:rsidR="006D48CE">
        <w:t>on July 2, 2019</w:t>
      </w:r>
      <w:r w:rsidR="001E64C6">
        <w:t>. The Commission has jurisdiction over this matter pursuant to Sections 366.03, 366.04, 366.05, and 366.06,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D37317" w:rsidRDefault="00D37317">
      <w:pPr>
        <w:pStyle w:val="IssueHeading"/>
        <w:rPr>
          <w:vanish/>
          <w:specVanish/>
        </w:rPr>
      </w:pPr>
      <w:r w:rsidRPr="004C3641">
        <w:t xml:space="preserve">Issue </w:t>
      </w:r>
      <w:fldSimple w:instr=" SEQ Issue \* MERGEFORMAT ">
        <w:r w:rsidR="00CF10E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F10E2">
        <w:rPr>
          <w:noProof/>
        </w:rPr>
        <w:instrText>1</w:instrText>
      </w:r>
      <w:r>
        <w:fldChar w:fldCharType="end"/>
      </w:r>
      <w:r>
        <w:tab/>
        <w:instrText xml:space="preserve">(Doherty)" \l 1 </w:instrText>
      </w:r>
      <w:r>
        <w:fldChar w:fldCharType="end"/>
      </w:r>
      <w:r>
        <w:t> </w:t>
      </w:r>
    </w:p>
    <w:p w:rsidR="00D37317" w:rsidRDefault="00D37317">
      <w:pPr>
        <w:pStyle w:val="BodyText"/>
      </w:pPr>
      <w:r>
        <w:t> Should the Commission approve FPL's proposed URD tariff and associated charges?</w:t>
      </w:r>
    </w:p>
    <w:p w:rsidR="00D37317" w:rsidRPr="004C3641" w:rsidRDefault="00D37317">
      <w:pPr>
        <w:pStyle w:val="IssueSubsectionHeading"/>
        <w:rPr>
          <w:vanish/>
          <w:specVanish/>
        </w:rPr>
      </w:pPr>
      <w:r w:rsidRPr="004C3641">
        <w:t>Recommendation: </w:t>
      </w:r>
    </w:p>
    <w:p w:rsidR="00D37317" w:rsidRDefault="00D37317">
      <w:pPr>
        <w:pStyle w:val="BodyText"/>
      </w:pPr>
      <w:r>
        <w:t> Yes. The Commission should approve FPL’s proposed URD tariffs and associated charges</w:t>
      </w:r>
      <w:r w:rsidR="00125360">
        <w:t xml:space="preserve"> as shown in Attachment A</w:t>
      </w:r>
      <w:r w:rsidR="00187FE9">
        <w:t>,</w:t>
      </w:r>
      <w:r>
        <w:t xml:space="preserve"> effective </w:t>
      </w:r>
      <w:r w:rsidR="00187FE9">
        <w:t>September 5</w:t>
      </w:r>
      <w:r w:rsidR="00ED2516" w:rsidRPr="004F65D4">
        <w:t>, 2019</w:t>
      </w:r>
      <w:r w:rsidRPr="004F65D4">
        <w:t>.</w:t>
      </w:r>
      <w:r>
        <w:t xml:space="preserve"> (Doherty)</w:t>
      </w:r>
    </w:p>
    <w:p w:rsidR="00D37317" w:rsidRPr="004C3641" w:rsidRDefault="00D37317">
      <w:pPr>
        <w:pStyle w:val="IssueSubsectionHeading"/>
        <w:rPr>
          <w:vanish/>
          <w:specVanish/>
        </w:rPr>
      </w:pPr>
      <w:r w:rsidRPr="004C3641">
        <w:t>Staff Analysis: </w:t>
      </w:r>
    </w:p>
    <w:p w:rsidR="00331530" w:rsidRDefault="00D37317">
      <w:pPr>
        <w:pStyle w:val="BodyText"/>
      </w:pPr>
      <w:r>
        <w:t> Rule 25-6.078, Florida Administrative Code (F.A.C.), defines investor-owned utilities’ (IOU) responsibilities for filing updated URD tariffs.</w:t>
      </w:r>
      <w:r w:rsidR="00331530">
        <w:t xml:space="preserve"> FPL has filed the instant petition pursuant to subsection (3) of the rule, which requires IOUs to file supporting data and analyses for URD tariffs at least once every three years. </w:t>
      </w:r>
    </w:p>
    <w:p w:rsidR="00D37317" w:rsidRDefault="00331530">
      <w:pPr>
        <w:pStyle w:val="BodyText"/>
      </w:pPr>
      <w:r>
        <w:t xml:space="preserve">The URD tariffs provide charges for underground service in new residential subdivisions and represent the additional costs, if </w:t>
      </w:r>
      <w:proofErr w:type="gramStart"/>
      <w:r>
        <w:t>any</w:t>
      </w:r>
      <w:r w:rsidR="00187FE9">
        <w:t>,</w:t>
      </w:r>
      <w:proofErr w:type="gramEnd"/>
      <w:r>
        <w:t xml:space="preserve">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contribution-in-aid-of construction (CIAC). Typically, the URD customer is the developer of a subdivision.</w:t>
      </w:r>
    </w:p>
    <w:p w:rsidR="00E91178" w:rsidRDefault="00331530" w:rsidP="00E275D8">
      <w:pPr>
        <w:pStyle w:val="BodyText"/>
      </w:pPr>
      <w:r>
        <w:t>Traditionally, three standard model subdivision designs have been the basis upon which each IOU submits URD tariff changes for Commission approval: low density, high density, and a high density subdivision where dwelling units take service at gang</w:t>
      </w:r>
      <w:r w:rsidR="008A537C">
        <w:t xml:space="preserve">ed meter pedestals (groups of meters at the same physical location). Examples of this last subdivision type include mobile home and recreational vehicle parks. While actual construction may differ from the model subdivisions, the model subdivisions are designed to reflect average overhead and underground subdivisions. </w:t>
      </w:r>
    </w:p>
    <w:p w:rsidR="00E91178" w:rsidRDefault="00E91178" w:rsidP="00E275D8">
      <w:pPr>
        <w:pStyle w:val="BodyText"/>
      </w:pPr>
      <w:r>
        <w:t xml:space="preserve">Costs for underground construction have historically been higher for standard overhead construction and the additional cost is paid by the customer as a CIAC. </w:t>
      </w:r>
      <w:r w:rsidR="00125360">
        <w:t xml:space="preserve">In FPL’s 2016 underground differential tariff, the cost differential was zero for ganged meters and some tiers of the </w:t>
      </w:r>
      <w:r w:rsidR="00636F35">
        <w:t>l</w:t>
      </w:r>
      <w:r w:rsidR="00125360">
        <w:t xml:space="preserve">ow and </w:t>
      </w:r>
      <w:r w:rsidR="00636F35">
        <w:t>h</w:t>
      </w:r>
      <w:r w:rsidR="00125360">
        <w:t xml:space="preserve">igh </w:t>
      </w:r>
      <w:r w:rsidR="00636F35">
        <w:t>d</w:t>
      </w:r>
      <w:r w:rsidR="00125360">
        <w:t>ensity subdivisions. A</w:t>
      </w:r>
      <w:r>
        <w:t xml:space="preserve">s shown on </w:t>
      </w:r>
      <w:r w:rsidR="00450319">
        <w:t>Table 1-1</w:t>
      </w:r>
      <w:r>
        <w:t>, FPL’s proposed URD differential charges are</w:t>
      </w:r>
      <w:r w:rsidR="00125360">
        <w:t xml:space="preserve"> now</w:t>
      </w:r>
      <w:r>
        <w:t xml:space="preserve"> $0 for </w:t>
      </w:r>
      <w:r w:rsidR="00322972">
        <w:t>all three</w:t>
      </w:r>
      <w:r>
        <w:t xml:space="preserve"> subdivision</w:t>
      </w:r>
      <w:r w:rsidR="007C1C3D">
        <w:t xml:space="preserve"> </w:t>
      </w:r>
      <w:r w:rsidR="00FB4FFB">
        <w:t>models</w:t>
      </w:r>
      <w:r>
        <w:t xml:space="preserve">. Therefore, the URD customer will not be assessed a CIAC charge for </w:t>
      </w:r>
      <w:r w:rsidR="00FB4FFB">
        <w:t xml:space="preserve">requesting </w:t>
      </w:r>
      <w:r>
        <w:t xml:space="preserve">underground service in a new residential subdivision. </w:t>
      </w:r>
      <w:r w:rsidR="003F7FFC">
        <w:t>FPL explained that the decrease in the differentials</w:t>
      </w:r>
      <w:r w:rsidR="00125360">
        <w:t>, for some subdivision tiers,</w:t>
      </w:r>
      <w:r w:rsidR="003F7FFC">
        <w:t xml:space="preserve"> is primarily attributable to changes in operational costs as discussed in more detail in the section of the recommendation titled operational costs.</w:t>
      </w:r>
    </w:p>
    <w:p w:rsidR="0098518A" w:rsidRDefault="008A537C" w:rsidP="00E275D8">
      <w:pPr>
        <w:pStyle w:val="BodyText"/>
      </w:pPr>
      <w:r>
        <w:t xml:space="preserve">Table 1-1 shows the current and proposed URD differentials for the low density, high density, and ganged meter subdivisions. </w:t>
      </w:r>
    </w:p>
    <w:p w:rsidR="0098518A" w:rsidRDefault="0098518A" w:rsidP="0098518A">
      <w:r>
        <w:br w:type="page"/>
      </w:r>
    </w:p>
    <w:p w:rsidR="00104E7F" w:rsidRDefault="00104E7F" w:rsidP="00104E7F">
      <w:pPr>
        <w:pStyle w:val="TableNumber"/>
        <w:keepNext/>
      </w:pPr>
      <w:r>
        <w:lastRenderedPageBreak/>
        <w:t xml:space="preserve">Table </w:t>
      </w:r>
      <w:fldSimple w:instr=" SEQ Issue \c ">
        <w:r w:rsidR="00CF10E2">
          <w:rPr>
            <w:noProof/>
          </w:rPr>
          <w:t>1</w:t>
        </w:r>
      </w:fldSimple>
      <w:r>
        <w:t>-1</w:t>
      </w:r>
    </w:p>
    <w:p w:rsidR="00104E7F" w:rsidRDefault="00104E7F" w:rsidP="00104E7F">
      <w:pPr>
        <w:pStyle w:val="TableTitle"/>
        <w:keepNext/>
      </w:pPr>
      <w:r>
        <w:t xml:space="preserve">Comparison of Differential </w:t>
      </w:r>
      <w:proofErr w:type="gramStart"/>
      <w:r>
        <w:t>Per</w:t>
      </w:r>
      <w:proofErr w:type="gramEnd"/>
      <w:r>
        <w:t xml:space="preserve"> Service Lateral</w:t>
      </w:r>
    </w:p>
    <w:tbl>
      <w:tblPr>
        <w:tblStyle w:val="TableGrid"/>
        <w:tblW w:w="0" w:type="auto"/>
        <w:tblLook w:val="04A0" w:firstRow="1" w:lastRow="0" w:firstColumn="1" w:lastColumn="0" w:noHBand="0" w:noVBand="1"/>
      </w:tblPr>
      <w:tblGrid>
        <w:gridCol w:w="2394"/>
        <w:gridCol w:w="2664"/>
        <w:gridCol w:w="2250"/>
        <w:gridCol w:w="2268"/>
      </w:tblGrid>
      <w:tr w:rsidR="00104E7F" w:rsidTr="002C7F4F">
        <w:trPr>
          <w:trHeight w:val="791"/>
        </w:trPr>
        <w:tc>
          <w:tcPr>
            <w:tcW w:w="2394" w:type="dxa"/>
            <w:vAlign w:val="center"/>
          </w:tcPr>
          <w:p w:rsidR="00104E7F" w:rsidRDefault="00104E7F" w:rsidP="002C7F4F">
            <w:pPr>
              <w:rPr>
                <w:b/>
              </w:rPr>
            </w:pPr>
          </w:p>
          <w:p w:rsidR="00104E7F" w:rsidRPr="00541E05" w:rsidRDefault="00104E7F" w:rsidP="002C7F4F">
            <w:pPr>
              <w:rPr>
                <w:b/>
              </w:rPr>
            </w:pPr>
            <w:r w:rsidRPr="00541E05">
              <w:rPr>
                <w:b/>
              </w:rPr>
              <w:t>Types of Subdivision</w:t>
            </w:r>
          </w:p>
        </w:tc>
        <w:tc>
          <w:tcPr>
            <w:tcW w:w="2664" w:type="dxa"/>
            <w:vAlign w:val="center"/>
          </w:tcPr>
          <w:p w:rsidR="00104E7F" w:rsidRPr="00541E05" w:rsidRDefault="00104E7F" w:rsidP="002C7F4F">
            <w:pPr>
              <w:jc w:val="center"/>
              <w:rPr>
                <w:b/>
              </w:rPr>
            </w:pPr>
            <w:r w:rsidRPr="00541E05">
              <w:rPr>
                <w:b/>
              </w:rPr>
              <w:t>Number of</w:t>
            </w:r>
            <w:r>
              <w:rPr>
                <w:b/>
              </w:rPr>
              <w:t xml:space="preserve"> Service</w:t>
            </w:r>
            <w:r w:rsidRPr="00541E05">
              <w:rPr>
                <w:b/>
              </w:rPr>
              <w:t xml:space="preserve"> </w:t>
            </w:r>
            <w:r>
              <w:rPr>
                <w:b/>
              </w:rPr>
              <w:t>Laterals</w:t>
            </w:r>
            <w:r w:rsidRPr="00541E05">
              <w:rPr>
                <w:b/>
              </w:rPr>
              <w:t xml:space="preserve"> in Subdivision</w:t>
            </w:r>
          </w:p>
        </w:tc>
        <w:tc>
          <w:tcPr>
            <w:tcW w:w="2250" w:type="dxa"/>
            <w:vAlign w:val="center"/>
          </w:tcPr>
          <w:p w:rsidR="00104E7F" w:rsidRPr="00541E05" w:rsidRDefault="00104E7F" w:rsidP="002C7F4F">
            <w:pPr>
              <w:jc w:val="center"/>
              <w:rPr>
                <w:b/>
              </w:rPr>
            </w:pPr>
            <w:r w:rsidRPr="00541E05">
              <w:rPr>
                <w:b/>
              </w:rPr>
              <w:t>Current URD Differential</w:t>
            </w:r>
          </w:p>
        </w:tc>
        <w:tc>
          <w:tcPr>
            <w:tcW w:w="2268" w:type="dxa"/>
            <w:vAlign w:val="center"/>
          </w:tcPr>
          <w:p w:rsidR="00104E7F" w:rsidRPr="00541E05" w:rsidRDefault="00104E7F" w:rsidP="002C7F4F">
            <w:pPr>
              <w:jc w:val="center"/>
              <w:rPr>
                <w:b/>
              </w:rPr>
            </w:pPr>
            <w:r w:rsidRPr="00541E05">
              <w:rPr>
                <w:b/>
              </w:rPr>
              <w:t>Proposed URD Differential</w:t>
            </w:r>
          </w:p>
        </w:tc>
      </w:tr>
      <w:tr w:rsidR="00104E7F" w:rsidTr="002C7F4F">
        <w:tc>
          <w:tcPr>
            <w:tcW w:w="2394" w:type="dxa"/>
            <w:vMerge w:val="restart"/>
            <w:vAlign w:val="center"/>
          </w:tcPr>
          <w:p w:rsidR="00104E7F" w:rsidRDefault="00104E7F" w:rsidP="002C7F4F">
            <w:r>
              <w:t>Low Density</w:t>
            </w:r>
          </w:p>
        </w:tc>
        <w:tc>
          <w:tcPr>
            <w:tcW w:w="2664" w:type="dxa"/>
          </w:tcPr>
          <w:p w:rsidR="00104E7F" w:rsidRDefault="00104E7F" w:rsidP="002C7F4F">
            <w:r>
              <w:t>Tier 1 – 200 or more</w:t>
            </w:r>
          </w:p>
        </w:tc>
        <w:tc>
          <w:tcPr>
            <w:tcW w:w="2250" w:type="dxa"/>
            <w:vAlign w:val="center"/>
          </w:tcPr>
          <w:p w:rsidR="00104E7F" w:rsidRDefault="00104E7F" w:rsidP="002C7F4F">
            <w:pPr>
              <w:jc w:val="center"/>
            </w:pPr>
            <w:r>
              <w:t>$0</w:t>
            </w:r>
          </w:p>
        </w:tc>
        <w:tc>
          <w:tcPr>
            <w:tcW w:w="2268" w:type="dxa"/>
            <w:vAlign w:val="center"/>
          </w:tcPr>
          <w:p w:rsidR="00104E7F" w:rsidRDefault="00104E7F" w:rsidP="002C7F4F">
            <w:pPr>
              <w:jc w:val="center"/>
            </w:pPr>
            <w:r>
              <w:t>$0</w:t>
            </w:r>
          </w:p>
        </w:tc>
      </w:tr>
      <w:tr w:rsidR="00104E7F" w:rsidTr="002C7F4F">
        <w:tc>
          <w:tcPr>
            <w:tcW w:w="2394" w:type="dxa"/>
            <w:vMerge/>
            <w:vAlign w:val="center"/>
          </w:tcPr>
          <w:p w:rsidR="00104E7F" w:rsidRDefault="00104E7F" w:rsidP="002C7F4F"/>
        </w:tc>
        <w:tc>
          <w:tcPr>
            <w:tcW w:w="2664" w:type="dxa"/>
          </w:tcPr>
          <w:p w:rsidR="00104E7F" w:rsidRDefault="00104E7F" w:rsidP="002C7F4F">
            <w:r>
              <w:t>Tier 2 – 85 – 199</w:t>
            </w:r>
          </w:p>
        </w:tc>
        <w:tc>
          <w:tcPr>
            <w:tcW w:w="2250" w:type="dxa"/>
            <w:vAlign w:val="center"/>
          </w:tcPr>
          <w:p w:rsidR="00104E7F" w:rsidRDefault="00104E7F" w:rsidP="002C7F4F">
            <w:pPr>
              <w:jc w:val="center"/>
            </w:pPr>
            <w:r>
              <w:t>$183.35</w:t>
            </w:r>
          </w:p>
        </w:tc>
        <w:tc>
          <w:tcPr>
            <w:tcW w:w="2268" w:type="dxa"/>
            <w:vAlign w:val="center"/>
          </w:tcPr>
          <w:p w:rsidR="00104E7F" w:rsidRDefault="00104E7F" w:rsidP="002C7F4F">
            <w:pPr>
              <w:jc w:val="center"/>
            </w:pPr>
            <w:r>
              <w:t>$0</w:t>
            </w:r>
          </w:p>
        </w:tc>
      </w:tr>
      <w:tr w:rsidR="00104E7F" w:rsidTr="002C7F4F">
        <w:tc>
          <w:tcPr>
            <w:tcW w:w="2394" w:type="dxa"/>
            <w:vMerge/>
            <w:vAlign w:val="center"/>
          </w:tcPr>
          <w:p w:rsidR="00104E7F" w:rsidRDefault="00104E7F" w:rsidP="002C7F4F"/>
        </w:tc>
        <w:tc>
          <w:tcPr>
            <w:tcW w:w="2664" w:type="dxa"/>
          </w:tcPr>
          <w:p w:rsidR="00104E7F" w:rsidRDefault="00104E7F" w:rsidP="002C7F4F">
            <w:r>
              <w:t>Tier 3 – less than 85</w:t>
            </w:r>
          </w:p>
        </w:tc>
        <w:tc>
          <w:tcPr>
            <w:tcW w:w="2250" w:type="dxa"/>
            <w:vAlign w:val="center"/>
          </w:tcPr>
          <w:p w:rsidR="00104E7F" w:rsidRDefault="00104E7F" w:rsidP="002C7F4F">
            <w:pPr>
              <w:jc w:val="center"/>
            </w:pPr>
            <w:r>
              <w:t>$266.35</w:t>
            </w:r>
          </w:p>
        </w:tc>
        <w:tc>
          <w:tcPr>
            <w:tcW w:w="2268" w:type="dxa"/>
            <w:vAlign w:val="center"/>
          </w:tcPr>
          <w:p w:rsidR="00104E7F" w:rsidRDefault="00104E7F" w:rsidP="002C7F4F">
            <w:pPr>
              <w:jc w:val="center"/>
            </w:pPr>
            <w:r>
              <w:t>$0</w:t>
            </w:r>
          </w:p>
        </w:tc>
      </w:tr>
      <w:tr w:rsidR="00104E7F" w:rsidTr="002C7F4F">
        <w:tc>
          <w:tcPr>
            <w:tcW w:w="2394" w:type="dxa"/>
            <w:vMerge w:val="restart"/>
            <w:vAlign w:val="center"/>
          </w:tcPr>
          <w:p w:rsidR="00104E7F" w:rsidRDefault="00104E7F" w:rsidP="002C7F4F">
            <w:r>
              <w:t>High Density</w:t>
            </w:r>
          </w:p>
        </w:tc>
        <w:tc>
          <w:tcPr>
            <w:tcW w:w="2664" w:type="dxa"/>
          </w:tcPr>
          <w:p w:rsidR="00104E7F" w:rsidRDefault="00104E7F" w:rsidP="002C7F4F">
            <w:r>
              <w:t>Tier 1 – 300 or more</w:t>
            </w:r>
          </w:p>
        </w:tc>
        <w:tc>
          <w:tcPr>
            <w:tcW w:w="2250" w:type="dxa"/>
            <w:vAlign w:val="center"/>
          </w:tcPr>
          <w:p w:rsidR="00104E7F" w:rsidRDefault="00104E7F" w:rsidP="002C7F4F">
            <w:pPr>
              <w:jc w:val="center"/>
            </w:pPr>
            <w:r>
              <w:t>$0</w:t>
            </w:r>
          </w:p>
        </w:tc>
        <w:tc>
          <w:tcPr>
            <w:tcW w:w="2268" w:type="dxa"/>
            <w:vAlign w:val="center"/>
          </w:tcPr>
          <w:p w:rsidR="00104E7F" w:rsidRDefault="00104E7F" w:rsidP="002C7F4F">
            <w:pPr>
              <w:jc w:val="center"/>
            </w:pPr>
            <w:r>
              <w:t>$0</w:t>
            </w:r>
          </w:p>
        </w:tc>
      </w:tr>
      <w:tr w:rsidR="00104E7F" w:rsidTr="002C7F4F">
        <w:tc>
          <w:tcPr>
            <w:tcW w:w="2394" w:type="dxa"/>
            <w:vMerge/>
          </w:tcPr>
          <w:p w:rsidR="00104E7F" w:rsidRDefault="00104E7F" w:rsidP="002C7F4F"/>
        </w:tc>
        <w:tc>
          <w:tcPr>
            <w:tcW w:w="2664" w:type="dxa"/>
          </w:tcPr>
          <w:p w:rsidR="00104E7F" w:rsidRDefault="00104E7F" w:rsidP="002C7F4F">
            <w:r>
              <w:t>Tier 2 – 100-299</w:t>
            </w:r>
          </w:p>
        </w:tc>
        <w:tc>
          <w:tcPr>
            <w:tcW w:w="2250" w:type="dxa"/>
            <w:vAlign w:val="center"/>
          </w:tcPr>
          <w:p w:rsidR="00104E7F" w:rsidRDefault="00104E7F" w:rsidP="002C7F4F">
            <w:pPr>
              <w:jc w:val="center"/>
            </w:pPr>
            <w:r>
              <w:t>$0</w:t>
            </w:r>
          </w:p>
        </w:tc>
        <w:tc>
          <w:tcPr>
            <w:tcW w:w="2268" w:type="dxa"/>
            <w:vAlign w:val="center"/>
          </w:tcPr>
          <w:p w:rsidR="00104E7F" w:rsidRDefault="00104E7F" w:rsidP="002C7F4F">
            <w:pPr>
              <w:jc w:val="center"/>
            </w:pPr>
            <w:r>
              <w:t>$0</w:t>
            </w:r>
          </w:p>
        </w:tc>
      </w:tr>
      <w:tr w:rsidR="00104E7F" w:rsidTr="002C7F4F">
        <w:tc>
          <w:tcPr>
            <w:tcW w:w="2394" w:type="dxa"/>
            <w:vMerge/>
          </w:tcPr>
          <w:p w:rsidR="00104E7F" w:rsidRDefault="00104E7F" w:rsidP="002C7F4F"/>
        </w:tc>
        <w:tc>
          <w:tcPr>
            <w:tcW w:w="2664" w:type="dxa"/>
          </w:tcPr>
          <w:p w:rsidR="00104E7F" w:rsidRDefault="00104E7F" w:rsidP="002C7F4F">
            <w:r>
              <w:t>Tier 3 – less than 100</w:t>
            </w:r>
          </w:p>
        </w:tc>
        <w:tc>
          <w:tcPr>
            <w:tcW w:w="2250" w:type="dxa"/>
            <w:vAlign w:val="center"/>
          </w:tcPr>
          <w:p w:rsidR="00104E7F" w:rsidRDefault="00104E7F" w:rsidP="002A3A33">
            <w:pPr>
              <w:jc w:val="center"/>
            </w:pPr>
            <w:r>
              <w:t>$</w:t>
            </w:r>
            <w:r w:rsidR="002A3A33">
              <w:t>5</w:t>
            </w:r>
            <w:r>
              <w:t>7.97</w:t>
            </w:r>
          </w:p>
        </w:tc>
        <w:tc>
          <w:tcPr>
            <w:tcW w:w="2268" w:type="dxa"/>
            <w:vAlign w:val="center"/>
          </w:tcPr>
          <w:p w:rsidR="00104E7F" w:rsidRDefault="00104E7F" w:rsidP="002C7F4F">
            <w:pPr>
              <w:jc w:val="center"/>
            </w:pPr>
            <w:r>
              <w:t>$0</w:t>
            </w:r>
          </w:p>
        </w:tc>
      </w:tr>
      <w:tr w:rsidR="00104E7F" w:rsidTr="002C7F4F">
        <w:tc>
          <w:tcPr>
            <w:tcW w:w="2394" w:type="dxa"/>
          </w:tcPr>
          <w:p w:rsidR="00104E7F" w:rsidRDefault="00104E7F" w:rsidP="002C7F4F">
            <w:r>
              <w:t>Ganged Meter</w:t>
            </w:r>
          </w:p>
        </w:tc>
        <w:tc>
          <w:tcPr>
            <w:tcW w:w="2664" w:type="dxa"/>
          </w:tcPr>
          <w:p w:rsidR="00104E7F" w:rsidRDefault="00104E7F" w:rsidP="002C7F4F">
            <w:r>
              <w:t>All Tiers</w:t>
            </w:r>
          </w:p>
        </w:tc>
        <w:tc>
          <w:tcPr>
            <w:tcW w:w="2250" w:type="dxa"/>
            <w:vAlign w:val="center"/>
          </w:tcPr>
          <w:p w:rsidR="00104E7F" w:rsidRDefault="00104E7F" w:rsidP="002C7F4F">
            <w:pPr>
              <w:jc w:val="center"/>
            </w:pPr>
            <w:r>
              <w:t>$0</w:t>
            </w:r>
          </w:p>
        </w:tc>
        <w:tc>
          <w:tcPr>
            <w:tcW w:w="2268" w:type="dxa"/>
            <w:vAlign w:val="center"/>
          </w:tcPr>
          <w:p w:rsidR="00104E7F" w:rsidRDefault="00104E7F" w:rsidP="002C7F4F">
            <w:pPr>
              <w:jc w:val="center"/>
            </w:pPr>
            <w:r>
              <w:t>$0</w:t>
            </w:r>
          </w:p>
        </w:tc>
      </w:tr>
    </w:tbl>
    <w:p w:rsidR="00104E7F" w:rsidRDefault="00104E7F" w:rsidP="00104E7F">
      <w:pPr>
        <w:pStyle w:val="TableSource"/>
      </w:pPr>
      <w:r>
        <w:t>Source: 201</w:t>
      </w:r>
      <w:r w:rsidR="00612D9F">
        <w:t>6 order and FPL’s 2019</w:t>
      </w:r>
      <w:r>
        <w:t xml:space="preserve"> filing</w:t>
      </w:r>
    </w:p>
    <w:p w:rsidR="00104E7F" w:rsidRDefault="00450319" w:rsidP="00E275D8">
      <w:pPr>
        <w:pStyle w:val="BodyText"/>
      </w:pPr>
      <w:r>
        <w:t>The calculations of the proposed URD charges include (1) updated labor and material costs along with the associated loading factors and (2) operational costs.</w:t>
      </w:r>
      <w:r w:rsidR="00375FC3">
        <w:t xml:space="preserve"> </w:t>
      </w:r>
      <w:r>
        <w:t>These costs are discussed below.</w:t>
      </w:r>
      <w:r w:rsidR="00CB12FE">
        <w:t xml:space="preserve"> </w:t>
      </w:r>
    </w:p>
    <w:p w:rsidR="00104E7F" w:rsidRDefault="00104E7F" w:rsidP="00104E7F">
      <w:pPr>
        <w:pStyle w:val="First-LevelSubheading"/>
      </w:pPr>
      <w:r>
        <w:t>Labor and Material Costs</w:t>
      </w:r>
    </w:p>
    <w:p w:rsidR="00DC58EF" w:rsidRDefault="000D2912" w:rsidP="00104E7F">
      <w:pPr>
        <w:pStyle w:val="BodyText"/>
      </w:pPr>
      <w:r>
        <w:t xml:space="preserve">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w:t>
      </w:r>
      <w:r w:rsidR="0094796C">
        <w:t>The utilities are required</w:t>
      </w:r>
      <w:r w:rsidR="00125360">
        <w:t>, by Rule 25-6.078</w:t>
      </w:r>
      <w:r w:rsidR="00FB4FFB">
        <w:t>(5)</w:t>
      </w:r>
      <w:r w:rsidR="00125360">
        <w:t xml:space="preserve"> F.A.C.,</w:t>
      </w:r>
      <w:r w:rsidR="0094796C">
        <w:t xml:space="preserve"> to use current labor and material costs.</w:t>
      </w:r>
    </w:p>
    <w:p w:rsidR="00104E7F" w:rsidRDefault="00D33C38" w:rsidP="00D56FC9">
      <w:pPr>
        <w:pStyle w:val="BodyText"/>
      </w:pPr>
      <w:r>
        <w:t>FPL explained that generally the majority of overhead and underground material and labor costs have increased since 2016. With respect to</w:t>
      </w:r>
      <w:r w:rsidR="004E1435">
        <w:t xml:space="preserve"> labor costs, t</w:t>
      </w:r>
      <w:r w:rsidR="008C16AF">
        <w:t xml:space="preserve">he cost of </w:t>
      </w:r>
      <w:r w:rsidR="004E1435">
        <w:t xml:space="preserve">underground </w:t>
      </w:r>
      <w:r w:rsidR="008C16AF">
        <w:t>labor increase</w:t>
      </w:r>
      <w:r w:rsidR="00310C86">
        <w:t>d</w:t>
      </w:r>
      <w:r w:rsidR="008C16AF">
        <w:t xml:space="preserve"> at a higher rate than it increased for </w:t>
      </w:r>
      <w:r w:rsidR="004E1435">
        <w:t>overhead labor</w:t>
      </w:r>
      <w:r w:rsidR="008C16AF">
        <w:t xml:space="preserve">. </w:t>
      </w:r>
      <w:r w:rsidR="004E1435">
        <w:t>FPL stated that c</w:t>
      </w:r>
      <w:r w:rsidR="008C16AF">
        <w:t xml:space="preserve">ontractual </w:t>
      </w:r>
      <w:r>
        <w:t>arrangements</w:t>
      </w:r>
      <w:r w:rsidR="008C16AF">
        <w:t xml:space="preserve"> </w:t>
      </w:r>
      <w:r w:rsidR="004E1435">
        <w:t xml:space="preserve">driven by market conditions </w:t>
      </w:r>
      <w:r w:rsidR="008C16AF">
        <w:t>determine the labor rates for both FPL employees and contractors.</w:t>
      </w:r>
      <w:r w:rsidR="003F7FFC">
        <w:t xml:space="preserve"> </w:t>
      </w:r>
    </w:p>
    <w:p w:rsidR="0098518A" w:rsidRDefault="00603AC6" w:rsidP="00104E7F">
      <w:pPr>
        <w:pStyle w:val="BodyText"/>
      </w:pPr>
      <w:r>
        <w:t>Table 1-2 provides the labor and material differential</w:t>
      </w:r>
      <w:r w:rsidR="00375FC3">
        <w:t>,</w:t>
      </w:r>
      <w:r>
        <w:t xml:space="preserve"> or pre-operational</w:t>
      </w:r>
      <w:r w:rsidR="00375FC3">
        <w:t>,</w:t>
      </w:r>
      <w:r>
        <w:t xml:space="preserve"> costs. As Table 1-2 shows</w:t>
      </w:r>
      <w:r w:rsidR="00125360">
        <w:t>,</w:t>
      </w:r>
      <w:r>
        <w:t xml:space="preserve"> only the </w:t>
      </w:r>
      <w:r w:rsidR="00044827">
        <w:t xml:space="preserve">low density cost differential </w:t>
      </w:r>
      <w:r w:rsidR="00394E3B">
        <w:t xml:space="preserve">of $210.53 </w:t>
      </w:r>
      <w:r w:rsidR="00044827">
        <w:t xml:space="preserve">is a positive number, indicating that underground labor/material costs are higher than overhead labor/material costs for the low density subdivision. </w:t>
      </w:r>
      <w:r w:rsidR="009D1CC3">
        <w:t>For the high density and ganged meter subdivisions, overhead labor/material costs are higher than underground labor/material costs.</w:t>
      </w:r>
    </w:p>
    <w:p w:rsidR="0098518A" w:rsidRDefault="0098518A" w:rsidP="0098518A">
      <w:r>
        <w:br w:type="page"/>
      </w:r>
    </w:p>
    <w:p w:rsidR="00603AC6" w:rsidRDefault="00603AC6" w:rsidP="00603AC6">
      <w:pPr>
        <w:pStyle w:val="TableNumber"/>
        <w:keepNext/>
      </w:pPr>
      <w:r>
        <w:lastRenderedPageBreak/>
        <w:t xml:space="preserve">Table </w:t>
      </w:r>
      <w:fldSimple w:instr=" SEQ Issue \c ">
        <w:r w:rsidR="00CF10E2">
          <w:rPr>
            <w:noProof/>
          </w:rPr>
          <w:t>1</w:t>
        </w:r>
      </w:fldSimple>
      <w:r>
        <w:t>-2</w:t>
      </w:r>
    </w:p>
    <w:p w:rsidR="00603AC6" w:rsidRDefault="00603AC6" w:rsidP="00603AC6">
      <w:pPr>
        <w:pStyle w:val="TableTitle"/>
        <w:keepNext/>
      </w:pPr>
      <w:r>
        <w:t>Labor and Material Costs (Pre-operational Costs)</w:t>
      </w:r>
    </w:p>
    <w:tbl>
      <w:tblPr>
        <w:tblStyle w:val="TableGrid"/>
        <w:tblW w:w="9576" w:type="dxa"/>
        <w:tblLook w:val="04A0" w:firstRow="1" w:lastRow="0" w:firstColumn="1" w:lastColumn="0" w:noHBand="0" w:noVBand="1"/>
      </w:tblPr>
      <w:tblGrid>
        <w:gridCol w:w="3888"/>
        <w:gridCol w:w="1890"/>
        <w:gridCol w:w="1980"/>
        <w:gridCol w:w="1818"/>
      </w:tblGrid>
      <w:tr w:rsidR="00603AC6" w:rsidRPr="00054FAF" w:rsidTr="00B52707">
        <w:tc>
          <w:tcPr>
            <w:tcW w:w="3888" w:type="dxa"/>
          </w:tcPr>
          <w:p w:rsidR="00603AC6" w:rsidRPr="00054FAF" w:rsidRDefault="00603AC6" w:rsidP="00B52707">
            <w:pPr>
              <w:jc w:val="center"/>
              <w:rPr>
                <w:b/>
              </w:rPr>
            </w:pPr>
            <w:r w:rsidRPr="00054FAF">
              <w:rPr>
                <w:b/>
              </w:rPr>
              <w:t>Low Density</w:t>
            </w:r>
          </w:p>
        </w:tc>
        <w:tc>
          <w:tcPr>
            <w:tcW w:w="1890" w:type="dxa"/>
          </w:tcPr>
          <w:p w:rsidR="00603AC6" w:rsidRPr="00054FAF" w:rsidRDefault="00603AC6" w:rsidP="00B52707">
            <w:pPr>
              <w:jc w:val="center"/>
              <w:rPr>
                <w:b/>
              </w:rPr>
            </w:pPr>
            <w:r w:rsidRPr="00054FAF">
              <w:rPr>
                <w:b/>
              </w:rPr>
              <w:t>2016 Costs</w:t>
            </w:r>
          </w:p>
        </w:tc>
        <w:tc>
          <w:tcPr>
            <w:tcW w:w="1980" w:type="dxa"/>
          </w:tcPr>
          <w:p w:rsidR="00603AC6" w:rsidRPr="00054FAF" w:rsidRDefault="00603AC6" w:rsidP="00B52707">
            <w:pPr>
              <w:jc w:val="center"/>
              <w:rPr>
                <w:b/>
              </w:rPr>
            </w:pPr>
            <w:r w:rsidRPr="00054FAF">
              <w:rPr>
                <w:b/>
              </w:rPr>
              <w:t>201</w:t>
            </w:r>
            <w:r>
              <w:rPr>
                <w:b/>
              </w:rPr>
              <w:t>9</w:t>
            </w:r>
            <w:r w:rsidRPr="00054FAF">
              <w:rPr>
                <w:b/>
              </w:rPr>
              <w:t xml:space="preserve"> Costs</w:t>
            </w:r>
          </w:p>
        </w:tc>
        <w:tc>
          <w:tcPr>
            <w:tcW w:w="1818" w:type="dxa"/>
          </w:tcPr>
          <w:p w:rsidR="00603AC6" w:rsidRPr="00054FAF" w:rsidRDefault="00603AC6" w:rsidP="00B52707">
            <w:pPr>
              <w:jc w:val="center"/>
              <w:rPr>
                <w:b/>
              </w:rPr>
            </w:pPr>
            <w:r w:rsidRPr="00054FAF">
              <w:rPr>
                <w:b/>
              </w:rPr>
              <w:t>Difference</w:t>
            </w:r>
          </w:p>
        </w:tc>
      </w:tr>
      <w:tr w:rsidR="00603AC6" w:rsidRPr="00054FAF" w:rsidTr="00B52707">
        <w:tc>
          <w:tcPr>
            <w:tcW w:w="3888" w:type="dxa"/>
          </w:tcPr>
          <w:p w:rsidR="00603AC6" w:rsidRPr="00054FAF" w:rsidRDefault="00603AC6" w:rsidP="00B52707">
            <w:r w:rsidRPr="00054FAF">
              <w:t>Underground labor/material costs</w:t>
            </w:r>
          </w:p>
        </w:tc>
        <w:tc>
          <w:tcPr>
            <w:tcW w:w="1890" w:type="dxa"/>
            <w:vAlign w:val="center"/>
          </w:tcPr>
          <w:p w:rsidR="00603AC6" w:rsidRPr="00054FAF" w:rsidRDefault="00603AC6" w:rsidP="00B52707">
            <w:pPr>
              <w:jc w:val="center"/>
            </w:pPr>
            <w:r w:rsidRPr="00054FAF">
              <w:t>$2,413.84</w:t>
            </w:r>
          </w:p>
        </w:tc>
        <w:tc>
          <w:tcPr>
            <w:tcW w:w="1980" w:type="dxa"/>
            <w:vAlign w:val="center"/>
          </w:tcPr>
          <w:p w:rsidR="00603AC6" w:rsidRPr="00054FAF" w:rsidRDefault="00603AC6" w:rsidP="00B52707">
            <w:pPr>
              <w:jc w:val="center"/>
            </w:pPr>
            <w:r>
              <w:t>$2,558.39</w:t>
            </w:r>
          </w:p>
        </w:tc>
        <w:tc>
          <w:tcPr>
            <w:tcW w:w="1818" w:type="dxa"/>
            <w:vAlign w:val="center"/>
          </w:tcPr>
          <w:p w:rsidR="00603AC6" w:rsidRPr="00054FAF" w:rsidRDefault="00603AC6" w:rsidP="00B52707">
            <w:pPr>
              <w:jc w:val="center"/>
            </w:pPr>
            <w:r>
              <w:t>$144.55</w:t>
            </w:r>
          </w:p>
        </w:tc>
      </w:tr>
      <w:tr w:rsidR="00603AC6" w:rsidRPr="00054FAF" w:rsidTr="00B52707">
        <w:tc>
          <w:tcPr>
            <w:tcW w:w="3888" w:type="dxa"/>
          </w:tcPr>
          <w:p w:rsidR="00603AC6" w:rsidRPr="00054FAF" w:rsidRDefault="00603AC6" w:rsidP="00B52707">
            <w:r w:rsidRPr="00054FAF">
              <w:t>Overhead labor/material costs</w:t>
            </w:r>
          </w:p>
        </w:tc>
        <w:tc>
          <w:tcPr>
            <w:tcW w:w="1890" w:type="dxa"/>
            <w:vAlign w:val="center"/>
          </w:tcPr>
          <w:p w:rsidR="00603AC6" w:rsidRPr="00054FAF" w:rsidRDefault="00603AC6" w:rsidP="00B52707">
            <w:pPr>
              <w:jc w:val="center"/>
            </w:pPr>
            <w:r w:rsidRPr="00054FAF">
              <w:t>$2,272.49</w:t>
            </w:r>
          </w:p>
        </w:tc>
        <w:tc>
          <w:tcPr>
            <w:tcW w:w="1980" w:type="dxa"/>
            <w:vAlign w:val="center"/>
          </w:tcPr>
          <w:p w:rsidR="00603AC6" w:rsidRPr="00054FAF" w:rsidRDefault="00603AC6" w:rsidP="00B52707">
            <w:pPr>
              <w:jc w:val="center"/>
            </w:pPr>
            <w:r>
              <w:t>$2,347.86</w:t>
            </w:r>
          </w:p>
        </w:tc>
        <w:tc>
          <w:tcPr>
            <w:tcW w:w="1818" w:type="dxa"/>
            <w:vAlign w:val="center"/>
          </w:tcPr>
          <w:p w:rsidR="00603AC6" w:rsidRPr="00054FAF" w:rsidRDefault="00603AC6" w:rsidP="00B52707">
            <w:pPr>
              <w:jc w:val="center"/>
            </w:pPr>
            <w:r>
              <w:t>$75.37</w:t>
            </w:r>
          </w:p>
        </w:tc>
      </w:tr>
      <w:tr w:rsidR="00603AC6" w:rsidRPr="00054FAF" w:rsidTr="00B52707">
        <w:tc>
          <w:tcPr>
            <w:tcW w:w="3888" w:type="dxa"/>
          </w:tcPr>
          <w:p w:rsidR="00603AC6" w:rsidRPr="00054FAF" w:rsidRDefault="00603AC6" w:rsidP="00B52707">
            <w:pPr>
              <w:jc w:val="right"/>
            </w:pPr>
            <w:r w:rsidRPr="00054FAF">
              <w:t>Per service lateral differential</w:t>
            </w:r>
          </w:p>
        </w:tc>
        <w:tc>
          <w:tcPr>
            <w:tcW w:w="1890" w:type="dxa"/>
            <w:vAlign w:val="center"/>
          </w:tcPr>
          <w:p w:rsidR="00603AC6" w:rsidRPr="00054FAF" w:rsidRDefault="00603AC6" w:rsidP="00B52707">
            <w:pPr>
              <w:jc w:val="center"/>
            </w:pPr>
            <w:r w:rsidRPr="00054FAF">
              <w:t>$141.35</w:t>
            </w:r>
          </w:p>
        </w:tc>
        <w:tc>
          <w:tcPr>
            <w:tcW w:w="1980" w:type="dxa"/>
            <w:vAlign w:val="center"/>
          </w:tcPr>
          <w:p w:rsidR="00603AC6" w:rsidRPr="00054FAF" w:rsidRDefault="00603AC6" w:rsidP="00B52707">
            <w:pPr>
              <w:jc w:val="center"/>
            </w:pPr>
            <w:r>
              <w:t>$210.53</w:t>
            </w:r>
          </w:p>
        </w:tc>
        <w:tc>
          <w:tcPr>
            <w:tcW w:w="1818" w:type="dxa"/>
            <w:vAlign w:val="center"/>
          </w:tcPr>
          <w:p w:rsidR="00603AC6" w:rsidRPr="00054FAF" w:rsidRDefault="00603AC6" w:rsidP="00B52707">
            <w:pPr>
              <w:jc w:val="center"/>
            </w:pPr>
            <w:r>
              <w:t>$69.18</w:t>
            </w:r>
          </w:p>
        </w:tc>
      </w:tr>
      <w:tr w:rsidR="00603AC6" w:rsidRPr="00054FAF" w:rsidTr="00B52707">
        <w:tc>
          <w:tcPr>
            <w:tcW w:w="3888" w:type="dxa"/>
          </w:tcPr>
          <w:p w:rsidR="00603AC6" w:rsidRPr="00054FAF" w:rsidRDefault="00603AC6" w:rsidP="00B52707">
            <w:pPr>
              <w:jc w:val="center"/>
              <w:rPr>
                <w:b/>
              </w:rPr>
            </w:pPr>
            <w:r w:rsidRPr="00054FAF">
              <w:rPr>
                <w:b/>
              </w:rPr>
              <w:t>High Density</w:t>
            </w:r>
          </w:p>
        </w:tc>
        <w:tc>
          <w:tcPr>
            <w:tcW w:w="1890" w:type="dxa"/>
            <w:vAlign w:val="center"/>
          </w:tcPr>
          <w:p w:rsidR="00603AC6" w:rsidRPr="00054FAF" w:rsidRDefault="00603AC6" w:rsidP="00B52707">
            <w:pPr>
              <w:jc w:val="center"/>
            </w:pPr>
          </w:p>
        </w:tc>
        <w:tc>
          <w:tcPr>
            <w:tcW w:w="1980" w:type="dxa"/>
            <w:vAlign w:val="center"/>
          </w:tcPr>
          <w:p w:rsidR="00603AC6" w:rsidRPr="00054FAF" w:rsidRDefault="00603AC6" w:rsidP="00B52707">
            <w:pPr>
              <w:jc w:val="center"/>
            </w:pPr>
          </w:p>
        </w:tc>
        <w:tc>
          <w:tcPr>
            <w:tcW w:w="1818" w:type="dxa"/>
            <w:vAlign w:val="center"/>
          </w:tcPr>
          <w:p w:rsidR="00603AC6" w:rsidRPr="00054FAF" w:rsidRDefault="00603AC6" w:rsidP="00B52707">
            <w:pPr>
              <w:jc w:val="center"/>
            </w:pPr>
          </w:p>
        </w:tc>
      </w:tr>
      <w:tr w:rsidR="00603AC6" w:rsidRPr="00054FAF" w:rsidTr="00B52707">
        <w:tc>
          <w:tcPr>
            <w:tcW w:w="3888" w:type="dxa"/>
          </w:tcPr>
          <w:p w:rsidR="00603AC6" w:rsidRPr="00054FAF" w:rsidRDefault="00603AC6" w:rsidP="00B52707">
            <w:r w:rsidRPr="00054FAF">
              <w:t>Underground labor/material costs</w:t>
            </w:r>
          </w:p>
        </w:tc>
        <w:tc>
          <w:tcPr>
            <w:tcW w:w="1890" w:type="dxa"/>
            <w:vAlign w:val="center"/>
          </w:tcPr>
          <w:p w:rsidR="00603AC6" w:rsidRPr="00054FAF" w:rsidRDefault="00603AC6" w:rsidP="00B52707">
            <w:pPr>
              <w:jc w:val="center"/>
            </w:pPr>
            <w:r w:rsidRPr="00054FAF">
              <w:t>$1,640.45</w:t>
            </w:r>
          </w:p>
        </w:tc>
        <w:tc>
          <w:tcPr>
            <w:tcW w:w="1980" w:type="dxa"/>
            <w:vAlign w:val="center"/>
          </w:tcPr>
          <w:p w:rsidR="00603AC6" w:rsidRPr="00054FAF" w:rsidRDefault="00603AC6" w:rsidP="00B52707">
            <w:pPr>
              <w:jc w:val="center"/>
            </w:pPr>
            <w:r>
              <w:t>$1,767.54</w:t>
            </w:r>
          </w:p>
        </w:tc>
        <w:tc>
          <w:tcPr>
            <w:tcW w:w="1818" w:type="dxa"/>
            <w:vAlign w:val="center"/>
          </w:tcPr>
          <w:p w:rsidR="00603AC6" w:rsidRPr="00054FAF" w:rsidRDefault="00603AC6" w:rsidP="00B52707">
            <w:pPr>
              <w:jc w:val="center"/>
            </w:pPr>
            <w:r>
              <w:t>$127.09</w:t>
            </w:r>
          </w:p>
        </w:tc>
      </w:tr>
      <w:tr w:rsidR="00603AC6" w:rsidRPr="00054FAF" w:rsidTr="00B52707">
        <w:tc>
          <w:tcPr>
            <w:tcW w:w="3888" w:type="dxa"/>
          </w:tcPr>
          <w:p w:rsidR="00603AC6" w:rsidRPr="00054FAF" w:rsidRDefault="00603AC6" w:rsidP="00B52707">
            <w:r w:rsidRPr="00054FAF">
              <w:t>Overhead labor/material costs</w:t>
            </w:r>
          </w:p>
        </w:tc>
        <w:tc>
          <w:tcPr>
            <w:tcW w:w="1890" w:type="dxa"/>
            <w:vAlign w:val="center"/>
          </w:tcPr>
          <w:p w:rsidR="00603AC6" w:rsidRPr="00054FAF" w:rsidRDefault="00603AC6" w:rsidP="00B52707">
            <w:pPr>
              <w:jc w:val="center"/>
            </w:pPr>
            <w:r w:rsidRPr="00054FAF">
              <w:t>$1,691.48</w:t>
            </w:r>
          </w:p>
        </w:tc>
        <w:tc>
          <w:tcPr>
            <w:tcW w:w="1980" w:type="dxa"/>
            <w:vAlign w:val="center"/>
          </w:tcPr>
          <w:p w:rsidR="00603AC6" w:rsidRPr="00054FAF" w:rsidRDefault="00603AC6" w:rsidP="00B52707">
            <w:pPr>
              <w:jc w:val="center"/>
            </w:pPr>
            <w:r>
              <w:t>$1,773.71</w:t>
            </w:r>
          </w:p>
        </w:tc>
        <w:tc>
          <w:tcPr>
            <w:tcW w:w="1818" w:type="dxa"/>
            <w:vAlign w:val="center"/>
          </w:tcPr>
          <w:p w:rsidR="00603AC6" w:rsidRPr="00054FAF" w:rsidRDefault="00603AC6" w:rsidP="00B52707">
            <w:pPr>
              <w:jc w:val="center"/>
            </w:pPr>
            <w:r>
              <w:t>$82.23</w:t>
            </w:r>
          </w:p>
        </w:tc>
      </w:tr>
      <w:tr w:rsidR="00603AC6" w:rsidRPr="00054FAF" w:rsidTr="00B52707">
        <w:tc>
          <w:tcPr>
            <w:tcW w:w="3888" w:type="dxa"/>
          </w:tcPr>
          <w:p w:rsidR="00603AC6" w:rsidRPr="00054FAF" w:rsidRDefault="00603AC6" w:rsidP="00B52707">
            <w:pPr>
              <w:jc w:val="right"/>
            </w:pPr>
            <w:r w:rsidRPr="00054FAF">
              <w:t>Per service lateral differential</w:t>
            </w:r>
          </w:p>
        </w:tc>
        <w:tc>
          <w:tcPr>
            <w:tcW w:w="1890" w:type="dxa"/>
            <w:vAlign w:val="center"/>
          </w:tcPr>
          <w:p w:rsidR="00603AC6" w:rsidRPr="00054FAF" w:rsidRDefault="00603AC6" w:rsidP="00B52707">
            <w:pPr>
              <w:jc w:val="center"/>
            </w:pPr>
            <w:r w:rsidRPr="00054FAF">
              <w:t>($51.03)</w:t>
            </w:r>
          </w:p>
        </w:tc>
        <w:tc>
          <w:tcPr>
            <w:tcW w:w="1980" w:type="dxa"/>
            <w:vAlign w:val="center"/>
          </w:tcPr>
          <w:p w:rsidR="00603AC6" w:rsidRPr="00054FAF" w:rsidRDefault="00603AC6" w:rsidP="00B52707">
            <w:pPr>
              <w:jc w:val="center"/>
            </w:pPr>
            <w:r>
              <w:t>($6.17)</w:t>
            </w:r>
          </w:p>
        </w:tc>
        <w:tc>
          <w:tcPr>
            <w:tcW w:w="1818" w:type="dxa"/>
            <w:vAlign w:val="center"/>
          </w:tcPr>
          <w:p w:rsidR="00603AC6" w:rsidRPr="004C3C43" w:rsidRDefault="00603AC6" w:rsidP="00B52707">
            <w:pPr>
              <w:jc w:val="center"/>
            </w:pPr>
            <w:r>
              <w:t>(</w:t>
            </w:r>
            <w:r w:rsidRPr="004C3C43">
              <w:t>$44.86</w:t>
            </w:r>
            <w:r>
              <w:t>)</w:t>
            </w:r>
          </w:p>
        </w:tc>
      </w:tr>
      <w:tr w:rsidR="00603AC6" w:rsidRPr="00054FAF" w:rsidTr="00B52707">
        <w:tc>
          <w:tcPr>
            <w:tcW w:w="3888" w:type="dxa"/>
          </w:tcPr>
          <w:p w:rsidR="00603AC6" w:rsidRPr="00054FAF" w:rsidRDefault="00603AC6" w:rsidP="00B52707">
            <w:pPr>
              <w:jc w:val="center"/>
              <w:rPr>
                <w:b/>
              </w:rPr>
            </w:pPr>
            <w:r w:rsidRPr="00054FAF">
              <w:rPr>
                <w:b/>
              </w:rPr>
              <w:t>Ganged Meter</w:t>
            </w:r>
          </w:p>
        </w:tc>
        <w:tc>
          <w:tcPr>
            <w:tcW w:w="1890" w:type="dxa"/>
            <w:vAlign w:val="center"/>
          </w:tcPr>
          <w:p w:rsidR="00603AC6" w:rsidRPr="00054FAF" w:rsidRDefault="00603AC6" w:rsidP="00B52707">
            <w:pPr>
              <w:jc w:val="center"/>
            </w:pPr>
          </w:p>
        </w:tc>
        <w:tc>
          <w:tcPr>
            <w:tcW w:w="1980" w:type="dxa"/>
            <w:vAlign w:val="center"/>
          </w:tcPr>
          <w:p w:rsidR="00603AC6" w:rsidRPr="00054FAF" w:rsidRDefault="00603AC6" w:rsidP="00B52707">
            <w:pPr>
              <w:jc w:val="center"/>
            </w:pPr>
          </w:p>
        </w:tc>
        <w:tc>
          <w:tcPr>
            <w:tcW w:w="1818" w:type="dxa"/>
            <w:vAlign w:val="center"/>
          </w:tcPr>
          <w:p w:rsidR="00603AC6" w:rsidRPr="00054FAF" w:rsidRDefault="00603AC6" w:rsidP="00B52707">
            <w:pPr>
              <w:jc w:val="center"/>
            </w:pPr>
          </w:p>
        </w:tc>
      </w:tr>
      <w:tr w:rsidR="00603AC6" w:rsidRPr="00054FAF" w:rsidTr="00B52707">
        <w:tc>
          <w:tcPr>
            <w:tcW w:w="3888" w:type="dxa"/>
          </w:tcPr>
          <w:p w:rsidR="00603AC6" w:rsidRPr="00054FAF" w:rsidRDefault="00603AC6" w:rsidP="00B52707">
            <w:r w:rsidRPr="00054FAF">
              <w:t>Underground labor/material costs</w:t>
            </w:r>
          </w:p>
        </w:tc>
        <w:tc>
          <w:tcPr>
            <w:tcW w:w="1890" w:type="dxa"/>
            <w:vAlign w:val="center"/>
          </w:tcPr>
          <w:p w:rsidR="00603AC6" w:rsidRPr="00054FAF" w:rsidRDefault="00603AC6" w:rsidP="00B52707">
            <w:pPr>
              <w:jc w:val="center"/>
            </w:pPr>
            <w:r w:rsidRPr="00054FAF">
              <w:t>$1,051.82</w:t>
            </w:r>
          </w:p>
        </w:tc>
        <w:tc>
          <w:tcPr>
            <w:tcW w:w="1980" w:type="dxa"/>
            <w:vAlign w:val="center"/>
          </w:tcPr>
          <w:p w:rsidR="00603AC6" w:rsidRPr="00054FAF" w:rsidRDefault="00603AC6" w:rsidP="00B52707">
            <w:pPr>
              <w:jc w:val="center"/>
            </w:pPr>
            <w:r>
              <w:t>$1,125.49</w:t>
            </w:r>
          </w:p>
        </w:tc>
        <w:tc>
          <w:tcPr>
            <w:tcW w:w="1818" w:type="dxa"/>
            <w:vAlign w:val="center"/>
          </w:tcPr>
          <w:p w:rsidR="00603AC6" w:rsidRPr="00054FAF" w:rsidRDefault="00603AC6" w:rsidP="00B52707">
            <w:pPr>
              <w:jc w:val="center"/>
            </w:pPr>
            <w:r>
              <w:t>$73.67</w:t>
            </w:r>
          </w:p>
        </w:tc>
      </w:tr>
      <w:tr w:rsidR="00603AC6" w:rsidRPr="00054FAF" w:rsidTr="00B52707">
        <w:tc>
          <w:tcPr>
            <w:tcW w:w="3888" w:type="dxa"/>
          </w:tcPr>
          <w:p w:rsidR="00603AC6" w:rsidRPr="00054FAF" w:rsidRDefault="00603AC6" w:rsidP="00B52707">
            <w:r w:rsidRPr="00054FAF">
              <w:t>Overhead labor/material costs</w:t>
            </w:r>
          </w:p>
        </w:tc>
        <w:tc>
          <w:tcPr>
            <w:tcW w:w="1890" w:type="dxa"/>
            <w:vAlign w:val="center"/>
          </w:tcPr>
          <w:p w:rsidR="00603AC6" w:rsidRPr="00054FAF" w:rsidRDefault="00603AC6" w:rsidP="00B52707">
            <w:pPr>
              <w:jc w:val="center"/>
            </w:pPr>
            <w:r w:rsidRPr="00054FAF">
              <w:t>$1,344.17</w:t>
            </w:r>
          </w:p>
        </w:tc>
        <w:tc>
          <w:tcPr>
            <w:tcW w:w="1980" w:type="dxa"/>
            <w:vAlign w:val="center"/>
          </w:tcPr>
          <w:p w:rsidR="00603AC6" w:rsidRPr="00054FAF" w:rsidRDefault="00603AC6" w:rsidP="00B52707">
            <w:pPr>
              <w:jc w:val="center"/>
            </w:pPr>
            <w:r>
              <w:t>$1,397.83</w:t>
            </w:r>
          </w:p>
        </w:tc>
        <w:tc>
          <w:tcPr>
            <w:tcW w:w="1818" w:type="dxa"/>
            <w:vAlign w:val="center"/>
          </w:tcPr>
          <w:p w:rsidR="00603AC6" w:rsidRPr="00054FAF" w:rsidRDefault="00603AC6" w:rsidP="00B52707">
            <w:pPr>
              <w:jc w:val="center"/>
            </w:pPr>
            <w:r>
              <w:t>$53.66</w:t>
            </w:r>
          </w:p>
        </w:tc>
      </w:tr>
      <w:tr w:rsidR="00603AC6" w:rsidRPr="00054FAF" w:rsidTr="00B52707">
        <w:tc>
          <w:tcPr>
            <w:tcW w:w="3888" w:type="dxa"/>
          </w:tcPr>
          <w:p w:rsidR="00603AC6" w:rsidRPr="00054FAF" w:rsidRDefault="00603AC6" w:rsidP="00B52707">
            <w:pPr>
              <w:jc w:val="right"/>
            </w:pPr>
            <w:r w:rsidRPr="00054FAF">
              <w:t>Per service lateral differential</w:t>
            </w:r>
          </w:p>
        </w:tc>
        <w:tc>
          <w:tcPr>
            <w:tcW w:w="1890" w:type="dxa"/>
            <w:vAlign w:val="center"/>
          </w:tcPr>
          <w:p w:rsidR="00603AC6" w:rsidRPr="00054FAF" w:rsidRDefault="00603AC6" w:rsidP="00B52707">
            <w:pPr>
              <w:jc w:val="center"/>
            </w:pPr>
            <w:r w:rsidRPr="00054FAF">
              <w:t>($292.35)</w:t>
            </w:r>
          </w:p>
        </w:tc>
        <w:tc>
          <w:tcPr>
            <w:tcW w:w="1980" w:type="dxa"/>
            <w:vAlign w:val="center"/>
          </w:tcPr>
          <w:p w:rsidR="00603AC6" w:rsidRPr="00054FAF" w:rsidRDefault="00603AC6" w:rsidP="00B52707">
            <w:pPr>
              <w:jc w:val="center"/>
            </w:pPr>
            <w:r>
              <w:t>($272.34)</w:t>
            </w:r>
          </w:p>
        </w:tc>
        <w:tc>
          <w:tcPr>
            <w:tcW w:w="1818" w:type="dxa"/>
            <w:vAlign w:val="center"/>
          </w:tcPr>
          <w:p w:rsidR="00603AC6" w:rsidRPr="00054FAF" w:rsidRDefault="00603AC6" w:rsidP="00B52707">
            <w:pPr>
              <w:jc w:val="center"/>
            </w:pPr>
            <w:r>
              <w:t>($20.01)</w:t>
            </w:r>
          </w:p>
        </w:tc>
      </w:tr>
    </w:tbl>
    <w:p w:rsidR="00C249A9" w:rsidRDefault="00C249A9" w:rsidP="00C249A9">
      <w:pPr>
        <w:pStyle w:val="TableSource"/>
      </w:pPr>
      <w:r>
        <w:t>Source: 2016 Order and FPL’s 2019 filing</w:t>
      </w:r>
    </w:p>
    <w:p w:rsidR="00104E7F" w:rsidRDefault="00104E7F" w:rsidP="00104E7F">
      <w:pPr>
        <w:pStyle w:val="First-LevelSubheading"/>
      </w:pPr>
      <w:r>
        <w:t>Operational Costs</w:t>
      </w:r>
    </w:p>
    <w:p w:rsidR="00104E7F" w:rsidRDefault="00281F48" w:rsidP="00104E7F">
      <w:pPr>
        <w:pStyle w:val="BodyText"/>
      </w:pPr>
      <w:r>
        <w:t xml:space="preserve">Rule 25-6.078, F.A.C., requires that the differences in net present value of operational costs between overhead and underground systems, including average historical storm restoration costs over the life of the facilities, be included in the URD charge. The non-storm </w:t>
      </w:r>
      <w:r w:rsidR="002A20B2">
        <w:t>operational</w:t>
      </w:r>
      <w:r>
        <w:t xml:space="preserve"> costs represent the cost differential between maintaining and operating an underground versus an overhead system over the life of the facilities. The storm cost component represents storm restoration costs avoided when an area is undergrounded, thereby reducing the cost to restore an overhead system. The avoided storm cost is subtracted from pre-operational and non-storm operational costs, thus reducing the URD differential charge. </w:t>
      </w:r>
      <w:r w:rsidR="00FA3E19">
        <w:t>FPL’s methodology to calculate the operational costs was approved in Order No. PSC-08-0774-TRF-EI</w:t>
      </w:r>
      <w:r w:rsidR="00FA3E19">
        <w:rPr>
          <w:rStyle w:val="FootnoteReference"/>
        </w:rPr>
        <w:footnoteReference w:id="3"/>
      </w:r>
      <w:r w:rsidR="00FA3E19">
        <w:t xml:space="preserve"> and remains the same in the instant docket.  </w:t>
      </w:r>
    </w:p>
    <w:p w:rsidR="00004948" w:rsidRDefault="00004948" w:rsidP="00004948">
      <w:pPr>
        <w:pStyle w:val="Second-LevelSubheading"/>
      </w:pPr>
      <w:r>
        <w:t>Non-storm Operational Costs</w:t>
      </w:r>
    </w:p>
    <w:p w:rsidR="00281F48" w:rsidRDefault="00CF7C29" w:rsidP="00104E7F">
      <w:pPr>
        <w:pStyle w:val="BodyText"/>
      </w:pPr>
      <w:r>
        <w:t xml:space="preserve">FPL’s </w:t>
      </w:r>
      <w:r w:rsidR="00372178">
        <w:t>operational costs for an overhead system are higher than the operational cost for an underground system, resulting in a negative number</w:t>
      </w:r>
      <w:r w:rsidRPr="00CF7C29">
        <w:t xml:space="preserve"> </w:t>
      </w:r>
      <w:r>
        <w:t>as shown in Colum</w:t>
      </w:r>
      <w:r w:rsidR="00125360">
        <w:t>n</w:t>
      </w:r>
      <w:r>
        <w:t xml:space="preserve"> B in Table 1-3</w:t>
      </w:r>
      <w:r w:rsidR="00372178">
        <w:t xml:space="preserve">. For the low density </w:t>
      </w:r>
      <w:r>
        <w:t>subdivision</w:t>
      </w:r>
      <w:r w:rsidR="00372178">
        <w:t>, for example, the operational cost differential in 2016 was $208</w:t>
      </w:r>
      <w:r>
        <w:t xml:space="preserve"> (indicating that underground operational costs were higher than overhead operational costs)</w:t>
      </w:r>
      <w:r w:rsidR="00372178">
        <w:t>. As shown in Table 1-3, the operation</w:t>
      </w:r>
      <w:r>
        <w:t>al</w:t>
      </w:r>
      <w:r w:rsidR="00372178">
        <w:t xml:space="preserve"> cost differential for the low density subdivision is </w:t>
      </w:r>
      <w:r w:rsidR="00125360">
        <w:t>now          -$</w:t>
      </w:r>
      <w:r w:rsidR="00372178">
        <w:t>2,103.</w:t>
      </w:r>
      <w:r w:rsidRPr="00CF7C29">
        <w:t xml:space="preserve"> </w:t>
      </w:r>
      <w:r>
        <w:t>FPL explained that the primary reason for this change in operational cost is the increase in overhead operational costs as a result of FPL’s increased capital investments associated with its distribution storm hardening initiatives. The utility use</w:t>
      </w:r>
      <w:r w:rsidR="0023592D">
        <w:t>d</w:t>
      </w:r>
      <w:r>
        <w:t xml:space="preserve"> a 5-year average of </w:t>
      </w:r>
      <w:r w:rsidR="00410788">
        <w:t xml:space="preserve">historical </w:t>
      </w:r>
      <w:r>
        <w:t>operational costs (2014-2018) for its calculations</w:t>
      </w:r>
      <w:r w:rsidR="0023592D">
        <w:t xml:space="preserve"> in this docket</w:t>
      </w:r>
      <w:r>
        <w:t>.</w:t>
      </w:r>
    </w:p>
    <w:p w:rsidR="0098518A" w:rsidRDefault="0098518A" w:rsidP="00104E7F">
      <w:pPr>
        <w:pStyle w:val="BodyText"/>
      </w:pPr>
    </w:p>
    <w:p w:rsidR="0098518A" w:rsidRDefault="0098518A" w:rsidP="00104E7F">
      <w:pPr>
        <w:pStyle w:val="BodyText"/>
      </w:pPr>
    </w:p>
    <w:p w:rsidR="00004948" w:rsidRDefault="00004948" w:rsidP="00004948">
      <w:pPr>
        <w:pStyle w:val="Second-LevelSubheading"/>
      </w:pPr>
      <w:r>
        <w:lastRenderedPageBreak/>
        <w:t>Storm Restoration Costs</w:t>
      </w:r>
    </w:p>
    <w:p w:rsidR="00375FC3" w:rsidRDefault="00375FC3" w:rsidP="00375FC3">
      <w:pPr>
        <w:pStyle w:val="BodyText"/>
      </w:pPr>
      <w:r>
        <w:t xml:space="preserve">FPL explained that the </w:t>
      </w:r>
      <w:r w:rsidR="00004948">
        <w:t>2016 and 2017 hurricane season significantly increased th</w:t>
      </w:r>
      <w:r w:rsidR="00067091">
        <w:t>e</w:t>
      </w:r>
      <w:r w:rsidR="00004948">
        <w:t xml:space="preserve"> avoided storm restoration cost impacts. Specifically, FPL stated that </w:t>
      </w:r>
      <w:r w:rsidR="00125360">
        <w:t xml:space="preserve">the </w:t>
      </w:r>
      <w:r w:rsidR="00004948">
        <w:t xml:space="preserve">utility incorporated more than $1.5 billion in </w:t>
      </w:r>
      <w:r w:rsidR="00410788">
        <w:t xml:space="preserve">overhead </w:t>
      </w:r>
      <w:r w:rsidR="00004948">
        <w:t xml:space="preserve">storm restoration costs for hurricanes Matthew, Hermine, and Irma. </w:t>
      </w:r>
      <w:r w:rsidR="00FA3E19">
        <w:t xml:space="preserve">Therefore, the amount representing avoided storm restoration costs increased </w:t>
      </w:r>
      <w:r w:rsidR="003F7FFC">
        <w:t xml:space="preserve">significantly </w:t>
      </w:r>
      <w:r w:rsidR="00FA3E19">
        <w:t>from 2016.</w:t>
      </w:r>
    </w:p>
    <w:p w:rsidR="00281F48" w:rsidRDefault="00D91DDA" w:rsidP="00104E7F">
      <w:pPr>
        <w:pStyle w:val="BodyText"/>
      </w:pPr>
      <w:r>
        <w:t xml:space="preserve">Table 1-3 presents the pre-operational, non-storm operational, and the avoided storm restoration cost differentials between overhead and underground systems. The proposed differential is $0 when the calculation results in a negative number. </w:t>
      </w:r>
    </w:p>
    <w:p w:rsidR="00D91DDA" w:rsidRDefault="00D91DDA" w:rsidP="00D91DDA">
      <w:pPr>
        <w:pStyle w:val="TableNumber"/>
        <w:keepNext/>
      </w:pPr>
      <w:r>
        <w:t xml:space="preserve">Table </w:t>
      </w:r>
      <w:fldSimple w:instr=" SEQ Issue \c ">
        <w:r w:rsidR="00CF10E2">
          <w:rPr>
            <w:noProof/>
          </w:rPr>
          <w:t>1</w:t>
        </w:r>
      </w:fldSimple>
      <w:r>
        <w:t>-3</w:t>
      </w:r>
    </w:p>
    <w:p w:rsidR="00D91DDA" w:rsidRDefault="00D91DDA" w:rsidP="00D91DDA">
      <w:pPr>
        <w:pStyle w:val="TableTitle"/>
        <w:keepNext/>
      </w:pPr>
      <w:r>
        <w:t>Components of the URD Charges</w:t>
      </w:r>
    </w:p>
    <w:tbl>
      <w:tblPr>
        <w:tblStyle w:val="TableGrid"/>
        <w:tblW w:w="0" w:type="auto"/>
        <w:tblLook w:val="04A0" w:firstRow="1" w:lastRow="0" w:firstColumn="1" w:lastColumn="0" w:noHBand="0" w:noVBand="1"/>
      </w:tblPr>
      <w:tblGrid>
        <w:gridCol w:w="1454"/>
        <w:gridCol w:w="2259"/>
        <w:gridCol w:w="1456"/>
        <w:gridCol w:w="1456"/>
        <w:gridCol w:w="1455"/>
        <w:gridCol w:w="1496"/>
      </w:tblGrid>
      <w:tr w:rsidR="00D91DDA" w:rsidRPr="00054FAF" w:rsidTr="00B52707">
        <w:tc>
          <w:tcPr>
            <w:tcW w:w="1458" w:type="dxa"/>
            <w:vAlign w:val="center"/>
          </w:tcPr>
          <w:p w:rsidR="00D91DDA" w:rsidRPr="00054FAF" w:rsidRDefault="00D91DDA" w:rsidP="00B52707">
            <w:pPr>
              <w:rPr>
                <w:b/>
              </w:rPr>
            </w:pPr>
          </w:p>
          <w:p w:rsidR="00D91DDA" w:rsidRPr="00054FAF" w:rsidRDefault="00D91DDA" w:rsidP="00B52707">
            <w:pPr>
              <w:rPr>
                <w:b/>
              </w:rPr>
            </w:pPr>
          </w:p>
          <w:p w:rsidR="00D91DDA" w:rsidRPr="00054FAF" w:rsidRDefault="00D91DDA" w:rsidP="00B52707">
            <w:pPr>
              <w:rPr>
                <w:b/>
              </w:rPr>
            </w:pPr>
            <w:r w:rsidRPr="00054FAF">
              <w:rPr>
                <w:b/>
              </w:rPr>
              <w:t>Type of Subdivision</w:t>
            </w:r>
          </w:p>
        </w:tc>
        <w:tc>
          <w:tcPr>
            <w:tcW w:w="2340" w:type="dxa"/>
            <w:vAlign w:val="center"/>
          </w:tcPr>
          <w:p w:rsidR="00D91DDA" w:rsidRPr="00054FAF" w:rsidRDefault="00D91DDA" w:rsidP="00B52707">
            <w:pPr>
              <w:rPr>
                <w:b/>
              </w:rPr>
            </w:pPr>
          </w:p>
          <w:p w:rsidR="00D91DDA" w:rsidRPr="00054FAF" w:rsidRDefault="00D91DDA" w:rsidP="00B52707">
            <w:pPr>
              <w:rPr>
                <w:b/>
              </w:rPr>
            </w:pPr>
            <w:r w:rsidRPr="00054FAF">
              <w:rPr>
                <w:b/>
              </w:rPr>
              <w:t>Number of Service Laterals in Subdivision</w:t>
            </w:r>
          </w:p>
        </w:tc>
        <w:tc>
          <w:tcPr>
            <w:tcW w:w="1400" w:type="dxa"/>
            <w:vAlign w:val="center"/>
          </w:tcPr>
          <w:p w:rsidR="00D91DDA" w:rsidRPr="00054FAF" w:rsidRDefault="00D91DDA" w:rsidP="00B52707">
            <w:pPr>
              <w:rPr>
                <w:b/>
              </w:rPr>
            </w:pPr>
            <w:r w:rsidRPr="00054FAF">
              <w:rPr>
                <w:b/>
              </w:rPr>
              <w:t>Pre-</w:t>
            </w:r>
            <w:r w:rsidR="00004948">
              <w:rPr>
                <w:b/>
              </w:rPr>
              <w:t>O</w:t>
            </w:r>
            <w:r w:rsidRPr="00054FAF">
              <w:rPr>
                <w:b/>
              </w:rPr>
              <w:t>perational Costs</w:t>
            </w:r>
          </w:p>
          <w:p w:rsidR="00D91DDA" w:rsidRPr="00054FAF" w:rsidRDefault="00D91DDA" w:rsidP="00B52707">
            <w:pPr>
              <w:rPr>
                <w:b/>
              </w:rPr>
            </w:pPr>
            <w:r w:rsidRPr="00054FAF">
              <w:rPr>
                <w:b/>
              </w:rPr>
              <w:t>(A)</w:t>
            </w:r>
          </w:p>
        </w:tc>
        <w:tc>
          <w:tcPr>
            <w:tcW w:w="1390" w:type="dxa"/>
            <w:vAlign w:val="center"/>
          </w:tcPr>
          <w:p w:rsidR="00D91DDA" w:rsidRPr="00054FAF" w:rsidRDefault="00D91DDA" w:rsidP="00B52707">
            <w:pPr>
              <w:rPr>
                <w:b/>
              </w:rPr>
            </w:pPr>
            <w:r w:rsidRPr="00054FAF">
              <w:rPr>
                <w:b/>
              </w:rPr>
              <w:t xml:space="preserve">Non-storm </w:t>
            </w:r>
            <w:r w:rsidR="00004948">
              <w:rPr>
                <w:b/>
              </w:rPr>
              <w:t>O</w:t>
            </w:r>
            <w:r w:rsidRPr="00054FAF">
              <w:rPr>
                <w:b/>
              </w:rPr>
              <w:t>perational costs</w:t>
            </w:r>
          </w:p>
          <w:p w:rsidR="00D91DDA" w:rsidRPr="00054FAF" w:rsidRDefault="00D91DDA" w:rsidP="00B52707">
            <w:pPr>
              <w:rPr>
                <w:b/>
              </w:rPr>
            </w:pPr>
            <w:r w:rsidRPr="00054FAF">
              <w:rPr>
                <w:b/>
              </w:rPr>
              <w:t>(B)</w:t>
            </w:r>
          </w:p>
        </w:tc>
        <w:tc>
          <w:tcPr>
            <w:tcW w:w="1492" w:type="dxa"/>
            <w:vAlign w:val="center"/>
          </w:tcPr>
          <w:p w:rsidR="00D91DDA" w:rsidRPr="00054FAF" w:rsidRDefault="00D91DDA" w:rsidP="00B52707">
            <w:pPr>
              <w:rPr>
                <w:b/>
              </w:rPr>
            </w:pPr>
          </w:p>
          <w:p w:rsidR="00D91DDA" w:rsidRPr="00054FAF" w:rsidRDefault="00D91DDA" w:rsidP="00B52707">
            <w:pPr>
              <w:rPr>
                <w:b/>
              </w:rPr>
            </w:pPr>
            <w:r w:rsidRPr="00054FAF">
              <w:rPr>
                <w:b/>
              </w:rPr>
              <w:t>Avoided Storm costs</w:t>
            </w:r>
          </w:p>
          <w:p w:rsidR="00D91DDA" w:rsidRPr="00054FAF" w:rsidRDefault="00D91DDA" w:rsidP="00B52707">
            <w:pPr>
              <w:rPr>
                <w:b/>
              </w:rPr>
            </w:pPr>
            <w:r w:rsidRPr="00054FAF">
              <w:rPr>
                <w:b/>
              </w:rPr>
              <w:t>(C)</w:t>
            </w:r>
          </w:p>
        </w:tc>
        <w:tc>
          <w:tcPr>
            <w:tcW w:w="1496" w:type="dxa"/>
            <w:vAlign w:val="center"/>
          </w:tcPr>
          <w:p w:rsidR="00D91DDA" w:rsidRPr="00054FAF" w:rsidRDefault="00D91DDA" w:rsidP="00B52707">
            <w:pPr>
              <w:rPr>
                <w:b/>
              </w:rPr>
            </w:pPr>
            <w:r w:rsidRPr="00054FAF">
              <w:rPr>
                <w:b/>
              </w:rPr>
              <w:t>Proposed URD Differentials</w:t>
            </w:r>
          </w:p>
          <w:p w:rsidR="00D91DDA" w:rsidRPr="00054FAF" w:rsidRDefault="00D91DDA" w:rsidP="00B52707">
            <w:pPr>
              <w:rPr>
                <w:b/>
              </w:rPr>
            </w:pPr>
            <w:r w:rsidRPr="00054FAF">
              <w:rPr>
                <w:b/>
              </w:rPr>
              <w:t>(A)+(B)+(C)</w:t>
            </w:r>
          </w:p>
        </w:tc>
      </w:tr>
      <w:tr w:rsidR="00D91DDA" w:rsidRPr="00054FAF" w:rsidTr="00B52707">
        <w:tc>
          <w:tcPr>
            <w:tcW w:w="1458" w:type="dxa"/>
            <w:vMerge w:val="restart"/>
            <w:vAlign w:val="center"/>
          </w:tcPr>
          <w:p w:rsidR="00D91DDA" w:rsidRPr="00054FAF" w:rsidRDefault="00D91DDA" w:rsidP="00B52707">
            <w:r w:rsidRPr="00054FAF">
              <w:t>Low Density</w:t>
            </w:r>
          </w:p>
        </w:tc>
        <w:tc>
          <w:tcPr>
            <w:tcW w:w="2340" w:type="dxa"/>
          </w:tcPr>
          <w:p w:rsidR="00D91DDA" w:rsidRPr="00054FAF" w:rsidRDefault="00D91DDA" w:rsidP="00B52707">
            <w:r w:rsidRPr="00054FAF">
              <w:t>Tier 1 – 200 or more</w:t>
            </w:r>
          </w:p>
        </w:tc>
        <w:tc>
          <w:tcPr>
            <w:tcW w:w="1400" w:type="dxa"/>
            <w:vMerge w:val="restart"/>
            <w:vAlign w:val="center"/>
          </w:tcPr>
          <w:p w:rsidR="00D91DDA" w:rsidRPr="00054FAF" w:rsidRDefault="00D91DDA" w:rsidP="00B52707">
            <w:pPr>
              <w:jc w:val="center"/>
            </w:pPr>
            <w:r w:rsidRPr="00054FAF">
              <w:t>$</w:t>
            </w:r>
            <w:r>
              <w:t>210.53</w:t>
            </w:r>
          </w:p>
        </w:tc>
        <w:tc>
          <w:tcPr>
            <w:tcW w:w="1390" w:type="dxa"/>
            <w:vAlign w:val="center"/>
          </w:tcPr>
          <w:p w:rsidR="00D91DDA" w:rsidRPr="00054FAF" w:rsidRDefault="00D91DDA" w:rsidP="00B52707">
            <w:pPr>
              <w:jc w:val="center"/>
            </w:pPr>
            <w:r>
              <w:t>(</w:t>
            </w:r>
            <w:r w:rsidRPr="00054FAF">
              <w:t>$2</w:t>
            </w:r>
            <w:r>
              <w:t>,103)</w:t>
            </w:r>
          </w:p>
        </w:tc>
        <w:tc>
          <w:tcPr>
            <w:tcW w:w="1492" w:type="dxa"/>
            <w:vAlign w:val="center"/>
          </w:tcPr>
          <w:p w:rsidR="00D91DDA" w:rsidRPr="00054FAF" w:rsidRDefault="00D91DDA" w:rsidP="00B52707">
            <w:pPr>
              <w:jc w:val="center"/>
            </w:pPr>
            <w:r w:rsidRPr="00054FAF">
              <w:t>($</w:t>
            </w:r>
            <w:r>
              <w:t>827</w:t>
            </w:r>
            <w:r w:rsidRPr="00054FAF">
              <w:t>)</w:t>
            </w:r>
          </w:p>
        </w:tc>
        <w:tc>
          <w:tcPr>
            <w:tcW w:w="1496" w:type="dxa"/>
            <w:vAlign w:val="center"/>
          </w:tcPr>
          <w:p w:rsidR="00D91DDA" w:rsidRPr="00054FAF" w:rsidRDefault="00D91DDA" w:rsidP="00B52707">
            <w:pPr>
              <w:jc w:val="center"/>
            </w:pPr>
            <w:r w:rsidRPr="00054FAF">
              <w:t>$0</w:t>
            </w:r>
          </w:p>
        </w:tc>
      </w:tr>
      <w:tr w:rsidR="00D91DDA" w:rsidRPr="00054FAF" w:rsidTr="00B52707">
        <w:tc>
          <w:tcPr>
            <w:tcW w:w="1458" w:type="dxa"/>
            <w:vMerge/>
            <w:vAlign w:val="center"/>
          </w:tcPr>
          <w:p w:rsidR="00D91DDA" w:rsidRPr="00054FAF" w:rsidRDefault="00D91DDA" w:rsidP="00B52707"/>
        </w:tc>
        <w:tc>
          <w:tcPr>
            <w:tcW w:w="2340" w:type="dxa"/>
          </w:tcPr>
          <w:p w:rsidR="00D91DDA" w:rsidRPr="00054FAF" w:rsidRDefault="00D91DDA" w:rsidP="00B52707">
            <w:r w:rsidRPr="00054FAF">
              <w:t>Tier 2 – 85 – 199</w:t>
            </w:r>
          </w:p>
        </w:tc>
        <w:tc>
          <w:tcPr>
            <w:tcW w:w="1400" w:type="dxa"/>
            <w:vMerge/>
            <w:vAlign w:val="center"/>
          </w:tcPr>
          <w:p w:rsidR="00D91DDA" w:rsidRPr="00054FAF" w:rsidRDefault="00D91DDA" w:rsidP="00B52707">
            <w:pPr>
              <w:jc w:val="center"/>
            </w:pPr>
          </w:p>
        </w:tc>
        <w:tc>
          <w:tcPr>
            <w:tcW w:w="1390" w:type="dxa"/>
            <w:vAlign w:val="center"/>
          </w:tcPr>
          <w:p w:rsidR="00D91DDA" w:rsidRPr="00054FAF" w:rsidRDefault="00D91DDA" w:rsidP="00B52707">
            <w:pPr>
              <w:jc w:val="center"/>
            </w:pPr>
            <w:r>
              <w:t>(</w:t>
            </w:r>
            <w:r w:rsidRPr="00054FAF">
              <w:t>$2</w:t>
            </w:r>
            <w:r>
              <w:t>,103)</w:t>
            </w:r>
          </w:p>
        </w:tc>
        <w:tc>
          <w:tcPr>
            <w:tcW w:w="1492" w:type="dxa"/>
            <w:vAlign w:val="center"/>
          </w:tcPr>
          <w:p w:rsidR="00D91DDA" w:rsidRPr="00054FAF" w:rsidRDefault="00D91DDA" w:rsidP="00B52707">
            <w:pPr>
              <w:jc w:val="center"/>
            </w:pPr>
            <w:r w:rsidRPr="00054FAF">
              <w:t>(</w:t>
            </w:r>
            <w:r>
              <w:t>$331</w:t>
            </w:r>
            <w:r w:rsidRPr="00054FAF">
              <w:t>)</w:t>
            </w:r>
          </w:p>
        </w:tc>
        <w:tc>
          <w:tcPr>
            <w:tcW w:w="1496" w:type="dxa"/>
            <w:vAlign w:val="center"/>
          </w:tcPr>
          <w:p w:rsidR="00D91DDA" w:rsidRPr="00054FAF" w:rsidRDefault="00D91DDA" w:rsidP="00B52707">
            <w:pPr>
              <w:jc w:val="center"/>
            </w:pPr>
            <w:r w:rsidRPr="00054FAF">
              <w:t>$</w:t>
            </w:r>
            <w:r>
              <w:t>0</w:t>
            </w:r>
          </w:p>
        </w:tc>
      </w:tr>
      <w:tr w:rsidR="00D91DDA" w:rsidRPr="00054FAF" w:rsidTr="00B52707">
        <w:tc>
          <w:tcPr>
            <w:tcW w:w="1458" w:type="dxa"/>
            <w:vMerge/>
            <w:vAlign w:val="center"/>
          </w:tcPr>
          <w:p w:rsidR="00D91DDA" w:rsidRPr="00054FAF" w:rsidRDefault="00D91DDA" w:rsidP="00B52707"/>
        </w:tc>
        <w:tc>
          <w:tcPr>
            <w:tcW w:w="2340" w:type="dxa"/>
          </w:tcPr>
          <w:p w:rsidR="00D91DDA" w:rsidRPr="00054FAF" w:rsidRDefault="00D91DDA" w:rsidP="00B52707">
            <w:r w:rsidRPr="00054FAF">
              <w:t>Tier 3 – less than 85</w:t>
            </w:r>
          </w:p>
        </w:tc>
        <w:tc>
          <w:tcPr>
            <w:tcW w:w="1400" w:type="dxa"/>
            <w:vMerge/>
            <w:vAlign w:val="center"/>
          </w:tcPr>
          <w:p w:rsidR="00D91DDA" w:rsidRPr="00054FAF" w:rsidRDefault="00D91DDA" w:rsidP="00B52707">
            <w:pPr>
              <w:jc w:val="center"/>
            </w:pPr>
          </w:p>
        </w:tc>
        <w:tc>
          <w:tcPr>
            <w:tcW w:w="1390" w:type="dxa"/>
            <w:vAlign w:val="center"/>
          </w:tcPr>
          <w:p w:rsidR="00D91DDA" w:rsidRPr="00054FAF" w:rsidRDefault="00D91DDA" w:rsidP="00B52707">
            <w:pPr>
              <w:jc w:val="center"/>
            </w:pPr>
            <w:r>
              <w:t>(</w:t>
            </w:r>
            <w:r w:rsidRPr="00054FAF">
              <w:t>$2</w:t>
            </w:r>
            <w:r>
              <w:t>,103)</w:t>
            </w:r>
          </w:p>
        </w:tc>
        <w:tc>
          <w:tcPr>
            <w:tcW w:w="1492" w:type="dxa"/>
            <w:vAlign w:val="center"/>
          </w:tcPr>
          <w:p w:rsidR="00D91DDA" w:rsidRPr="00054FAF" w:rsidRDefault="00D91DDA" w:rsidP="00B52707">
            <w:pPr>
              <w:jc w:val="center"/>
            </w:pPr>
            <w:r w:rsidRPr="00054FAF">
              <w:t>(</w:t>
            </w:r>
            <w:r>
              <w:t>$165</w:t>
            </w:r>
            <w:r w:rsidRPr="00054FAF">
              <w:t>)</w:t>
            </w:r>
          </w:p>
        </w:tc>
        <w:tc>
          <w:tcPr>
            <w:tcW w:w="1496" w:type="dxa"/>
            <w:vAlign w:val="center"/>
          </w:tcPr>
          <w:p w:rsidR="00D91DDA" w:rsidRPr="00054FAF" w:rsidRDefault="00D91DDA" w:rsidP="00B52707">
            <w:pPr>
              <w:jc w:val="center"/>
            </w:pPr>
            <w:r w:rsidRPr="00054FAF">
              <w:t>$</w:t>
            </w:r>
            <w:r>
              <w:t>0</w:t>
            </w:r>
          </w:p>
        </w:tc>
      </w:tr>
      <w:tr w:rsidR="00D91DDA" w:rsidRPr="00054FAF" w:rsidTr="00B52707">
        <w:tc>
          <w:tcPr>
            <w:tcW w:w="1458" w:type="dxa"/>
            <w:vMerge w:val="restart"/>
            <w:vAlign w:val="center"/>
          </w:tcPr>
          <w:p w:rsidR="00D91DDA" w:rsidRPr="00054FAF" w:rsidRDefault="00D91DDA" w:rsidP="00B52707">
            <w:r w:rsidRPr="00054FAF">
              <w:t>High Density</w:t>
            </w:r>
          </w:p>
        </w:tc>
        <w:tc>
          <w:tcPr>
            <w:tcW w:w="2340" w:type="dxa"/>
          </w:tcPr>
          <w:p w:rsidR="00D91DDA" w:rsidRPr="00054FAF" w:rsidRDefault="00D91DDA" w:rsidP="00B52707">
            <w:r w:rsidRPr="00054FAF">
              <w:t>Tier 1 – 300 or more</w:t>
            </w:r>
          </w:p>
        </w:tc>
        <w:tc>
          <w:tcPr>
            <w:tcW w:w="1400" w:type="dxa"/>
            <w:vMerge w:val="restart"/>
            <w:vAlign w:val="center"/>
          </w:tcPr>
          <w:p w:rsidR="00D91DDA" w:rsidRPr="00054FAF" w:rsidRDefault="00D91DDA" w:rsidP="00B52707">
            <w:pPr>
              <w:jc w:val="center"/>
            </w:pPr>
            <w:r>
              <w:t>$0.00</w:t>
            </w:r>
          </w:p>
        </w:tc>
        <w:tc>
          <w:tcPr>
            <w:tcW w:w="1390" w:type="dxa"/>
            <w:vAlign w:val="center"/>
          </w:tcPr>
          <w:p w:rsidR="00D91DDA" w:rsidRPr="00054FAF" w:rsidRDefault="00D91DDA" w:rsidP="00B52707">
            <w:pPr>
              <w:jc w:val="center"/>
            </w:pPr>
            <w:r>
              <w:t>(</w:t>
            </w:r>
            <w:r w:rsidRPr="00054FAF">
              <w:t>$</w:t>
            </w:r>
            <w:r>
              <w:t>1,796)</w:t>
            </w:r>
          </w:p>
        </w:tc>
        <w:tc>
          <w:tcPr>
            <w:tcW w:w="1492" w:type="dxa"/>
            <w:vAlign w:val="center"/>
          </w:tcPr>
          <w:p w:rsidR="00D91DDA" w:rsidRPr="00054FAF" w:rsidRDefault="00D91DDA" w:rsidP="00B52707">
            <w:pPr>
              <w:jc w:val="center"/>
            </w:pPr>
            <w:r w:rsidRPr="00054FAF">
              <w:t>($</w:t>
            </w:r>
            <w:r>
              <w:t>827</w:t>
            </w:r>
            <w:r w:rsidRPr="00054FAF">
              <w:t>)</w:t>
            </w:r>
          </w:p>
        </w:tc>
        <w:tc>
          <w:tcPr>
            <w:tcW w:w="1496" w:type="dxa"/>
            <w:vAlign w:val="center"/>
          </w:tcPr>
          <w:p w:rsidR="00D91DDA" w:rsidRPr="00054FAF" w:rsidRDefault="00D91DDA" w:rsidP="00B52707">
            <w:pPr>
              <w:jc w:val="center"/>
            </w:pPr>
            <w:r w:rsidRPr="00054FAF">
              <w:t>$0</w:t>
            </w:r>
          </w:p>
        </w:tc>
      </w:tr>
      <w:tr w:rsidR="00D91DDA" w:rsidRPr="00054FAF" w:rsidTr="00B52707">
        <w:tc>
          <w:tcPr>
            <w:tcW w:w="1458" w:type="dxa"/>
            <w:vMerge/>
            <w:vAlign w:val="center"/>
          </w:tcPr>
          <w:p w:rsidR="00D91DDA" w:rsidRPr="00054FAF" w:rsidRDefault="00D91DDA" w:rsidP="00B52707">
            <w:pPr>
              <w:jc w:val="center"/>
            </w:pPr>
          </w:p>
        </w:tc>
        <w:tc>
          <w:tcPr>
            <w:tcW w:w="2340" w:type="dxa"/>
          </w:tcPr>
          <w:p w:rsidR="00D91DDA" w:rsidRPr="00054FAF" w:rsidRDefault="00D91DDA" w:rsidP="00B52707">
            <w:r w:rsidRPr="00054FAF">
              <w:t>Tier 2 – 100 – 299</w:t>
            </w:r>
          </w:p>
        </w:tc>
        <w:tc>
          <w:tcPr>
            <w:tcW w:w="1400" w:type="dxa"/>
            <w:vMerge/>
          </w:tcPr>
          <w:p w:rsidR="00D91DDA" w:rsidRPr="00054FAF" w:rsidRDefault="00D91DDA" w:rsidP="00B52707">
            <w:pPr>
              <w:jc w:val="center"/>
            </w:pPr>
          </w:p>
        </w:tc>
        <w:tc>
          <w:tcPr>
            <w:tcW w:w="1390" w:type="dxa"/>
            <w:vAlign w:val="center"/>
          </w:tcPr>
          <w:p w:rsidR="00D91DDA" w:rsidRPr="00054FAF" w:rsidRDefault="00D91DDA" w:rsidP="00B52707">
            <w:pPr>
              <w:jc w:val="center"/>
            </w:pPr>
            <w:r>
              <w:t>(</w:t>
            </w:r>
            <w:r w:rsidRPr="00054FAF">
              <w:t>$</w:t>
            </w:r>
            <w:r>
              <w:t>1,796)</w:t>
            </w:r>
          </w:p>
        </w:tc>
        <w:tc>
          <w:tcPr>
            <w:tcW w:w="1492" w:type="dxa"/>
            <w:vAlign w:val="center"/>
          </w:tcPr>
          <w:p w:rsidR="00D91DDA" w:rsidRPr="00054FAF" w:rsidRDefault="00D91DDA" w:rsidP="00B52707">
            <w:pPr>
              <w:jc w:val="center"/>
            </w:pPr>
            <w:r w:rsidRPr="00054FAF">
              <w:t>(</w:t>
            </w:r>
            <w:r>
              <w:t>$331</w:t>
            </w:r>
            <w:r w:rsidRPr="00054FAF">
              <w:t>)</w:t>
            </w:r>
          </w:p>
        </w:tc>
        <w:tc>
          <w:tcPr>
            <w:tcW w:w="1496" w:type="dxa"/>
            <w:vAlign w:val="center"/>
          </w:tcPr>
          <w:p w:rsidR="00D91DDA" w:rsidRPr="00054FAF" w:rsidRDefault="00D91DDA" w:rsidP="00B52707">
            <w:pPr>
              <w:jc w:val="center"/>
            </w:pPr>
            <w:r w:rsidRPr="00054FAF">
              <w:t>$0</w:t>
            </w:r>
          </w:p>
        </w:tc>
      </w:tr>
      <w:tr w:rsidR="00D91DDA" w:rsidRPr="00054FAF" w:rsidTr="00B52707">
        <w:tc>
          <w:tcPr>
            <w:tcW w:w="1458" w:type="dxa"/>
            <w:vMerge/>
            <w:vAlign w:val="center"/>
          </w:tcPr>
          <w:p w:rsidR="00D91DDA" w:rsidRPr="00054FAF" w:rsidRDefault="00D91DDA" w:rsidP="00B52707">
            <w:pPr>
              <w:jc w:val="center"/>
            </w:pPr>
          </w:p>
        </w:tc>
        <w:tc>
          <w:tcPr>
            <w:tcW w:w="2340" w:type="dxa"/>
          </w:tcPr>
          <w:p w:rsidR="00D91DDA" w:rsidRPr="00054FAF" w:rsidRDefault="00D91DDA" w:rsidP="00B52707">
            <w:r w:rsidRPr="00054FAF">
              <w:t>Tier 3 – less than 100</w:t>
            </w:r>
          </w:p>
        </w:tc>
        <w:tc>
          <w:tcPr>
            <w:tcW w:w="1400" w:type="dxa"/>
            <w:vMerge/>
          </w:tcPr>
          <w:p w:rsidR="00D91DDA" w:rsidRPr="00054FAF" w:rsidRDefault="00D91DDA" w:rsidP="00B52707">
            <w:pPr>
              <w:jc w:val="center"/>
            </w:pPr>
          </w:p>
        </w:tc>
        <w:tc>
          <w:tcPr>
            <w:tcW w:w="1390" w:type="dxa"/>
            <w:vAlign w:val="center"/>
          </w:tcPr>
          <w:p w:rsidR="00D91DDA" w:rsidRPr="00054FAF" w:rsidRDefault="00D91DDA" w:rsidP="00B52707">
            <w:pPr>
              <w:jc w:val="center"/>
            </w:pPr>
            <w:r>
              <w:t>(</w:t>
            </w:r>
            <w:r w:rsidRPr="00054FAF">
              <w:t>$</w:t>
            </w:r>
            <w:r>
              <w:t>1,796)</w:t>
            </w:r>
          </w:p>
        </w:tc>
        <w:tc>
          <w:tcPr>
            <w:tcW w:w="1492" w:type="dxa"/>
            <w:vAlign w:val="center"/>
          </w:tcPr>
          <w:p w:rsidR="00D91DDA" w:rsidRPr="00054FAF" w:rsidRDefault="00D91DDA" w:rsidP="00B52707">
            <w:pPr>
              <w:jc w:val="center"/>
            </w:pPr>
            <w:r w:rsidRPr="00054FAF">
              <w:t>(</w:t>
            </w:r>
            <w:r>
              <w:t>$165</w:t>
            </w:r>
            <w:r w:rsidRPr="00054FAF">
              <w:t>)</w:t>
            </w:r>
          </w:p>
        </w:tc>
        <w:tc>
          <w:tcPr>
            <w:tcW w:w="1496" w:type="dxa"/>
            <w:vAlign w:val="center"/>
          </w:tcPr>
          <w:p w:rsidR="00D91DDA" w:rsidRPr="00054FAF" w:rsidRDefault="00D91DDA" w:rsidP="00B52707">
            <w:pPr>
              <w:jc w:val="center"/>
            </w:pPr>
            <w:r>
              <w:t>$0</w:t>
            </w:r>
          </w:p>
        </w:tc>
      </w:tr>
      <w:tr w:rsidR="00D91DDA" w:rsidRPr="00054FAF" w:rsidTr="00B52707">
        <w:tc>
          <w:tcPr>
            <w:tcW w:w="1458" w:type="dxa"/>
            <w:vMerge w:val="restart"/>
            <w:vAlign w:val="center"/>
          </w:tcPr>
          <w:p w:rsidR="00D91DDA" w:rsidRPr="00054FAF" w:rsidRDefault="00D91DDA" w:rsidP="00B52707">
            <w:r w:rsidRPr="00054FAF">
              <w:t>Ganged Meter</w:t>
            </w:r>
          </w:p>
        </w:tc>
        <w:tc>
          <w:tcPr>
            <w:tcW w:w="2340" w:type="dxa"/>
          </w:tcPr>
          <w:p w:rsidR="00D91DDA" w:rsidRPr="00054FAF" w:rsidRDefault="00D91DDA" w:rsidP="00B52707">
            <w:r w:rsidRPr="00054FAF">
              <w:t>Tier 1 – 300 or more</w:t>
            </w:r>
          </w:p>
        </w:tc>
        <w:tc>
          <w:tcPr>
            <w:tcW w:w="1400" w:type="dxa"/>
            <w:vMerge w:val="restart"/>
            <w:vAlign w:val="center"/>
          </w:tcPr>
          <w:p w:rsidR="00D91DDA" w:rsidRPr="00054FAF" w:rsidRDefault="00D91DDA" w:rsidP="00B52707">
            <w:pPr>
              <w:jc w:val="center"/>
            </w:pPr>
            <w:r w:rsidRPr="00054FAF">
              <w:t>$</w:t>
            </w:r>
            <w:r>
              <w:t>0.00</w:t>
            </w:r>
          </w:p>
        </w:tc>
        <w:tc>
          <w:tcPr>
            <w:tcW w:w="1390" w:type="dxa"/>
          </w:tcPr>
          <w:p w:rsidR="00D91DDA" w:rsidRPr="00054FAF" w:rsidRDefault="00D91DDA" w:rsidP="00B52707">
            <w:pPr>
              <w:jc w:val="center"/>
            </w:pPr>
            <w:r>
              <w:t>($1,796)</w:t>
            </w:r>
          </w:p>
        </w:tc>
        <w:tc>
          <w:tcPr>
            <w:tcW w:w="1492" w:type="dxa"/>
          </w:tcPr>
          <w:p w:rsidR="00D91DDA" w:rsidRPr="00054FAF" w:rsidRDefault="00D91DDA" w:rsidP="00B52707">
            <w:pPr>
              <w:jc w:val="center"/>
            </w:pPr>
            <w:r w:rsidRPr="00054FAF">
              <w:t>($</w:t>
            </w:r>
            <w:r>
              <w:t>827</w:t>
            </w:r>
            <w:r w:rsidRPr="00054FAF">
              <w:t>)</w:t>
            </w:r>
          </w:p>
        </w:tc>
        <w:tc>
          <w:tcPr>
            <w:tcW w:w="1496" w:type="dxa"/>
          </w:tcPr>
          <w:p w:rsidR="00D91DDA" w:rsidRPr="00054FAF" w:rsidRDefault="00D91DDA" w:rsidP="00B52707">
            <w:pPr>
              <w:jc w:val="center"/>
            </w:pPr>
            <w:r w:rsidRPr="00054FAF">
              <w:t>$0</w:t>
            </w:r>
          </w:p>
        </w:tc>
      </w:tr>
      <w:tr w:rsidR="00D91DDA" w:rsidRPr="00054FAF" w:rsidTr="00B52707">
        <w:tc>
          <w:tcPr>
            <w:tcW w:w="1458" w:type="dxa"/>
            <w:vMerge/>
          </w:tcPr>
          <w:p w:rsidR="00D91DDA" w:rsidRPr="00054FAF" w:rsidRDefault="00D91DDA" w:rsidP="00B52707"/>
        </w:tc>
        <w:tc>
          <w:tcPr>
            <w:tcW w:w="2340" w:type="dxa"/>
          </w:tcPr>
          <w:p w:rsidR="00D91DDA" w:rsidRPr="00054FAF" w:rsidRDefault="00D91DDA" w:rsidP="00B52707">
            <w:r w:rsidRPr="00054FAF">
              <w:t>Tier 2 – 100 – 299</w:t>
            </w:r>
          </w:p>
        </w:tc>
        <w:tc>
          <w:tcPr>
            <w:tcW w:w="1400" w:type="dxa"/>
            <w:vMerge/>
          </w:tcPr>
          <w:p w:rsidR="00D91DDA" w:rsidRPr="00054FAF" w:rsidRDefault="00D91DDA" w:rsidP="00B52707">
            <w:pPr>
              <w:jc w:val="center"/>
            </w:pPr>
          </w:p>
        </w:tc>
        <w:tc>
          <w:tcPr>
            <w:tcW w:w="1390" w:type="dxa"/>
          </w:tcPr>
          <w:p w:rsidR="00D91DDA" w:rsidRPr="00054FAF" w:rsidRDefault="00D91DDA" w:rsidP="00B52707">
            <w:pPr>
              <w:jc w:val="center"/>
            </w:pPr>
            <w:r>
              <w:t>($1,796)</w:t>
            </w:r>
          </w:p>
        </w:tc>
        <w:tc>
          <w:tcPr>
            <w:tcW w:w="1492" w:type="dxa"/>
          </w:tcPr>
          <w:p w:rsidR="00D91DDA" w:rsidRPr="00054FAF" w:rsidRDefault="00D91DDA" w:rsidP="00B52707">
            <w:pPr>
              <w:jc w:val="center"/>
            </w:pPr>
            <w:r w:rsidRPr="00054FAF">
              <w:t>(</w:t>
            </w:r>
            <w:r>
              <w:t>$331</w:t>
            </w:r>
            <w:r w:rsidRPr="00054FAF">
              <w:t>)</w:t>
            </w:r>
          </w:p>
        </w:tc>
        <w:tc>
          <w:tcPr>
            <w:tcW w:w="1496" w:type="dxa"/>
          </w:tcPr>
          <w:p w:rsidR="00D91DDA" w:rsidRPr="00054FAF" w:rsidRDefault="00D91DDA" w:rsidP="00B52707">
            <w:pPr>
              <w:jc w:val="center"/>
            </w:pPr>
            <w:r w:rsidRPr="00054FAF">
              <w:t>$0</w:t>
            </w:r>
          </w:p>
        </w:tc>
      </w:tr>
      <w:tr w:rsidR="00D91DDA" w:rsidRPr="00054FAF" w:rsidTr="00B52707">
        <w:tc>
          <w:tcPr>
            <w:tcW w:w="1458" w:type="dxa"/>
            <w:vMerge/>
          </w:tcPr>
          <w:p w:rsidR="00D91DDA" w:rsidRPr="00054FAF" w:rsidRDefault="00D91DDA" w:rsidP="00B52707"/>
        </w:tc>
        <w:tc>
          <w:tcPr>
            <w:tcW w:w="2340" w:type="dxa"/>
          </w:tcPr>
          <w:p w:rsidR="00D91DDA" w:rsidRPr="00054FAF" w:rsidRDefault="00D91DDA" w:rsidP="00B52707">
            <w:r w:rsidRPr="00054FAF">
              <w:t>Tier 3 – less than 100</w:t>
            </w:r>
          </w:p>
        </w:tc>
        <w:tc>
          <w:tcPr>
            <w:tcW w:w="1400" w:type="dxa"/>
            <w:vMerge/>
          </w:tcPr>
          <w:p w:rsidR="00D91DDA" w:rsidRPr="00054FAF" w:rsidRDefault="00D91DDA" w:rsidP="00B52707">
            <w:pPr>
              <w:jc w:val="center"/>
            </w:pPr>
          </w:p>
        </w:tc>
        <w:tc>
          <w:tcPr>
            <w:tcW w:w="1390" w:type="dxa"/>
          </w:tcPr>
          <w:p w:rsidR="00D91DDA" w:rsidRPr="00054FAF" w:rsidRDefault="00D91DDA" w:rsidP="00B52707">
            <w:pPr>
              <w:jc w:val="center"/>
            </w:pPr>
            <w:r>
              <w:t>($1,796)</w:t>
            </w:r>
          </w:p>
        </w:tc>
        <w:tc>
          <w:tcPr>
            <w:tcW w:w="1492" w:type="dxa"/>
          </w:tcPr>
          <w:p w:rsidR="00D91DDA" w:rsidRPr="00054FAF" w:rsidRDefault="00D91DDA" w:rsidP="00B52707">
            <w:pPr>
              <w:jc w:val="center"/>
            </w:pPr>
            <w:r w:rsidRPr="00054FAF">
              <w:t>(</w:t>
            </w:r>
            <w:r>
              <w:t>$165</w:t>
            </w:r>
            <w:r w:rsidRPr="00054FAF">
              <w:t>)</w:t>
            </w:r>
          </w:p>
        </w:tc>
        <w:tc>
          <w:tcPr>
            <w:tcW w:w="1496" w:type="dxa"/>
          </w:tcPr>
          <w:p w:rsidR="00D91DDA" w:rsidRPr="00054FAF" w:rsidRDefault="00D91DDA" w:rsidP="00B52707">
            <w:pPr>
              <w:jc w:val="center"/>
            </w:pPr>
            <w:r w:rsidRPr="00054FAF">
              <w:t>$0</w:t>
            </w:r>
          </w:p>
        </w:tc>
      </w:tr>
    </w:tbl>
    <w:p w:rsidR="001378E5" w:rsidRDefault="001378E5" w:rsidP="001378E5">
      <w:pPr>
        <w:pStyle w:val="TableSource"/>
      </w:pPr>
      <w:r>
        <w:t>Source: FPL’s 2019 Filing</w:t>
      </w:r>
    </w:p>
    <w:p w:rsidR="00104E7F" w:rsidRDefault="00104E7F" w:rsidP="00104E7F">
      <w:pPr>
        <w:pStyle w:val="First-LevelSubheading"/>
      </w:pPr>
      <w:r>
        <w:t>Conclusion</w:t>
      </w:r>
    </w:p>
    <w:p w:rsidR="00104E7F" w:rsidRDefault="008D1513" w:rsidP="00104E7F">
      <w:pPr>
        <w:pStyle w:val="BodyText"/>
      </w:pPr>
      <w:r>
        <w:t xml:space="preserve">Staff has reviewed FPL’s proposed URD tariffs and associated charges, its accompanying work papers, and its responses to staff’s data requests. Staff believes the proposed URD tariffs and </w:t>
      </w:r>
      <w:proofErr w:type="gramStart"/>
      <w:r w:rsidR="00125360">
        <w:t>associated charges are reasonable and recommends</w:t>
      </w:r>
      <w:proofErr w:type="gramEnd"/>
      <w:r>
        <w:t xml:space="preserve"> approval. </w:t>
      </w:r>
      <w:r w:rsidRPr="003D1140">
        <w:t>FPL requested that the tariffs be made effective 30 days after the Commission vote.</w:t>
      </w:r>
      <w:r>
        <w:t xml:space="preserve"> Staff recommends that the Commission approve FPL’s proposed URD tariffs and associated charges, effective </w:t>
      </w:r>
      <w:r w:rsidR="006B3418">
        <w:t>September 5</w:t>
      </w:r>
      <w:r w:rsidR="00ED2516" w:rsidRPr="004F65D4">
        <w:t>, 2019</w:t>
      </w:r>
      <w:r w:rsidR="00ED2516">
        <w:t>.</w:t>
      </w:r>
    </w:p>
    <w:p w:rsidR="00104E7F" w:rsidRDefault="00104E7F" w:rsidP="00E275D8">
      <w:pPr>
        <w:pStyle w:val="BodyText"/>
      </w:pPr>
    </w:p>
    <w:p w:rsidR="008D1513" w:rsidRDefault="008D1513">
      <w:pPr>
        <w:pStyle w:val="IssueHeading"/>
        <w:rPr>
          <w:vanish/>
          <w:specVanish/>
        </w:rPr>
      </w:pPr>
      <w:r w:rsidRPr="004C3641">
        <w:rPr>
          <w:b w:val="0"/>
          <w:i w:val="0"/>
        </w:rPr>
        <w:br w:type="page"/>
      </w:r>
      <w:r w:rsidRPr="004C3641">
        <w:lastRenderedPageBreak/>
        <w:t xml:space="preserve">Issue </w:t>
      </w:r>
      <w:fldSimple w:instr=" SEQ Issue \* MERGEFORMAT ">
        <w:r w:rsidR="00CF10E2">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CF10E2">
        <w:rPr>
          <w:noProof/>
        </w:rPr>
        <w:instrText>2</w:instrText>
      </w:r>
      <w:r>
        <w:fldChar w:fldCharType="end"/>
      </w:r>
      <w:r>
        <w:tab/>
        <w:instrText xml:space="preserve">(Doherty)" \l 1 </w:instrText>
      </w:r>
      <w:r>
        <w:fldChar w:fldCharType="end"/>
      </w:r>
      <w:r>
        <w:t> </w:t>
      </w:r>
    </w:p>
    <w:p w:rsidR="008D1513" w:rsidRDefault="008D1513">
      <w:pPr>
        <w:pStyle w:val="BodyText"/>
      </w:pPr>
      <w:r>
        <w:t> Should the Commission approve FPL's proposed UCD tariffs and associated charges?</w:t>
      </w:r>
    </w:p>
    <w:p w:rsidR="008D1513" w:rsidRPr="004C3641" w:rsidRDefault="008D1513">
      <w:pPr>
        <w:pStyle w:val="IssueSubsectionHeading"/>
        <w:rPr>
          <w:vanish/>
          <w:specVanish/>
        </w:rPr>
      </w:pPr>
      <w:r w:rsidRPr="004C3641">
        <w:t>Recommendation: </w:t>
      </w:r>
    </w:p>
    <w:p w:rsidR="008D1513" w:rsidRDefault="008D1513">
      <w:pPr>
        <w:pStyle w:val="BodyText"/>
      </w:pPr>
      <w:r>
        <w:t> </w:t>
      </w:r>
      <w:r w:rsidR="00154883">
        <w:t xml:space="preserve">Yes. The Commission should approve FPL’s proposed UCD tariffs and associated charges </w:t>
      </w:r>
      <w:r w:rsidR="00917659">
        <w:t>as shown in Attachment B</w:t>
      </w:r>
      <w:r w:rsidR="00154883">
        <w:t xml:space="preserve">, effective </w:t>
      </w:r>
      <w:r w:rsidR="00FA3E19">
        <w:t>September 5, 2019</w:t>
      </w:r>
      <w:r w:rsidR="00154883" w:rsidRPr="004F65D4">
        <w:t>.</w:t>
      </w:r>
      <w:r>
        <w:t xml:space="preserve"> (Doherty)</w:t>
      </w:r>
    </w:p>
    <w:p w:rsidR="008D1513" w:rsidRPr="004C3641" w:rsidRDefault="008D1513">
      <w:pPr>
        <w:pStyle w:val="IssueSubsectionHeading"/>
        <w:rPr>
          <w:vanish/>
          <w:specVanish/>
        </w:rPr>
      </w:pPr>
      <w:r w:rsidRPr="004C3641">
        <w:t>Staff Analysis: </w:t>
      </w:r>
    </w:p>
    <w:p w:rsidR="005913BA" w:rsidRDefault="008D1513">
      <w:pPr>
        <w:pStyle w:val="BodyText"/>
      </w:pPr>
      <w:r>
        <w:t> </w:t>
      </w:r>
      <w:r w:rsidR="00154883">
        <w:t>Utilities are not required to file UCD tariffs</w:t>
      </w:r>
      <w:r w:rsidR="00A91DAD">
        <w:t xml:space="preserve"> pursuant to</w:t>
      </w:r>
      <w:r w:rsidR="00154883">
        <w:t xml:space="preserve"> Rule 25-6.078, F.A.C.; however, </w:t>
      </w:r>
      <w:r w:rsidR="001B52E1">
        <w:t xml:space="preserve">as in prior URD petitions, </w:t>
      </w:r>
      <w:r w:rsidR="00154883">
        <w:t>FPL include</w:t>
      </w:r>
      <w:r w:rsidR="001B52E1">
        <w:t>d</w:t>
      </w:r>
      <w:r w:rsidR="00154883">
        <w:t xml:space="preserve"> proposed UCD tariffs in </w:t>
      </w:r>
      <w:r w:rsidR="00622BF6">
        <w:t>its</w:t>
      </w:r>
      <w:r w:rsidR="00154883">
        <w:t xml:space="preserve"> petition.</w:t>
      </w:r>
      <w:r w:rsidR="009D06C0">
        <w:t xml:space="preserve"> The UCD tariffs apply to small commercial or industrial customers </w:t>
      </w:r>
      <w:r w:rsidR="005913BA">
        <w:t xml:space="preserve">(applicant) </w:t>
      </w:r>
      <w:r w:rsidR="009D06C0">
        <w:t>that request the installation of underground electric distribution facilities for a new building.</w:t>
      </w:r>
      <w:r w:rsidR="00154883">
        <w:t xml:space="preserve"> </w:t>
      </w:r>
      <w:r w:rsidR="005913BA">
        <w:t>T</w:t>
      </w:r>
      <w:r w:rsidR="009D06C0">
        <w:t>he requested underground distribution facilities</w:t>
      </w:r>
      <w:r w:rsidR="005913BA">
        <w:t xml:space="preserve"> consist of underground service conductors</w:t>
      </w:r>
      <w:r w:rsidR="000F3755">
        <w:t>, placed in conduit,</w:t>
      </w:r>
      <w:r w:rsidR="005913BA">
        <w:t xml:space="preserve"> and associated equipment </w:t>
      </w:r>
      <w:r w:rsidR="007A14D0">
        <w:t xml:space="preserve">that </w:t>
      </w:r>
      <w:r w:rsidR="00F1317C">
        <w:t>is</w:t>
      </w:r>
      <w:r w:rsidR="007A14D0">
        <w:t xml:space="preserve"> installed </w:t>
      </w:r>
      <w:r w:rsidR="005913BA">
        <w:t xml:space="preserve">from </w:t>
      </w:r>
      <w:r w:rsidR="00F1317C">
        <w:t xml:space="preserve">overhead feeder mains (or overhead termination point) </w:t>
      </w:r>
      <w:r w:rsidR="005913BA">
        <w:t>to the designed point of delivery (where the utility’s wires are connected to those of the customer).</w:t>
      </w:r>
      <w:r w:rsidR="009D06C0">
        <w:t xml:space="preserve"> </w:t>
      </w:r>
    </w:p>
    <w:p w:rsidR="00DB1FDA" w:rsidRDefault="00154883">
      <w:pPr>
        <w:pStyle w:val="BodyText"/>
      </w:pPr>
      <w:r>
        <w:t xml:space="preserve">The UCD charges represent </w:t>
      </w:r>
      <w:r w:rsidR="00A91DAD">
        <w:t>the differential</w:t>
      </w:r>
      <w:r>
        <w:t xml:space="preserve"> costs </w:t>
      </w:r>
      <w:r w:rsidR="00A91DAD">
        <w:t>for underground commercial facilities and their equivalent overhead design</w:t>
      </w:r>
      <w:r>
        <w:t xml:space="preserve">. </w:t>
      </w:r>
      <w:r w:rsidR="00A91DAD">
        <w:t xml:space="preserve">The calculations provided by FPL in its petition employ FPL’s standard </w:t>
      </w:r>
      <w:r w:rsidR="000F3755">
        <w:t xml:space="preserve">engineering design criteria and </w:t>
      </w:r>
      <w:r w:rsidR="00DB1FDA">
        <w:t xml:space="preserve">are based on actual 2018 </w:t>
      </w:r>
      <w:r w:rsidR="0023592D">
        <w:t xml:space="preserve">labor and material </w:t>
      </w:r>
      <w:r w:rsidR="00DB1FDA">
        <w:t>costs</w:t>
      </w:r>
      <w:r w:rsidR="000F3755">
        <w:t>.</w:t>
      </w:r>
      <w:r w:rsidR="0023592D">
        <w:t xml:space="preserve"> </w:t>
      </w:r>
      <w:r w:rsidR="000F3755">
        <w:t>U</w:t>
      </w:r>
      <w:r w:rsidR="0023592D">
        <w:t xml:space="preserve">nlike the URD </w:t>
      </w:r>
      <w:r w:rsidR="000F3755">
        <w:t>calculations</w:t>
      </w:r>
      <w:r w:rsidR="0023592D">
        <w:t xml:space="preserve">, </w:t>
      </w:r>
      <w:r w:rsidR="000F3755">
        <w:t>the UCD calculations do</w:t>
      </w:r>
      <w:r w:rsidR="0023592D">
        <w:t xml:space="preserve"> not include long term operational and avoided storm restoration costs</w:t>
      </w:r>
      <w:r w:rsidR="00DB1FDA">
        <w:t xml:space="preserve">. </w:t>
      </w:r>
      <w:r w:rsidR="00F1317C">
        <w:t>In addition, the UCD tariffs provide credits that apply if the applicant provides trenching, backfilling, or installs FPL provided conduit or a concrete pad for a pad-mounted transformer.</w:t>
      </w:r>
    </w:p>
    <w:p w:rsidR="00F1317C" w:rsidRDefault="00F1317C" w:rsidP="00F1317C">
      <w:pPr>
        <w:pStyle w:val="BodyText"/>
      </w:pPr>
      <w:r>
        <w:t>FPL explained that including cost-based UCD charges in its tariff provides clarity to customers and FPL’s field employees regarding the costs for commercial underground distribution facilities.</w:t>
      </w:r>
    </w:p>
    <w:p w:rsidR="00154883" w:rsidRDefault="001B52E1">
      <w:pPr>
        <w:pStyle w:val="BodyText"/>
      </w:pPr>
      <w:r>
        <w:t>Staff reviewed FPL’s supporting documentation for the UCD charges and believes the charges are cost based</w:t>
      </w:r>
      <w:r w:rsidR="00DB1FDA">
        <w:t xml:space="preserve"> and reasonable</w:t>
      </w:r>
      <w:r>
        <w:t xml:space="preserve">. </w:t>
      </w:r>
      <w:r w:rsidR="00154883" w:rsidRPr="003D1140">
        <w:t>FPL requested that the tariffs be made effective 30 days after the Commission vote</w:t>
      </w:r>
      <w:r w:rsidR="00154883">
        <w:t xml:space="preserve">. Staff recommends that the Commission approve FPL’s proposed UCD tariffs and </w:t>
      </w:r>
      <w:r w:rsidR="00053F1C">
        <w:t>associated</w:t>
      </w:r>
      <w:r w:rsidR="00154883">
        <w:t xml:space="preserve"> charges</w:t>
      </w:r>
      <w:r w:rsidR="00053F1C">
        <w:t>, e</w:t>
      </w:r>
      <w:r w:rsidR="00154883">
        <w:t xml:space="preserve">ffective </w:t>
      </w:r>
      <w:r w:rsidR="006B3418">
        <w:t>September 5</w:t>
      </w:r>
      <w:r w:rsidR="00ED2516" w:rsidRPr="004F65D4">
        <w:t>, 2019</w:t>
      </w:r>
      <w:r w:rsidR="00154883" w:rsidRPr="004F65D4">
        <w:t>.</w:t>
      </w:r>
    </w:p>
    <w:p w:rsidR="00154883" w:rsidRDefault="00154883">
      <w:pPr>
        <w:pStyle w:val="BodyText"/>
      </w:pPr>
    </w:p>
    <w:p w:rsidR="00F93112" w:rsidRDefault="00F93112">
      <w:pPr>
        <w:pStyle w:val="IssueHeading"/>
        <w:rPr>
          <w:vanish/>
          <w:specVanish/>
        </w:rPr>
      </w:pPr>
      <w:r w:rsidRPr="004C3641">
        <w:rPr>
          <w:b w:val="0"/>
          <w:i w:val="0"/>
        </w:rPr>
        <w:br w:type="page"/>
      </w:r>
      <w:r w:rsidRPr="004C3641">
        <w:lastRenderedPageBreak/>
        <w:t xml:space="preserve">Issue </w:t>
      </w:r>
      <w:fldSimple w:instr=" SEQ Issue \* MERGEFORMAT ">
        <w:r w:rsidR="00CF10E2">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CF10E2">
        <w:rPr>
          <w:noProof/>
        </w:rPr>
        <w:instrText>3</w:instrText>
      </w:r>
      <w:r>
        <w:fldChar w:fldCharType="end"/>
      </w:r>
      <w:r>
        <w:tab/>
        <w:instrText xml:space="preserve">(Trierweiler)" \l 1 </w:instrText>
      </w:r>
      <w:r>
        <w:fldChar w:fldCharType="end"/>
      </w:r>
      <w:r>
        <w:t> </w:t>
      </w:r>
    </w:p>
    <w:p w:rsidR="00F93112" w:rsidRDefault="00F93112">
      <w:pPr>
        <w:pStyle w:val="BodyText"/>
      </w:pPr>
      <w:r>
        <w:t> Should this docket be closed?</w:t>
      </w:r>
    </w:p>
    <w:p w:rsidR="00F93112" w:rsidRPr="004C3641" w:rsidRDefault="00F93112">
      <w:pPr>
        <w:pStyle w:val="IssueSubsectionHeading"/>
        <w:rPr>
          <w:vanish/>
          <w:specVanish/>
        </w:rPr>
      </w:pPr>
      <w:r w:rsidRPr="004C3641">
        <w:t>Recommendation: </w:t>
      </w:r>
    </w:p>
    <w:p w:rsidR="00F93112" w:rsidRDefault="00F93112">
      <w:pPr>
        <w:pStyle w:val="BodyText"/>
      </w:pPr>
      <w:r>
        <w:t> If a protest is filed within 21 days of the issuance of the order, this tariff should remain in effect, with any revenues held subject to refund, pending resolution of the protest. If no timely protest is filed, this docket should be closed upon the issuance of a consummating order. (Trierweiler)</w:t>
      </w:r>
    </w:p>
    <w:p w:rsidR="00F93112" w:rsidRPr="004C3641" w:rsidRDefault="00F93112">
      <w:pPr>
        <w:pStyle w:val="IssueSubsectionHeading"/>
        <w:rPr>
          <w:vanish/>
          <w:specVanish/>
        </w:rPr>
      </w:pPr>
      <w:r w:rsidRPr="004C3641">
        <w:t>Staff Analysis: </w:t>
      </w:r>
    </w:p>
    <w:p w:rsidR="00F93112" w:rsidRDefault="00F93112">
      <w:pPr>
        <w:pStyle w:val="BodyText"/>
      </w:pPr>
      <w:r>
        <w:t xml:space="preserve"> If a protest is filed within 21 days of the issuance of the order, this tariff should remain in effect, with any revenues held subject to refund, pending resolution of the protest. If no timely protest is filed, this docket should be closed upon the issuance of a consummating order. </w:t>
      </w:r>
    </w:p>
    <w:p w:rsidR="004F65D4" w:rsidRDefault="004F65D4" w:rsidP="00E275D8">
      <w:pPr>
        <w:pStyle w:val="BodyText"/>
        <w:sectPr w:rsidR="004F65D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F93112" w:rsidRDefault="00F93112" w:rsidP="00E275D8">
      <w:pPr>
        <w:pStyle w:val="BodyText"/>
      </w:pPr>
    </w:p>
    <w:p w:rsidR="004F65D4" w:rsidRDefault="004F65D4"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4F65D4" w:rsidRDefault="004F65D4" w:rsidP="00E275D8">
      <w:pPr>
        <w:pStyle w:val="BodyText"/>
      </w:pP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4F65D4" w:rsidRDefault="004F65D4" w:rsidP="00E275D8">
      <w:pPr>
        <w:pStyle w:val="BodyText"/>
      </w:pP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4F65D4" w:rsidRDefault="004F65D4" w:rsidP="00E275D8">
      <w:pPr>
        <w:pStyle w:val="BodyText"/>
      </w:pP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4F65D4" w:rsidRDefault="004F65D4" w:rsidP="00E275D8">
      <w:pPr>
        <w:pStyle w:val="BodyText"/>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4F65D4" w:rsidRDefault="004F65D4" w:rsidP="00E275D8">
      <w:pPr>
        <w:pStyle w:val="BodyText"/>
      </w:pP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F65D4" w:rsidRDefault="004F65D4" w:rsidP="00E275D8">
      <w:pPr>
        <w:pStyle w:val="BodyText"/>
      </w:pPr>
    </w:p>
    <w:p w:rsidR="006B6BDA" w:rsidRDefault="004F65D4" w:rsidP="00E275D8">
      <w:pPr>
        <w:pStyle w:val="BodyText"/>
        <w:sectPr w:rsidR="006B6BDA" w:rsidSect="0068481F">
          <w:headerReference w:type="default" r:id="rId21"/>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heet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B6BDA" w:rsidRDefault="006B6BDA" w:rsidP="00E275D8">
      <w:pPr>
        <w:pStyle w:val="BodyText"/>
      </w:pPr>
    </w:p>
    <w:p w:rsidR="006B6BDA" w:rsidRDefault="006B6BDA" w:rsidP="00E275D8">
      <w:pPr>
        <w:pStyle w:val="BodyText"/>
      </w:pP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B6BDA" w:rsidRDefault="006B6BDA" w:rsidP="00E275D8">
      <w:pPr>
        <w:pStyle w:val="BodyText"/>
      </w:pPr>
    </w:p>
    <w:p w:rsidR="006B6BDA" w:rsidRDefault="006B6BDA" w:rsidP="00E275D8">
      <w:pPr>
        <w:pStyle w:val="BodyText"/>
      </w:pP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B6BDA" w:rsidRDefault="006B6BDA" w:rsidP="00E275D8">
      <w:pPr>
        <w:pStyle w:val="BodyText"/>
      </w:pPr>
    </w:p>
    <w:p w:rsidR="006B6BDA" w:rsidRDefault="006B6BDA" w:rsidP="00E275D8">
      <w:pPr>
        <w:pStyle w:val="BodyText"/>
      </w:pP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UCD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B6BDA"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58F" w:rsidRDefault="00FF758F">
      <w:r>
        <w:separator/>
      </w:r>
    </w:p>
  </w:endnote>
  <w:endnote w:type="continuationSeparator" w:id="0">
    <w:p w:rsidR="00FF758F" w:rsidRDefault="00FF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67E5">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58F" w:rsidRDefault="00FF758F">
      <w:r>
        <w:separator/>
      </w:r>
    </w:p>
  </w:footnote>
  <w:footnote w:type="continuationSeparator" w:id="0">
    <w:p w:rsidR="00FF758F" w:rsidRDefault="00FF758F">
      <w:r>
        <w:continuationSeparator/>
      </w:r>
    </w:p>
  </w:footnote>
  <w:footnote w:id="1">
    <w:p w:rsidR="00AE02E5" w:rsidRPr="00AE02E5" w:rsidRDefault="00AE02E5">
      <w:pPr>
        <w:pStyle w:val="FootnoteText"/>
        <w:rPr>
          <w:i/>
        </w:rPr>
      </w:pPr>
      <w:r>
        <w:rPr>
          <w:rStyle w:val="FootnoteReference"/>
        </w:rPr>
        <w:footnoteRef/>
      </w:r>
      <w:r>
        <w:t xml:space="preserve"> </w:t>
      </w:r>
      <w:proofErr w:type="gramStart"/>
      <w:r>
        <w:t>Order No.</w:t>
      </w:r>
      <w:proofErr w:type="gramEnd"/>
      <w:r>
        <w:t xml:space="preserve"> PSC-16-0424-TRF-EI, issued October 3, 2016, in Docket No. 160071-EI, </w:t>
      </w:r>
      <w:r>
        <w:rPr>
          <w:i/>
        </w:rPr>
        <w:t>In re: Petition for approval of 2016 revisions to underground residential and commercial differential tariffs, by Florida Power &amp; Light Company.</w:t>
      </w:r>
    </w:p>
  </w:footnote>
  <w:footnote w:id="2">
    <w:p w:rsidR="00AE02E5" w:rsidRPr="001E64C6" w:rsidRDefault="00AE02E5">
      <w:pPr>
        <w:pStyle w:val="FootnoteText"/>
        <w:rPr>
          <w:i/>
        </w:rPr>
      </w:pPr>
      <w:r>
        <w:rPr>
          <w:rStyle w:val="FootnoteReference"/>
        </w:rPr>
        <w:footnoteRef/>
      </w:r>
      <w:r>
        <w:t xml:space="preserve"> Order No. PSC-2019-0211-PCO-EI, issued June 3, 2019, in Docket No. </w:t>
      </w:r>
      <w:r w:rsidR="001E64C6">
        <w:t xml:space="preserve">20190081-EI, </w:t>
      </w:r>
      <w:r w:rsidR="001E64C6">
        <w:rPr>
          <w:i/>
        </w:rPr>
        <w:t xml:space="preserve">In re: Petition for approval of 2019 revisions to underground residential and commercial differential tariffs, by Florida Power &amp; Light Company. </w:t>
      </w:r>
    </w:p>
  </w:footnote>
  <w:footnote w:id="3">
    <w:p w:rsidR="00FA3E19" w:rsidRDefault="00FA3E19">
      <w:pPr>
        <w:pStyle w:val="FootnoteText"/>
      </w:pPr>
      <w:r>
        <w:rPr>
          <w:rStyle w:val="FootnoteReference"/>
        </w:rPr>
        <w:footnoteRef/>
      </w:r>
      <w:r>
        <w:t xml:space="preserve"> </w:t>
      </w:r>
      <w:proofErr w:type="gramStart"/>
      <w:r>
        <w:t>Order No.</w:t>
      </w:r>
      <w:proofErr w:type="gramEnd"/>
      <w:r>
        <w:t xml:space="preserve"> PSC-08-0774-TRF-EI, issued November 24, 2008, in Docket No. 070231-EI, </w:t>
      </w:r>
      <w:r w:rsidRPr="00FA3E19">
        <w:rPr>
          <w:i/>
        </w:rPr>
        <w:t>In re: Petition for approval of 2007 revisions to underground residential and commercial distribution tariff, by Florida Power &amp; Light Company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F758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20190081-EI</w:t>
    </w:r>
    <w:bookmarkEnd w:id="15"/>
  </w:p>
  <w:p w:rsidR="00BC402E" w:rsidRDefault="00BC402E">
    <w:pPr>
      <w:pStyle w:val="Header"/>
    </w:pPr>
    <w:r w:rsidRPr="004F65D4">
      <w:t xml:space="preserve">Date: </w:t>
    </w:r>
    <w:r w:rsidR="00C55D6A" w:rsidRPr="004F65D4">
      <w:fldChar w:fldCharType="begin"/>
    </w:r>
    <w:r w:rsidR="00C55D6A" w:rsidRPr="004F65D4">
      <w:instrText xml:space="preserve"> REF FilingDate </w:instrText>
    </w:r>
    <w:r w:rsidR="004F65D4">
      <w:instrText xml:space="preserve"> \* MERGEFORMAT </w:instrText>
    </w:r>
    <w:r w:rsidR="00C55D6A" w:rsidRPr="004F65D4">
      <w:fldChar w:fldCharType="separate"/>
    </w:r>
    <w:r w:rsidR="00CF10E2" w:rsidRPr="004F65D4">
      <w:t>July 25, 2019</w:t>
    </w:r>
    <w:r w:rsidR="00C55D6A" w:rsidRPr="004F65D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F10E2">
      <w:t>Docket No.</w:t>
    </w:r>
    <w:r>
      <w:fldChar w:fldCharType="end"/>
    </w:r>
    <w:r>
      <w:t xml:space="preserve"> </w:t>
    </w:r>
    <w:r>
      <w:fldChar w:fldCharType="begin"/>
    </w:r>
    <w:r>
      <w:instrText xml:space="preserve"> REF DocketList</w:instrText>
    </w:r>
    <w:r>
      <w:fldChar w:fldCharType="separate"/>
    </w:r>
    <w:r w:rsidR="00CF10E2">
      <w:t>20190081-EI</w:t>
    </w:r>
    <w:r>
      <w:fldChar w:fldCharType="end"/>
    </w:r>
    <w:r>
      <w:tab/>
      <w:t xml:space="preserve">Issue </w:t>
    </w:r>
    <w:fldSimple w:instr=" Seq Issue \c \* Arabic ">
      <w:r w:rsidR="007967E5">
        <w:rPr>
          <w:noProof/>
        </w:rPr>
        <w:t>3</w:t>
      </w:r>
    </w:fldSimple>
  </w:p>
  <w:p w:rsidR="00BC402E" w:rsidRDefault="00BC402E">
    <w:pPr>
      <w:pStyle w:val="Header"/>
    </w:pPr>
    <w:r w:rsidRPr="004F65D4">
      <w:t xml:space="preserve">Date: </w:t>
    </w:r>
    <w:r w:rsidR="00C55D6A" w:rsidRPr="004F65D4">
      <w:fldChar w:fldCharType="begin"/>
    </w:r>
    <w:r w:rsidR="00C55D6A" w:rsidRPr="004F65D4">
      <w:instrText xml:space="preserve"> REF FilingDate </w:instrText>
    </w:r>
    <w:r w:rsidR="004F65D4">
      <w:instrText xml:space="preserve"> \* MERGEFORMAT </w:instrText>
    </w:r>
    <w:r w:rsidR="00C55D6A" w:rsidRPr="004F65D4">
      <w:fldChar w:fldCharType="separate"/>
    </w:r>
    <w:r w:rsidR="00CF10E2" w:rsidRPr="004F65D4">
      <w:t>July 25, 2019</w:t>
    </w:r>
    <w:r w:rsidR="00C55D6A" w:rsidRPr="004F65D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D4" w:rsidRDefault="004F65D4" w:rsidP="00220732">
    <w:pPr>
      <w:pStyle w:val="Header"/>
      <w:tabs>
        <w:tab w:val="clear" w:pos="4320"/>
        <w:tab w:val="clear" w:pos="8640"/>
        <w:tab w:val="right" w:pos="9360"/>
      </w:tabs>
    </w:pPr>
    <w:r>
      <w:fldChar w:fldCharType="begin"/>
    </w:r>
    <w:r>
      <w:instrText xml:space="preserve"> REF DocketLabel</w:instrText>
    </w:r>
    <w:r>
      <w:fldChar w:fldCharType="separate"/>
    </w:r>
    <w:r w:rsidR="00CF10E2">
      <w:t>Docket No.</w:t>
    </w:r>
    <w:r>
      <w:fldChar w:fldCharType="end"/>
    </w:r>
    <w:r>
      <w:t xml:space="preserve"> </w:t>
    </w:r>
    <w:r>
      <w:fldChar w:fldCharType="begin"/>
    </w:r>
    <w:r>
      <w:instrText xml:space="preserve"> REF DocketList</w:instrText>
    </w:r>
    <w:r>
      <w:fldChar w:fldCharType="separate"/>
    </w:r>
    <w:r w:rsidR="00CF10E2">
      <w:t>20190081-EI</w:t>
    </w:r>
    <w:r>
      <w:fldChar w:fldCharType="end"/>
    </w:r>
    <w:r>
      <w:tab/>
      <w:t>Attachment A</w:t>
    </w:r>
  </w:p>
  <w:p w:rsidR="004F65D4" w:rsidRDefault="004F65D4">
    <w:pPr>
      <w:pStyle w:val="Header"/>
    </w:pPr>
    <w:r w:rsidRPr="004F65D4">
      <w:t xml:space="preserve">Date: </w:t>
    </w:r>
    <w:r w:rsidRPr="004F65D4">
      <w:fldChar w:fldCharType="begin"/>
    </w:r>
    <w:r w:rsidRPr="004F65D4">
      <w:instrText xml:space="preserve"> REF FilingDate </w:instrText>
    </w:r>
    <w:r>
      <w:instrText xml:space="preserve"> \* MERGEFORMAT </w:instrText>
    </w:r>
    <w:r w:rsidRPr="004F65D4">
      <w:fldChar w:fldCharType="separate"/>
    </w:r>
    <w:r w:rsidR="00CF10E2" w:rsidRPr="004F65D4">
      <w:t>July 25, 2019</w:t>
    </w:r>
    <w:r w:rsidRPr="004F65D4">
      <w:fldChar w:fldCharType="end"/>
    </w:r>
    <w:r>
      <w:tab/>
    </w:r>
    <w:r w:rsidR="00A34037">
      <w:t xml:space="preserve">                                                                                                          Page </w:t>
    </w:r>
    <w:r>
      <w:fldChar w:fldCharType="begin"/>
    </w:r>
    <w:r>
      <w:instrText>=</w:instrText>
    </w:r>
    <w:r>
      <w:fldChar w:fldCharType="begin"/>
    </w:r>
    <w:r>
      <w:instrText>page</w:instrText>
    </w:r>
    <w:r>
      <w:fldChar w:fldCharType="separate"/>
    </w:r>
    <w:r w:rsidR="007967E5">
      <w:rPr>
        <w:noProof/>
      </w:rPr>
      <w:instrText>15</w:instrText>
    </w:r>
    <w:r>
      <w:fldChar w:fldCharType="end"/>
    </w:r>
    <w:r w:rsidR="00A34037">
      <w:instrText>-8</w:instrText>
    </w:r>
    <w:r>
      <w:fldChar w:fldCharType="separate"/>
    </w:r>
    <w:r w:rsidR="007967E5">
      <w:rPr>
        <w:noProof/>
      </w:rPr>
      <w:t>7</w:t>
    </w:r>
    <w:r>
      <w:fldChar w:fldCharType="end"/>
    </w:r>
    <w:r w:rsidR="00A34037">
      <w:t xml:space="preserve"> of 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DA" w:rsidRDefault="006B6BDA" w:rsidP="00220732">
    <w:pPr>
      <w:pStyle w:val="Header"/>
      <w:tabs>
        <w:tab w:val="clear" w:pos="4320"/>
        <w:tab w:val="clear" w:pos="8640"/>
        <w:tab w:val="right" w:pos="9360"/>
      </w:tabs>
    </w:pPr>
    <w:r>
      <w:fldChar w:fldCharType="begin"/>
    </w:r>
    <w:r>
      <w:instrText xml:space="preserve"> REF DocketLabel</w:instrText>
    </w:r>
    <w:r>
      <w:fldChar w:fldCharType="separate"/>
    </w:r>
    <w:r w:rsidR="00CF10E2">
      <w:t>Docket No.</w:t>
    </w:r>
    <w:r>
      <w:fldChar w:fldCharType="end"/>
    </w:r>
    <w:r>
      <w:t xml:space="preserve"> </w:t>
    </w:r>
    <w:r>
      <w:fldChar w:fldCharType="begin"/>
    </w:r>
    <w:r>
      <w:instrText xml:space="preserve"> REF DocketList</w:instrText>
    </w:r>
    <w:r>
      <w:fldChar w:fldCharType="separate"/>
    </w:r>
    <w:r w:rsidR="00CF10E2">
      <w:t>20190081-EI</w:t>
    </w:r>
    <w:r>
      <w:fldChar w:fldCharType="end"/>
    </w:r>
    <w:r>
      <w:tab/>
      <w:t>Attachment B</w:t>
    </w:r>
  </w:p>
  <w:p w:rsidR="006B6BDA" w:rsidRDefault="006B6BDA">
    <w:pPr>
      <w:pStyle w:val="Header"/>
    </w:pPr>
    <w:r w:rsidRPr="004F65D4">
      <w:t xml:space="preserve">Date: </w:t>
    </w:r>
    <w:r w:rsidRPr="004F65D4">
      <w:fldChar w:fldCharType="begin"/>
    </w:r>
    <w:r w:rsidRPr="004F65D4">
      <w:instrText xml:space="preserve"> REF FilingDate </w:instrText>
    </w:r>
    <w:r>
      <w:instrText xml:space="preserve"> \* MERGEFORMAT </w:instrText>
    </w:r>
    <w:r w:rsidRPr="004F65D4">
      <w:fldChar w:fldCharType="separate"/>
    </w:r>
    <w:r w:rsidR="00CF10E2" w:rsidRPr="004F65D4">
      <w:t>July 25, 2019</w:t>
    </w:r>
    <w:r w:rsidRPr="004F65D4">
      <w:fldChar w:fldCharType="end"/>
    </w:r>
    <w:r>
      <w:tab/>
      <w:t xml:space="preserve">                                                                                                          Page </w:t>
    </w:r>
    <w:r>
      <w:fldChar w:fldCharType="begin"/>
    </w:r>
    <w:r>
      <w:instrText>=</w:instrText>
    </w:r>
    <w:r>
      <w:fldChar w:fldCharType="begin"/>
    </w:r>
    <w:r>
      <w:instrText>page</w:instrText>
    </w:r>
    <w:r>
      <w:fldChar w:fldCharType="separate"/>
    </w:r>
    <w:r w:rsidR="007967E5">
      <w:rPr>
        <w:noProof/>
      </w:rPr>
      <w:instrText>18</w:instrText>
    </w:r>
    <w:r>
      <w:fldChar w:fldCharType="end"/>
    </w:r>
    <w:r>
      <w:instrText>-15</w:instrText>
    </w:r>
    <w:r>
      <w:fldChar w:fldCharType="separate"/>
    </w:r>
    <w:r w:rsidR="007967E5">
      <w:rPr>
        <w:noProof/>
      </w:rPr>
      <w:t>3</w:t>
    </w:r>
    <w:r>
      <w:fldChar w:fldCharType="end"/>
    </w:r>
    <w:r>
      <w:t xml:space="preserve"> of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73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F758F"/>
    <w:rsid w:val="000043D5"/>
    <w:rsid w:val="00004948"/>
    <w:rsid w:val="00006170"/>
    <w:rsid w:val="00010E37"/>
    <w:rsid w:val="00015628"/>
    <w:rsid w:val="000172DA"/>
    <w:rsid w:val="000247C5"/>
    <w:rsid w:val="000277C2"/>
    <w:rsid w:val="00035B48"/>
    <w:rsid w:val="00036CE2"/>
    <w:rsid w:val="000437FE"/>
    <w:rsid w:val="00044827"/>
    <w:rsid w:val="000513BE"/>
    <w:rsid w:val="00053F1C"/>
    <w:rsid w:val="00065A06"/>
    <w:rsid w:val="000666F3"/>
    <w:rsid w:val="00067091"/>
    <w:rsid w:val="00070DCB"/>
    <w:rsid w:val="00072B18"/>
    <w:rsid w:val="00072CCA"/>
    <w:rsid w:val="00073120"/>
    <w:rsid w:val="000764D0"/>
    <w:rsid w:val="000828D3"/>
    <w:rsid w:val="000A27F2"/>
    <w:rsid w:val="000A2B57"/>
    <w:rsid w:val="000A418B"/>
    <w:rsid w:val="000C4431"/>
    <w:rsid w:val="000D1C06"/>
    <w:rsid w:val="000D2912"/>
    <w:rsid w:val="000D4319"/>
    <w:rsid w:val="000F374A"/>
    <w:rsid w:val="000F3755"/>
    <w:rsid w:val="00104E7F"/>
    <w:rsid w:val="001076AF"/>
    <w:rsid w:val="00117C8C"/>
    <w:rsid w:val="00124E2E"/>
    <w:rsid w:val="00125360"/>
    <w:rsid w:val="00125ED4"/>
    <w:rsid w:val="001305E9"/>
    <w:rsid w:val="001307AF"/>
    <w:rsid w:val="00135687"/>
    <w:rsid w:val="001378E5"/>
    <w:rsid w:val="00154883"/>
    <w:rsid w:val="0015506E"/>
    <w:rsid w:val="00160F65"/>
    <w:rsid w:val="00163031"/>
    <w:rsid w:val="00171A90"/>
    <w:rsid w:val="00180254"/>
    <w:rsid w:val="00187FE9"/>
    <w:rsid w:val="00191E1F"/>
    <w:rsid w:val="00192943"/>
    <w:rsid w:val="001A7406"/>
    <w:rsid w:val="001B4FEE"/>
    <w:rsid w:val="001B51C5"/>
    <w:rsid w:val="001B52E1"/>
    <w:rsid w:val="001B6F3F"/>
    <w:rsid w:val="001C52B5"/>
    <w:rsid w:val="001D0D3E"/>
    <w:rsid w:val="001E64C6"/>
    <w:rsid w:val="001F2245"/>
    <w:rsid w:val="001F2C63"/>
    <w:rsid w:val="001F48C7"/>
    <w:rsid w:val="001F6DA1"/>
    <w:rsid w:val="002044E6"/>
    <w:rsid w:val="00205C82"/>
    <w:rsid w:val="00205DC2"/>
    <w:rsid w:val="00212B17"/>
    <w:rsid w:val="002163B6"/>
    <w:rsid w:val="00220732"/>
    <w:rsid w:val="00221D32"/>
    <w:rsid w:val="00225B07"/>
    <w:rsid w:val="00225C3F"/>
    <w:rsid w:val="0023592D"/>
    <w:rsid w:val="00263D44"/>
    <w:rsid w:val="002702AD"/>
    <w:rsid w:val="0027213E"/>
    <w:rsid w:val="00281F48"/>
    <w:rsid w:val="00292D82"/>
    <w:rsid w:val="0029445D"/>
    <w:rsid w:val="002963CB"/>
    <w:rsid w:val="002A20B2"/>
    <w:rsid w:val="002A3A33"/>
    <w:rsid w:val="002B4A01"/>
    <w:rsid w:val="002D226D"/>
    <w:rsid w:val="002F6030"/>
    <w:rsid w:val="003037E1"/>
    <w:rsid w:val="00305F1D"/>
    <w:rsid w:val="00307E51"/>
    <w:rsid w:val="003103EC"/>
    <w:rsid w:val="00310C86"/>
    <w:rsid w:val="003144EF"/>
    <w:rsid w:val="00322972"/>
    <w:rsid w:val="00322F74"/>
    <w:rsid w:val="00331530"/>
    <w:rsid w:val="00340073"/>
    <w:rsid w:val="00344771"/>
    <w:rsid w:val="00347685"/>
    <w:rsid w:val="003632FD"/>
    <w:rsid w:val="00372178"/>
    <w:rsid w:val="00372805"/>
    <w:rsid w:val="00373180"/>
    <w:rsid w:val="00375AB9"/>
    <w:rsid w:val="00375FC3"/>
    <w:rsid w:val="003821A0"/>
    <w:rsid w:val="00385B04"/>
    <w:rsid w:val="003864CF"/>
    <w:rsid w:val="00394E3B"/>
    <w:rsid w:val="003A22A6"/>
    <w:rsid w:val="003A37E2"/>
    <w:rsid w:val="003A5494"/>
    <w:rsid w:val="003B2510"/>
    <w:rsid w:val="003C2CC4"/>
    <w:rsid w:val="003C3710"/>
    <w:rsid w:val="003D1140"/>
    <w:rsid w:val="003E0EFC"/>
    <w:rsid w:val="003E4A2B"/>
    <w:rsid w:val="003E76C2"/>
    <w:rsid w:val="003F1679"/>
    <w:rsid w:val="003F21EB"/>
    <w:rsid w:val="003F4A35"/>
    <w:rsid w:val="003F7FDD"/>
    <w:rsid w:val="003F7FFC"/>
    <w:rsid w:val="00402481"/>
    <w:rsid w:val="004042B4"/>
    <w:rsid w:val="00410788"/>
    <w:rsid w:val="00410DC4"/>
    <w:rsid w:val="00412DAE"/>
    <w:rsid w:val="004242E6"/>
    <w:rsid w:val="00431598"/>
    <w:rsid w:val="004319AD"/>
    <w:rsid w:val="004426B8"/>
    <w:rsid w:val="00444432"/>
    <w:rsid w:val="00450319"/>
    <w:rsid w:val="00462183"/>
    <w:rsid w:val="00471860"/>
    <w:rsid w:val="00477026"/>
    <w:rsid w:val="004A744D"/>
    <w:rsid w:val="004B04C7"/>
    <w:rsid w:val="004B60BD"/>
    <w:rsid w:val="004C3150"/>
    <w:rsid w:val="004C3641"/>
    <w:rsid w:val="004C4390"/>
    <w:rsid w:val="004C4AF7"/>
    <w:rsid w:val="004D2881"/>
    <w:rsid w:val="004D385F"/>
    <w:rsid w:val="004D5B39"/>
    <w:rsid w:val="004D7872"/>
    <w:rsid w:val="004E1435"/>
    <w:rsid w:val="004E284D"/>
    <w:rsid w:val="004E330D"/>
    <w:rsid w:val="004E5147"/>
    <w:rsid w:val="004E69B5"/>
    <w:rsid w:val="004F5C43"/>
    <w:rsid w:val="004F65D4"/>
    <w:rsid w:val="0050652D"/>
    <w:rsid w:val="005069E2"/>
    <w:rsid w:val="00506C03"/>
    <w:rsid w:val="00510DB3"/>
    <w:rsid w:val="00511A11"/>
    <w:rsid w:val="00516496"/>
    <w:rsid w:val="00523B11"/>
    <w:rsid w:val="0052572A"/>
    <w:rsid w:val="00532DFB"/>
    <w:rsid w:val="00543CB3"/>
    <w:rsid w:val="005442E4"/>
    <w:rsid w:val="0055529B"/>
    <w:rsid w:val="00555A61"/>
    <w:rsid w:val="00560FF0"/>
    <w:rsid w:val="005614BD"/>
    <w:rsid w:val="0057154F"/>
    <w:rsid w:val="00580F69"/>
    <w:rsid w:val="00581CA3"/>
    <w:rsid w:val="00587A44"/>
    <w:rsid w:val="005913BA"/>
    <w:rsid w:val="00597730"/>
    <w:rsid w:val="005977EC"/>
    <w:rsid w:val="00597DE7"/>
    <w:rsid w:val="005A4AA2"/>
    <w:rsid w:val="005B34B6"/>
    <w:rsid w:val="005B6C8F"/>
    <w:rsid w:val="005B6EC3"/>
    <w:rsid w:val="005D0F74"/>
    <w:rsid w:val="005D2E7D"/>
    <w:rsid w:val="005D4A8F"/>
    <w:rsid w:val="005D561B"/>
    <w:rsid w:val="005D5ECF"/>
    <w:rsid w:val="005F468D"/>
    <w:rsid w:val="005F4DD5"/>
    <w:rsid w:val="005F69A3"/>
    <w:rsid w:val="00603AC6"/>
    <w:rsid w:val="00604CC7"/>
    <w:rsid w:val="00607416"/>
    <w:rsid w:val="00612D9F"/>
    <w:rsid w:val="00615423"/>
    <w:rsid w:val="006165B2"/>
    <w:rsid w:val="00617276"/>
    <w:rsid w:val="00622BF6"/>
    <w:rsid w:val="0062527B"/>
    <w:rsid w:val="00625D97"/>
    <w:rsid w:val="00625F1C"/>
    <w:rsid w:val="006279E1"/>
    <w:rsid w:val="00630CEB"/>
    <w:rsid w:val="00632264"/>
    <w:rsid w:val="00636F35"/>
    <w:rsid w:val="006470BC"/>
    <w:rsid w:val="006554D3"/>
    <w:rsid w:val="00667036"/>
    <w:rsid w:val="00673BDB"/>
    <w:rsid w:val="00674341"/>
    <w:rsid w:val="006771B8"/>
    <w:rsid w:val="00677562"/>
    <w:rsid w:val="006843B6"/>
    <w:rsid w:val="0068481F"/>
    <w:rsid w:val="00696F5D"/>
    <w:rsid w:val="00697249"/>
    <w:rsid w:val="006B3418"/>
    <w:rsid w:val="006B373A"/>
    <w:rsid w:val="006B3947"/>
    <w:rsid w:val="006B4293"/>
    <w:rsid w:val="006B624F"/>
    <w:rsid w:val="006B6BDA"/>
    <w:rsid w:val="006C0C95"/>
    <w:rsid w:val="006C31E3"/>
    <w:rsid w:val="006D18D3"/>
    <w:rsid w:val="006D48CE"/>
    <w:rsid w:val="006E08CB"/>
    <w:rsid w:val="006E598D"/>
    <w:rsid w:val="0070437D"/>
    <w:rsid w:val="00704CF1"/>
    <w:rsid w:val="00705B04"/>
    <w:rsid w:val="0072349E"/>
    <w:rsid w:val="00724992"/>
    <w:rsid w:val="00734820"/>
    <w:rsid w:val="007349DC"/>
    <w:rsid w:val="0074365E"/>
    <w:rsid w:val="00744B55"/>
    <w:rsid w:val="007515FD"/>
    <w:rsid w:val="00760D80"/>
    <w:rsid w:val="00770E9A"/>
    <w:rsid w:val="00780C09"/>
    <w:rsid w:val="00780DDF"/>
    <w:rsid w:val="00781774"/>
    <w:rsid w:val="007834E9"/>
    <w:rsid w:val="00785CBE"/>
    <w:rsid w:val="00787DBC"/>
    <w:rsid w:val="0079019A"/>
    <w:rsid w:val="00792935"/>
    <w:rsid w:val="007967E5"/>
    <w:rsid w:val="007A04A1"/>
    <w:rsid w:val="007A14D0"/>
    <w:rsid w:val="007A1840"/>
    <w:rsid w:val="007C0528"/>
    <w:rsid w:val="007C1C3D"/>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537C"/>
    <w:rsid w:val="008B62AE"/>
    <w:rsid w:val="008C04B5"/>
    <w:rsid w:val="008C14FA"/>
    <w:rsid w:val="008C16AF"/>
    <w:rsid w:val="008C7B0B"/>
    <w:rsid w:val="008D1513"/>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17659"/>
    <w:rsid w:val="00920E64"/>
    <w:rsid w:val="00922002"/>
    <w:rsid w:val="00924020"/>
    <w:rsid w:val="009271A7"/>
    <w:rsid w:val="0093658B"/>
    <w:rsid w:val="009429FF"/>
    <w:rsid w:val="00945BD6"/>
    <w:rsid w:val="0094796C"/>
    <w:rsid w:val="009479FB"/>
    <w:rsid w:val="00951C45"/>
    <w:rsid w:val="00960D4B"/>
    <w:rsid w:val="009656F2"/>
    <w:rsid w:val="00966A08"/>
    <w:rsid w:val="00971207"/>
    <w:rsid w:val="00975CB4"/>
    <w:rsid w:val="0098518A"/>
    <w:rsid w:val="009863B0"/>
    <w:rsid w:val="00987DE1"/>
    <w:rsid w:val="00990571"/>
    <w:rsid w:val="0099673A"/>
    <w:rsid w:val="009A3330"/>
    <w:rsid w:val="009A7C96"/>
    <w:rsid w:val="009B23C8"/>
    <w:rsid w:val="009C115D"/>
    <w:rsid w:val="009C3DB9"/>
    <w:rsid w:val="009D06C0"/>
    <w:rsid w:val="009D1CC3"/>
    <w:rsid w:val="009D46E5"/>
    <w:rsid w:val="009D568A"/>
    <w:rsid w:val="009F04EC"/>
    <w:rsid w:val="009F2A7C"/>
    <w:rsid w:val="009F3B36"/>
    <w:rsid w:val="00A0001C"/>
    <w:rsid w:val="00A019B9"/>
    <w:rsid w:val="00A12497"/>
    <w:rsid w:val="00A12508"/>
    <w:rsid w:val="00A1282B"/>
    <w:rsid w:val="00A13A27"/>
    <w:rsid w:val="00A175B6"/>
    <w:rsid w:val="00A21835"/>
    <w:rsid w:val="00A2374B"/>
    <w:rsid w:val="00A27D6E"/>
    <w:rsid w:val="00A328EC"/>
    <w:rsid w:val="00A33A51"/>
    <w:rsid w:val="00A34037"/>
    <w:rsid w:val="00A41CA6"/>
    <w:rsid w:val="00A47927"/>
    <w:rsid w:val="00A47FFC"/>
    <w:rsid w:val="00A5442F"/>
    <w:rsid w:val="00A54FF9"/>
    <w:rsid w:val="00A564F6"/>
    <w:rsid w:val="00A56765"/>
    <w:rsid w:val="00A675AC"/>
    <w:rsid w:val="00A7581F"/>
    <w:rsid w:val="00A91DAD"/>
    <w:rsid w:val="00A92FB1"/>
    <w:rsid w:val="00A95A0C"/>
    <w:rsid w:val="00AA2765"/>
    <w:rsid w:val="00AA77B5"/>
    <w:rsid w:val="00AB6C5D"/>
    <w:rsid w:val="00AC3401"/>
    <w:rsid w:val="00AC51A7"/>
    <w:rsid w:val="00AD444B"/>
    <w:rsid w:val="00AD5614"/>
    <w:rsid w:val="00AD6C78"/>
    <w:rsid w:val="00AE02E5"/>
    <w:rsid w:val="00AE2EAB"/>
    <w:rsid w:val="00AF0238"/>
    <w:rsid w:val="00AF5F89"/>
    <w:rsid w:val="00AF73CB"/>
    <w:rsid w:val="00B002D6"/>
    <w:rsid w:val="00B027AD"/>
    <w:rsid w:val="00B03379"/>
    <w:rsid w:val="00B05B51"/>
    <w:rsid w:val="00B14E5A"/>
    <w:rsid w:val="00B15370"/>
    <w:rsid w:val="00B16DA4"/>
    <w:rsid w:val="00B17BEB"/>
    <w:rsid w:val="00B21A3C"/>
    <w:rsid w:val="00B223C0"/>
    <w:rsid w:val="00B234ED"/>
    <w:rsid w:val="00B249B2"/>
    <w:rsid w:val="00B25CA3"/>
    <w:rsid w:val="00B2765A"/>
    <w:rsid w:val="00B3011E"/>
    <w:rsid w:val="00B3109A"/>
    <w:rsid w:val="00B479B2"/>
    <w:rsid w:val="00B516ED"/>
    <w:rsid w:val="00B57A6A"/>
    <w:rsid w:val="00B760F1"/>
    <w:rsid w:val="00B7669E"/>
    <w:rsid w:val="00B77DA1"/>
    <w:rsid w:val="00B822A0"/>
    <w:rsid w:val="00B858AE"/>
    <w:rsid w:val="00B85964"/>
    <w:rsid w:val="00B96250"/>
    <w:rsid w:val="00BA0D55"/>
    <w:rsid w:val="00BA37B3"/>
    <w:rsid w:val="00BA4CC6"/>
    <w:rsid w:val="00BA797D"/>
    <w:rsid w:val="00BB3493"/>
    <w:rsid w:val="00BB7468"/>
    <w:rsid w:val="00BC188A"/>
    <w:rsid w:val="00BC402E"/>
    <w:rsid w:val="00BD0F48"/>
    <w:rsid w:val="00BE6DDB"/>
    <w:rsid w:val="00BF5010"/>
    <w:rsid w:val="00C03D5F"/>
    <w:rsid w:val="00C13791"/>
    <w:rsid w:val="00C249A9"/>
    <w:rsid w:val="00C31BB3"/>
    <w:rsid w:val="00C36977"/>
    <w:rsid w:val="00C467DA"/>
    <w:rsid w:val="00C477D9"/>
    <w:rsid w:val="00C55D6A"/>
    <w:rsid w:val="00C60BA3"/>
    <w:rsid w:val="00C623F7"/>
    <w:rsid w:val="00C75BC5"/>
    <w:rsid w:val="00C81670"/>
    <w:rsid w:val="00C81773"/>
    <w:rsid w:val="00C82861"/>
    <w:rsid w:val="00C852A9"/>
    <w:rsid w:val="00C86896"/>
    <w:rsid w:val="00C907A8"/>
    <w:rsid w:val="00C93211"/>
    <w:rsid w:val="00C942EC"/>
    <w:rsid w:val="00C96047"/>
    <w:rsid w:val="00C979D0"/>
    <w:rsid w:val="00CA0818"/>
    <w:rsid w:val="00CA15C8"/>
    <w:rsid w:val="00CA2C8F"/>
    <w:rsid w:val="00CA30DA"/>
    <w:rsid w:val="00CA3A24"/>
    <w:rsid w:val="00CB12FE"/>
    <w:rsid w:val="00CB1777"/>
    <w:rsid w:val="00CB33E9"/>
    <w:rsid w:val="00CC10A9"/>
    <w:rsid w:val="00CC3D99"/>
    <w:rsid w:val="00CE2BF8"/>
    <w:rsid w:val="00CE484E"/>
    <w:rsid w:val="00CE656F"/>
    <w:rsid w:val="00CF0DA8"/>
    <w:rsid w:val="00CF10E2"/>
    <w:rsid w:val="00CF2E25"/>
    <w:rsid w:val="00CF4453"/>
    <w:rsid w:val="00CF5D94"/>
    <w:rsid w:val="00CF7C29"/>
    <w:rsid w:val="00CF7E0F"/>
    <w:rsid w:val="00D034D7"/>
    <w:rsid w:val="00D04BE4"/>
    <w:rsid w:val="00D06FC7"/>
    <w:rsid w:val="00D12565"/>
    <w:rsid w:val="00D14127"/>
    <w:rsid w:val="00D204B4"/>
    <w:rsid w:val="00D33C38"/>
    <w:rsid w:val="00D37317"/>
    <w:rsid w:val="00D42529"/>
    <w:rsid w:val="00D56FC9"/>
    <w:rsid w:val="00D60B16"/>
    <w:rsid w:val="00D60F02"/>
    <w:rsid w:val="00D66E49"/>
    <w:rsid w:val="00D70D71"/>
    <w:rsid w:val="00D72F74"/>
    <w:rsid w:val="00D81563"/>
    <w:rsid w:val="00D85907"/>
    <w:rsid w:val="00D9073E"/>
    <w:rsid w:val="00D91DDA"/>
    <w:rsid w:val="00D9221D"/>
    <w:rsid w:val="00D958DF"/>
    <w:rsid w:val="00D96DA1"/>
    <w:rsid w:val="00DA51E7"/>
    <w:rsid w:val="00DB0260"/>
    <w:rsid w:val="00DB1C78"/>
    <w:rsid w:val="00DB1FDA"/>
    <w:rsid w:val="00DB7D96"/>
    <w:rsid w:val="00DC23FE"/>
    <w:rsid w:val="00DC58EF"/>
    <w:rsid w:val="00DC59E6"/>
    <w:rsid w:val="00DC672D"/>
    <w:rsid w:val="00DD150B"/>
    <w:rsid w:val="00DD5025"/>
    <w:rsid w:val="00DF1510"/>
    <w:rsid w:val="00E02F1F"/>
    <w:rsid w:val="00E06484"/>
    <w:rsid w:val="00E20A7D"/>
    <w:rsid w:val="00E275D8"/>
    <w:rsid w:val="00E30F6A"/>
    <w:rsid w:val="00E3117C"/>
    <w:rsid w:val="00E333C0"/>
    <w:rsid w:val="00E375CA"/>
    <w:rsid w:val="00E567E8"/>
    <w:rsid w:val="00E64679"/>
    <w:rsid w:val="00E649AE"/>
    <w:rsid w:val="00E65EBC"/>
    <w:rsid w:val="00E677FE"/>
    <w:rsid w:val="00E73432"/>
    <w:rsid w:val="00E77B0C"/>
    <w:rsid w:val="00E77FB8"/>
    <w:rsid w:val="00E838B0"/>
    <w:rsid w:val="00E842C3"/>
    <w:rsid w:val="00E85B9A"/>
    <w:rsid w:val="00E86A7C"/>
    <w:rsid w:val="00E878E1"/>
    <w:rsid w:val="00E87F2C"/>
    <w:rsid w:val="00E91178"/>
    <w:rsid w:val="00E95278"/>
    <w:rsid w:val="00EA2273"/>
    <w:rsid w:val="00EA7C3C"/>
    <w:rsid w:val="00EB2DB3"/>
    <w:rsid w:val="00EC3FBB"/>
    <w:rsid w:val="00EC6B7A"/>
    <w:rsid w:val="00ED2516"/>
    <w:rsid w:val="00ED3A87"/>
    <w:rsid w:val="00ED5B67"/>
    <w:rsid w:val="00EE79FA"/>
    <w:rsid w:val="00EF264C"/>
    <w:rsid w:val="00EF3FEE"/>
    <w:rsid w:val="00F04B59"/>
    <w:rsid w:val="00F11741"/>
    <w:rsid w:val="00F12B1C"/>
    <w:rsid w:val="00F1317C"/>
    <w:rsid w:val="00F13CF8"/>
    <w:rsid w:val="00F15855"/>
    <w:rsid w:val="00F200B2"/>
    <w:rsid w:val="00F227DC"/>
    <w:rsid w:val="00F32978"/>
    <w:rsid w:val="00F412E4"/>
    <w:rsid w:val="00F43639"/>
    <w:rsid w:val="00F45CB2"/>
    <w:rsid w:val="00F544C0"/>
    <w:rsid w:val="00F55332"/>
    <w:rsid w:val="00F6504A"/>
    <w:rsid w:val="00F65519"/>
    <w:rsid w:val="00F71376"/>
    <w:rsid w:val="00F713C0"/>
    <w:rsid w:val="00F71437"/>
    <w:rsid w:val="00F75DDC"/>
    <w:rsid w:val="00F7792F"/>
    <w:rsid w:val="00F842AA"/>
    <w:rsid w:val="00F8476F"/>
    <w:rsid w:val="00F853E1"/>
    <w:rsid w:val="00F85604"/>
    <w:rsid w:val="00F93112"/>
    <w:rsid w:val="00F94B7A"/>
    <w:rsid w:val="00FA17AC"/>
    <w:rsid w:val="00FA32DE"/>
    <w:rsid w:val="00FA3382"/>
    <w:rsid w:val="00FA3E19"/>
    <w:rsid w:val="00FA59CD"/>
    <w:rsid w:val="00FA74A0"/>
    <w:rsid w:val="00FB1740"/>
    <w:rsid w:val="00FB4FFB"/>
    <w:rsid w:val="00FC0827"/>
    <w:rsid w:val="00FC5469"/>
    <w:rsid w:val="00FC6D7D"/>
    <w:rsid w:val="00FD16B0"/>
    <w:rsid w:val="00FD4FED"/>
    <w:rsid w:val="00FE0577"/>
    <w:rsid w:val="00FE59EC"/>
    <w:rsid w:val="00FE5B67"/>
    <w:rsid w:val="00FE60D6"/>
    <w:rsid w:val="00FF3542"/>
    <w:rsid w:val="00FF7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AE02E5"/>
    <w:rPr>
      <w:vertAlign w:val="superscript"/>
    </w:rPr>
  </w:style>
  <w:style w:type="character" w:customStyle="1" w:styleId="FootnoteTextChar">
    <w:name w:val="Footnote Text Char"/>
    <w:basedOn w:val="DefaultParagraphFont"/>
    <w:link w:val="FootnoteText"/>
    <w:uiPriority w:val="99"/>
    <w:rsid w:val="00D91D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AE02E5"/>
    <w:rPr>
      <w:vertAlign w:val="superscript"/>
    </w:rPr>
  </w:style>
  <w:style w:type="character" w:customStyle="1" w:styleId="FootnoteTextChar">
    <w:name w:val="Footnote Text Char"/>
    <w:basedOn w:val="DefaultParagraphFont"/>
    <w:link w:val="FootnoteText"/>
    <w:uiPriority w:val="99"/>
    <w:rsid w:val="00D91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0AEA1-1E37-4DBD-AB8B-B88C1880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1957</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2019-07-25T14:38:00Z</cp:lastPrinted>
  <dcterms:created xsi:type="dcterms:W3CDTF">2019-07-25T15:12:00Z</dcterms:created>
  <dcterms:modified xsi:type="dcterms:W3CDTF">2019-07-25T15:12:00Z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20190081-EI</vt:lpwstr>
  </property>
  <property fmtid="{D5CDD505-2E9C-101B-9397-08002B2CF9AE}" pid="3" name="MasterDocument">
    <vt:bool>false</vt:bool>
  </property>
</Properties>
</file>