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6251A7" w:rsidRDefault="00110B46">
            <w:pPr>
              <w:pStyle w:val="MemoHeading"/>
            </w:pPr>
            <w:r>
              <w:t>August 22, 2019</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A62DA" w:rsidRDefault="006A62DA">
            <w:pPr>
              <w:pStyle w:val="MemoHeading"/>
            </w:pPr>
            <w:bookmarkStart w:id="1" w:name="From"/>
            <w:r>
              <w:t>Division of Economics (</w:t>
            </w:r>
            <w:r w:rsidR="00D77B05">
              <w:t>Draper, Coston</w:t>
            </w:r>
            <w:r>
              <w:t>)</w:t>
            </w:r>
          </w:p>
          <w:p w:rsidR="007C0528" w:rsidRDefault="006A62DA">
            <w:pPr>
              <w:pStyle w:val="MemoHeading"/>
            </w:pPr>
            <w:r>
              <w:t>Office of the General Counsel (Trierweiler)</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A62DA">
            <w:pPr>
              <w:pStyle w:val="MemoHeadingRe"/>
            </w:pPr>
            <w:bookmarkStart w:id="2" w:name="Re"/>
            <w:r>
              <w:t>Docket No. 20190076-EI – Petition for approval of revised underground residential distribution tariffs, by Duke Energy Florida, LLC.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Pr="006251A7" w:rsidRDefault="006A62DA" w:rsidP="00110B46">
            <w:pPr>
              <w:pStyle w:val="MemoHeading"/>
            </w:pPr>
            <w:bookmarkStart w:id="3" w:name="AgendaDate"/>
            <w:r w:rsidRPr="006251A7">
              <w:t>0</w:t>
            </w:r>
            <w:r w:rsidR="00110B46">
              <w:t>9</w:t>
            </w:r>
            <w:r w:rsidRPr="006251A7">
              <w:t>/0</w:t>
            </w:r>
            <w:r w:rsidR="00110B46">
              <w:t>5</w:t>
            </w:r>
            <w:r w:rsidRPr="006251A7">
              <w:t>/19</w:t>
            </w:r>
            <w:bookmarkEnd w:id="3"/>
            <w:r w:rsidR="007C0528" w:rsidRPr="006251A7">
              <w:t xml:space="preserve"> – </w:t>
            </w:r>
            <w:bookmarkStart w:id="4" w:name="PermittedStatus"/>
            <w:r w:rsidRPr="006251A7">
              <w:t>Regular Agenda – Tariff Filing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A62DA">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A62DA">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6A62DA">
            <w:pPr>
              <w:pStyle w:val="MemoHeading"/>
            </w:pPr>
            <w:bookmarkStart w:id="8" w:name="CriticalDates"/>
            <w:r>
              <w:t>12/01/19 (8-Month Effective Date)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A62DA">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8C1005">
      <w:pPr>
        <w:pStyle w:val="BodyText"/>
      </w:pPr>
      <w:r>
        <w:t xml:space="preserve">On April 1, 2019, Duke Energy Florida, LLC (Duke or </w:t>
      </w:r>
      <w:r w:rsidR="00D50879">
        <w:t>utility</w:t>
      </w:r>
      <w:r>
        <w:t>) filed a petition for approval of revisions to its underground residential distribution (URD</w:t>
      </w:r>
      <w:r w:rsidR="007A29AA">
        <w:t>)</w:t>
      </w:r>
      <w:r>
        <w:t xml:space="preserve"> tariffs. The URD tariffs apply to new residential subdivisions and represent the additional costs</w:t>
      </w:r>
      <w:r w:rsidR="00830502">
        <w:t>, if any,</w:t>
      </w:r>
      <w:r>
        <w:t xml:space="preserve"> Duke incurs to provide underground distribution service in place of overhead service. </w:t>
      </w:r>
      <w:r w:rsidRPr="0083770A">
        <w:t>The proposed (legislative version) URD tariffs are contained in Attachment A to the recommendation.</w:t>
      </w:r>
      <w:r>
        <w:t xml:space="preserve"> Duke’s current</w:t>
      </w:r>
      <w:r w:rsidR="007A29AA">
        <w:t xml:space="preserve"> URD</w:t>
      </w:r>
      <w:r>
        <w:t xml:space="preserve"> charges were approved in Order No. PSC-2017-0283-TRF-EI</w:t>
      </w:r>
      <w:r w:rsidR="00D423C6">
        <w:t xml:space="preserve"> (2017 order)</w:t>
      </w:r>
      <w:r>
        <w:t>.</w:t>
      </w:r>
      <w:r>
        <w:rPr>
          <w:rStyle w:val="FootnoteReference"/>
        </w:rPr>
        <w:footnoteReference w:id="2"/>
      </w:r>
      <w:r>
        <w:t xml:space="preserve"> </w:t>
      </w:r>
    </w:p>
    <w:p w:rsidR="008C1005" w:rsidRDefault="008C1005">
      <w:pPr>
        <w:pStyle w:val="BodyText"/>
      </w:pPr>
      <w:r>
        <w:lastRenderedPageBreak/>
        <w:t xml:space="preserve">The Commission suspended Duke’s proposed tariffs </w:t>
      </w:r>
      <w:r w:rsidR="00D42559">
        <w:t>by</w:t>
      </w:r>
      <w:r>
        <w:t xml:space="preserve"> Order No. PSC-2019-0212-PCO-EI.</w:t>
      </w:r>
      <w:r>
        <w:rPr>
          <w:rStyle w:val="FootnoteReference"/>
        </w:rPr>
        <w:footnoteReference w:id="3"/>
      </w:r>
      <w:r>
        <w:t xml:space="preserve"> Duke responded to staff’s first data request on May 31, 2019. The Commission has jurisdiction over this matter pursuant to Sections 366.03, 366.04, 366.05, and 366.06, Florida Statutes</w:t>
      </w:r>
      <w:r w:rsidR="00830502">
        <w:t xml:space="preserve"> (F.S.)</w:t>
      </w:r>
      <w:r>
        <w:t>.</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8C1005" w:rsidRDefault="008C1005">
      <w:pPr>
        <w:pStyle w:val="IssueHeading"/>
        <w:rPr>
          <w:vanish/>
          <w:specVanish/>
        </w:rPr>
      </w:pPr>
      <w:r w:rsidRPr="004C3641">
        <w:t xml:space="preserve">Issue </w:t>
      </w:r>
      <w:r w:rsidR="00366543">
        <w:fldChar w:fldCharType="begin"/>
      </w:r>
      <w:r w:rsidR="00366543">
        <w:instrText xml:space="preserve"> SEQ Issue \* MERGEFORMAT </w:instrText>
      </w:r>
      <w:r w:rsidR="00366543">
        <w:fldChar w:fldCharType="separate"/>
      </w:r>
      <w:r w:rsidR="00685FD2">
        <w:rPr>
          <w:noProof/>
        </w:rPr>
        <w:t>1</w:t>
      </w:r>
      <w:r w:rsidR="0036654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85FD2">
        <w:rPr>
          <w:noProof/>
        </w:rPr>
        <w:instrText>1</w:instrText>
      </w:r>
      <w:r>
        <w:fldChar w:fldCharType="end"/>
      </w:r>
      <w:r>
        <w:tab/>
        <w:instrText xml:space="preserve">(Doherty)" \l 1 </w:instrText>
      </w:r>
      <w:r>
        <w:fldChar w:fldCharType="end"/>
      </w:r>
      <w:r>
        <w:t> </w:t>
      </w:r>
    </w:p>
    <w:p w:rsidR="008C1005" w:rsidRDefault="008C1005">
      <w:pPr>
        <w:pStyle w:val="BodyText"/>
      </w:pPr>
      <w:r>
        <w:t xml:space="preserve"> Should the </w:t>
      </w:r>
      <w:r w:rsidR="00605573">
        <w:t>Commission</w:t>
      </w:r>
      <w:r>
        <w:t xml:space="preserve"> approve Duke's proposed URD tariffs and associated charges?</w:t>
      </w:r>
    </w:p>
    <w:p w:rsidR="008C1005" w:rsidRPr="004C3641" w:rsidRDefault="008C1005">
      <w:pPr>
        <w:pStyle w:val="IssueSubsectionHeading"/>
        <w:rPr>
          <w:vanish/>
          <w:specVanish/>
        </w:rPr>
      </w:pPr>
      <w:r w:rsidRPr="004C3641">
        <w:t>Recommendation: </w:t>
      </w:r>
    </w:p>
    <w:p w:rsidR="008C1005" w:rsidRDefault="008C1005">
      <w:pPr>
        <w:pStyle w:val="BodyText"/>
      </w:pPr>
      <w:r>
        <w:t> </w:t>
      </w:r>
      <w:r w:rsidR="00597B9B">
        <w:t xml:space="preserve">Yes, the Commission should approve Duke’s proposed URD tariffs and associated charges as shown in Attachment A, effective </w:t>
      </w:r>
      <w:r w:rsidR="00110B46">
        <w:t>September</w:t>
      </w:r>
      <w:r w:rsidR="00396DE0" w:rsidRPr="0083770A">
        <w:t xml:space="preserve"> </w:t>
      </w:r>
      <w:r w:rsidR="00110B46">
        <w:t>5</w:t>
      </w:r>
      <w:r w:rsidR="00396DE0" w:rsidRPr="0083770A">
        <w:t>, 2019</w:t>
      </w:r>
      <w:r w:rsidR="00597B9B" w:rsidRPr="0083770A">
        <w:t>.</w:t>
      </w:r>
      <w:r>
        <w:t xml:space="preserve"> (</w:t>
      </w:r>
      <w:r w:rsidR="00D77B05">
        <w:t>Draper, Coston</w:t>
      </w:r>
      <w:r>
        <w:t>)</w:t>
      </w:r>
    </w:p>
    <w:p w:rsidR="008C1005" w:rsidRPr="004C3641" w:rsidRDefault="008C1005">
      <w:pPr>
        <w:pStyle w:val="IssueSubsectionHeading"/>
        <w:rPr>
          <w:vanish/>
          <w:specVanish/>
        </w:rPr>
      </w:pPr>
      <w:r w:rsidRPr="004C3641">
        <w:t>Staff Analysis: </w:t>
      </w:r>
    </w:p>
    <w:p w:rsidR="008C1005" w:rsidRDefault="008C1005">
      <w:pPr>
        <w:pStyle w:val="BodyText"/>
      </w:pPr>
      <w:r>
        <w:t> </w:t>
      </w:r>
      <w:r w:rsidR="00A03705">
        <w:t>Rule 25-6.078, Florida Administrative Code (F.A.C.), defines investor-owned utilities’ (IOU) responsibilities for filing updated URD tariffs. Duke has filed the instant petition pursuant to subsection (3) of the rule, which requires IOUs to file supporting data and analyses for</w:t>
      </w:r>
      <w:r w:rsidR="00F75D07">
        <w:t xml:space="preserve"> updated</w:t>
      </w:r>
      <w:r w:rsidR="00A03705">
        <w:t xml:space="preserve"> URD tariffs</w:t>
      </w:r>
      <w:r w:rsidR="00830502">
        <w:t xml:space="preserve"> if the cost differen</w:t>
      </w:r>
      <w:r w:rsidR="00F75D07">
        <w:t>tial varies from the Commission-</w:t>
      </w:r>
      <w:r w:rsidR="00830502">
        <w:t>approved differential by more than ten percent</w:t>
      </w:r>
      <w:r w:rsidR="00A03705">
        <w:t>.</w:t>
      </w:r>
      <w:r w:rsidR="00830502">
        <w:t xml:space="preserve"> On October 15, 2018, pursuant to Rule 25-6.078, F.A.C., Duke informed the Commission that its differential for the low density subdivision decreased by 81 percent</w:t>
      </w:r>
      <w:r w:rsidR="00FA49BD">
        <w:t xml:space="preserve"> from the differential</w:t>
      </w:r>
      <w:r w:rsidR="00D423C6">
        <w:t xml:space="preserve"> approved in the 2017 order</w:t>
      </w:r>
      <w:r w:rsidR="00FA49BD">
        <w:t>, requiring Duke to file the instant petition.</w:t>
      </w:r>
    </w:p>
    <w:p w:rsidR="00A03705" w:rsidRDefault="00D50879">
      <w:pPr>
        <w:pStyle w:val="BodyText"/>
      </w:pPr>
      <w:r>
        <w:t xml:space="preserve">The URD tariffs provide charges for underground service in new residential subdivisions and represent the additional costs, if any, the utility incurs to provide underground service in place of overhead service. The cost of standard overhead construction is recovered through base rates from all ratepayers. In lieu of overhead construction, customers have the option of requesting underground facilities. Any additional cost is paid by the customer as contribution-in-aid-of-construction (CIAC). Typically, the URD customer is </w:t>
      </w:r>
      <w:r w:rsidR="00F75D07">
        <w:t xml:space="preserve">the </w:t>
      </w:r>
      <w:r>
        <w:t xml:space="preserve">developer of a subdivision. </w:t>
      </w:r>
    </w:p>
    <w:p w:rsidR="00A03705" w:rsidRDefault="00A03705">
      <w:pPr>
        <w:pStyle w:val="BodyText"/>
      </w:pPr>
      <w:r>
        <w:t xml:space="preserve">Traditionally, three standard model subdivision designs have been the basis upon which each IOU submits URD tariff changes for Commission approval: low density, high density, and a high density subdivision where dwelling units take service at ganged meter pedestals (groups of meters at the same physical location). While actual construction may differ from the model subdivisions, the model subdivisions are designed to reflect average overhead and underground subdivisions. </w:t>
      </w:r>
    </w:p>
    <w:p w:rsidR="00281796" w:rsidRDefault="00281796">
      <w:pPr>
        <w:pStyle w:val="BodyText"/>
      </w:pPr>
      <w:r>
        <w:t xml:space="preserve">Costs for underground construction have historically been higher </w:t>
      </w:r>
      <w:r w:rsidR="00F75D07">
        <w:t xml:space="preserve">than costs </w:t>
      </w:r>
      <w:r>
        <w:t xml:space="preserve">for standard overhead construction and the additional cost is paid by the customer as a CIAC. However, as shown on </w:t>
      </w:r>
      <w:r w:rsidR="00FA49BD">
        <w:t>Table 1-1</w:t>
      </w:r>
      <w:r>
        <w:t xml:space="preserve">, Duke’s proposed URD differential charges are $0 </w:t>
      </w:r>
      <w:r w:rsidR="00D42559">
        <w:t xml:space="preserve">per lot </w:t>
      </w:r>
      <w:r>
        <w:t xml:space="preserve">for </w:t>
      </w:r>
      <w:r w:rsidR="00FA49BD">
        <w:t xml:space="preserve">the </w:t>
      </w:r>
      <w:r w:rsidR="00D50879">
        <w:t>l</w:t>
      </w:r>
      <w:r>
        <w:t xml:space="preserve">ow </w:t>
      </w:r>
      <w:r w:rsidR="00D50879">
        <w:t>d</w:t>
      </w:r>
      <w:r>
        <w:t xml:space="preserve">ensity and </w:t>
      </w:r>
      <w:r w:rsidR="00D50879">
        <w:t>g</w:t>
      </w:r>
      <w:r>
        <w:t xml:space="preserve">anged </w:t>
      </w:r>
      <w:r w:rsidR="00D50879">
        <w:t>m</w:t>
      </w:r>
      <w:r>
        <w:t>eter</w:t>
      </w:r>
      <w:r w:rsidR="00FA49BD">
        <w:t xml:space="preserve"> subdivisions</w:t>
      </w:r>
      <w:r w:rsidR="00D423C6">
        <w:t xml:space="preserve">. Therefore, the URD customer will not be assessed a CIAC charge for requesting underground service in the low density and ganged meter subdivisions. </w:t>
      </w:r>
      <w:r w:rsidR="00FA49BD">
        <w:t>For the</w:t>
      </w:r>
      <w:r>
        <w:t xml:space="preserve"> </w:t>
      </w:r>
      <w:r w:rsidR="00D50879">
        <w:t>h</w:t>
      </w:r>
      <w:r>
        <w:t xml:space="preserve">igh </w:t>
      </w:r>
      <w:r w:rsidR="00D50879">
        <w:t>d</w:t>
      </w:r>
      <w:r>
        <w:t xml:space="preserve">ensity </w:t>
      </w:r>
      <w:r w:rsidR="00FA49BD">
        <w:t xml:space="preserve">subdivision the proposed differential </w:t>
      </w:r>
      <w:r w:rsidR="00D423C6">
        <w:t>decreased from $4</w:t>
      </w:r>
      <w:r w:rsidR="000C1437">
        <w:t>03</w:t>
      </w:r>
      <w:r w:rsidR="00D423C6">
        <w:t xml:space="preserve"> to</w:t>
      </w:r>
      <w:r>
        <w:t xml:space="preserve"> $34</w:t>
      </w:r>
      <w:r w:rsidR="00D42559">
        <w:t xml:space="preserve"> per lot</w:t>
      </w:r>
      <w:r>
        <w:t>.</w:t>
      </w:r>
      <w:r w:rsidR="000C1437">
        <w:t xml:space="preserve"> The decrease in the differentials is primarily attributable to changes in </w:t>
      </w:r>
      <w:r w:rsidR="00F75D07">
        <w:t>Duke’s</w:t>
      </w:r>
      <w:r w:rsidR="000C1437">
        <w:t xml:space="preserve"> operational costs</w:t>
      </w:r>
      <w:r w:rsidR="00F75D07">
        <w:t>,</w:t>
      </w:r>
      <w:r w:rsidR="000C1437">
        <w:t xml:space="preserve"> as discussed in more detail in the section of the recommendation titled operation</w:t>
      </w:r>
      <w:r w:rsidR="00F75D07">
        <w:t>al</w:t>
      </w:r>
      <w:r w:rsidR="000C1437">
        <w:t xml:space="preserve"> costs.</w:t>
      </w:r>
      <w:r w:rsidR="00D423C6" w:rsidRPr="00D423C6">
        <w:t xml:space="preserve"> </w:t>
      </w:r>
    </w:p>
    <w:p w:rsidR="00457717" w:rsidRDefault="00A03705">
      <w:pPr>
        <w:pStyle w:val="BodyText"/>
      </w:pPr>
      <w:r>
        <w:t xml:space="preserve">Table 1-1 shows the current and proposed URD differentials for the low density, high density, and ganged meter subdivisions. The charges shown are per-lot charges.  </w:t>
      </w:r>
    </w:p>
    <w:p w:rsidR="00457717" w:rsidRDefault="00457717" w:rsidP="00457717">
      <w:r>
        <w:br w:type="page"/>
      </w:r>
    </w:p>
    <w:p w:rsidR="00241E53" w:rsidRDefault="00241E53" w:rsidP="00241E53">
      <w:pPr>
        <w:pStyle w:val="TableNumber"/>
        <w:keepNext/>
      </w:pPr>
      <w:r>
        <w:lastRenderedPageBreak/>
        <w:t xml:space="preserve">Table </w:t>
      </w:r>
      <w:r w:rsidR="00366543">
        <w:fldChar w:fldCharType="begin"/>
      </w:r>
      <w:r w:rsidR="00366543">
        <w:instrText xml:space="preserve"> SEQ Issue \c </w:instrText>
      </w:r>
      <w:r w:rsidR="00366543">
        <w:fldChar w:fldCharType="separate"/>
      </w:r>
      <w:r w:rsidR="00685FD2">
        <w:rPr>
          <w:noProof/>
        </w:rPr>
        <w:t>1</w:t>
      </w:r>
      <w:r w:rsidR="00366543">
        <w:rPr>
          <w:noProof/>
        </w:rPr>
        <w:fldChar w:fldCharType="end"/>
      </w:r>
      <w:r>
        <w:t>-1</w:t>
      </w:r>
    </w:p>
    <w:p w:rsidR="00241E53" w:rsidRDefault="00241E53" w:rsidP="00241E53">
      <w:pPr>
        <w:pStyle w:val="TableTitle"/>
        <w:keepNext/>
      </w:pPr>
      <w:r>
        <w:t>Comparison of URD Differential per Lot</w:t>
      </w:r>
    </w:p>
    <w:tbl>
      <w:tblPr>
        <w:tblStyle w:val="TableGrid"/>
        <w:tblW w:w="0" w:type="auto"/>
        <w:tblInd w:w="918" w:type="dxa"/>
        <w:tblLook w:val="04A0" w:firstRow="1" w:lastRow="0" w:firstColumn="1" w:lastColumn="0" w:noHBand="0" w:noVBand="1"/>
      </w:tblPr>
      <w:tblGrid>
        <w:gridCol w:w="2700"/>
        <w:gridCol w:w="2766"/>
        <w:gridCol w:w="2454"/>
      </w:tblGrid>
      <w:tr w:rsidR="00241E53" w:rsidTr="00FA49BD">
        <w:tc>
          <w:tcPr>
            <w:tcW w:w="2700" w:type="dxa"/>
            <w:vAlign w:val="center"/>
          </w:tcPr>
          <w:p w:rsidR="00241E53" w:rsidRPr="009F61ED" w:rsidRDefault="00FA49BD" w:rsidP="00FA49BD">
            <w:pPr>
              <w:rPr>
                <w:b/>
              </w:rPr>
            </w:pPr>
            <w:r>
              <w:rPr>
                <w:b/>
              </w:rPr>
              <w:t>Types of Subdivision</w:t>
            </w:r>
          </w:p>
        </w:tc>
        <w:tc>
          <w:tcPr>
            <w:tcW w:w="2766" w:type="dxa"/>
          </w:tcPr>
          <w:p w:rsidR="00241E53" w:rsidRPr="009F61ED" w:rsidRDefault="00241E53" w:rsidP="00FA49BD">
            <w:pPr>
              <w:jc w:val="center"/>
              <w:rPr>
                <w:b/>
              </w:rPr>
            </w:pPr>
            <w:r w:rsidRPr="009F61ED">
              <w:rPr>
                <w:b/>
              </w:rPr>
              <w:t xml:space="preserve">Current </w:t>
            </w:r>
            <w:r w:rsidR="00FA49BD">
              <w:rPr>
                <w:b/>
              </w:rPr>
              <w:t xml:space="preserve">URD </w:t>
            </w:r>
            <w:r w:rsidRPr="009F61ED">
              <w:rPr>
                <w:b/>
              </w:rPr>
              <w:t>Differential</w:t>
            </w:r>
          </w:p>
        </w:tc>
        <w:tc>
          <w:tcPr>
            <w:tcW w:w="2454" w:type="dxa"/>
          </w:tcPr>
          <w:p w:rsidR="00241E53" w:rsidRPr="009F61ED" w:rsidRDefault="00241E53" w:rsidP="00FA49BD">
            <w:pPr>
              <w:jc w:val="center"/>
              <w:rPr>
                <w:b/>
              </w:rPr>
            </w:pPr>
            <w:r w:rsidRPr="009F61ED">
              <w:rPr>
                <w:b/>
              </w:rPr>
              <w:t xml:space="preserve">Proposed </w:t>
            </w:r>
            <w:r w:rsidR="00FA49BD">
              <w:rPr>
                <w:b/>
              </w:rPr>
              <w:t xml:space="preserve">URD </w:t>
            </w:r>
            <w:r w:rsidRPr="009F61ED">
              <w:rPr>
                <w:b/>
              </w:rPr>
              <w:t>Differential</w:t>
            </w:r>
          </w:p>
        </w:tc>
      </w:tr>
      <w:tr w:rsidR="00241E53" w:rsidTr="00EA1178">
        <w:tc>
          <w:tcPr>
            <w:tcW w:w="2700" w:type="dxa"/>
          </w:tcPr>
          <w:p w:rsidR="00241E53" w:rsidRDefault="00241E53" w:rsidP="00EA1178">
            <w:r>
              <w:t>Low Density</w:t>
            </w:r>
          </w:p>
        </w:tc>
        <w:tc>
          <w:tcPr>
            <w:tcW w:w="2766" w:type="dxa"/>
          </w:tcPr>
          <w:p w:rsidR="00241E53" w:rsidRDefault="00241E53" w:rsidP="00D53A47">
            <w:pPr>
              <w:jc w:val="center"/>
            </w:pPr>
            <w:r>
              <w:t>$694</w:t>
            </w:r>
          </w:p>
        </w:tc>
        <w:tc>
          <w:tcPr>
            <w:tcW w:w="2454" w:type="dxa"/>
          </w:tcPr>
          <w:p w:rsidR="00241E53" w:rsidRDefault="00241E53" w:rsidP="000C1437">
            <w:pPr>
              <w:jc w:val="center"/>
            </w:pPr>
            <w:r>
              <w:t>$0</w:t>
            </w:r>
          </w:p>
        </w:tc>
      </w:tr>
      <w:tr w:rsidR="00241E53" w:rsidTr="00EA1178">
        <w:tc>
          <w:tcPr>
            <w:tcW w:w="2700" w:type="dxa"/>
          </w:tcPr>
          <w:p w:rsidR="00241E53" w:rsidRDefault="00241E53" w:rsidP="00EA1178">
            <w:r>
              <w:t>High Density</w:t>
            </w:r>
          </w:p>
        </w:tc>
        <w:tc>
          <w:tcPr>
            <w:tcW w:w="2766" w:type="dxa"/>
          </w:tcPr>
          <w:p w:rsidR="00241E53" w:rsidRDefault="00241E53" w:rsidP="00D53A47">
            <w:pPr>
              <w:jc w:val="center"/>
            </w:pPr>
            <w:r>
              <w:t>$403</w:t>
            </w:r>
          </w:p>
        </w:tc>
        <w:tc>
          <w:tcPr>
            <w:tcW w:w="2454" w:type="dxa"/>
          </w:tcPr>
          <w:p w:rsidR="00241E53" w:rsidRDefault="00E256B1" w:rsidP="000C1437">
            <w:pPr>
              <w:jc w:val="center"/>
            </w:pPr>
            <w:r>
              <w:t>$34</w:t>
            </w:r>
          </w:p>
        </w:tc>
      </w:tr>
      <w:tr w:rsidR="00241E53" w:rsidTr="00EA1178">
        <w:tc>
          <w:tcPr>
            <w:tcW w:w="2700" w:type="dxa"/>
          </w:tcPr>
          <w:p w:rsidR="00241E53" w:rsidRDefault="00241E53" w:rsidP="00EA1178">
            <w:r>
              <w:t>Ganged Meter</w:t>
            </w:r>
          </w:p>
        </w:tc>
        <w:tc>
          <w:tcPr>
            <w:tcW w:w="2766" w:type="dxa"/>
          </w:tcPr>
          <w:p w:rsidR="00241E53" w:rsidRDefault="00241E53" w:rsidP="00D53A47">
            <w:pPr>
              <w:jc w:val="center"/>
            </w:pPr>
            <w:r>
              <w:t>$158</w:t>
            </w:r>
          </w:p>
        </w:tc>
        <w:tc>
          <w:tcPr>
            <w:tcW w:w="2454" w:type="dxa"/>
          </w:tcPr>
          <w:p w:rsidR="00241E53" w:rsidRDefault="00241E53" w:rsidP="000C1437">
            <w:pPr>
              <w:jc w:val="center"/>
            </w:pPr>
            <w:r>
              <w:t>$0</w:t>
            </w:r>
          </w:p>
        </w:tc>
      </w:tr>
    </w:tbl>
    <w:p w:rsidR="007C45A2" w:rsidRDefault="00241E53" w:rsidP="007C45A2">
      <w:pPr>
        <w:pStyle w:val="TableSource"/>
        <w:ind w:firstLine="720"/>
        <w:rPr>
          <w:sz w:val="20"/>
          <w:szCs w:val="20"/>
        </w:rPr>
      </w:pPr>
      <w:r w:rsidRPr="00BC1381">
        <w:rPr>
          <w:sz w:val="20"/>
          <w:szCs w:val="20"/>
        </w:rPr>
        <w:t>Source: Order</w:t>
      </w:r>
      <w:r w:rsidR="007A29AA">
        <w:rPr>
          <w:sz w:val="20"/>
          <w:szCs w:val="20"/>
        </w:rPr>
        <w:t xml:space="preserve"> PSC-2017-0283-TRF-EI</w:t>
      </w:r>
      <w:r w:rsidRPr="00BC1381">
        <w:rPr>
          <w:sz w:val="20"/>
          <w:szCs w:val="20"/>
        </w:rPr>
        <w:t xml:space="preserve"> and </w:t>
      </w:r>
      <w:r w:rsidR="007A29AA">
        <w:rPr>
          <w:sz w:val="20"/>
          <w:szCs w:val="20"/>
        </w:rPr>
        <w:t xml:space="preserve">Duke’s </w:t>
      </w:r>
      <w:r>
        <w:rPr>
          <w:sz w:val="20"/>
          <w:szCs w:val="20"/>
        </w:rPr>
        <w:t>2019</w:t>
      </w:r>
      <w:r w:rsidRPr="00BC1381">
        <w:rPr>
          <w:sz w:val="20"/>
          <w:szCs w:val="20"/>
        </w:rPr>
        <w:t xml:space="preserve"> Petition</w:t>
      </w:r>
    </w:p>
    <w:p w:rsidR="00B33297" w:rsidRPr="007C45A2" w:rsidRDefault="00B33297" w:rsidP="007C45A2">
      <w:pPr>
        <w:pStyle w:val="TableSource"/>
        <w:rPr>
          <w:sz w:val="20"/>
          <w:szCs w:val="20"/>
        </w:rPr>
      </w:pPr>
      <w:r>
        <w:t xml:space="preserve">The calculations of the proposed URD charges include </w:t>
      </w:r>
      <w:r w:rsidR="00386CED">
        <w:t xml:space="preserve">(1) </w:t>
      </w:r>
      <w:r>
        <w:t xml:space="preserve">updated labor and material costs </w:t>
      </w:r>
      <w:r w:rsidR="00386CED">
        <w:t xml:space="preserve">along with the associated loading factors </w:t>
      </w:r>
      <w:r>
        <w:t xml:space="preserve">and </w:t>
      </w:r>
      <w:r w:rsidR="00386CED">
        <w:t xml:space="preserve">(2) </w:t>
      </w:r>
      <w:r>
        <w:t xml:space="preserve">operational costs. The costs are discussed below. </w:t>
      </w:r>
    </w:p>
    <w:p w:rsidR="00241E53" w:rsidRDefault="00241E53" w:rsidP="00241E53">
      <w:pPr>
        <w:pStyle w:val="First-LevelSubheading"/>
      </w:pPr>
      <w:r>
        <w:t>Labor and Material Costs</w:t>
      </w:r>
    </w:p>
    <w:p w:rsidR="00386CED" w:rsidRDefault="00241E53" w:rsidP="00241E53">
      <w:pPr>
        <w:pStyle w:val="BodyText"/>
      </w:pPr>
      <w:r w:rsidRPr="003A71EA">
        <w:t xml:space="preserve">The installation costs of both overhead and underground facilities include the labor and material costs to provide primary, secondary, and service distribution lines, as well as transformers. The </w:t>
      </w:r>
      <w:r w:rsidR="00386CED" w:rsidRPr="003A71EA">
        <w:t>costs of poles are</w:t>
      </w:r>
      <w:r w:rsidR="00386CED">
        <w:t xml:space="preserve"> specific to overhead service while the costs of trenching and backfilling are specific to underground serv</w:t>
      </w:r>
      <w:r w:rsidR="00F75D07">
        <w:t>ice. The utilities are required</w:t>
      </w:r>
      <w:r w:rsidR="00386CED">
        <w:t xml:space="preserve"> by Rule 25-6.078 (5)</w:t>
      </w:r>
      <w:r w:rsidR="00F75D07">
        <w:t>,</w:t>
      </w:r>
      <w:r w:rsidR="00386CED">
        <w:t xml:space="preserve"> F.A.C., to use current labor and material costs. </w:t>
      </w:r>
    </w:p>
    <w:p w:rsidR="00457717" w:rsidRDefault="00457717" w:rsidP="00241E53">
      <w:pPr>
        <w:pStyle w:val="BodyText"/>
      </w:pPr>
      <w:r>
        <w:t>Duke’s labor costs for overhead and underground construction are comprised of costs associated with work performed by both in-house employees and outside contractors. Duke’s in-house labor rates are based upon actual labor costs negotiated in bargaining unit contracts and labor rates with contractors are negotiated. Table 1-2 compares total 2017 and 2019 labor and material costs for the three subdivision models.</w:t>
      </w:r>
    </w:p>
    <w:p w:rsidR="009E27DB" w:rsidRDefault="009E27DB" w:rsidP="009E27DB">
      <w:pPr>
        <w:pStyle w:val="TableNumber"/>
        <w:keepNext/>
      </w:pPr>
      <w:r>
        <w:t xml:space="preserve">Table </w:t>
      </w:r>
      <w:r w:rsidR="00366543">
        <w:fldChar w:fldCharType="begin"/>
      </w:r>
      <w:r w:rsidR="00366543">
        <w:instrText xml:space="preserve"> SEQ Issue \c </w:instrText>
      </w:r>
      <w:r w:rsidR="00366543">
        <w:fldChar w:fldCharType="separate"/>
      </w:r>
      <w:r w:rsidR="00685FD2">
        <w:rPr>
          <w:noProof/>
        </w:rPr>
        <w:t>1</w:t>
      </w:r>
      <w:r w:rsidR="00366543">
        <w:rPr>
          <w:noProof/>
        </w:rPr>
        <w:fldChar w:fldCharType="end"/>
      </w:r>
      <w:r>
        <w:t>-2</w:t>
      </w:r>
    </w:p>
    <w:p w:rsidR="009E27DB" w:rsidRDefault="009E27DB" w:rsidP="009E27DB">
      <w:pPr>
        <w:pStyle w:val="TableTitle"/>
        <w:keepNext/>
      </w:pPr>
      <w:r>
        <w:t>Labor and Material Costs per Lot</w:t>
      </w:r>
    </w:p>
    <w:tbl>
      <w:tblPr>
        <w:tblStyle w:val="TableGrid"/>
        <w:tblW w:w="0" w:type="auto"/>
        <w:jc w:val="center"/>
        <w:tblLook w:val="04A0" w:firstRow="1" w:lastRow="0" w:firstColumn="1" w:lastColumn="0" w:noHBand="0" w:noVBand="1"/>
      </w:tblPr>
      <w:tblGrid>
        <w:gridCol w:w="4068"/>
        <w:gridCol w:w="1440"/>
        <w:gridCol w:w="1530"/>
        <w:gridCol w:w="1440"/>
      </w:tblGrid>
      <w:tr w:rsidR="009E27DB" w:rsidTr="009E27DB">
        <w:trPr>
          <w:jc w:val="center"/>
        </w:trPr>
        <w:tc>
          <w:tcPr>
            <w:tcW w:w="4068" w:type="dxa"/>
          </w:tcPr>
          <w:p w:rsidR="009E27DB" w:rsidRDefault="009E27DB" w:rsidP="00EA1178"/>
        </w:tc>
        <w:tc>
          <w:tcPr>
            <w:tcW w:w="1440" w:type="dxa"/>
          </w:tcPr>
          <w:p w:rsidR="009E27DB" w:rsidRPr="00311D65" w:rsidRDefault="009E27DB" w:rsidP="00D53A47">
            <w:pPr>
              <w:jc w:val="center"/>
              <w:rPr>
                <w:b/>
              </w:rPr>
            </w:pPr>
            <w:r w:rsidRPr="00311D65">
              <w:rPr>
                <w:b/>
              </w:rPr>
              <w:t>2017 Costs</w:t>
            </w:r>
          </w:p>
        </w:tc>
        <w:tc>
          <w:tcPr>
            <w:tcW w:w="1530" w:type="dxa"/>
          </w:tcPr>
          <w:p w:rsidR="009E27DB" w:rsidRPr="00311D65" w:rsidRDefault="009E27DB" w:rsidP="00D53A47">
            <w:pPr>
              <w:jc w:val="center"/>
              <w:rPr>
                <w:b/>
              </w:rPr>
            </w:pPr>
            <w:r w:rsidRPr="00311D65">
              <w:rPr>
                <w:b/>
              </w:rPr>
              <w:t>2019 Costs</w:t>
            </w:r>
          </w:p>
        </w:tc>
        <w:tc>
          <w:tcPr>
            <w:tcW w:w="1440" w:type="dxa"/>
          </w:tcPr>
          <w:p w:rsidR="009E27DB" w:rsidRPr="00311D65" w:rsidRDefault="009E27DB" w:rsidP="00D53A47">
            <w:pPr>
              <w:jc w:val="center"/>
              <w:rPr>
                <w:b/>
              </w:rPr>
            </w:pPr>
            <w:r w:rsidRPr="00311D65">
              <w:rPr>
                <w:b/>
              </w:rPr>
              <w:t>Difference</w:t>
            </w:r>
          </w:p>
        </w:tc>
      </w:tr>
      <w:tr w:rsidR="009E27DB" w:rsidTr="009E27DB">
        <w:trPr>
          <w:jc w:val="center"/>
        </w:trPr>
        <w:tc>
          <w:tcPr>
            <w:tcW w:w="8478" w:type="dxa"/>
            <w:gridSpan w:val="4"/>
          </w:tcPr>
          <w:p w:rsidR="009E27DB" w:rsidRDefault="009E27DB" w:rsidP="00EA1178">
            <w:r w:rsidRPr="00311D65">
              <w:rPr>
                <w:b/>
              </w:rPr>
              <w:t>Low Density</w:t>
            </w:r>
          </w:p>
        </w:tc>
      </w:tr>
      <w:tr w:rsidR="009E27DB" w:rsidTr="009E27DB">
        <w:trPr>
          <w:jc w:val="center"/>
        </w:trPr>
        <w:tc>
          <w:tcPr>
            <w:tcW w:w="4068" w:type="dxa"/>
          </w:tcPr>
          <w:p w:rsidR="009E27DB" w:rsidRDefault="009E27DB" w:rsidP="00EA1178">
            <w:r>
              <w:t>Underground Labor/Material Costs</w:t>
            </w:r>
          </w:p>
        </w:tc>
        <w:tc>
          <w:tcPr>
            <w:tcW w:w="1440" w:type="dxa"/>
          </w:tcPr>
          <w:p w:rsidR="009E27DB" w:rsidRDefault="009E27DB" w:rsidP="00D53A47">
            <w:pPr>
              <w:jc w:val="center"/>
            </w:pPr>
            <w:r>
              <w:t>$1,477</w:t>
            </w:r>
          </w:p>
        </w:tc>
        <w:tc>
          <w:tcPr>
            <w:tcW w:w="1530" w:type="dxa"/>
          </w:tcPr>
          <w:p w:rsidR="009E27DB" w:rsidRDefault="009E27DB" w:rsidP="00D53A47">
            <w:pPr>
              <w:jc w:val="center"/>
            </w:pPr>
            <w:r>
              <w:t>$1,620</w:t>
            </w:r>
          </w:p>
        </w:tc>
        <w:tc>
          <w:tcPr>
            <w:tcW w:w="1440" w:type="dxa"/>
          </w:tcPr>
          <w:p w:rsidR="009E27DB" w:rsidRDefault="009E27DB" w:rsidP="00D53A47">
            <w:pPr>
              <w:jc w:val="center"/>
            </w:pPr>
            <w:r>
              <w:t>$143</w:t>
            </w:r>
          </w:p>
        </w:tc>
      </w:tr>
      <w:tr w:rsidR="009E27DB" w:rsidTr="009E27DB">
        <w:trPr>
          <w:jc w:val="center"/>
        </w:trPr>
        <w:tc>
          <w:tcPr>
            <w:tcW w:w="4068" w:type="dxa"/>
          </w:tcPr>
          <w:p w:rsidR="009E27DB" w:rsidRDefault="009E27DB" w:rsidP="00EA1178">
            <w:r>
              <w:t>Overhead Labor/Material Costs</w:t>
            </w:r>
          </w:p>
        </w:tc>
        <w:tc>
          <w:tcPr>
            <w:tcW w:w="1440" w:type="dxa"/>
          </w:tcPr>
          <w:p w:rsidR="009E27DB" w:rsidRDefault="009E27DB" w:rsidP="00D53A47">
            <w:pPr>
              <w:jc w:val="center"/>
            </w:pPr>
            <w:r>
              <w:t>$1,069</w:t>
            </w:r>
          </w:p>
        </w:tc>
        <w:tc>
          <w:tcPr>
            <w:tcW w:w="1530" w:type="dxa"/>
          </w:tcPr>
          <w:p w:rsidR="009E27DB" w:rsidRDefault="009E27DB" w:rsidP="00D53A47">
            <w:pPr>
              <w:jc w:val="center"/>
            </w:pPr>
            <w:r>
              <w:t>$1,323</w:t>
            </w:r>
          </w:p>
        </w:tc>
        <w:tc>
          <w:tcPr>
            <w:tcW w:w="1440" w:type="dxa"/>
          </w:tcPr>
          <w:p w:rsidR="009E27DB" w:rsidRDefault="009E27DB" w:rsidP="00D53A47">
            <w:pPr>
              <w:jc w:val="center"/>
            </w:pPr>
            <w:r>
              <w:t>$254</w:t>
            </w:r>
          </w:p>
        </w:tc>
      </w:tr>
      <w:tr w:rsidR="009E27DB" w:rsidTr="009E27DB">
        <w:trPr>
          <w:jc w:val="center"/>
        </w:trPr>
        <w:tc>
          <w:tcPr>
            <w:tcW w:w="4068" w:type="dxa"/>
          </w:tcPr>
          <w:p w:rsidR="009E27DB" w:rsidRDefault="009E27DB" w:rsidP="00EA1178">
            <w:r>
              <w:t>Per lot Differential</w:t>
            </w:r>
          </w:p>
        </w:tc>
        <w:tc>
          <w:tcPr>
            <w:tcW w:w="1440" w:type="dxa"/>
          </w:tcPr>
          <w:p w:rsidR="009E27DB" w:rsidRDefault="009E27DB" w:rsidP="00D53A47">
            <w:pPr>
              <w:jc w:val="center"/>
            </w:pPr>
            <w:r>
              <w:t>$408</w:t>
            </w:r>
          </w:p>
        </w:tc>
        <w:tc>
          <w:tcPr>
            <w:tcW w:w="1530" w:type="dxa"/>
          </w:tcPr>
          <w:p w:rsidR="009E27DB" w:rsidRDefault="009E27DB" w:rsidP="00D53A47">
            <w:pPr>
              <w:jc w:val="center"/>
            </w:pPr>
            <w:r>
              <w:t>$297</w:t>
            </w:r>
          </w:p>
        </w:tc>
        <w:tc>
          <w:tcPr>
            <w:tcW w:w="1440" w:type="dxa"/>
          </w:tcPr>
          <w:p w:rsidR="009E27DB" w:rsidRDefault="009E27DB" w:rsidP="00D53A47">
            <w:pPr>
              <w:jc w:val="center"/>
            </w:pPr>
            <w:r>
              <w:t>($111)</w:t>
            </w:r>
          </w:p>
        </w:tc>
      </w:tr>
      <w:tr w:rsidR="009E27DB" w:rsidTr="009E27DB">
        <w:trPr>
          <w:jc w:val="center"/>
        </w:trPr>
        <w:tc>
          <w:tcPr>
            <w:tcW w:w="8478" w:type="dxa"/>
            <w:gridSpan w:val="4"/>
          </w:tcPr>
          <w:p w:rsidR="009E27DB" w:rsidRDefault="009E27DB" w:rsidP="00EA1178">
            <w:r w:rsidRPr="00311D65">
              <w:rPr>
                <w:b/>
              </w:rPr>
              <w:t>High Density</w:t>
            </w:r>
          </w:p>
        </w:tc>
      </w:tr>
      <w:tr w:rsidR="009E27DB" w:rsidTr="009E27DB">
        <w:trPr>
          <w:jc w:val="center"/>
        </w:trPr>
        <w:tc>
          <w:tcPr>
            <w:tcW w:w="4068" w:type="dxa"/>
          </w:tcPr>
          <w:p w:rsidR="009E27DB" w:rsidRDefault="009E27DB" w:rsidP="00EA1178">
            <w:r>
              <w:t>Underground Labor/Material Costs</w:t>
            </w:r>
          </w:p>
        </w:tc>
        <w:tc>
          <w:tcPr>
            <w:tcW w:w="1440" w:type="dxa"/>
          </w:tcPr>
          <w:p w:rsidR="009E27DB" w:rsidRDefault="009E27DB" w:rsidP="00D53A47">
            <w:pPr>
              <w:jc w:val="center"/>
            </w:pPr>
            <w:r>
              <w:t>$1,181</w:t>
            </w:r>
          </w:p>
        </w:tc>
        <w:tc>
          <w:tcPr>
            <w:tcW w:w="1530" w:type="dxa"/>
          </w:tcPr>
          <w:p w:rsidR="009E27DB" w:rsidRDefault="009E27DB" w:rsidP="00D53A47">
            <w:pPr>
              <w:jc w:val="center"/>
            </w:pPr>
            <w:r>
              <w:t>$1,484</w:t>
            </w:r>
          </w:p>
        </w:tc>
        <w:tc>
          <w:tcPr>
            <w:tcW w:w="1440" w:type="dxa"/>
          </w:tcPr>
          <w:p w:rsidR="009E27DB" w:rsidRDefault="009E27DB" w:rsidP="00D53A47">
            <w:pPr>
              <w:jc w:val="center"/>
            </w:pPr>
            <w:r>
              <w:t>$303</w:t>
            </w:r>
          </w:p>
        </w:tc>
      </w:tr>
      <w:tr w:rsidR="009E27DB" w:rsidTr="009E27DB">
        <w:trPr>
          <w:jc w:val="center"/>
        </w:trPr>
        <w:tc>
          <w:tcPr>
            <w:tcW w:w="4068" w:type="dxa"/>
          </w:tcPr>
          <w:p w:rsidR="009E27DB" w:rsidRDefault="009E27DB" w:rsidP="00EA1178">
            <w:r>
              <w:t>Overhead Labor/Material Costs</w:t>
            </w:r>
          </w:p>
        </w:tc>
        <w:tc>
          <w:tcPr>
            <w:tcW w:w="1440" w:type="dxa"/>
          </w:tcPr>
          <w:p w:rsidR="009E27DB" w:rsidRDefault="009E27DB" w:rsidP="00D53A47">
            <w:pPr>
              <w:jc w:val="center"/>
            </w:pPr>
            <w:r>
              <w:t>$865</w:t>
            </w:r>
          </w:p>
        </w:tc>
        <w:tc>
          <w:tcPr>
            <w:tcW w:w="1530" w:type="dxa"/>
          </w:tcPr>
          <w:p w:rsidR="009E27DB" w:rsidRDefault="009E27DB" w:rsidP="00D53A47">
            <w:pPr>
              <w:jc w:val="center"/>
            </w:pPr>
            <w:r>
              <w:t>$1,009</w:t>
            </w:r>
          </w:p>
        </w:tc>
        <w:tc>
          <w:tcPr>
            <w:tcW w:w="1440" w:type="dxa"/>
          </w:tcPr>
          <w:p w:rsidR="009E27DB" w:rsidRDefault="009E27DB" w:rsidP="00D53A47">
            <w:pPr>
              <w:jc w:val="center"/>
            </w:pPr>
            <w:r>
              <w:t>$144</w:t>
            </w:r>
          </w:p>
        </w:tc>
      </w:tr>
      <w:tr w:rsidR="009E27DB" w:rsidTr="009E27DB">
        <w:trPr>
          <w:jc w:val="center"/>
        </w:trPr>
        <w:tc>
          <w:tcPr>
            <w:tcW w:w="4068" w:type="dxa"/>
          </w:tcPr>
          <w:p w:rsidR="009E27DB" w:rsidRDefault="009E27DB" w:rsidP="00EA1178">
            <w:r>
              <w:t>Per lot Differential</w:t>
            </w:r>
          </w:p>
        </w:tc>
        <w:tc>
          <w:tcPr>
            <w:tcW w:w="1440" w:type="dxa"/>
          </w:tcPr>
          <w:p w:rsidR="009E27DB" w:rsidRDefault="009E27DB" w:rsidP="00D53A47">
            <w:pPr>
              <w:jc w:val="center"/>
            </w:pPr>
            <w:r>
              <w:t>$316</w:t>
            </w:r>
          </w:p>
        </w:tc>
        <w:tc>
          <w:tcPr>
            <w:tcW w:w="1530" w:type="dxa"/>
          </w:tcPr>
          <w:p w:rsidR="009E27DB" w:rsidRDefault="009E27DB" w:rsidP="00D53A47">
            <w:pPr>
              <w:jc w:val="center"/>
            </w:pPr>
            <w:r>
              <w:t>$475</w:t>
            </w:r>
          </w:p>
        </w:tc>
        <w:tc>
          <w:tcPr>
            <w:tcW w:w="1440" w:type="dxa"/>
          </w:tcPr>
          <w:p w:rsidR="009E27DB" w:rsidRDefault="009E27DB" w:rsidP="00D53A47">
            <w:pPr>
              <w:jc w:val="center"/>
            </w:pPr>
            <w:r>
              <w:t>$159</w:t>
            </w:r>
          </w:p>
        </w:tc>
      </w:tr>
      <w:tr w:rsidR="009E27DB" w:rsidTr="009E27DB">
        <w:trPr>
          <w:jc w:val="center"/>
        </w:trPr>
        <w:tc>
          <w:tcPr>
            <w:tcW w:w="8478" w:type="dxa"/>
            <w:gridSpan w:val="4"/>
          </w:tcPr>
          <w:p w:rsidR="009E27DB" w:rsidRPr="000A355D" w:rsidRDefault="009E27DB" w:rsidP="00EA1178">
            <w:pPr>
              <w:rPr>
                <w:b/>
              </w:rPr>
            </w:pPr>
            <w:r w:rsidRPr="000A355D">
              <w:rPr>
                <w:b/>
              </w:rPr>
              <w:t>Ganged Meter</w:t>
            </w:r>
          </w:p>
        </w:tc>
      </w:tr>
      <w:tr w:rsidR="009E27DB" w:rsidTr="009E27DB">
        <w:trPr>
          <w:jc w:val="center"/>
        </w:trPr>
        <w:tc>
          <w:tcPr>
            <w:tcW w:w="4068" w:type="dxa"/>
          </w:tcPr>
          <w:p w:rsidR="009E27DB" w:rsidRDefault="009E27DB" w:rsidP="00EA1178">
            <w:r>
              <w:t>Underground Labor/Material Costs</w:t>
            </w:r>
          </w:p>
        </w:tc>
        <w:tc>
          <w:tcPr>
            <w:tcW w:w="1440" w:type="dxa"/>
          </w:tcPr>
          <w:p w:rsidR="009E27DB" w:rsidRDefault="009E27DB" w:rsidP="00D53A47">
            <w:pPr>
              <w:jc w:val="center"/>
            </w:pPr>
            <w:r>
              <w:t>$686</w:t>
            </w:r>
          </w:p>
        </w:tc>
        <w:tc>
          <w:tcPr>
            <w:tcW w:w="1530" w:type="dxa"/>
          </w:tcPr>
          <w:p w:rsidR="009E27DB" w:rsidRDefault="009E27DB" w:rsidP="00D53A47">
            <w:pPr>
              <w:jc w:val="center"/>
            </w:pPr>
            <w:r>
              <w:t>$581</w:t>
            </w:r>
          </w:p>
        </w:tc>
        <w:tc>
          <w:tcPr>
            <w:tcW w:w="1440" w:type="dxa"/>
          </w:tcPr>
          <w:p w:rsidR="009E27DB" w:rsidRDefault="009E27DB" w:rsidP="00D53A47">
            <w:pPr>
              <w:jc w:val="center"/>
            </w:pPr>
            <w:r>
              <w:t>($105)</w:t>
            </w:r>
          </w:p>
        </w:tc>
      </w:tr>
      <w:tr w:rsidR="009E27DB" w:rsidTr="009E27DB">
        <w:trPr>
          <w:jc w:val="center"/>
        </w:trPr>
        <w:tc>
          <w:tcPr>
            <w:tcW w:w="4068" w:type="dxa"/>
          </w:tcPr>
          <w:p w:rsidR="009E27DB" w:rsidRDefault="009E27DB" w:rsidP="00EA1178">
            <w:r>
              <w:t>Overhead Labor/Material Costs</w:t>
            </w:r>
          </w:p>
        </w:tc>
        <w:tc>
          <w:tcPr>
            <w:tcW w:w="1440" w:type="dxa"/>
          </w:tcPr>
          <w:p w:rsidR="009E27DB" w:rsidRDefault="009E27DB" w:rsidP="00D53A47">
            <w:pPr>
              <w:jc w:val="center"/>
            </w:pPr>
            <w:r>
              <w:t>$609</w:t>
            </w:r>
          </w:p>
        </w:tc>
        <w:tc>
          <w:tcPr>
            <w:tcW w:w="1530" w:type="dxa"/>
          </w:tcPr>
          <w:p w:rsidR="009E27DB" w:rsidRDefault="009E27DB" w:rsidP="00D53A47">
            <w:pPr>
              <w:jc w:val="center"/>
            </w:pPr>
            <w:r>
              <w:t>$750</w:t>
            </w:r>
          </w:p>
        </w:tc>
        <w:tc>
          <w:tcPr>
            <w:tcW w:w="1440" w:type="dxa"/>
          </w:tcPr>
          <w:p w:rsidR="009E27DB" w:rsidRDefault="009E27DB" w:rsidP="00D53A47">
            <w:pPr>
              <w:jc w:val="center"/>
            </w:pPr>
            <w:r>
              <w:t>$141</w:t>
            </w:r>
          </w:p>
        </w:tc>
      </w:tr>
      <w:tr w:rsidR="009E27DB" w:rsidTr="009E27DB">
        <w:trPr>
          <w:jc w:val="center"/>
        </w:trPr>
        <w:tc>
          <w:tcPr>
            <w:tcW w:w="4068" w:type="dxa"/>
          </w:tcPr>
          <w:p w:rsidR="009E27DB" w:rsidRDefault="009E27DB" w:rsidP="00EA1178">
            <w:r>
              <w:t>Per lot Differential</w:t>
            </w:r>
          </w:p>
        </w:tc>
        <w:tc>
          <w:tcPr>
            <w:tcW w:w="1440" w:type="dxa"/>
          </w:tcPr>
          <w:p w:rsidR="009E27DB" w:rsidRDefault="009E27DB" w:rsidP="00D53A47">
            <w:pPr>
              <w:jc w:val="center"/>
            </w:pPr>
            <w:r>
              <w:t>$77</w:t>
            </w:r>
          </w:p>
        </w:tc>
        <w:tc>
          <w:tcPr>
            <w:tcW w:w="1530" w:type="dxa"/>
          </w:tcPr>
          <w:p w:rsidR="009E27DB" w:rsidRDefault="009E27DB" w:rsidP="00D53A47">
            <w:pPr>
              <w:jc w:val="center"/>
            </w:pPr>
            <w:r>
              <w:t>($169)</w:t>
            </w:r>
          </w:p>
        </w:tc>
        <w:tc>
          <w:tcPr>
            <w:tcW w:w="1440" w:type="dxa"/>
          </w:tcPr>
          <w:p w:rsidR="009E27DB" w:rsidRDefault="009E27DB" w:rsidP="00D53A47">
            <w:pPr>
              <w:jc w:val="center"/>
            </w:pPr>
            <w:r>
              <w:t>($246)</w:t>
            </w:r>
          </w:p>
        </w:tc>
      </w:tr>
    </w:tbl>
    <w:p w:rsidR="009E27DB" w:rsidRDefault="00D53A47" w:rsidP="00E275D8">
      <w:pPr>
        <w:pStyle w:val="BodyText"/>
      </w:pPr>
      <w:r>
        <w:t xml:space="preserve">       Source: 2017 Order and Duke’s 2019 filing</w:t>
      </w:r>
    </w:p>
    <w:p w:rsidR="00457717" w:rsidRDefault="00457717" w:rsidP="00457717">
      <w:pPr>
        <w:pStyle w:val="BodyText"/>
      </w:pPr>
      <w:r>
        <w:lastRenderedPageBreak/>
        <w:t>As Table 1-2 shows, the majority of overhead and underground labor and material costs have increased since 2017. Because of a design change as discussed in more detail in the section of the recommendation titled subdivision design changes, the only exception to the increase in costs can be seen in the underground ganged meter labor and material costs (decrease from $686 to $581).</w:t>
      </w:r>
    </w:p>
    <w:p w:rsidR="00814BE1" w:rsidRDefault="00814BE1" w:rsidP="00814BE1">
      <w:pPr>
        <w:pStyle w:val="First-LevelSubheading"/>
      </w:pPr>
      <w:r>
        <w:t>Subdivision Design Changes</w:t>
      </w:r>
    </w:p>
    <w:p w:rsidR="000213C9" w:rsidRDefault="00D423C6" w:rsidP="00814BE1">
      <w:pPr>
        <w:pStyle w:val="BodyText"/>
      </w:pPr>
      <w:r>
        <w:t xml:space="preserve">Duke </w:t>
      </w:r>
      <w:r w:rsidR="00CF4AE3">
        <w:t>stated</w:t>
      </w:r>
      <w:r w:rsidR="00FE1A7C">
        <w:t xml:space="preserve"> that the utility </w:t>
      </w:r>
      <w:r w:rsidR="00CF4AE3">
        <w:t>began</w:t>
      </w:r>
      <w:r w:rsidR="004C7EB0">
        <w:t xml:space="preserve"> using</w:t>
      </w:r>
      <w:r w:rsidR="00FE1A7C">
        <w:t xml:space="preserve"> a new underground design software in the fall of 2017. Duke </w:t>
      </w:r>
      <w:r w:rsidR="00CF4AE3">
        <w:t>explained</w:t>
      </w:r>
      <w:r w:rsidR="00FE1A7C">
        <w:t xml:space="preserve"> that the new software incorporates the most recent loading parameters for cables and trans</w:t>
      </w:r>
      <w:r w:rsidR="00F75D07">
        <w:t>formers to design the most cost-</w:t>
      </w:r>
      <w:r w:rsidR="00FE1A7C">
        <w:t xml:space="preserve">effective way </w:t>
      </w:r>
      <w:r w:rsidR="004C7EB0">
        <w:t xml:space="preserve">(in terms of number of transformers, transformer size, and cable length) </w:t>
      </w:r>
      <w:r w:rsidR="00FE1A7C">
        <w:t xml:space="preserve">to serve a home. </w:t>
      </w:r>
      <w:r w:rsidR="00814BE1">
        <w:t xml:space="preserve">The high density </w:t>
      </w:r>
      <w:r w:rsidR="004C7EB0">
        <w:t xml:space="preserve">subdivision design </w:t>
      </w:r>
      <w:r w:rsidR="00B06348">
        <w:t xml:space="preserve">was modified </w:t>
      </w:r>
      <w:r w:rsidR="00814BE1">
        <w:t xml:space="preserve">to </w:t>
      </w:r>
      <w:r w:rsidR="00B06348">
        <w:t>reflect</w:t>
      </w:r>
      <w:r w:rsidR="00814BE1">
        <w:t xml:space="preserve"> front lot construction</w:t>
      </w:r>
      <w:r w:rsidR="004C7EB0">
        <w:t xml:space="preserve"> as required by</w:t>
      </w:r>
      <w:r w:rsidR="00814BE1">
        <w:t xml:space="preserve"> Rule 25-6.0341(1)</w:t>
      </w:r>
      <w:r w:rsidR="00F75D07">
        <w:t>,</w:t>
      </w:r>
      <w:r w:rsidR="00814BE1" w:rsidRPr="007C294B">
        <w:t xml:space="preserve"> </w:t>
      </w:r>
      <w:r w:rsidR="00CF4AE3">
        <w:t xml:space="preserve">F.A.C. </w:t>
      </w:r>
    </w:p>
    <w:p w:rsidR="00FE1A7C" w:rsidRDefault="00CF4AE3" w:rsidP="00814BE1">
      <w:pPr>
        <w:pStyle w:val="BodyText"/>
      </w:pPr>
      <w:r>
        <w:t xml:space="preserve">With respect to the </w:t>
      </w:r>
      <w:r w:rsidR="000213C9">
        <w:t xml:space="preserve">underground </w:t>
      </w:r>
      <w:r>
        <w:t>ganged meter subdivision design, Duke explained that the design was modified to reflect townhome construction. Duke has had very few new underground mobile home parks</w:t>
      </w:r>
      <w:r w:rsidR="000213C9">
        <w:t xml:space="preserve"> that are typically served by a ganged meter</w:t>
      </w:r>
      <w:r>
        <w:t xml:space="preserve">, but several new townhome projects taking underground service at a ganged meter. </w:t>
      </w:r>
      <w:r w:rsidR="000213C9">
        <w:t xml:space="preserve">The result of incorporating townhome construction is more units served from the ganged meter, </w:t>
      </w:r>
      <w:r w:rsidR="00F75D07">
        <w:t xml:space="preserve">and </w:t>
      </w:r>
      <w:r w:rsidR="002902DC">
        <w:t>therefore</w:t>
      </w:r>
      <w:r w:rsidR="000213C9">
        <w:t>, reduced per lot costs. As seen in Table 1-2 above, the total underground labor and material costs decreased from $686 to $581.</w:t>
      </w:r>
    </w:p>
    <w:p w:rsidR="00814BE1" w:rsidRDefault="00524D42" w:rsidP="00814BE1">
      <w:pPr>
        <w:pStyle w:val="BodyText"/>
      </w:pPr>
      <w:r>
        <w:t>T</w:t>
      </w:r>
      <w:r w:rsidR="00D423C6" w:rsidRPr="008158F1">
        <w:t>he three overhead designs had minor modifications to meet both National Electric Safety Code and Duke’s construction standards</w:t>
      </w:r>
      <w:r w:rsidR="00D423C6">
        <w:t>.</w:t>
      </w:r>
      <w:r w:rsidR="00B06348">
        <w:t xml:space="preserve"> </w:t>
      </w:r>
      <w:r w:rsidR="004C7EB0">
        <w:t>Specifically</w:t>
      </w:r>
      <w:r w:rsidR="00B06348">
        <w:t xml:space="preserve">, the overhead design was modified to </w:t>
      </w:r>
      <w:r w:rsidR="004C7EB0">
        <w:t>incorporate</w:t>
      </w:r>
      <w:r w:rsidR="00B06348">
        <w:t xml:space="preserve"> </w:t>
      </w:r>
      <w:r w:rsidR="004C7EB0">
        <w:t xml:space="preserve">Duke’s current standards that require </w:t>
      </w:r>
      <w:r w:rsidR="00B06348">
        <w:t>increased insulation levels, taller poles, and increased spaces between the phases.</w:t>
      </w:r>
    </w:p>
    <w:p w:rsidR="009E27DB" w:rsidRDefault="009E27DB" w:rsidP="009E27DB">
      <w:pPr>
        <w:pStyle w:val="First-LevelSubheading"/>
      </w:pPr>
      <w:r>
        <w:t>Operational Costs</w:t>
      </w:r>
    </w:p>
    <w:p w:rsidR="009E27DB" w:rsidRDefault="009E27DB" w:rsidP="00E275D8">
      <w:pPr>
        <w:pStyle w:val="BodyText"/>
      </w:pPr>
      <w:r>
        <w:t>Rule 25-6.078(4), F.A.C., requires that the differences in net present value (NPV) of operational costs between overhead and underground systems</w:t>
      </w:r>
      <w:r w:rsidR="00F91944">
        <w:t xml:space="preserve">, including average historical storm </w:t>
      </w:r>
      <w:r w:rsidR="00EB3464">
        <w:t>restoration</w:t>
      </w:r>
      <w:r w:rsidR="00F91944">
        <w:t xml:space="preserve"> costs over the life of the facilities, be included in the URD charge. The inclusion of the operational cost is intended to capture longer term costs and benefits of undergrounding.</w:t>
      </w:r>
      <w:r w:rsidR="00D423C6" w:rsidRPr="00D423C6">
        <w:t xml:space="preserve"> </w:t>
      </w:r>
    </w:p>
    <w:p w:rsidR="00524D42" w:rsidRDefault="00F91944" w:rsidP="00E059D7">
      <w:pPr>
        <w:pStyle w:val="BodyText"/>
      </w:pPr>
      <w:r>
        <w:t xml:space="preserve">Operational costs include operations and maintenance costs </w:t>
      </w:r>
      <w:r w:rsidR="00970AE8">
        <w:t xml:space="preserve">along with </w:t>
      </w:r>
      <w:r>
        <w:t xml:space="preserve">capital costs and represent the cost differential between maintaining and operating an underground versus an overhead system over the life of the facilities. The inclusion of the storm restoration cost in the URD </w:t>
      </w:r>
      <w:r w:rsidR="00CF4AE3">
        <w:t>calculations</w:t>
      </w:r>
      <w:r>
        <w:t xml:space="preserve"> lowers the differential, since an underground distribution system generally incurs less damage than an overhead system as a result of a storm, and therefore, less restoration costs when compared to an overhead system. </w:t>
      </w:r>
    </w:p>
    <w:p w:rsidR="00E059D7" w:rsidRDefault="00524D42" w:rsidP="00E059D7">
      <w:pPr>
        <w:pStyle w:val="BodyText"/>
      </w:pPr>
      <w:r>
        <w:t xml:space="preserve">The utility used a 5-year average of historical operational costs (2014-2018) for its calculations in this docket. </w:t>
      </w:r>
      <w:r w:rsidR="00F91944">
        <w:t>The methodology used by Duke in this filing for calculating the NPV of operational costs was approved in Order No. PSC-12-0348-TRF-EI.</w:t>
      </w:r>
      <w:r w:rsidR="00F91944">
        <w:rPr>
          <w:rStyle w:val="FootnoteReference"/>
        </w:rPr>
        <w:footnoteReference w:id="4"/>
      </w:r>
      <w:r w:rsidR="00E059D7">
        <w:t xml:space="preserve"> Staff notes that operational costs may vary among IOUs due to multiple factors, including differences in size of service </w:t>
      </w:r>
      <w:r w:rsidR="00E059D7">
        <w:lastRenderedPageBreak/>
        <w:t xml:space="preserve">territory, miles of coastline, regions subject to extreme winds, age of the distribution system, or construction standards. </w:t>
      </w:r>
    </w:p>
    <w:p w:rsidR="00E059D7" w:rsidRDefault="00E059D7" w:rsidP="00E059D7">
      <w:pPr>
        <w:pStyle w:val="Second-LevelSubheading"/>
      </w:pPr>
      <w:r>
        <w:t>Non-storm Operational Costs</w:t>
      </w:r>
    </w:p>
    <w:p w:rsidR="00160185" w:rsidRDefault="00160185" w:rsidP="00160185">
      <w:pPr>
        <w:pStyle w:val="BodyText"/>
      </w:pPr>
      <w:r>
        <w:t>Duke’</w:t>
      </w:r>
      <w:r w:rsidR="00161672">
        <w:t>s</w:t>
      </w:r>
      <w:r>
        <w:t xml:space="preserve"> operational costs for an overhead system </w:t>
      </w:r>
      <w:r w:rsidR="00161672">
        <w:t>have increased more</w:t>
      </w:r>
      <w:r>
        <w:t xml:space="preserve"> than the operational cost for an underground system</w:t>
      </w:r>
      <w:r w:rsidR="00161672">
        <w:t>. The resulting differentials are</w:t>
      </w:r>
      <w:r>
        <w:t xml:space="preserve"> shown in Column B in Table 1-3. For the low density subdivision, the operational cost differential in 201</w:t>
      </w:r>
      <w:r w:rsidR="00161672">
        <w:t>7</w:t>
      </w:r>
      <w:r>
        <w:t xml:space="preserve"> was $</w:t>
      </w:r>
      <w:r w:rsidR="00161672">
        <w:t xml:space="preserve">350 </w:t>
      </w:r>
      <w:r>
        <w:t xml:space="preserve">(indicating that underground operational costs were higher than overhead operational costs). As shown in Table 1-3, the operational cost differential for the low density subdivision is now </w:t>
      </w:r>
      <w:r w:rsidR="00161672">
        <w:t>$80</w:t>
      </w:r>
      <w:r>
        <w:t>.</w:t>
      </w:r>
      <w:r w:rsidRPr="00CF7C29">
        <w:t xml:space="preserve"> </w:t>
      </w:r>
      <w:r w:rsidR="00B35068">
        <w:t>For the high density and ganged meter subdivisions, the operational cost differential</w:t>
      </w:r>
      <w:r w:rsidR="00F84E3D">
        <w:t>s decreased from $126 and $109 to</w:t>
      </w:r>
      <w:r w:rsidR="00B35068">
        <w:t xml:space="preserve"> -$20 and -$1, respectively, indicating that overhead operational cost</w:t>
      </w:r>
      <w:r w:rsidR="0084204E">
        <w:t>s</w:t>
      </w:r>
      <w:r w:rsidR="00B35068">
        <w:t xml:space="preserve"> are slightly higher than underground operational cost</w:t>
      </w:r>
      <w:r w:rsidR="0084204E">
        <w:t>s</w:t>
      </w:r>
      <w:r w:rsidR="00B35068">
        <w:t xml:space="preserve">. </w:t>
      </w:r>
      <w:r w:rsidR="00161672">
        <w:t>Duke</w:t>
      </w:r>
      <w:r>
        <w:t xml:space="preserve"> explained that the primary reason for this change in operational cost</w:t>
      </w:r>
      <w:r w:rsidR="0084204E">
        <w:t>s</w:t>
      </w:r>
      <w:r>
        <w:t xml:space="preserve"> is the increase in overhead operational costs as a result of </w:t>
      </w:r>
      <w:r w:rsidR="00161672">
        <w:t>Duke</w:t>
      </w:r>
      <w:r>
        <w:t xml:space="preserve">’s increased </w:t>
      </w:r>
      <w:r w:rsidR="00161672">
        <w:t>maintenance, such as pole replacements, on its overhead distribution system</w:t>
      </w:r>
      <w:r>
        <w:t xml:space="preserve">. </w:t>
      </w:r>
    </w:p>
    <w:p w:rsidR="00E059D7" w:rsidRDefault="00E059D7" w:rsidP="00E059D7">
      <w:pPr>
        <w:pStyle w:val="Second-LevelSubheading"/>
      </w:pPr>
      <w:r>
        <w:t>Avoided Storm Restoration Costs</w:t>
      </w:r>
    </w:p>
    <w:p w:rsidR="00E059D7" w:rsidRPr="00E059D7" w:rsidRDefault="00E059D7" w:rsidP="00E059D7">
      <w:pPr>
        <w:pStyle w:val="BodyText"/>
      </w:pPr>
      <w:r>
        <w:t>Duke explained that the recent hurricane season significantly increased the avoided storm restoration costs impacts.  Specifically, Duke stated the utility incorporated overhead storm restoration costs for hurricanes Irma</w:t>
      </w:r>
      <w:r w:rsidR="00CF4AE3">
        <w:t>,</w:t>
      </w:r>
      <w:r>
        <w:t xml:space="preserve"> </w:t>
      </w:r>
      <w:r w:rsidR="00CF4AE3">
        <w:t xml:space="preserve">Nate, </w:t>
      </w:r>
      <w:r>
        <w:t>Michael</w:t>
      </w:r>
      <w:r w:rsidR="00CF4AE3">
        <w:t>, Matthew, Hermine, and tropical storm Colin</w:t>
      </w:r>
      <w:r>
        <w:t>. Therefore, the amount representing avoided storm restoration costs significantly increased from 2017.</w:t>
      </w:r>
    </w:p>
    <w:p w:rsidR="00456AA6" w:rsidRDefault="00456AA6" w:rsidP="00E275D8">
      <w:pPr>
        <w:pStyle w:val="BodyText"/>
      </w:pPr>
      <w:r>
        <w:t xml:space="preserve">Table 1-3 </w:t>
      </w:r>
      <w:r w:rsidR="00130137">
        <w:t xml:space="preserve">presents the pre-operational, non-storm operational, and the avoided storm restoration cost differentials between overhead and underground systems. The proposed differential is $0 when the calculation results in a negative number. </w:t>
      </w:r>
    </w:p>
    <w:p w:rsidR="00456AA6" w:rsidRDefault="00456AA6" w:rsidP="00456AA6">
      <w:pPr>
        <w:pStyle w:val="TableNumber"/>
        <w:keepNext/>
      </w:pPr>
      <w:r>
        <w:t xml:space="preserve">Table </w:t>
      </w:r>
      <w:r w:rsidR="00366543">
        <w:fldChar w:fldCharType="begin"/>
      </w:r>
      <w:r w:rsidR="00366543">
        <w:instrText xml:space="preserve"> SEQ Issue \c </w:instrText>
      </w:r>
      <w:r w:rsidR="00366543">
        <w:fldChar w:fldCharType="separate"/>
      </w:r>
      <w:r w:rsidR="00685FD2">
        <w:rPr>
          <w:noProof/>
        </w:rPr>
        <w:t>1</w:t>
      </w:r>
      <w:r w:rsidR="00366543">
        <w:rPr>
          <w:noProof/>
        </w:rPr>
        <w:fldChar w:fldCharType="end"/>
      </w:r>
      <w:r>
        <w:t>-3</w:t>
      </w:r>
    </w:p>
    <w:p w:rsidR="00456AA6" w:rsidRDefault="00456AA6" w:rsidP="00456AA6">
      <w:pPr>
        <w:pStyle w:val="TableTitle"/>
        <w:keepNext/>
      </w:pPr>
      <w:r>
        <w:t>NPV of Operational Costs Differential per Lot</w:t>
      </w:r>
    </w:p>
    <w:tbl>
      <w:tblPr>
        <w:tblStyle w:val="TableGrid"/>
        <w:tblW w:w="0" w:type="auto"/>
        <w:tblLook w:val="04A0" w:firstRow="1" w:lastRow="0" w:firstColumn="1" w:lastColumn="0" w:noHBand="0" w:noVBand="1"/>
      </w:tblPr>
      <w:tblGrid>
        <w:gridCol w:w="1638"/>
        <w:gridCol w:w="1980"/>
        <w:gridCol w:w="2127"/>
        <w:gridCol w:w="1915"/>
        <w:gridCol w:w="1916"/>
      </w:tblGrid>
      <w:tr w:rsidR="00C0334C" w:rsidTr="00C0334C">
        <w:tc>
          <w:tcPr>
            <w:tcW w:w="1638" w:type="dxa"/>
          </w:tcPr>
          <w:p w:rsidR="00C0334C" w:rsidRDefault="00C0334C" w:rsidP="00C0334C">
            <w:pPr>
              <w:jc w:val="center"/>
            </w:pPr>
            <w:r>
              <w:rPr>
                <w:b/>
              </w:rPr>
              <w:t>Type of Subdivision</w:t>
            </w:r>
          </w:p>
        </w:tc>
        <w:tc>
          <w:tcPr>
            <w:tcW w:w="1980" w:type="dxa"/>
          </w:tcPr>
          <w:p w:rsidR="00C0334C" w:rsidRDefault="00C0334C" w:rsidP="00A5689E">
            <w:pPr>
              <w:jc w:val="center"/>
              <w:rPr>
                <w:b/>
              </w:rPr>
            </w:pPr>
            <w:r>
              <w:rPr>
                <w:b/>
              </w:rPr>
              <w:t>Pre-Operational Costs</w:t>
            </w:r>
          </w:p>
          <w:p w:rsidR="00C0334C" w:rsidRDefault="00C0334C" w:rsidP="00A5689E">
            <w:pPr>
              <w:jc w:val="center"/>
            </w:pPr>
            <w:r>
              <w:rPr>
                <w:b/>
              </w:rPr>
              <w:t>(A)</w:t>
            </w:r>
          </w:p>
        </w:tc>
        <w:tc>
          <w:tcPr>
            <w:tcW w:w="2127" w:type="dxa"/>
          </w:tcPr>
          <w:p w:rsidR="00C0334C" w:rsidRDefault="00C0334C" w:rsidP="00A5689E">
            <w:pPr>
              <w:jc w:val="center"/>
              <w:rPr>
                <w:b/>
              </w:rPr>
            </w:pPr>
            <w:r>
              <w:rPr>
                <w:b/>
              </w:rPr>
              <w:t>Non-storm Operational costs</w:t>
            </w:r>
          </w:p>
          <w:p w:rsidR="00C0334C" w:rsidRDefault="00C0334C" w:rsidP="00A5689E">
            <w:pPr>
              <w:jc w:val="center"/>
            </w:pPr>
            <w:r>
              <w:rPr>
                <w:b/>
              </w:rPr>
              <w:t>(B)</w:t>
            </w:r>
          </w:p>
        </w:tc>
        <w:tc>
          <w:tcPr>
            <w:tcW w:w="1915" w:type="dxa"/>
          </w:tcPr>
          <w:p w:rsidR="00C0334C" w:rsidRDefault="00C0334C" w:rsidP="00A5689E">
            <w:pPr>
              <w:jc w:val="center"/>
              <w:rPr>
                <w:b/>
              </w:rPr>
            </w:pPr>
            <w:r>
              <w:rPr>
                <w:b/>
              </w:rPr>
              <w:t>Avoided Storm costs</w:t>
            </w:r>
          </w:p>
          <w:p w:rsidR="00C0334C" w:rsidRDefault="00C0334C" w:rsidP="00A5689E">
            <w:pPr>
              <w:jc w:val="center"/>
            </w:pPr>
            <w:r>
              <w:rPr>
                <w:b/>
              </w:rPr>
              <w:t>(C)</w:t>
            </w:r>
          </w:p>
        </w:tc>
        <w:tc>
          <w:tcPr>
            <w:tcW w:w="1916" w:type="dxa"/>
          </w:tcPr>
          <w:p w:rsidR="00C0334C" w:rsidRDefault="00C0334C" w:rsidP="00A5689E">
            <w:pPr>
              <w:jc w:val="center"/>
              <w:rPr>
                <w:b/>
              </w:rPr>
            </w:pPr>
            <w:r>
              <w:rPr>
                <w:b/>
              </w:rPr>
              <w:t>Proposed URD Differentials</w:t>
            </w:r>
          </w:p>
          <w:p w:rsidR="00C0334C" w:rsidRDefault="00C0334C" w:rsidP="00A5689E">
            <w:pPr>
              <w:jc w:val="center"/>
            </w:pPr>
            <w:r>
              <w:rPr>
                <w:b/>
              </w:rPr>
              <w:t>(A)+(B)+(C)</w:t>
            </w:r>
          </w:p>
        </w:tc>
      </w:tr>
      <w:tr w:rsidR="00C0334C" w:rsidTr="00C0334C">
        <w:tc>
          <w:tcPr>
            <w:tcW w:w="1638" w:type="dxa"/>
          </w:tcPr>
          <w:p w:rsidR="00C0334C" w:rsidRDefault="00C0334C" w:rsidP="00A5689E">
            <w:r>
              <w:t>Low Density</w:t>
            </w:r>
          </w:p>
        </w:tc>
        <w:tc>
          <w:tcPr>
            <w:tcW w:w="1980" w:type="dxa"/>
          </w:tcPr>
          <w:p w:rsidR="00C0334C" w:rsidRDefault="00C0334C" w:rsidP="00A5689E">
            <w:pPr>
              <w:jc w:val="center"/>
            </w:pPr>
            <w:r>
              <w:t>$297</w:t>
            </w:r>
          </w:p>
        </w:tc>
        <w:tc>
          <w:tcPr>
            <w:tcW w:w="2127" w:type="dxa"/>
          </w:tcPr>
          <w:p w:rsidR="00C0334C" w:rsidRDefault="00C0334C" w:rsidP="00A5689E">
            <w:pPr>
              <w:jc w:val="center"/>
            </w:pPr>
            <w:r>
              <w:t>$80</w:t>
            </w:r>
          </w:p>
        </w:tc>
        <w:tc>
          <w:tcPr>
            <w:tcW w:w="1915" w:type="dxa"/>
          </w:tcPr>
          <w:p w:rsidR="00C0334C" w:rsidRDefault="00C0334C" w:rsidP="00A5689E">
            <w:pPr>
              <w:jc w:val="center"/>
            </w:pPr>
            <w:r>
              <w:t>($726)</w:t>
            </w:r>
          </w:p>
        </w:tc>
        <w:tc>
          <w:tcPr>
            <w:tcW w:w="1916" w:type="dxa"/>
          </w:tcPr>
          <w:p w:rsidR="00C0334C" w:rsidRDefault="00C0334C" w:rsidP="00A5689E">
            <w:pPr>
              <w:jc w:val="center"/>
            </w:pPr>
            <w:r>
              <w:t>$0</w:t>
            </w:r>
          </w:p>
        </w:tc>
      </w:tr>
      <w:tr w:rsidR="00C0334C" w:rsidTr="00C0334C">
        <w:tc>
          <w:tcPr>
            <w:tcW w:w="1638" w:type="dxa"/>
          </w:tcPr>
          <w:p w:rsidR="00C0334C" w:rsidRDefault="00C0334C" w:rsidP="00A5689E">
            <w:r>
              <w:t>High Density</w:t>
            </w:r>
          </w:p>
        </w:tc>
        <w:tc>
          <w:tcPr>
            <w:tcW w:w="1980" w:type="dxa"/>
          </w:tcPr>
          <w:p w:rsidR="00C0334C" w:rsidRDefault="00C0334C" w:rsidP="00A5689E">
            <w:pPr>
              <w:jc w:val="center"/>
            </w:pPr>
            <w:r>
              <w:t>$475</w:t>
            </w:r>
          </w:p>
        </w:tc>
        <w:tc>
          <w:tcPr>
            <w:tcW w:w="2127" w:type="dxa"/>
          </w:tcPr>
          <w:p w:rsidR="00C0334C" w:rsidRDefault="00C0334C" w:rsidP="00A5689E">
            <w:pPr>
              <w:jc w:val="center"/>
            </w:pPr>
            <w:r>
              <w:t>($20)</w:t>
            </w:r>
          </w:p>
        </w:tc>
        <w:tc>
          <w:tcPr>
            <w:tcW w:w="1915" w:type="dxa"/>
          </w:tcPr>
          <w:p w:rsidR="00C0334C" w:rsidRDefault="00C0334C" w:rsidP="00A5689E">
            <w:pPr>
              <w:jc w:val="center"/>
            </w:pPr>
            <w:r>
              <w:t>($421)</w:t>
            </w:r>
          </w:p>
        </w:tc>
        <w:tc>
          <w:tcPr>
            <w:tcW w:w="1916" w:type="dxa"/>
          </w:tcPr>
          <w:p w:rsidR="00C0334C" w:rsidRDefault="00C0334C" w:rsidP="00A5689E">
            <w:pPr>
              <w:jc w:val="center"/>
            </w:pPr>
            <w:r>
              <w:t>$34</w:t>
            </w:r>
          </w:p>
        </w:tc>
      </w:tr>
      <w:tr w:rsidR="00C0334C" w:rsidTr="00C0334C">
        <w:tc>
          <w:tcPr>
            <w:tcW w:w="1638" w:type="dxa"/>
          </w:tcPr>
          <w:p w:rsidR="00C0334C" w:rsidRDefault="00C0334C" w:rsidP="00A5689E">
            <w:r>
              <w:t>Ganged Meter</w:t>
            </w:r>
          </w:p>
        </w:tc>
        <w:tc>
          <w:tcPr>
            <w:tcW w:w="1980" w:type="dxa"/>
          </w:tcPr>
          <w:p w:rsidR="00C0334C" w:rsidRDefault="00C0334C" w:rsidP="00A5689E">
            <w:pPr>
              <w:jc w:val="center"/>
            </w:pPr>
            <w:r>
              <w:t>($169)</w:t>
            </w:r>
          </w:p>
        </w:tc>
        <w:tc>
          <w:tcPr>
            <w:tcW w:w="2127" w:type="dxa"/>
          </w:tcPr>
          <w:p w:rsidR="00C0334C" w:rsidRDefault="00C0334C" w:rsidP="00A5689E">
            <w:pPr>
              <w:jc w:val="center"/>
            </w:pPr>
            <w:r>
              <w:t>($1)</w:t>
            </w:r>
          </w:p>
        </w:tc>
        <w:tc>
          <w:tcPr>
            <w:tcW w:w="1915" w:type="dxa"/>
          </w:tcPr>
          <w:p w:rsidR="00C0334C" w:rsidRDefault="00C0334C" w:rsidP="00A5689E">
            <w:pPr>
              <w:jc w:val="center"/>
            </w:pPr>
            <w:r>
              <w:t>($312)</w:t>
            </w:r>
          </w:p>
        </w:tc>
        <w:tc>
          <w:tcPr>
            <w:tcW w:w="1916" w:type="dxa"/>
          </w:tcPr>
          <w:p w:rsidR="00C0334C" w:rsidRDefault="00C0334C" w:rsidP="00A5689E">
            <w:pPr>
              <w:jc w:val="center"/>
            </w:pPr>
            <w:r>
              <w:t>$0</w:t>
            </w:r>
          </w:p>
        </w:tc>
      </w:tr>
    </w:tbl>
    <w:p w:rsidR="00D35939" w:rsidRDefault="00A8504D" w:rsidP="00E552A1">
      <w:pPr>
        <w:pStyle w:val="TableSource"/>
      </w:pPr>
      <w:r>
        <w:t xml:space="preserve">Source: </w:t>
      </w:r>
      <w:r w:rsidR="00AC59C8">
        <w:t>2</w:t>
      </w:r>
      <w:r>
        <w:t xml:space="preserve">019 </w:t>
      </w:r>
      <w:r w:rsidR="00AC59C8">
        <w:t>Filing</w:t>
      </w:r>
    </w:p>
    <w:p w:rsidR="00456AA6" w:rsidRDefault="00862A7B" w:rsidP="00862A7B">
      <w:pPr>
        <w:pStyle w:val="First-LevelSubheading"/>
      </w:pPr>
      <w:r>
        <w:t>Conclusion</w:t>
      </w:r>
    </w:p>
    <w:p w:rsidR="00862A7B" w:rsidRDefault="00862A7B" w:rsidP="00E275D8">
      <w:pPr>
        <w:pStyle w:val="BodyText"/>
      </w:pPr>
      <w:r>
        <w:t xml:space="preserve">Staff has reviewed Duke’s proposed URD tariffs and associated charges, its accompanying work papers, and its responses to staff’s data request. Staff believes the proposed URD tariffs and associated charges are reasonable. Staff recommends approval of Duke’s proposed URD tariffs and associated charges as shown in Attachment A, effective </w:t>
      </w:r>
      <w:r w:rsidR="0070057E">
        <w:t>September 5</w:t>
      </w:r>
      <w:r w:rsidR="00396DE0" w:rsidRPr="006251A7">
        <w:t>, 2019</w:t>
      </w:r>
      <w:r w:rsidRPr="006251A7">
        <w:t>.</w:t>
      </w:r>
    </w:p>
    <w:p w:rsidR="00862A7B" w:rsidRDefault="00862A7B" w:rsidP="00E275D8">
      <w:pPr>
        <w:pStyle w:val="BodyText"/>
      </w:pPr>
    </w:p>
    <w:p w:rsidR="00862A7B" w:rsidRDefault="00862A7B">
      <w:pPr>
        <w:pStyle w:val="IssueHeading"/>
        <w:rPr>
          <w:vanish/>
          <w:specVanish/>
        </w:rPr>
      </w:pPr>
      <w:r w:rsidRPr="004C3641">
        <w:rPr>
          <w:b w:val="0"/>
          <w:i w:val="0"/>
        </w:rPr>
        <w:br w:type="page"/>
      </w:r>
      <w:r w:rsidRPr="004C3641">
        <w:lastRenderedPageBreak/>
        <w:t xml:space="preserve">Issue </w:t>
      </w:r>
      <w:r w:rsidR="00366543">
        <w:fldChar w:fldCharType="begin"/>
      </w:r>
      <w:r w:rsidR="00366543">
        <w:instrText xml:space="preserve"> SEQ Issue \* MERGEFORMAT </w:instrText>
      </w:r>
      <w:r w:rsidR="00366543">
        <w:fldChar w:fldCharType="separate"/>
      </w:r>
      <w:r w:rsidR="00685FD2">
        <w:rPr>
          <w:noProof/>
        </w:rPr>
        <w:t>2</w:t>
      </w:r>
      <w:r w:rsidR="0036654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85FD2">
        <w:rPr>
          <w:noProof/>
        </w:rPr>
        <w:instrText>2</w:instrText>
      </w:r>
      <w:r>
        <w:fldChar w:fldCharType="end"/>
      </w:r>
      <w:r>
        <w:tab/>
        <w:instrText xml:space="preserve">(Trierwiler)" \l 1 </w:instrText>
      </w:r>
      <w:r>
        <w:fldChar w:fldCharType="end"/>
      </w:r>
      <w:r>
        <w:t> </w:t>
      </w:r>
    </w:p>
    <w:p w:rsidR="00862A7B" w:rsidRDefault="00862A7B">
      <w:pPr>
        <w:pStyle w:val="BodyText"/>
      </w:pPr>
      <w:r>
        <w:t> Should this docket be closed?</w:t>
      </w:r>
    </w:p>
    <w:p w:rsidR="00862A7B" w:rsidRPr="004C3641" w:rsidRDefault="00862A7B">
      <w:pPr>
        <w:pStyle w:val="IssueSubsectionHeading"/>
        <w:rPr>
          <w:vanish/>
          <w:specVanish/>
        </w:rPr>
      </w:pPr>
      <w:r w:rsidRPr="004C3641">
        <w:t>Recommendation: </w:t>
      </w:r>
    </w:p>
    <w:p w:rsidR="00862A7B" w:rsidRDefault="00862A7B">
      <w:pPr>
        <w:pStyle w:val="BodyText"/>
      </w:pPr>
      <w:r>
        <w:t> 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 (Trierweiler)</w:t>
      </w:r>
    </w:p>
    <w:p w:rsidR="00862A7B" w:rsidRPr="004C3641" w:rsidRDefault="00862A7B">
      <w:pPr>
        <w:pStyle w:val="IssueSubsectionHeading"/>
        <w:rPr>
          <w:vanish/>
          <w:specVanish/>
        </w:rPr>
      </w:pPr>
      <w:r w:rsidRPr="004C3641">
        <w:t>Staff Analysis: </w:t>
      </w:r>
    </w:p>
    <w:p w:rsidR="00862A7B" w:rsidRDefault="00862A7B">
      <w:pPr>
        <w:pStyle w:val="BodyText"/>
      </w:pPr>
      <w:r>
        <w:t xml:space="preserve"> 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 </w:t>
      </w:r>
    </w:p>
    <w:p w:rsidR="006251A7" w:rsidRDefault="006251A7" w:rsidP="00E275D8">
      <w:pPr>
        <w:pStyle w:val="BodyText"/>
        <w:sectPr w:rsidR="006251A7"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862A7B" w:rsidRDefault="006251A7" w:rsidP="00E275D8">
      <w:pPr>
        <w:pStyle w:val="BodyText"/>
      </w:pPr>
      <w:r>
        <w:rPr>
          <w:noProof/>
        </w:rPr>
        <w:lastRenderedPageBreak/>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iff Sheet_Page_1.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6251A7" w:rsidRDefault="006251A7" w:rsidP="00E275D8">
      <w:pPr>
        <w:pStyle w:val="BodyText"/>
      </w:pPr>
    </w:p>
    <w:p w:rsidR="006251A7" w:rsidRDefault="006251A7" w:rsidP="00E275D8">
      <w:pPr>
        <w:pStyle w:val="BodyText"/>
      </w:pPr>
    </w:p>
    <w:p w:rsidR="006251A7" w:rsidRDefault="006251A7" w:rsidP="00E275D8">
      <w:pPr>
        <w:pStyle w:val="BodyText"/>
      </w:pPr>
      <w:r>
        <w:rPr>
          <w:noProof/>
        </w:rPr>
        <w:drawing>
          <wp:inline distT="0" distB="0" distL="0" distR="0">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iff Sheet_Page_2.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6251A7" w:rsidRDefault="006251A7" w:rsidP="00E275D8">
      <w:pPr>
        <w:pStyle w:val="BodyText"/>
      </w:pPr>
    </w:p>
    <w:p w:rsidR="006251A7" w:rsidRDefault="006251A7" w:rsidP="00E275D8">
      <w:pPr>
        <w:pStyle w:val="BodyText"/>
      </w:pPr>
      <w:r>
        <w:rPr>
          <w:noProof/>
        </w:rPr>
        <w:drawing>
          <wp:inline distT="0" distB="0" distL="0" distR="0">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iff Sheet_Page_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6251A7" w:rsidRDefault="006251A7" w:rsidP="00E275D8">
      <w:pPr>
        <w:pStyle w:val="BodyText"/>
      </w:pPr>
    </w:p>
    <w:p w:rsidR="006251A7" w:rsidRDefault="006251A7" w:rsidP="00E275D8">
      <w:pPr>
        <w:pStyle w:val="BodyText"/>
      </w:pPr>
      <w:r>
        <w:rPr>
          <w:noProof/>
        </w:rPr>
        <w:drawing>
          <wp:inline distT="0" distB="0" distL="0" distR="0">
            <wp:extent cx="5943600" cy="76917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iff Sheet_Page_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6251A7" w:rsidSect="0068481F">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2DA" w:rsidRDefault="006A62DA">
      <w:r>
        <w:separator/>
      </w:r>
    </w:p>
  </w:endnote>
  <w:endnote w:type="continuationSeparator" w:id="0">
    <w:p w:rsidR="006A62DA" w:rsidRDefault="006A62DA">
      <w:r>
        <w:continuationSeparator/>
      </w:r>
    </w:p>
  </w:endnote>
  <w:endnote w:type="continuationNotice" w:id="1">
    <w:p w:rsidR="00C0334C" w:rsidRDefault="00C03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A2009">
      <w:rPr>
        <w:rStyle w:val="PageNumber"/>
        <w:noProof/>
      </w:rPr>
      <w:t>11</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2DA" w:rsidRDefault="006A62DA">
      <w:r>
        <w:separator/>
      </w:r>
    </w:p>
  </w:footnote>
  <w:footnote w:type="continuationSeparator" w:id="0">
    <w:p w:rsidR="006A62DA" w:rsidRDefault="006A62DA">
      <w:r>
        <w:continuationSeparator/>
      </w:r>
    </w:p>
  </w:footnote>
  <w:footnote w:type="continuationNotice" w:id="1">
    <w:p w:rsidR="00C0334C" w:rsidRDefault="00C0334C"/>
  </w:footnote>
  <w:footnote w:id="2">
    <w:p w:rsidR="008C1005" w:rsidRPr="008C1005" w:rsidRDefault="008C1005">
      <w:pPr>
        <w:pStyle w:val="FootnoteText"/>
        <w:rPr>
          <w:i/>
        </w:rPr>
      </w:pPr>
      <w:r>
        <w:rPr>
          <w:rStyle w:val="FootnoteReference"/>
        </w:rPr>
        <w:footnoteRef/>
      </w:r>
      <w:r>
        <w:t xml:space="preserve"> Order No. PSC-2017-0283-TRF-EI, issued July 24, 2017, in Docket No. 20170069-EI, </w:t>
      </w:r>
      <w:r>
        <w:rPr>
          <w:i/>
        </w:rPr>
        <w:t xml:space="preserve">In re: Petition for approval of revised underground residential distribution tariffs, but Duke Energy Florida, LLC. </w:t>
      </w:r>
    </w:p>
  </w:footnote>
  <w:footnote w:id="3">
    <w:p w:rsidR="008C1005" w:rsidRPr="008C1005" w:rsidRDefault="008C1005">
      <w:pPr>
        <w:pStyle w:val="FootnoteText"/>
        <w:rPr>
          <w:i/>
        </w:rPr>
      </w:pPr>
      <w:r>
        <w:rPr>
          <w:rStyle w:val="FootnoteReference"/>
        </w:rPr>
        <w:footnoteRef/>
      </w:r>
      <w:r>
        <w:t xml:space="preserve"> Order No. PSC-2019-0212-PCO-EI, issued June 3, 2019, in Docket No. 20190076-EI, </w:t>
      </w:r>
      <w:r>
        <w:rPr>
          <w:i/>
        </w:rPr>
        <w:t xml:space="preserve">In re: Petition for approval of revised underground residential distribution tariffs, by Duke Energy Florida, LLC. </w:t>
      </w:r>
    </w:p>
  </w:footnote>
  <w:footnote w:id="4">
    <w:p w:rsidR="00F91944" w:rsidRDefault="00F91944">
      <w:pPr>
        <w:pStyle w:val="FootnoteText"/>
      </w:pPr>
      <w:r>
        <w:rPr>
          <w:rStyle w:val="FootnoteReference"/>
        </w:rPr>
        <w:footnoteRef/>
      </w:r>
      <w:r>
        <w:t xml:space="preserve"> Order No. PSC-12-0348-TRF-EI, issued July 5, 2012, in Docket No. 110293-EI, </w:t>
      </w:r>
      <w:r w:rsidRPr="003D0412">
        <w:rPr>
          <w:i/>
        </w:rPr>
        <w:t>In re: Petition for approval of revised underground residential distribution tariffs, by Progress Energy Florida, Inc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6A62DA"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20190076-EI</w:t>
    </w:r>
    <w:bookmarkEnd w:id="14"/>
  </w:p>
  <w:p w:rsidR="00BC402E" w:rsidRDefault="00BC402E">
    <w:pPr>
      <w:pStyle w:val="Header"/>
    </w:pPr>
    <w:r w:rsidRPr="006251A7">
      <w:t xml:space="preserve">Date: </w:t>
    </w:r>
    <w:r w:rsidR="00110B46">
      <w:t>August 22,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85FD2">
      <w:t>Docket No.</w:t>
    </w:r>
    <w:r>
      <w:fldChar w:fldCharType="end"/>
    </w:r>
    <w:r>
      <w:t xml:space="preserve"> </w:t>
    </w:r>
    <w:r>
      <w:fldChar w:fldCharType="begin"/>
    </w:r>
    <w:r>
      <w:instrText xml:space="preserve"> REF DocketList</w:instrText>
    </w:r>
    <w:r>
      <w:fldChar w:fldCharType="separate"/>
    </w:r>
    <w:r w:rsidR="00685FD2">
      <w:t>20190076-EI</w:t>
    </w:r>
    <w:r>
      <w:fldChar w:fldCharType="end"/>
    </w:r>
    <w:r>
      <w:tab/>
      <w:t xml:space="preserve">Issue </w:t>
    </w:r>
    <w:r w:rsidR="00366543">
      <w:fldChar w:fldCharType="begin"/>
    </w:r>
    <w:r w:rsidR="00366543">
      <w:instrText xml:space="preserve"> Seq Issue \c \* Arabic </w:instrText>
    </w:r>
    <w:r w:rsidR="00366543">
      <w:fldChar w:fldCharType="separate"/>
    </w:r>
    <w:r w:rsidR="00BA2009">
      <w:rPr>
        <w:noProof/>
      </w:rPr>
      <w:t>2</w:t>
    </w:r>
    <w:r w:rsidR="00366543">
      <w:rPr>
        <w:noProof/>
      </w:rPr>
      <w:fldChar w:fldCharType="end"/>
    </w:r>
  </w:p>
  <w:p w:rsidR="00BC402E" w:rsidRDefault="00BC402E">
    <w:pPr>
      <w:pStyle w:val="Header"/>
    </w:pPr>
    <w:r w:rsidRPr="006251A7">
      <w:t xml:space="preserve">Date: </w:t>
    </w:r>
    <w:r w:rsidR="00110B46">
      <w:t>August 22,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A7" w:rsidRDefault="006251A7" w:rsidP="00220732">
    <w:pPr>
      <w:pStyle w:val="Header"/>
      <w:tabs>
        <w:tab w:val="clear" w:pos="4320"/>
        <w:tab w:val="clear" w:pos="8640"/>
        <w:tab w:val="right" w:pos="9360"/>
      </w:tabs>
    </w:pPr>
    <w:r>
      <w:fldChar w:fldCharType="begin"/>
    </w:r>
    <w:r>
      <w:instrText xml:space="preserve"> REF DocketLabel</w:instrText>
    </w:r>
    <w:r>
      <w:fldChar w:fldCharType="separate"/>
    </w:r>
    <w:r w:rsidR="00685FD2">
      <w:t>Docket No.</w:t>
    </w:r>
    <w:r>
      <w:fldChar w:fldCharType="end"/>
    </w:r>
    <w:r>
      <w:t xml:space="preserve"> </w:t>
    </w:r>
    <w:r>
      <w:fldChar w:fldCharType="begin"/>
    </w:r>
    <w:r>
      <w:instrText xml:space="preserve"> REF DocketList</w:instrText>
    </w:r>
    <w:r>
      <w:fldChar w:fldCharType="separate"/>
    </w:r>
    <w:r w:rsidR="00685FD2">
      <w:t>20190076-EI</w:t>
    </w:r>
    <w:r>
      <w:fldChar w:fldCharType="end"/>
    </w:r>
    <w:r>
      <w:tab/>
      <w:t>Attachment A</w:t>
    </w:r>
  </w:p>
  <w:p w:rsidR="006251A7" w:rsidRDefault="006251A7">
    <w:pPr>
      <w:pStyle w:val="Header"/>
    </w:pPr>
    <w:r w:rsidRPr="006251A7">
      <w:t xml:space="preserve">Date: </w:t>
    </w:r>
    <w:r w:rsidR="00110B46">
      <w:t>August 22, 2019</w:t>
    </w:r>
    <w:r>
      <w:tab/>
      <w:t xml:space="preserve">                                                                </w:t>
    </w:r>
    <w:r w:rsidR="00110B46">
      <w:t xml:space="preserve">                           </w:t>
    </w:r>
    <w:r>
      <w:t xml:space="preserve">          Page </w:t>
    </w:r>
    <w:r>
      <w:fldChar w:fldCharType="begin"/>
    </w:r>
    <w:r>
      <w:instrText>=</w:instrText>
    </w:r>
    <w:r>
      <w:fldChar w:fldCharType="begin"/>
    </w:r>
    <w:r>
      <w:instrText>page</w:instrText>
    </w:r>
    <w:r>
      <w:fldChar w:fldCharType="separate"/>
    </w:r>
    <w:r w:rsidR="00BA2009">
      <w:rPr>
        <w:noProof/>
      </w:rPr>
      <w:instrText>11</w:instrText>
    </w:r>
    <w:r>
      <w:fldChar w:fldCharType="end"/>
    </w:r>
    <w:r>
      <w:instrText>-7</w:instrText>
    </w:r>
    <w:r>
      <w:fldChar w:fldCharType="separate"/>
    </w:r>
    <w:r w:rsidR="00BA2009">
      <w:rPr>
        <w:noProof/>
      </w:rPr>
      <w:t>4</w:t>
    </w:r>
    <w:r>
      <w:fldChar w:fldCharType="end"/>
    </w:r>
    <w:r>
      <w:t xml:space="preserve"> of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A62DA"/>
    <w:rsid w:val="000043D5"/>
    <w:rsid w:val="00006170"/>
    <w:rsid w:val="00010E37"/>
    <w:rsid w:val="00011FDF"/>
    <w:rsid w:val="000172DA"/>
    <w:rsid w:val="000213C9"/>
    <w:rsid w:val="000247C5"/>
    <w:rsid w:val="000277C2"/>
    <w:rsid w:val="00035B48"/>
    <w:rsid w:val="00036CE2"/>
    <w:rsid w:val="000437FE"/>
    <w:rsid w:val="000513BE"/>
    <w:rsid w:val="00064452"/>
    <w:rsid w:val="00065A06"/>
    <w:rsid w:val="000666F3"/>
    <w:rsid w:val="00070DCB"/>
    <w:rsid w:val="00072CCA"/>
    <w:rsid w:val="00073120"/>
    <w:rsid w:val="000764D0"/>
    <w:rsid w:val="000828D3"/>
    <w:rsid w:val="00090456"/>
    <w:rsid w:val="000A2B57"/>
    <w:rsid w:val="000A418B"/>
    <w:rsid w:val="000B1F19"/>
    <w:rsid w:val="000B6BA5"/>
    <w:rsid w:val="000C1437"/>
    <w:rsid w:val="000C4431"/>
    <w:rsid w:val="000D1C06"/>
    <w:rsid w:val="000D4319"/>
    <w:rsid w:val="000D4979"/>
    <w:rsid w:val="000F374A"/>
    <w:rsid w:val="001076AF"/>
    <w:rsid w:val="00110B46"/>
    <w:rsid w:val="00117C8C"/>
    <w:rsid w:val="00124E2E"/>
    <w:rsid w:val="00125ED4"/>
    <w:rsid w:val="00130137"/>
    <w:rsid w:val="001305E9"/>
    <w:rsid w:val="001307AF"/>
    <w:rsid w:val="00135687"/>
    <w:rsid w:val="001511DE"/>
    <w:rsid w:val="0015506E"/>
    <w:rsid w:val="00160185"/>
    <w:rsid w:val="00161672"/>
    <w:rsid w:val="00163031"/>
    <w:rsid w:val="00171A90"/>
    <w:rsid w:val="00180254"/>
    <w:rsid w:val="00191E1F"/>
    <w:rsid w:val="00192943"/>
    <w:rsid w:val="001A7406"/>
    <w:rsid w:val="001B4FEE"/>
    <w:rsid w:val="001B51C5"/>
    <w:rsid w:val="001B6F3F"/>
    <w:rsid w:val="001C52B5"/>
    <w:rsid w:val="001D0D3E"/>
    <w:rsid w:val="001D6180"/>
    <w:rsid w:val="001F0456"/>
    <w:rsid w:val="001F2245"/>
    <w:rsid w:val="001F2C63"/>
    <w:rsid w:val="001F48C7"/>
    <w:rsid w:val="001F6DA1"/>
    <w:rsid w:val="002044E6"/>
    <w:rsid w:val="00205C82"/>
    <w:rsid w:val="00205DC2"/>
    <w:rsid w:val="00212B17"/>
    <w:rsid w:val="002163B6"/>
    <w:rsid w:val="00220732"/>
    <w:rsid w:val="00221D32"/>
    <w:rsid w:val="00225C3F"/>
    <w:rsid w:val="00241E53"/>
    <w:rsid w:val="002628E5"/>
    <w:rsid w:val="00263D44"/>
    <w:rsid w:val="002702AD"/>
    <w:rsid w:val="00281796"/>
    <w:rsid w:val="002902DC"/>
    <w:rsid w:val="00292D82"/>
    <w:rsid w:val="002963CB"/>
    <w:rsid w:val="002B4A01"/>
    <w:rsid w:val="002D226D"/>
    <w:rsid w:val="002F6030"/>
    <w:rsid w:val="003037E1"/>
    <w:rsid w:val="00307E51"/>
    <w:rsid w:val="003103EC"/>
    <w:rsid w:val="00311A52"/>
    <w:rsid w:val="003144EF"/>
    <w:rsid w:val="00317321"/>
    <w:rsid w:val="00322BE8"/>
    <w:rsid w:val="00322F74"/>
    <w:rsid w:val="00340073"/>
    <w:rsid w:val="00360E40"/>
    <w:rsid w:val="003632FD"/>
    <w:rsid w:val="00372805"/>
    <w:rsid w:val="00373180"/>
    <w:rsid w:val="00375AB9"/>
    <w:rsid w:val="003821A0"/>
    <w:rsid w:val="00385B04"/>
    <w:rsid w:val="003864CF"/>
    <w:rsid w:val="00386CED"/>
    <w:rsid w:val="00396DE0"/>
    <w:rsid w:val="003A22A6"/>
    <w:rsid w:val="003A5494"/>
    <w:rsid w:val="003A71EA"/>
    <w:rsid w:val="003B2510"/>
    <w:rsid w:val="003C2CC4"/>
    <w:rsid w:val="003C3710"/>
    <w:rsid w:val="003C60A7"/>
    <w:rsid w:val="003D6B4F"/>
    <w:rsid w:val="003E0EFC"/>
    <w:rsid w:val="003E4A2B"/>
    <w:rsid w:val="003E76C2"/>
    <w:rsid w:val="003F1679"/>
    <w:rsid w:val="003F21EB"/>
    <w:rsid w:val="003F2337"/>
    <w:rsid w:val="003F4A35"/>
    <w:rsid w:val="003F7FDD"/>
    <w:rsid w:val="00402481"/>
    <w:rsid w:val="0040388E"/>
    <w:rsid w:val="004042B4"/>
    <w:rsid w:val="00410DC4"/>
    <w:rsid w:val="00412DAE"/>
    <w:rsid w:val="004242E6"/>
    <w:rsid w:val="00431598"/>
    <w:rsid w:val="004319AD"/>
    <w:rsid w:val="004426B8"/>
    <w:rsid w:val="00444432"/>
    <w:rsid w:val="00444D17"/>
    <w:rsid w:val="00456AA6"/>
    <w:rsid w:val="00457717"/>
    <w:rsid w:val="00471860"/>
    <w:rsid w:val="00477026"/>
    <w:rsid w:val="004A744D"/>
    <w:rsid w:val="004B60BD"/>
    <w:rsid w:val="004C3150"/>
    <w:rsid w:val="004C3641"/>
    <w:rsid w:val="004C4390"/>
    <w:rsid w:val="004C4AF7"/>
    <w:rsid w:val="004C6ADB"/>
    <w:rsid w:val="004C7EB0"/>
    <w:rsid w:val="004D2881"/>
    <w:rsid w:val="004D385F"/>
    <w:rsid w:val="004D5B39"/>
    <w:rsid w:val="004E330D"/>
    <w:rsid w:val="004E5147"/>
    <w:rsid w:val="004E69B5"/>
    <w:rsid w:val="004F5C43"/>
    <w:rsid w:val="0050652D"/>
    <w:rsid w:val="00506C03"/>
    <w:rsid w:val="005078AC"/>
    <w:rsid w:val="00511A11"/>
    <w:rsid w:val="00516496"/>
    <w:rsid w:val="00523B11"/>
    <w:rsid w:val="00524D42"/>
    <w:rsid w:val="0052572A"/>
    <w:rsid w:val="00532DFB"/>
    <w:rsid w:val="00543CB3"/>
    <w:rsid w:val="005442E4"/>
    <w:rsid w:val="0055529B"/>
    <w:rsid w:val="00560FF0"/>
    <w:rsid w:val="005614BD"/>
    <w:rsid w:val="0057154F"/>
    <w:rsid w:val="00580F69"/>
    <w:rsid w:val="00581CA3"/>
    <w:rsid w:val="00587A44"/>
    <w:rsid w:val="00597730"/>
    <w:rsid w:val="005977EC"/>
    <w:rsid w:val="00597B9B"/>
    <w:rsid w:val="00597DE7"/>
    <w:rsid w:val="005A2FB8"/>
    <w:rsid w:val="005A4AA2"/>
    <w:rsid w:val="005A7CFD"/>
    <w:rsid w:val="005B070D"/>
    <w:rsid w:val="005B34B6"/>
    <w:rsid w:val="005B6C8F"/>
    <w:rsid w:val="005B6EC3"/>
    <w:rsid w:val="005D0F74"/>
    <w:rsid w:val="005D2E7D"/>
    <w:rsid w:val="005D4A8F"/>
    <w:rsid w:val="005D561B"/>
    <w:rsid w:val="005D5ECF"/>
    <w:rsid w:val="005E2BB6"/>
    <w:rsid w:val="005E6D60"/>
    <w:rsid w:val="005F3A9A"/>
    <w:rsid w:val="005F468D"/>
    <w:rsid w:val="005F623C"/>
    <w:rsid w:val="005F69A3"/>
    <w:rsid w:val="00604CC7"/>
    <w:rsid w:val="00605573"/>
    <w:rsid w:val="006108CA"/>
    <w:rsid w:val="0061407C"/>
    <w:rsid w:val="00615423"/>
    <w:rsid w:val="006165B2"/>
    <w:rsid w:val="00617276"/>
    <w:rsid w:val="006251A7"/>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85FD2"/>
    <w:rsid w:val="00687F10"/>
    <w:rsid w:val="00696F5D"/>
    <w:rsid w:val="00697249"/>
    <w:rsid w:val="006A62DA"/>
    <w:rsid w:val="006B3947"/>
    <w:rsid w:val="006B4293"/>
    <w:rsid w:val="006B624F"/>
    <w:rsid w:val="006C0C95"/>
    <w:rsid w:val="006C31E3"/>
    <w:rsid w:val="006D18D3"/>
    <w:rsid w:val="006D3E32"/>
    <w:rsid w:val="006E08CB"/>
    <w:rsid w:val="006E36C8"/>
    <w:rsid w:val="006E598D"/>
    <w:rsid w:val="006E7785"/>
    <w:rsid w:val="0070057E"/>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A29AA"/>
    <w:rsid w:val="007C0528"/>
    <w:rsid w:val="007C0BE2"/>
    <w:rsid w:val="007C294B"/>
    <w:rsid w:val="007C3D38"/>
    <w:rsid w:val="007C45A2"/>
    <w:rsid w:val="007D0F35"/>
    <w:rsid w:val="007D4FEB"/>
    <w:rsid w:val="007D6146"/>
    <w:rsid w:val="007D7158"/>
    <w:rsid w:val="007E0CE7"/>
    <w:rsid w:val="007E1030"/>
    <w:rsid w:val="007F1193"/>
    <w:rsid w:val="007F417F"/>
    <w:rsid w:val="007F7644"/>
    <w:rsid w:val="008042BD"/>
    <w:rsid w:val="008139F9"/>
    <w:rsid w:val="00814BE1"/>
    <w:rsid w:val="008158F1"/>
    <w:rsid w:val="00816624"/>
    <w:rsid w:val="008216F3"/>
    <w:rsid w:val="00822427"/>
    <w:rsid w:val="00822562"/>
    <w:rsid w:val="00823663"/>
    <w:rsid w:val="00830502"/>
    <w:rsid w:val="00832DDC"/>
    <w:rsid w:val="0083770A"/>
    <w:rsid w:val="0084204E"/>
    <w:rsid w:val="00850BAC"/>
    <w:rsid w:val="00854A3E"/>
    <w:rsid w:val="00855D08"/>
    <w:rsid w:val="00862A7B"/>
    <w:rsid w:val="00874344"/>
    <w:rsid w:val="00875775"/>
    <w:rsid w:val="00882155"/>
    <w:rsid w:val="0088233B"/>
    <w:rsid w:val="0088599E"/>
    <w:rsid w:val="00886C37"/>
    <w:rsid w:val="00892D99"/>
    <w:rsid w:val="00893315"/>
    <w:rsid w:val="008B62AE"/>
    <w:rsid w:val="008C04B5"/>
    <w:rsid w:val="008C100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3AE2"/>
    <w:rsid w:val="00924020"/>
    <w:rsid w:val="009271A7"/>
    <w:rsid w:val="0093658B"/>
    <w:rsid w:val="009429FF"/>
    <w:rsid w:val="00945BD6"/>
    <w:rsid w:val="009479FB"/>
    <w:rsid w:val="00951C45"/>
    <w:rsid w:val="009656F2"/>
    <w:rsid w:val="00966A08"/>
    <w:rsid w:val="00970AE8"/>
    <w:rsid w:val="00971207"/>
    <w:rsid w:val="00975CB4"/>
    <w:rsid w:val="009863B0"/>
    <w:rsid w:val="00987DE1"/>
    <w:rsid w:val="00990571"/>
    <w:rsid w:val="0099673A"/>
    <w:rsid w:val="009A3330"/>
    <w:rsid w:val="009A76FE"/>
    <w:rsid w:val="009A7C96"/>
    <w:rsid w:val="009C3DB9"/>
    <w:rsid w:val="009D46E5"/>
    <w:rsid w:val="009D568A"/>
    <w:rsid w:val="009E27DB"/>
    <w:rsid w:val="009F04EC"/>
    <w:rsid w:val="009F2A7C"/>
    <w:rsid w:val="009F3B36"/>
    <w:rsid w:val="00A019B9"/>
    <w:rsid w:val="00A03705"/>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8504D"/>
    <w:rsid w:val="00A92FB1"/>
    <w:rsid w:val="00A95A0C"/>
    <w:rsid w:val="00AA2765"/>
    <w:rsid w:val="00AA77B5"/>
    <w:rsid w:val="00AB6C5D"/>
    <w:rsid w:val="00AC3401"/>
    <w:rsid w:val="00AC51A7"/>
    <w:rsid w:val="00AC59C8"/>
    <w:rsid w:val="00AD444B"/>
    <w:rsid w:val="00AD5045"/>
    <w:rsid w:val="00AD5614"/>
    <w:rsid w:val="00AD6C78"/>
    <w:rsid w:val="00AE2EAB"/>
    <w:rsid w:val="00AF5F89"/>
    <w:rsid w:val="00AF73CB"/>
    <w:rsid w:val="00B002D6"/>
    <w:rsid w:val="00B03379"/>
    <w:rsid w:val="00B05B51"/>
    <w:rsid w:val="00B06348"/>
    <w:rsid w:val="00B14E5A"/>
    <w:rsid w:val="00B15370"/>
    <w:rsid w:val="00B16DA4"/>
    <w:rsid w:val="00B17BEB"/>
    <w:rsid w:val="00B21A3C"/>
    <w:rsid w:val="00B223C0"/>
    <w:rsid w:val="00B234ED"/>
    <w:rsid w:val="00B249B2"/>
    <w:rsid w:val="00B25CA3"/>
    <w:rsid w:val="00B25F13"/>
    <w:rsid w:val="00B2765A"/>
    <w:rsid w:val="00B3109A"/>
    <w:rsid w:val="00B33297"/>
    <w:rsid w:val="00B35068"/>
    <w:rsid w:val="00B516ED"/>
    <w:rsid w:val="00B57A6A"/>
    <w:rsid w:val="00B760F1"/>
    <w:rsid w:val="00B7669E"/>
    <w:rsid w:val="00B77DA1"/>
    <w:rsid w:val="00B822A0"/>
    <w:rsid w:val="00B858AE"/>
    <w:rsid w:val="00B85964"/>
    <w:rsid w:val="00B931F1"/>
    <w:rsid w:val="00B96250"/>
    <w:rsid w:val="00B96A53"/>
    <w:rsid w:val="00BA0D55"/>
    <w:rsid w:val="00BA2009"/>
    <w:rsid w:val="00BA37B3"/>
    <w:rsid w:val="00BA4CC6"/>
    <w:rsid w:val="00BB3493"/>
    <w:rsid w:val="00BB7468"/>
    <w:rsid w:val="00BC188A"/>
    <w:rsid w:val="00BC402E"/>
    <w:rsid w:val="00BD0F48"/>
    <w:rsid w:val="00BD1421"/>
    <w:rsid w:val="00BD666B"/>
    <w:rsid w:val="00BE6DDB"/>
    <w:rsid w:val="00BF0E8C"/>
    <w:rsid w:val="00BF5010"/>
    <w:rsid w:val="00C0334C"/>
    <w:rsid w:val="00C03D5F"/>
    <w:rsid w:val="00C13791"/>
    <w:rsid w:val="00C15D91"/>
    <w:rsid w:val="00C31BB3"/>
    <w:rsid w:val="00C3391B"/>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4AE3"/>
    <w:rsid w:val="00CF5D94"/>
    <w:rsid w:val="00CF7E0F"/>
    <w:rsid w:val="00D034D7"/>
    <w:rsid w:val="00D04BE4"/>
    <w:rsid w:val="00D06FC7"/>
    <w:rsid w:val="00D12565"/>
    <w:rsid w:val="00D14127"/>
    <w:rsid w:val="00D35939"/>
    <w:rsid w:val="00D423C6"/>
    <w:rsid w:val="00D42559"/>
    <w:rsid w:val="00D50879"/>
    <w:rsid w:val="00D53A47"/>
    <w:rsid w:val="00D60B16"/>
    <w:rsid w:val="00D60F02"/>
    <w:rsid w:val="00D66E49"/>
    <w:rsid w:val="00D70D71"/>
    <w:rsid w:val="00D72F74"/>
    <w:rsid w:val="00D77B05"/>
    <w:rsid w:val="00D81563"/>
    <w:rsid w:val="00D85907"/>
    <w:rsid w:val="00D9073E"/>
    <w:rsid w:val="00D9221D"/>
    <w:rsid w:val="00D958DF"/>
    <w:rsid w:val="00D96DA1"/>
    <w:rsid w:val="00DA1F12"/>
    <w:rsid w:val="00DA51E7"/>
    <w:rsid w:val="00DB0260"/>
    <w:rsid w:val="00DB1C78"/>
    <w:rsid w:val="00DB7D96"/>
    <w:rsid w:val="00DC0042"/>
    <w:rsid w:val="00DC23FE"/>
    <w:rsid w:val="00DC59E6"/>
    <w:rsid w:val="00DD150B"/>
    <w:rsid w:val="00DD5025"/>
    <w:rsid w:val="00DF1510"/>
    <w:rsid w:val="00E02F1F"/>
    <w:rsid w:val="00E0521B"/>
    <w:rsid w:val="00E059D7"/>
    <w:rsid w:val="00E06484"/>
    <w:rsid w:val="00E20A7D"/>
    <w:rsid w:val="00E256B1"/>
    <w:rsid w:val="00E275D8"/>
    <w:rsid w:val="00E30F6A"/>
    <w:rsid w:val="00E3117C"/>
    <w:rsid w:val="00E34713"/>
    <w:rsid w:val="00E375CA"/>
    <w:rsid w:val="00E552A1"/>
    <w:rsid w:val="00E567E8"/>
    <w:rsid w:val="00E64679"/>
    <w:rsid w:val="00E65EBC"/>
    <w:rsid w:val="00E677FE"/>
    <w:rsid w:val="00E704D9"/>
    <w:rsid w:val="00E73432"/>
    <w:rsid w:val="00E77B0C"/>
    <w:rsid w:val="00E77FB8"/>
    <w:rsid w:val="00E838B0"/>
    <w:rsid w:val="00E86A7C"/>
    <w:rsid w:val="00E878E1"/>
    <w:rsid w:val="00E87F2C"/>
    <w:rsid w:val="00E95278"/>
    <w:rsid w:val="00EA2273"/>
    <w:rsid w:val="00EA7C3C"/>
    <w:rsid w:val="00EB0F4B"/>
    <w:rsid w:val="00EB2DB3"/>
    <w:rsid w:val="00EB3464"/>
    <w:rsid w:val="00EB790C"/>
    <w:rsid w:val="00EC3FBB"/>
    <w:rsid w:val="00EC6B7A"/>
    <w:rsid w:val="00ED3A87"/>
    <w:rsid w:val="00ED5B67"/>
    <w:rsid w:val="00EF264C"/>
    <w:rsid w:val="00EF3FEE"/>
    <w:rsid w:val="00F00A18"/>
    <w:rsid w:val="00F04B59"/>
    <w:rsid w:val="00F11741"/>
    <w:rsid w:val="00F12B1C"/>
    <w:rsid w:val="00F13CB1"/>
    <w:rsid w:val="00F13CF8"/>
    <w:rsid w:val="00F15855"/>
    <w:rsid w:val="00F200B2"/>
    <w:rsid w:val="00F227DC"/>
    <w:rsid w:val="00F23ED0"/>
    <w:rsid w:val="00F32978"/>
    <w:rsid w:val="00F45CB2"/>
    <w:rsid w:val="00F544C0"/>
    <w:rsid w:val="00F55332"/>
    <w:rsid w:val="00F6504A"/>
    <w:rsid w:val="00F65519"/>
    <w:rsid w:val="00F713C0"/>
    <w:rsid w:val="00F75D07"/>
    <w:rsid w:val="00F75DDC"/>
    <w:rsid w:val="00F7792F"/>
    <w:rsid w:val="00F842AA"/>
    <w:rsid w:val="00F8476F"/>
    <w:rsid w:val="00F84E3D"/>
    <w:rsid w:val="00F853E1"/>
    <w:rsid w:val="00F85604"/>
    <w:rsid w:val="00F91944"/>
    <w:rsid w:val="00F94B7A"/>
    <w:rsid w:val="00FA17AC"/>
    <w:rsid w:val="00FA32DE"/>
    <w:rsid w:val="00FA3382"/>
    <w:rsid w:val="00FA49BD"/>
    <w:rsid w:val="00FA59CD"/>
    <w:rsid w:val="00FB1740"/>
    <w:rsid w:val="00FC5469"/>
    <w:rsid w:val="00FC6D7D"/>
    <w:rsid w:val="00FD16B0"/>
    <w:rsid w:val="00FD4FED"/>
    <w:rsid w:val="00FE0577"/>
    <w:rsid w:val="00FE1A7C"/>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8C10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8C10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73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A89EF-61BD-42BE-8734-642F97F9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11</Pages>
  <Words>1826</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Riley Doherty</dc:creator>
  <cp:lastModifiedBy>Jackie Colson</cp:lastModifiedBy>
  <cp:revision>2</cp:revision>
  <cp:lastPrinted>2019-08-22T13:27:00Z</cp:lastPrinted>
  <dcterms:created xsi:type="dcterms:W3CDTF">2019-08-22T14:38:00Z</dcterms:created>
  <dcterms:modified xsi:type="dcterms:W3CDTF">2019-08-22T14:38:00Z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20190076-EI</vt:lpwstr>
  </property>
  <property fmtid="{D5CDD505-2E9C-101B-9397-08002B2CF9AE}" pid="3" name="MasterDocument">
    <vt:bool>false</vt:bool>
  </property>
</Properties>
</file>