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02400">
            <w:pPr>
              <w:pStyle w:val="MemoHeading"/>
            </w:pPr>
            <w:bookmarkStart w:id="1" w:name="FilingDate"/>
            <w:r>
              <w:t>September 20</w:t>
            </w:r>
            <w:r w:rsidR="008B78B0">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B78B0" w:rsidRDefault="008B78B0">
            <w:pPr>
              <w:pStyle w:val="MemoHeading"/>
            </w:pPr>
            <w:bookmarkStart w:id="2" w:name="From"/>
            <w:r>
              <w:t xml:space="preserve">Division </w:t>
            </w:r>
            <w:r w:rsidR="007466F7">
              <w:t>of Economics (</w:t>
            </w:r>
            <w:r>
              <w:t>Wu)</w:t>
            </w:r>
          </w:p>
          <w:p w:rsidR="008B78B0" w:rsidRDefault="008B78B0">
            <w:pPr>
              <w:pStyle w:val="MemoHeading"/>
            </w:pPr>
            <w:r>
              <w:t>Division of Accounting and Finance (Cicchetti,</w:t>
            </w:r>
            <w:r w:rsidR="001E7BA8">
              <w:t xml:space="preserve"> Higgins,</w:t>
            </w:r>
            <w:r>
              <w:t xml:space="preserve"> Smith II)</w:t>
            </w:r>
          </w:p>
          <w:p w:rsidR="007C0528" w:rsidRDefault="008B78B0">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B78B0">
            <w:pPr>
              <w:pStyle w:val="MemoHeadingRe"/>
            </w:pPr>
            <w:bookmarkStart w:id="3" w:name="Re"/>
            <w:r>
              <w:t>Docket No. 20190056-GU – Petition for approval of 2019 consolidated depreciation study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02400">
            <w:pPr>
              <w:pStyle w:val="MemoHeading"/>
            </w:pPr>
            <w:bookmarkStart w:id="4" w:name="AgendaDate"/>
            <w:r>
              <w:t>10/03</w:t>
            </w:r>
            <w:r w:rsidR="008B78B0">
              <w:t>/19</w:t>
            </w:r>
            <w:bookmarkEnd w:id="4"/>
            <w:r w:rsidR="007C0528">
              <w:t xml:space="preserve"> – </w:t>
            </w:r>
            <w:bookmarkStart w:id="5" w:name="PermittedStatus"/>
            <w:r w:rsidR="008B78B0">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B78B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B78B0">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B78B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B78B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85535" w:rsidRDefault="001B24FC" w:rsidP="00206560">
      <w:pPr>
        <w:pStyle w:val="BodyText"/>
      </w:pPr>
      <w:r w:rsidRPr="00B85535">
        <w:rPr>
          <w:rStyle w:val="BodyTextChar"/>
        </w:rPr>
        <w:t>Rule 25-7.045(4)(a), Florida Administrative Code (F.A.C.), requires natural gas public utilities to file a comprehensive depreciation study with the Florida Public Service Commission (Commission) for review at least once every five years from the submission date of the previous study.</w:t>
      </w:r>
      <w:r w:rsidR="00355789" w:rsidRPr="00B85535">
        <w:rPr>
          <w:rStyle w:val="BodyTextChar"/>
        </w:rPr>
        <w:t xml:space="preserve"> </w:t>
      </w:r>
      <w:r w:rsidR="00B85535" w:rsidRPr="00B85535">
        <w:rPr>
          <w:rStyle w:val="BodyTextChar"/>
        </w:rPr>
        <w:t>Florida Public Utilities Company’s (FPUC or Company)</w:t>
      </w:r>
      <w:r w:rsidR="00175318" w:rsidRPr="00B85535">
        <w:rPr>
          <w:rStyle w:val="BodyTextChar"/>
        </w:rPr>
        <w:t xml:space="preserve"> last depreciation study was initially filed on January 13, 2014,</w:t>
      </w:r>
      <w:r w:rsidR="00B85535" w:rsidRPr="00B85535">
        <w:rPr>
          <w:rStyle w:val="BodyTextChar"/>
        </w:rPr>
        <w:t xml:space="preserve"> and</w:t>
      </w:r>
      <w:r w:rsidR="00175318" w:rsidRPr="00B85535">
        <w:rPr>
          <w:rStyle w:val="BodyTextChar"/>
        </w:rPr>
        <w:t xml:space="preserve"> a revised </w:t>
      </w:r>
      <w:r w:rsidR="00B85535" w:rsidRPr="00B85535">
        <w:rPr>
          <w:rStyle w:val="BodyTextChar"/>
        </w:rPr>
        <w:t>version</w:t>
      </w:r>
      <w:r w:rsidR="00175318" w:rsidRPr="00B85535">
        <w:rPr>
          <w:rStyle w:val="BodyTextChar"/>
        </w:rPr>
        <w:t xml:space="preserve"> filed</w:t>
      </w:r>
      <w:r w:rsidR="00C96BBB">
        <w:rPr>
          <w:rStyle w:val="BodyTextChar"/>
        </w:rPr>
        <w:t xml:space="preserve"> on July 2, 2014. The 2014 Study was approved </w:t>
      </w:r>
      <w:r w:rsidR="00C96BBB">
        <w:t>b</w:t>
      </w:r>
      <w:r w:rsidR="00C96BBB" w:rsidRPr="00571229">
        <w:t>y Order No. PSC-14-0698-PAA-GU.</w:t>
      </w:r>
      <w:r w:rsidR="00C96BBB">
        <w:rPr>
          <w:rStyle w:val="FootnoteReference"/>
        </w:rPr>
        <w:footnoteReference w:id="1"/>
      </w:r>
      <w:r w:rsidR="00776AF4">
        <w:rPr>
          <w:rStyle w:val="BodyTextChar"/>
        </w:rPr>
        <w:t xml:space="preserve"> FPUC’s new</w:t>
      </w:r>
      <w:r w:rsidR="00B85535" w:rsidRPr="00B85535">
        <w:rPr>
          <w:rStyle w:val="BodyTextChar"/>
        </w:rPr>
        <w:t xml:space="preserve"> study</w:t>
      </w:r>
      <w:r w:rsidR="00776AF4">
        <w:rPr>
          <w:rStyle w:val="BodyTextChar"/>
        </w:rPr>
        <w:t xml:space="preserve"> was</w:t>
      </w:r>
      <w:r w:rsidR="00355789" w:rsidRPr="00B85535">
        <w:rPr>
          <w:rStyle w:val="BodyTextChar"/>
        </w:rPr>
        <w:t xml:space="preserve"> due on</w:t>
      </w:r>
      <w:r w:rsidR="00B85535" w:rsidRPr="00B85535">
        <w:rPr>
          <w:rStyle w:val="BodyTextChar"/>
        </w:rPr>
        <w:t xml:space="preserve"> or by</w:t>
      </w:r>
      <w:r w:rsidR="00355789" w:rsidRPr="00B85535">
        <w:rPr>
          <w:rStyle w:val="BodyTextChar"/>
        </w:rPr>
        <w:t xml:space="preserve"> January 14, 2019. </w:t>
      </w:r>
      <w:r w:rsidR="00B85535" w:rsidRPr="00B85535">
        <w:rPr>
          <w:rStyle w:val="BodyTextChar"/>
        </w:rPr>
        <w:t>However, o</w:t>
      </w:r>
      <w:r w:rsidR="00175318" w:rsidRPr="00B85535">
        <w:rPr>
          <w:rStyle w:val="BodyTextChar"/>
        </w:rPr>
        <w:t xml:space="preserve">n December 26, 2018, </w:t>
      </w:r>
      <w:r w:rsidR="00B85535" w:rsidRPr="00B85535">
        <w:rPr>
          <w:rStyle w:val="BodyTextChar"/>
        </w:rPr>
        <w:t>FPUC</w:t>
      </w:r>
      <w:r w:rsidR="00175318" w:rsidRPr="00B85535">
        <w:rPr>
          <w:rStyle w:val="BodyTextChar"/>
        </w:rPr>
        <w:t xml:space="preserve"> filed a petition to temporarily w</w:t>
      </w:r>
      <w:r w:rsidR="00B85535" w:rsidRPr="00B85535">
        <w:rPr>
          <w:rStyle w:val="BodyTextChar"/>
        </w:rPr>
        <w:t xml:space="preserve">aive </w:t>
      </w:r>
      <w:r w:rsidR="00B85535" w:rsidRPr="00B85535">
        <w:rPr>
          <w:rStyle w:val="BodyTextChar"/>
        </w:rPr>
        <w:lastRenderedPageBreak/>
        <w:t>Rule 25-7.045(4)(a), F.A.C.</w:t>
      </w:r>
      <w:r w:rsidR="00254C18">
        <w:rPr>
          <w:rStyle w:val="FootnoteReference"/>
        </w:rPr>
        <w:footnoteReference w:id="2"/>
      </w:r>
      <w:r w:rsidR="00B85535" w:rsidRPr="00B85535">
        <w:rPr>
          <w:rStyle w:val="BodyTextChar"/>
        </w:rPr>
        <w:t xml:space="preserve"> The Company’s request</w:t>
      </w:r>
      <w:r w:rsidR="00767459">
        <w:rPr>
          <w:rStyle w:val="BodyTextChar"/>
        </w:rPr>
        <w:t xml:space="preserve"> was</w:t>
      </w:r>
      <w:r w:rsidR="00776AF4">
        <w:rPr>
          <w:rStyle w:val="BodyTextChar"/>
        </w:rPr>
        <w:t xml:space="preserve"> ultimately</w:t>
      </w:r>
      <w:r w:rsidR="00B85535" w:rsidRPr="00B85535">
        <w:rPr>
          <w:rStyle w:val="BodyTextChar"/>
        </w:rPr>
        <w:t xml:space="preserve"> granted</w:t>
      </w:r>
      <w:r w:rsidR="00623075">
        <w:rPr>
          <w:rStyle w:val="BodyTextChar"/>
        </w:rPr>
        <w:t>,</w:t>
      </w:r>
      <w:r w:rsidR="00B85535">
        <w:rPr>
          <w:rStyle w:val="BodyTextChar"/>
        </w:rPr>
        <w:t xml:space="preserve"> </w:t>
      </w:r>
      <w:r w:rsidR="00B95EE0">
        <w:rPr>
          <w:rStyle w:val="BodyTextChar"/>
        </w:rPr>
        <w:t>w</w:t>
      </w:r>
      <w:r w:rsidR="00B85535" w:rsidRPr="00B85535">
        <w:rPr>
          <w:rStyle w:val="BodyTextChar"/>
        </w:rPr>
        <w:t>hich permitted it to submit a depreciation</w:t>
      </w:r>
      <w:r w:rsidR="00355789" w:rsidRPr="00B85535">
        <w:rPr>
          <w:rStyle w:val="BodyTextChar"/>
        </w:rPr>
        <w:t xml:space="preserve"> study no later than March 4, 201</w:t>
      </w:r>
      <w:r w:rsidR="00B85535" w:rsidRPr="00B85535">
        <w:rPr>
          <w:rStyle w:val="BodyTextChar"/>
        </w:rPr>
        <w:t>9</w:t>
      </w:r>
      <w:r w:rsidR="00355789" w:rsidRPr="00B85535">
        <w:rPr>
          <w:rStyle w:val="BodyTextChar"/>
        </w:rPr>
        <w:t>.</w:t>
      </w:r>
      <w:r w:rsidR="00355789">
        <w:rPr>
          <w:rStyle w:val="FootnoteReference"/>
        </w:rPr>
        <w:footnoteReference w:id="3"/>
      </w:r>
      <w:r w:rsidR="00254C18">
        <w:rPr>
          <w:rStyle w:val="BodyTextChar"/>
        </w:rPr>
        <w:t xml:space="preserve"> In accordance with </w:t>
      </w:r>
      <w:r w:rsidR="00254C18" w:rsidRPr="00175318">
        <w:t>Order No. PSC-2019-0067-PAA-GU</w:t>
      </w:r>
      <w:r w:rsidR="00254C18">
        <w:t>, the Company filed its 2019 Depreciation Study on March 4, 2019, and a revised version on April 10, 2019</w:t>
      </w:r>
      <w:r w:rsidR="00F710AC">
        <w:t xml:space="preserve"> (2019 Study or </w:t>
      </w:r>
      <w:r w:rsidR="00F710AC" w:rsidRPr="009D4D7C">
        <w:t>Current Study)</w:t>
      </w:r>
      <w:r w:rsidR="00254C18" w:rsidRPr="009D4D7C">
        <w:t>.</w:t>
      </w:r>
      <w:r w:rsidR="00F710AC">
        <w:t xml:space="preserve"> Staff</w:t>
      </w:r>
      <w:r w:rsidR="00477A37">
        <w:t>’</w:t>
      </w:r>
      <w:r w:rsidR="00F710AC">
        <w:t xml:space="preserve">s analysis and </w:t>
      </w:r>
      <w:r w:rsidR="00767459">
        <w:t>recommendations are based on</w:t>
      </w:r>
      <w:r w:rsidR="00F710AC">
        <w:t xml:space="preserve"> the April 10, 2019</w:t>
      </w:r>
      <w:r w:rsidR="00847CB6">
        <w:t>,</w:t>
      </w:r>
      <w:r w:rsidR="00F710AC">
        <w:t xml:space="preserve"> filing.</w:t>
      </w:r>
      <w:r w:rsidR="00F710AC">
        <w:rPr>
          <w:rStyle w:val="FootnoteReference"/>
        </w:rPr>
        <w:footnoteReference w:id="4"/>
      </w:r>
      <w:r w:rsidR="009F247B">
        <w:t xml:space="preserve"> Further, as was the case with the Company’s 2014 Depreciation Study, FPUC’s</w:t>
      </w:r>
      <w:r w:rsidR="00847CB6">
        <w:t xml:space="preserve"> 2019 Study is a consolidated depreciation s</w:t>
      </w:r>
      <w:r w:rsidR="009F247B" w:rsidRPr="009F247B">
        <w:t>tu</w:t>
      </w:r>
      <w:r w:rsidR="009F247B" w:rsidRPr="00CE4342">
        <w:t>dy encompassing</w:t>
      </w:r>
      <w:r w:rsidR="00174551" w:rsidRPr="00CE4342">
        <w:t xml:space="preserve"> information from,</w:t>
      </w:r>
      <w:r w:rsidR="009F247B" w:rsidRPr="00CE4342">
        <w:t xml:space="preserve"> </w:t>
      </w:r>
      <w:r w:rsidR="004B4F57">
        <w:t>and rates applicable to</w:t>
      </w:r>
      <w:r w:rsidR="00174551" w:rsidRPr="00CE4342">
        <w:t xml:space="preserve"> </w:t>
      </w:r>
      <w:r w:rsidR="009F247B" w:rsidRPr="00CE4342">
        <w:t>FPUC, FPUC - Indiantown Division, FPUC - Fort Meade, and the Florida Division of C</w:t>
      </w:r>
      <w:r w:rsidR="00C826F8" w:rsidRPr="00CE4342">
        <w:t>h</w:t>
      </w:r>
      <w:r w:rsidR="00847CB6" w:rsidRPr="00CE4342">
        <w:t>esapeake Utilities Corporatio</w:t>
      </w:r>
      <w:r w:rsidR="00CE4342">
        <w:t>n. For clarity, the aforementioned</w:t>
      </w:r>
      <w:r w:rsidR="00082407">
        <w:t xml:space="preserve"> collective of operating divisions</w:t>
      </w:r>
      <w:r w:rsidR="00847CB6" w:rsidRPr="00CE4342">
        <w:t xml:space="preserve"> are singularly</w:t>
      </w:r>
      <w:r w:rsidR="00C826F8" w:rsidRPr="00CE4342">
        <w:t xml:space="preserve"> referred to as “FPUC or Company” throughout this recommendation.</w:t>
      </w:r>
    </w:p>
    <w:p w:rsidR="00206560" w:rsidRDefault="00B85535" w:rsidP="00206560">
      <w:pPr>
        <w:pStyle w:val="BodyText"/>
      </w:pPr>
      <w:r w:rsidRPr="0003582A">
        <w:t xml:space="preserve">A staff data request seeking additional information regarding the </w:t>
      </w:r>
      <w:r w:rsidR="00254C18" w:rsidRPr="0003582A">
        <w:t>2019 Study</w:t>
      </w:r>
      <w:r w:rsidRPr="0003582A">
        <w:t xml:space="preserve"> </w:t>
      </w:r>
      <w:r w:rsidR="00254C18" w:rsidRPr="0003582A">
        <w:t>was</w:t>
      </w:r>
      <w:r w:rsidRPr="0003582A">
        <w:t xml:space="preserve"> issued on </w:t>
      </w:r>
      <w:r w:rsidR="00254C18" w:rsidRPr="0003582A">
        <w:t>April 15</w:t>
      </w:r>
      <w:r w:rsidRPr="0003582A">
        <w:t>, 2019</w:t>
      </w:r>
      <w:r w:rsidR="00254C18" w:rsidRPr="0003582A">
        <w:t>, and Staff’</w:t>
      </w:r>
      <w:r w:rsidR="0003582A" w:rsidRPr="0003582A">
        <w:t>s Report</w:t>
      </w:r>
      <w:r w:rsidR="00B17C02">
        <w:t xml:space="preserve"> was issued</w:t>
      </w:r>
      <w:r w:rsidR="0003582A" w:rsidRPr="0003582A">
        <w:t xml:space="preserve"> on June 11, 2019</w:t>
      </w:r>
      <w:r w:rsidR="00254C18" w:rsidRPr="0003582A">
        <w:t>.</w:t>
      </w:r>
      <w:r w:rsidRPr="0003582A">
        <w:t xml:space="preserve"> The Company responded to Staf</w:t>
      </w:r>
      <w:r w:rsidR="00254C18" w:rsidRPr="0003582A">
        <w:t>f’s First Data Request on May 17</w:t>
      </w:r>
      <w:r w:rsidRPr="0003582A">
        <w:t xml:space="preserve">, 2019, and </w:t>
      </w:r>
      <w:r w:rsidR="0003582A" w:rsidRPr="0003582A">
        <w:t>Staff’s Report on July 2</w:t>
      </w:r>
      <w:r w:rsidRPr="0003582A">
        <w:t>, 2019.</w:t>
      </w:r>
    </w:p>
    <w:p w:rsidR="00206560" w:rsidRDefault="00206560" w:rsidP="00206560">
      <w:pPr>
        <w:pStyle w:val="BodyText"/>
      </w:pPr>
      <w:r>
        <w:t xml:space="preserve">With respect to the Florida Division of Chesapeake Utilities Corporation (Chesapeake), staff </w:t>
      </w:r>
      <w:r w:rsidR="001E0D53">
        <w:t>reviewed</w:t>
      </w:r>
      <w:r>
        <w:t xml:space="preserve"> the effect of the recommended depreciation rate reductions (Issue 2)</w:t>
      </w:r>
      <w:r w:rsidR="001E0D53">
        <w:t xml:space="preserve"> on forecasted earnings</w:t>
      </w:r>
      <w:r>
        <w:t xml:space="preserve"> for calendar year 2019 (Issue 3).</w:t>
      </w:r>
      <w:r>
        <w:rPr>
          <w:rStyle w:val="FootnoteReference"/>
        </w:rPr>
        <w:footnoteReference w:id="5"/>
      </w:r>
      <w:r w:rsidR="001E0D53">
        <w:t xml:space="preserve"> Bas</w:t>
      </w:r>
      <w:r w:rsidR="009151A4">
        <w:t>ed on staff’s review,</w:t>
      </w:r>
      <w:r>
        <w:t xml:space="preserve"> Chesapeake is projected to remain earning within its authorized return on equity range of 9.8 percent to 11.8 percent for 2019.</w:t>
      </w:r>
      <w:r>
        <w:rPr>
          <w:rStyle w:val="FootnoteReference"/>
        </w:rPr>
        <w:footnoteReference w:id="6"/>
      </w:r>
    </w:p>
    <w:p w:rsidR="006F07C1" w:rsidRPr="008D1C79" w:rsidRDefault="001B24FC" w:rsidP="00206560">
      <w:pPr>
        <w:pStyle w:val="BodyText"/>
      </w:pPr>
      <w:r w:rsidRPr="008D1C79">
        <w:t xml:space="preserve">Staff has completed its review of </w:t>
      </w:r>
      <w:r w:rsidR="0003582A" w:rsidRPr="008D1C79">
        <w:t>FPUC’s 2019</w:t>
      </w:r>
      <w:r w:rsidRPr="008D1C79">
        <w:t xml:space="preserve"> Study and presents its recommendations to the Commission herein.</w:t>
      </w:r>
      <w:r w:rsidR="00570180" w:rsidRPr="008D1C79">
        <w:t xml:space="preserve"> </w:t>
      </w:r>
      <w:r w:rsidR="00484799" w:rsidRPr="008D1C79">
        <w:t>Additionally, s</w:t>
      </w:r>
      <w:r w:rsidR="006F07C1" w:rsidRPr="008D1C79">
        <w:t>taff is not currently aware of any questions or concerns from the public with respect to this matter.</w:t>
      </w:r>
    </w:p>
    <w:p w:rsidR="00EA2273" w:rsidRDefault="001B24FC" w:rsidP="00206560">
      <w:pPr>
        <w:pStyle w:val="BodyTex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rsidRPr="0009656A">
        <w:t>The Commission is vested with jurisdiction over these matters through several provisions of the Florida Statutes (F.S.), including Sections 350.115, 366.05, and 366.06, F.S.</w:t>
      </w:r>
      <w:bookmarkEnd w:id="12"/>
    </w:p>
    <w:p w:rsidR="007C0528" w:rsidRDefault="007C0528">
      <w:pPr>
        <w:pStyle w:val="RecommendationMajorSectionHeading"/>
      </w:pPr>
      <w:bookmarkStart w:id="16" w:name="DiscussionOfIssues"/>
      <w:r>
        <w:lastRenderedPageBreak/>
        <w:t>Discussion of Issues</w:t>
      </w:r>
    </w:p>
    <w:bookmarkEnd w:id="16"/>
    <w:p w:rsidR="001B24FC" w:rsidRDefault="001B24FC">
      <w:pPr>
        <w:pStyle w:val="IssueHeading"/>
        <w:rPr>
          <w:vanish/>
          <w:specVanish/>
        </w:rPr>
      </w:pPr>
      <w:r w:rsidRPr="004C3641">
        <w:t xml:space="preserve">Issue </w:t>
      </w:r>
      <w:r w:rsidR="00D15F2C">
        <w:fldChar w:fldCharType="begin"/>
      </w:r>
      <w:r w:rsidR="00D15F2C">
        <w:instrText xml:space="preserve"> SEQ Issue \* MERGEFORMAT </w:instrText>
      </w:r>
      <w:r w:rsidR="00D15F2C">
        <w:fldChar w:fldCharType="separate"/>
      </w:r>
      <w:r w:rsidR="00822F4B">
        <w:rPr>
          <w:noProof/>
        </w:rPr>
        <w:t>1</w:t>
      </w:r>
      <w:r w:rsidR="00D15F2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22F4B">
        <w:rPr>
          <w:noProof/>
        </w:rPr>
        <w:instrText>1</w:instrText>
      </w:r>
      <w:r>
        <w:fldChar w:fldCharType="end"/>
      </w:r>
      <w:r>
        <w:tab/>
        <w:instrText xml:space="preserve">" \l 1 </w:instrText>
      </w:r>
      <w:r>
        <w:fldChar w:fldCharType="end"/>
      </w:r>
      <w:r>
        <w:t> </w:t>
      </w:r>
    </w:p>
    <w:p w:rsidR="001B24FC" w:rsidRDefault="001B24FC">
      <w:pPr>
        <w:pStyle w:val="BodyText"/>
      </w:pPr>
      <w:r>
        <w:t> Should the currently prescribed depreciation rates for FPUC be revised?</w:t>
      </w:r>
    </w:p>
    <w:p w:rsidR="001B24FC" w:rsidRPr="004C3641" w:rsidRDefault="001B24FC">
      <w:pPr>
        <w:pStyle w:val="IssueSubsectionHeading"/>
        <w:rPr>
          <w:vanish/>
          <w:specVanish/>
        </w:rPr>
      </w:pPr>
      <w:r w:rsidRPr="004C3641">
        <w:t>Recommendation: </w:t>
      </w:r>
    </w:p>
    <w:p w:rsidR="001B24FC" w:rsidRDefault="001B24FC">
      <w:pPr>
        <w:pStyle w:val="BodyText"/>
      </w:pPr>
      <w:r>
        <w:t> </w:t>
      </w:r>
      <w:r w:rsidR="0085246F">
        <w:t>Yes. The review of FPUC</w:t>
      </w:r>
      <w:r w:rsidR="0085246F" w:rsidRPr="003E59B0">
        <w:t>’s</w:t>
      </w:r>
      <w:r w:rsidR="0085246F">
        <w:t xml:space="preserve"> plant and depreciation-related information indicates a need to revise</w:t>
      </w:r>
      <w:r w:rsidR="0085246F" w:rsidRPr="003E59B0">
        <w:t xml:space="preserve"> </w:t>
      </w:r>
      <w:r w:rsidR="0085246F">
        <w:t>the Company</w:t>
      </w:r>
      <w:r w:rsidR="0085246F" w:rsidRPr="003E59B0">
        <w:t>’s</w:t>
      </w:r>
      <w:r w:rsidR="0085246F">
        <w:t xml:space="preserve"> currently prescribed depreciation rates. (Higgins)</w:t>
      </w:r>
    </w:p>
    <w:p w:rsidR="001B24FC" w:rsidRPr="004C3641" w:rsidRDefault="001B24FC">
      <w:pPr>
        <w:pStyle w:val="IssueSubsectionHeading"/>
        <w:rPr>
          <w:vanish/>
          <w:specVanish/>
        </w:rPr>
      </w:pPr>
      <w:r w:rsidRPr="004C3641">
        <w:t>Staff Analysis: </w:t>
      </w:r>
    </w:p>
    <w:p w:rsidR="0085246F" w:rsidRDefault="001B24FC" w:rsidP="0085246F">
      <w:pPr>
        <w:pStyle w:val="BodyText"/>
        <w:rPr>
          <w:highlight w:val="yellow"/>
        </w:rPr>
      </w:pPr>
      <w:r>
        <w:t> </w:t>
      </w:r>
      <w:r w:rsidR="0009656A" w:rsidRPr="0009656A">
        <w:t>FPUC</w:t>
      </w:r>
      <w:r w:rsidR="0085246F" w:rsidRPr="0009656A">
        <w:t xml:space="preserve">’s last depreciation </w:t>
      </w:r>
      <w:r w:rsidR="009D4D7C">
        <w:t>study was filed</w:t>
      </w:r>
      <w:r w:rsidR="0085246F" w:rsidRPr="00571229">
        <w:t xml:space="preserve"> on</w:t>
      </w:r>
      <w:r w:rsidR="00571229" w:rsidRPr="00571229">
        <w:rPr>
          <w:rStyle w:val="BodyTextChar"/>
        </w:rPr>
        <w:t xml:space="preserve"> July 2, 2014</w:t>
      </w:r>
      <w:r w:rsidR="0085246F" w:rsidRPr="00571229">
        <w:t xml:space="preserve">. By </w:t>
      </w:r>
      <w:r w:rsidR="00571229" w:rsidRPr="00571229">
        <w:t>Order No. PSC-14-0698-PAA-GU</w:t>
      </w:r>
      <w:r w:rsidR="0085246F" w:rsidRPr="00571229">
        <w:t xml:space="preserve">, the Commission approved revised depreciation rates that </w:t>
      </w:r>
      <w:r w:rsidR="00571229" w:rsidRPr="00571229">
        <w:t xml:space="preserve">became </w:t>
      </w:r>
      <w:r w:rsidR="00FD7F11">
        <w:t xml:space="preserve">retroactively </w:t>
      </w:r>
      <w:r w:rsidR="00571229" w:rsidRPr="00571229">
        <w:t>effective</w:t>
      </w:r>
      <w:r w:rsidR="00FD7F11">
        <w:t xml:space="preserve"> </w:t>
      </w:r>
      <w:r w:rsidR="00571229" w:rsidRPr="00571229">
        <w:t>January 1, 2014</w:t>
      </w:r>
      <w:r w:rsidR="0085246F" w:rsidRPr="00571229">
        <w:t>.</w:t>
      </w:r>
      <w:r w:rsidR="00571229">
        <w:rPr>
          <w:rStyle w:val="FootnoteReference"/>
        </w:rPr>
        <w:footnoteReference w:id="7"/>
      </w:r>
      <w:r w:rsidR="0085246F" w:rsidRPr="00571229">
        <w:t xml:space="preserve">   </w:t>
      </w:r>
    </w:p>
    <w:p w:rsidR="001B24FC" w:rsidRDefault="009D4D7C" w:rsidP="0085246F">
      <w:pPr>
        <w:pStyle w:val="BodyText"/>
      </w:pPr>
      <w:r>
        <w:t>The Company filed its Current S</w:t>
      </w:r>
      <w:r w:rsidR="0053071B">
        <w:t xml:space="preserve">tudy in accordance </w:t>
      </w:r>
      <w:r w:rsidR="005E7281">
        <w:t xml:space="preserve">with </w:t>
      </w:r>
      <w:r w:rsidR="00571229" w:rsidRPr="00175318">
        <w:t>Order No. PSC-2019-0067-PAA-GU</w:t>
      </w:r>
      <w:r w:rsidR="00571229">
        <w:t>.</w:t>
      </w:r>
      <w:r w:rsidR="00571229">
        <w:rPr>
          <w:rStyle w:val="FootnoteReference"/>
        </w:rPr>
        <w:footnoteReference w:id="8"/>
      </w:r>
      <w:r w:rsidR="0085246F" w:rsidRPr="0009656A">
        <w:t xml:space="preserve"> A review</w:t>
      </w:r>
      <w:r w:rsidR="00D67CB4">
        <w:t xml:space="preserve"> of the Company’s </w:t>
      </w:r>
      <w:r>
        <w:t xml:space="preserve">recent </w:t>
      </w:r>
      <w:r w:rsidR="00D67CB4">
        <w:t>plant activities</w:t>
      </w:r>
      <w:r w:rsidR="0085246F" w:rsidRPr="0009656A">
        <w:t xml:space="preserve"> and other</w:t>
      </w:r>
      <w:r>
        <w:t xml:space="preserve"> relevant data indicates a</w:t>
      </w:r>
      <w:r w:rsidR="0085246F" w:rsidRPr="0009656A">
        <w:t xml:space="preserve"> need to revise depreciation rates. Staff’s recommended depreciation rates and</w:t>
      </w:r>
      <w:r w:rsidR="005E7281">
        <w:t xml:space="preserve"> their</w:t>
      </w:r>
      <w:r w:rsidR="0085246F" w:rsidRPr="0009656A">
        <w:t xml:space="preserve"> underlying components are specifically discuss</w:t>
      </w:r>
      <w:r w:rsidR="00CB1243">
        <w:t>ed in Issue 2</w:t>
      </w:r>
      <w:r w:rsidR="0085246F" w:rsidRPr="0053071B">
        <w:t>.</w:t>
      </w:r>
    </w:p>
    <w:p w:rsidR="0085246F" w:rsidRPr="00DC1A05" w:rsidRDefault="0085246F">
      <w:pPr>
        <w:pStyle w:val="IssueHeading"/>
        <w:rPr>
          <w:b w:val="0"/>
          <w:i w:val="0"/>
          <w:vanish/>
          <w:specVanish/>
        </w:rPr>
      </w:pPr>
      <w:r w:rsidRPr="004C3641">
        <w:rPr>
          <w:b w:val="0"/>
          <w:i w:val="0"/>
        </w:rPr>
        <w:br w:type="page"/>
      </w:r>
      <w:r w:rsidRPr="004C3641">
        <w:lastRenderedPageBreak/>
        <w:t xml:space="preserve">Issue </w:t>
      </w:r>
      <w:r w:rsidR="00D15F2C">
        <w:fldChar w:fldCharType="begin"/>
      </w:r>
      <w:r w:rsidR="00D15F2C">
        <w:instrText xml:space="preserve"> SEQ Issue \* MERGEFORMA</w:instrText>
      </w:r>
      <w:r w:rsidR="00D15F2C">
        <w:instrText xml:space="preserve">T </w:instrText>
      </w:r>
      <w:r w:rsidR="00D15F2C">
        <w:fldChar w:fldCharType="separate"/>
      </w:r>
      <w:r w:rsidR="00822F4B">
        <w:rPr>
          <w:noProof/>
        </w:rPr>
        <w:t>2</w:t>
      </w:r>
      <w:r w:rsidR="00D15F2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22F4B">
        <w:rPr>
          <w:noProof/>
        </w:rPr>
        <w:instrText>2</w:instrText>
      </w:r>
      <w:r>
        <w:fldChar w:fldCharType="end"/>
      </w:r>
      <w:r>
        <w:tab/>
        <w:instrText xml:space="preserve">(Higgins)" \l 1 </w:instrText>
      </w:r>
      <w:r>
        <w:fldChar w:fldCharType="end"/>
      </w:r>
      <w:r>
        <w:t> </w:t>
      </w:r>
      <w:r w:rsidR="00DC1A05">
        <w:t xml:space="preserve"> </w:t>
      </w:r>
    </w:p>
    <w:p w:rsidR="0085246F" w:rsidRDefault="00DC1A05">
      <w:pPr>
        <w:pStyle w:val="BodyText"/>
      </w:pPr>
      <w:r>
        <w:t xml:space="preserve">What are </w:t>
      </w:r>
      <w:r w:rsidR="005F4B39">
        <w:t>staff’s recommended</w:t>
      </w:r>
      <w:r>
        <w:t xml:space="preserve"> depreciation parameters and resulting rates?</w:t>
      </w:r>
    </w:p>
    <w:p w:rsidR="0085246F" w:rsidRPr="004C3641" w:rsidRDefault="0085246F">
      <w:pPr>
        <w:pStyle w:val="IssueSubsectionHeading"/>
        <w:rPr>
          <w:vanish/>
          <w:specVanish/>
        </w:rPr>
      </w:pPr>
      <w:r w:rsidRPr="004C3641">
        <w:t>Recommendation: </w:t>
      </w:r>
    </w:p>
    <w:p w:rsidR="0085246F" w:rsidRDefault="0085246F">
      <w:pPr>
        <w:pStyle w:val="BodyText"/>
      </w:pPr>
      <w:r>
        <w:t> </w:t>
      </w:r>
      <w:r w:rsidR="00DC1A05" w:rsidRPr="00F71A27">
        <w:t xml:space="preserve">Staff recommends the Commission approve the lives, reserve percentages, net salvage percentages, and resulting depreciation rates applicable </w:t>
      </w:r>
      <w:r w:rsidR="007119AC">
        <w:t>to FPUC’s investments</w:t>
      </w:r>
      <w:r w:rsidR="00DC1A05" w:rsidRPr="00F71A27">
        <w:t xml:space="preserve"> s</w:t>
      </w:r>
      <w:r w:rsidR="00DC1A05" w:rsidRPr="004C3F5D">
        <w:t xml:space="preserve">hown on Attachment A. As shown on Attachment B, the </w:t>
      </w:r>
      <w:r w:rsidR="005F4B39">
        <w:t xml:space="preserve">relevant </w:t>
      </w:r>
      <w:r w:rsidR="00DC1A05" w:rsidRPr="004C3F5D">
        <w:t xml:space="preserve">corresponding </w:t>
      </w:r>
      <w:r w:rsidR="00DC1A05">
        <w:t xml:space="preserve">total </w:t>
      </w:r>
      <w:r w:rsidR="00DC1A05" w:rsidRPr="004C3F5D">
        <w:t>depreciation expense effect of staff’s rate recommendations is</w:t>
      </w:r>
      <w:r w:rsidR="005F4B39">
        <w:t xml:space="preserve"> a decrease of $893,899</w:t>
      </w:r>
      <w:r w:rsidR="00DC1A05" w:rsidRPr="004C3F5D">
        <w:t xml:space="preserve"> or approximately 7.2 percent, from current depreciation </w:t>
      </w:r>
      <w:r w:rsidR="00DC1A05">
        <w:t>expense</w:t>
      </w:r>
      <w:r w:rsidR="00DC1A05" w:rsidRPr="004C3F5D">
        <w:t xml:space="preserve"> levels</w:t>
      </w:r>
      <w:r w:rsidR="005F4B39">
        <w:t xml:space="preserve"> at December 31, 2018</w:t>
      </w:r>
      <w:r w:rsidR="00DC1A05" w:rsidRPr="004C3F5D">
        <w:t>. (Higg</w:t>
      </w:r>
      <w:r w:rsidR="00DC1A05">
        <w:t>ins, Wu)</w:t>
      </w:r>
    </w:p>
    <w:p w:rsidR="0085246F" w:rsidRPr="004C3641" w:rsidRDefault="0085246F">
      <w:pPr>
        <w:pStyle w:val="IssueSubsectionHeading"/>
        <w:rPr>
          <w:vanish/>
          <w:specVanish/>
        </w:rPr>
      </w:pPr>
      <w:r w:rsidRPr="004C3641">
        <w:t>Staff Analysis: </w:t>
      </w:r>
    </w:p>
    <w:p w:rsidR="0085246F" w:rsidRDefault="0085246F" w:rsidP="005149B7">
      <w:pPr>
        <w:pStyle w:val="BodyText"/>
      </w:pPr>
      <w:r>
        <w:t> </w:t>
      </w:r>
      <w:r w:rsidR="00DC1A05" w:rsidRPr="00DC1A05">
        <w:t xml:space="preserve">The purpose of this review is to ensure </w:t>
      </w:r>
      <w:r w:rsidR="005E7281">
        <w:t>that capital</w:t>
      </w:r>
      <w:r w:rsidR="007119AC">
        <w:t xml:space="preserve"> invested</w:t>
      </w:r>
      <w:r w:rsidR="00477A37">
        <w:t>,</w:t>
      </w:r>
      <w:r w:rsidR="007119AC">
        <w:t xml:space="preserve"> as well as future plant</w:t>
      </w:r>
      <w:r w:rsidR="00DC1A05" w:rsidRPr="00DC1A05">
        <w:t xml:space="preserve"> retirement</w:t>
      </w:r>
      <w:r w:rsidR="007119AC">
        <w:t xml:space="preserve"> costs</w:t>
      </w:r>
      <w:r w:rsidR="00477A37">
        <w:t>,</w:t>
      </w:r>
      <w:r w:rsidR="00DC1A05" w:rsidRPr="00DC1A05">
        <w:t xml:space="preserve"> are recovered over the useful lives of the assets studied. To this end, staff’s recommendations are the result of a comprehensive review of FPUC’s depreciation and plant-related data filed in this docket. Attachment A to this recommendation shows a comparison of currently-approved depreciation parameters and rate</w:t>
      </w:r>
      <w:r w:rsidR="005E7281">
        <w:t>s to those staff recommends becoming</w:t>
      </w:r>
      <w:r w:rsidR="00DC1A05" w:rsidRPr="00DC1A05">
        <w:t xml:space="preserve"> effect</w:t>
      </w:r>
      <w:r w:rsidR="005E7281">
        <w:t>ive January 1, 2019</w:t>
      </w:r>
      <w:r w:rsidR="003703E6">
        <w:t xml:space="preserve"> (Issue 3</w:t>
      </w:r>
      <w:r w:rsidR="00DC1A05" w:rsidRPr="00DC1A05">
        <w:t xml:space="preserve">).  Staff and the Company are in agreement on all proposed depreciation </w:t>
      </w:r>
      <w:r w:rsidR="007E0E5E">
        <w:t>parameters and resulting rates.</w:t>
      </w:r>
      <w:r w:rsidR="00DC1A05" w:rsidRPr="00DC1A05">
        <w:t xml:space="preserve"> </w:t>
      </w:r>
      <w:r w:rsidR="007119AC">
        <w:t>Shown</w:t>
      </w:r>
      <w:r w:rsidR="00DC1A05" w:rsidRPr="00DC1A05">
        <w:t xml:space="preserve"> on Attachment B is a comparison of depreciation expenses between currently-approved and </w:t>
      </w:r>
      <w:r w:rsidR="005E7281">
        <w:t>recommended</w:t>
      </w:r>
      <w:r w:rsidR="00DC1A05" w:rsidRPr="00DC1A05">
        <w:t xml:space="preserve"> r</w:t>
      </w:r>
      <w:r w:rsidR="00227E1A">
        <w:t>ates based on December 31, 2018</w:t>
      </w:r>
      <w:r w:rsidR="00DC1A05" w:rsidRPr="00DC1A05">
        <w:t xml:space="preserve"> investment </w:t>
      </w:r>
      <w:r w:rsidR="001D636A">
        <w:t xml:space="preserve">and reserve </w:t>
      </w:r>
      <w:r w:rsidR="00DC1A05" w:rsidRPr="00DC1A05">
        <w:t>levels.</w:t>
      </w:r>
    </w:p>
    <w:p w:rsidR="005149B7" w:rsidRDefault="003703E6" w:rsidP="005149B7">
      <w:pPr>
        <w:pStyle w:val="BodyText"/>
        <w:rPr>
          <w:rFonts w:ascii="Arial" w:hAnsi="Arial" w:cs="Arial"/>
          <w:b/>
        </w:rPr>
      </w:pPr>
      <w:r w:rsidRPr="00114C67">
        <w:rPr>
          <w:rFonts w:ascii="Arial" w:hAnsi="Arial" w:cs="Arial"/>
          <w:b/>
        </w:rPr>
        <w:t>2019 Study Overview</w:t>
      </w:r>
      <w:r w:rsidR="008C777A">
        <w:rPr>
          <w:rFonts w:ascii="Arial" w:hAnsi="Arial" w:cs="Arial"/>
          <w:b/>
        </w:rPr>
        <w:t xml:space="preserve"> and Highlights</w:t>
      </w:r>
    </w:p>
    <w:p w:rsidR="007119AC" w:rsidRPr="007119AC" w:rsidRDefault="007119AC" w:rsidP="005149B7">
      <w:pPr>
        <w:pStyle w:val="BodyText"/>
        <w:rPr>
          <w:rFonts w:ascii="Arial" w:hAnsi="Arial" w:cs="Arial"/>
          <w:b/>
          <w:i/>
        </w:rPr>
      </w:pPr>
      <w:r>
        <w:rPr>
          <w:rFonts w:ascii="Arial" w:hAnsi="Arial" w:cs="Arial"/>
          <w:b/>
        </w:rPr>
        <w:tab/>
      </w:r>
      <w:r w:rsidRPr="007119AC">
        <w:rPr>
          <w:rFonts w:ascii="Arial" w:hAnsi="Arial" w:cs="Arial"/>
          <w:b/>
          <w:bCs/>
          <w:i/>
          <w:szCs w:val="26"/>
        </w:rPr>
        <w:t>Order No. PSC-14-0698-PAA-GU</w:t>
      </w:r>
    </w:p>
    <w:p w:rsidR="00DD678D" w:rsidRDefault="003703E6" w:rsidP="005149B7">
      <w:pPr>
        <w:pStyle w:val="BodyText"/>
      </w:pPr>
      <w:r>
        <w:rPr>
          <w:rFonts w:cs="Arial"/>
          <w:bCs/>
          <w:szCs w:val="26"/>
        </w:rPr>
        <w:t xml:space="preserve">Due to certain matters raised during </w:t>
      </w:r>
      <w:r w:rsidRPr="00822524">
        <w:t>FPUC</w:t>
      </w:r>
      <w:r>
        <w:t>’s preceding depreciation study review in 2014,</w:t>
      </w:r>
      <w:r>
        <w:rPr>
          <w:rFonts w:cs="Arial"/>
          <w:bCs/>
          <w:szCs w:val="26"/>
        </w:rPr>
        <w:t xml:space="preserve"> the</w:t>
      </w:r>
      <w:r w:rsidRPr="00801CC7">
        <w:rPr>
          <w:rFonts w:cs="Arial"/>
          <w:bCs/>
          <w:szCs w:val="26"/>
        </w:rPr>
        <w:t xml:space="preserve"> </w:t>
      </w:r>
      <w:r>
        <w:rPr>
          <w:rFonts w:cs="Arial"/>
          <w:bCs/>
          <w:szCs w:val="26"/>
        </w:rPr>
        <w:t>Commission wrote in</w:t>
      </w:r>
      <w:r w:rsidRPr="00801CC7">
        <w:rPr>
          <w:rFonts w:cs="Arial"/>
          <w:bCs/>
          <w:szCs w:val="26"/>
        </w:rPr>
        <w:t xml:space="preserve"> Order No. PS</w:t>
      </w:r>
      <w:r>
        <w:rPr>
          <w:rFonts w:cs="Arial"/>
          <w:bCs/>
          <w:szCs w:val="26"/>
        </w:rPr>
        <w:t>C-14-0698-PAA-GU,</w:t>
      </w:r>
      <w:r w:rsidRPr="00801CC7">
        <w:rPr>
          <w:rFonts w:cs="Arial"/>
          <w:bCs/>
          <w:szCs w:val="26"/>
        </w:rPr>
        <w:t xml:space="preserve"> “[t]he Company shall implement a procedure of maintaining clear documentation on each gross salvage and [cost of removal] booked so that we can verify these records through the Annual Status Report reviewing process.”</w:t>
      </w:r>
      <w:r>
        <w:rPr>
          <w:rStyle w:val="FootnoteReference"/>
          <w:rFonts w:cs="Arial"/>
          <w:bCs/>
          <w:szCs w:val="26"/>
        </w:rPr>
        <w:footnoteReference w:id="9"/>
      </w:r>
      <w:r>
        <w:rPr>
          <w:rFonts w:cs="Arial"/>
          <w:bCs/>
          <w:szCs w:val="26"/>
        </w:rPr>
        <w:t xml:space="preserve"> </w:t>
      </w:r>
      <w:r w:rsidRPr="00822524">
        <w:t>Staff understands</w:t>
      </w:r>
      <w:r w:rsidR="004D6420">
        <w:t xml:space="preserve"> this issue is</w:t>
      </w:r>
      <w:r w:rsidR="007119AC">
        <w:t xml:space="preserve"> still present and</w:t>
      </w:r>
      <w:r w:rsidR="004D6420">
        <w:t xml:space="preserve"> that</w:t>
      </w:r>
      <w:r>
        <w:t xml:space="preserve"> t</w:t>
      </w:r>
      <w:r w:rsidR="004D6420">
        <w:t>he</w:t>
      </w:r>
      <w:r w:rsidRPr="00F637E7">
        <w:t xml:space="preserve"> </w:t>
      </w:r>
      <w:r w:rsidR="004D6420">
        <w:t xml:space="preserve">causes </w:t>
      </w:r>
      <w:r w:rsidRPr="00F637E7">
        <w:t>continue to be addressed. In response to</w:t>
      </w:r>
      <w:r w:rsidR="008373B3">
        <w:t xml:space="preserve"> a</w:t>
      </w:r>
      <w:r w:rsidRPr="00F637E7">
        <w:t xml:space="preserve"> staff </w:t>
      </w:r>
      <w:r>
        <w:t>inquiry</w:t>
      </w:r>
      <w:r w:rsidRPr="00F637E7">
        <w:t>, the Compa</w:t>
      </w:r>
      <w:r w:rsidRPr="00822524">
        <w:t xml:space="preserve">ny </w:t>
      </w:r>
      <w:r w:rsidR="00477A37">
        <w:t>stat</w:t>
      </w:r>
      <w:r>
        <w:t xml:space="preserve">ed that it </w:t>
      </w:r>
      <w:r w:rsidRPr="00822524">
        <w:t xml:space="preserve">is </w:t>
      </w:r>
      <w:r>
        <w:t xml:space="preserve">currently </w:t>
      </w:r>
      <w:r w:rsidRPr="00822524">
        <w:t xml:space="preserve">in the process of implementing standardized practices and procedures </w:t>
      </w:r>
      <w:r>
        <w:t xml:space="preserve">across all business units </w:t>
      </w:r>
      <w:r w:rsidRPr="00822524">
        <w:t xml:space="preserve">regarding </w:t>
      </w:r>
      <w:r>
        <w:t xml:space="preserve">retirement-related </w:t>
      </w:r>
      <w:r w:rsidRPr="00822524">
        <w:t>bookkeeping</w:t>
      </w:r>
      <w:r>
        <w:t>. However,</w:t>
      </w:r>
      <w:r w:rsidRPr="00822524">
        <w:t xml:space="preserve"> </w:t>
      </w:r>
      <w:r>
        <w:t xml:space="preserve">Company </w:t>
      </w:r>
      <w:r w:rsidRPr="00822524">
        <w:t xml:space="preserve">efforts have been </w:t>
      </w:r>
      <w:r>
        <w:t xml:space="preserve">partially </w:t>
      </w:r>
      <w:r w:rsidRPr="00822524">
        <w:t>impeded by high employee turnover</w:t>
      </w:r>
      <w:r>
        <w:t>,</w:t>
      </w:r>
      <w:r w:rsidRPr="00822524">
        <w:t xml:space="preserve"> communication issues</w:t>
      </w:r>
      <w:r>
        <w:t xml:space="preserve">, and corporate-level restructuring. </w:t>
      </w:r>
      <w:r w:rsidR="00477A37">
        <w:t>In spite of</w:t>
      </w:r>
      <w:r>
        <w:t xml:space="preserve"> these challenges,</w:t>
      </w:r>
      <w:r w:rsidRPr="00822524">
        <w:t xml:space="preserve"> newly-revised policies regarding FPUC</w:t>
      </w:r>
      <w:r>
        <w:t>’s</w:t>
      </w:r>
      <w:r w:rsidRPr="00822524">
        <w:t xml:space="preserve"> fixed-asset accou</w:t>
      </w:r>
      <w:r>
        <w:t>nting, which aim to mitigate future</w:t>
      </w:r>
      <w:r w:rsidRPr="00822524">
        <w:t xml:space="preserve"> reoccurrence</w:t>
      </w:r>
      <w:r>
        <w:t>s of similar issues,</w:t>
      </w:r>
      <w:r w:rsidRPr="00822524">
        <w:t xml:space="preserve"> </w:t>
      </w:r>
      <w:r w:rsidR="00F93E49">
        <w:t>went</w:t>
      </w:r>
      <w:r w:rsidRPr="00822524">
        <w:t xml:space="preserve"> into effect August 1, 2019. </w:t>
      </w:r>
    </w:p>
    <w:p w:rsidR="003703E6" w:rsidRPr="00822524" w:rsidRDefault="003703E6" w:rsidP="005149B7">
      <w:pPr>
        <w:pStyle w:val="BodyText"/>
      </w:pPr>
      <w:r>
        <w:t xml:space="preserve">Staff will monitor the effects of new Company policies regarding retirement-related bookkeeping through its </w:t>
      </w:r>
      <w:r w:rsidRPr="00801CC7">
        <w:rPr>
          <w:rFonts w:cs="Arial"/>
          <w:bCs/>
          <w:szCs w:val="26"/>
        </w:rPr>
        <w:t>Annual</w:t>
      </w:r>
      <w:r>
        <w:rPr>
          <w:rFonts w:cs="Arial"/>
          <w:bCs/>
          <w:szCs w:val="26"/>
        </w:rPr>
        <w:t xml:space="preserve"> Depreciation</w:t>
      </w:r>
      <w:r w:rsidRPr="00801CC7">
        <w:rPr>
          <w:rFonts w:cs="Arial"/>
          <w:bCs/>
          <w:szCs w:val="26"/>
        </w:rPr>
        <w:t xml:space="preserve"> Status Report</w:t>
      </w:r>
      <w:r>
        <w:t xml:space="preserve"> (ADSR) review process</w:t>
      </w:r>
      <w:r w:rsidR="00E31F2F">
        <w:t xml:space="preserve">, and report its findings to the Commission </w:t>
      </w:r>
      <w:r w:rsidR="00AB1DE4">
        <w:t>as pa</w:t>
      </w:r>
      <w:r w:rsidR="00E31F2F">
        <w:t xml:space="preserve">rt of </w:t>
      </w:r>
      <w:r w:rsidR="00D877D2">
        <w:t>staff’s</w:t>
      </w:r>
      <w:r w:rsidR="00E31F2F">
        <w:t xml:space="preserve"> next depreciation study recommendation</w:t>
      </w:r>
      <w:r>
        <w:t>.</w:t>
      </w:r>
      <w:r>
        <w:rPr>
          <w:rStyle w:val="FootnoteReference"/>
        </w:rPr>
        <w:footnoteReference w:id="10"/>
      </w:r>
    </w:p>
    <w:p w:rsidR="003703E6" w:rsidRPr="0038773D" w:rsidRDefault="003703E6" w:rsidP="007119AC">
      <w:pPr>
        <w:pStyle w:val="BodyText"/>
        <w:rPr>
          <w:rFonts w:ascii="Arial" w:hAnsi="Arial" w:cs="Arial"/>
          <w:b/>
          <w:i/>
        </w:rPr>
      </w:pPr>
      <w:r>
        <w:rPr>
          <w:rFonts w:ascii="Arial" w:hAnsi="Arial" w:cs="Arial"/>
          <w:b/>
          <w:i/>
        </w:rPr>
        <w:tab/>
      </w:r>
      <w:r w:rsidR="00D06AC5">
        <w:rPr>
          <w:rFonts w:ascii="Arial" w:hAnsi="Arial" w:cs="Arial"/>
          <w:b/>
          <w:i/>
        </w:rPr>
        <w:t>Vintage Year</w:t>
      </w:r>
      <w:r w:rsidR="00B33A1B">
        <w:rPr>
          <w:rFonts w:ascii="Arial" w:hAnsi="Arial" w:cs="Arial"/>
          <w:b/>
          <w:i/>
        </w:rPr>
        <w:t xml:space="preserve"> A</w:t>
      </w:r>
      <w:r w:rsidR="00B33A1B" w:rsidRPr="00B33A1B">
        <w:rPr>
          <w:rFonts w:ascii="Arial" w:hAnsi="Arial" w:cs="Arial"/>
          <w:b/>
          <w:i/>
        </w:rPr>
        <w:t>ccounting</w:t>
      </w:r>
      <w:r w:rsidR="00B33A1B">
        <w:rPr>
          <w:rFonts w:ascii="Arial" w:hAnsi="Arial" w:cs="Arial"/>
          <w:b/>
          <w:i/>
        </w:rPr>
        <w:t xml:space="preserve"> -</w:t>
      </w:r>
      <w:r w:rsidR="00B33A1B" w:rsidRPr="00B33A1B">
        <w:rPr>
          <w:rFonts w:ascii="Arial" w:hAnsi="Arial" w:cs="Arial"/>
          <w:b/>
          <w:i/>
        </w:rPr>
        <w:t xml:space="preserve"> </w:t>
      </w:r>
      <w:r w:rsidR="002C376B">
        <w:rPr>
          <w:rFonts w:ascii="Arial" w:hAnsi="Arial" w:cs="Arial"/>
          <w:b/>
          <w:i/>
        </w:rPr>
        <w:t>General Plant</w:t>
      </w:r>
    </w:p>
    <w:p w:rsidR="00294282" w:rsidRDefault="002C376B" w:rsidP="005149B7">
      <w:pPr>
        <w:pStyle w:val="BodyText"/>
      </w:pPr>
      <w:r>
        <w:t>The Company</w:t>
      </w:r>
      <w:r w:rsidR="00227E1A">
        <w:t>,</w:t>
      </w:r>
      <w:r>
        <w:t xml:space="preserve"> through its 2019 Study</w:t>
      </w:r>
      <w:r w:rsidR="00227E1A">
        <w:t>,</w:t>
      </w:r>
      <w:r>
        <w:t xml:space="preserve"> has requested authorization to adopt </w:t>
      </w:r>
      <w:r w:rsidR="00D06AC5">
        <w:t>vintage year</w:t>
      </w:r>
      <w:r>
        <w:t xml:space="preserve"> accounting</w:t>
      </w:r>
      <w:r w:rsidR="00B33A1B" w:rsidRPr="00B33A1B">
        <w:t xml:space="preserve"> </w:t>
      </w:r>
      <w:r w:rsidR="00B33A1B">
        <w:t>for certain General Plant accounts</w:t>
      </w:r>
      <w:r>
        <w:t>.</w:t>
      </w:r>
      <w:r>
        <w:rPr>
          <w:rStyle w:val="FootnoteReference"/>
        </w:rPr>
        <w:footnoteReference w:id="11"/>
      </w:r>
      <w:r>
        <w:t xml:space="preserve"> </w:t>
      </w:r>
      <w:r w:rsidR="00B33A1B">
        <w:t xml:space="preserve">At a high-level, </w:t>
      </w:r>
      <w:r w:rsidR="00D06AC5">
        <w:t>vintage year</w:t>
      </w:r>
      <w:r w:rsidR="00B33A1B">
        <w:t xml:space="preserve"> accounting lessens </w:t>
      </w:r>
      <w:r w:rsidR="00B33A1B">
        <w:lastRenderedPageBreak/>
        <w:t>th</w:t>
      </w:r>
      <w:r w:rsidR="00227E1A">
        <w:t>e work involved in plant record-</w:t>
      </w:r>
      <w:r w:rsidR="00B33A1B">
        <w:t>keeping</w:t>
      </w:r>
      <w:r w:rsidR="007549C1">
        <w:t xml:space="preserve"> by simplifying accounting </w:t>
      </w:r>
      <w:r w:rsidR="00DE5751">
        <w:t xml:space="preserve">procedures </w:t>
      </w:r>
      <w:r w:rsidR="00404C1C">
        <w:t>for</w:t>
      </w:r>
      <w:r w:rsidR="007549C1">
        <w:t xml:space="preserve"> high volume</w:t>
      </w:r>
      <w:r w:rsidR="00294282">
        <w:t xml:space="preserve">, low value </w:t>
      </w:r>
      <w:r w:rsidR="007549C1">
        <w:t>assets</w:t>
      </w:r>
      <w:r w:rsidR="00B33A1B">
        <w:t xml:space="preserve">. </w:t>
      </w:r>
    </w:p>
    <w:p w:rsidR="003703E6" w:rsidRDefault="003703E6" w:rsidP="005149B7">
      <w:pPr>
        <w:pStyle w:val="BodyText"/>
      </w:pPr>
      <w:r>
        <w:t xml:space="preserve">With the </w:t>
      </w:r>
      <w:r w:rsidR="00600981">
        <w:t xml:space="preserve">proposed </w:t>
      </w:r>
      <w:r>
        <w:t xml:space="preserve">adoption of </w:t>
      </w:r>
      <w:r w:rsidR="00D06AC5">
        <w:t>vintage year</w:t>
      </w:r>
      <w:r>
        <w:t xml:space="preserve"> acco</w:t>
      </w:r>
      <w:r w:rsidR="00B33A1B">
        <w:t>unting</w:t>
      </w:r>
      <w:r w:rsidR="00C8025C">
        <w:t>, assets at the date of adoption</w:t>
      </w:r>
      <w:r>
        <w:t xml:space="preserve"> that meet or exceed the average service life (ASL) of the relevant accounts must be retired. </w:t>
      </w:r>
      <w:r w:rsidR="00600981" w:rsidRPr="00600981">
        <w:t>Staff notes that, in general, an ASL is the average expected life of all units of a group of assets when new.</w:t>
      </w:r>
      <w:r w:rsidR="00600981">
        <w:t xml:space="preserve"> </w:t>
      </w:r>
      <w:r>
        <w:t xml:space="preserve">The total amount of retirement dollars due to the adoption of </w:t>
      </w:r>
      <w:r w:rsidR="00D06AC5">
        <w:t>vintage year</w:t>
      </w:r>
      <w:r>
        <w:t xml:space="preserve"> accounting is approximately $690,500. Further, all Gener</w:t>
      </w:r>
      <w:r w:rsidR="00AC7576">
        <w:t>al Plant accounts that are transitioned</w:t>
      </w:r>
      <w:r>
        <w:t xml:space="preserve"> to </w:t>
      </w:r>
      <w:r w:rsidR="00D06AC5">
        <w:t>vintage year</w:t>
      </w:r>
      <w:r w:rsidR="00C8025C">
        <w:t xml:space="preserve"> accounting must do so at</w:t>
      </w:r>
      <w:r>
        <w:t xml:space="preserve"> their theoretically co</w:t>
      </w:r>
      <w:r w:rsidR="00AC7576">
        <w:t>rrect reserve level</w:t>
      </w:r>
      <w:r>
        <w:t>. This is a</w:t>
      </w:r>
      <w:r w:rsidR="00C8025C">
        <w:t>chieved by comparing book</w:t>
      </w:r>
      <w:r>
        <w:t xml:space="preserve"> reserves to theoretical reserves to determine if an imbalance exists</w:t>
      </w:r>
      <w:r w:rsidR="00C8025C">
        <w:t xml:space="preserve"> and correct</w:t>
      </w:r>
      <w:r w:rsidR="00227E1A">
        <w:t>ing</w:t>
      </w:r>
      <w:r w:rsidR="00C8025C">
        <w:t xml:space="preserve"> the reserve if so</w:t>
      </w:r>
      <w:r>
        <w:t>. The resulting reserve imbalance for FPUC’s General Plant accounts</w:t>
      </w:r>
      <w:r w:rsidR="00DE5751">
        <w:t xml:space="preserve"> that are </w:t>
      </w:r>
      <w:r>
        <w:t>moving t</w:t>
      </w:r>
      <w:r w:rsidR="00AC7576">
        <w:t xml:space="preserve">o </w:t>
      </w:r>
      <w:r w:rsidR="00D06AC5">
        <w:t>vintage year</w:t>
      </w:r>
      <w:r w:rsidR="00AC7576">
        <w:t xml:space="preserve"> accounting is a </w:t>
      </w:r>
      <w:r w:rsidR="00C8025C">
        <w:t>deficiency of $1,350,980. Based on the Company’s proposal, staff</w:t>
      </w:r>
      <w:r>
        <w:t xml:space="preserve"> recommend</w:t>
      </w:r>
      <w:r w:rsidR="00C8025C">
        <w:t>s</w:t>
      </w:r>
      <w:r w:rsidR="001E7BA8">
        <w:t xml:space="preserve"> amortizing</w:t>
      </w:r>
      <w:r>
        <w:t xml:space="preserve"> the deficiency over 5 years resulting in an annual expense of $270,196.</w:t>
      </w:r>
    </w:p>
    <w:p w:rsidR="007119AC" w:rsidRPr="0038773D" w:rsidRDefault="007119AC" w:rsidP="007119AC">
      <w:pPr>
        <w:pStyle w:val="BodyText"/>
        <w:ind w:firstLine="720"/>
        <w:rPr>
          <w:rFonts w:ascii="Arial" w:hAnsi="Arial" w:cs="Arial"/>
          <w:b/>
          <w:i/>
        </w:rPr>
      </w:pPr>
      <w:r w:rsidRPr="0038773D">
        <w:rPr>
          <w:rFonts w:ascii="Arial" w:hAnsi="Arial" w:cs="Arial"/>
          <w:b/>
          <w:i/>
        </w:rPr>
        <w:t>Reserve Transfers</w:t>
      </w:r>
    </w:p>
    <w:p w:rsidR="007119AC" w:rsidRDefault="007119AC" w:rsidP="007119AC">
      <w:pPr>
        <w:pStyle w:val="BodyText"/>
      </w:pPr>
      <w:r>
        <w:t>When a reserve imbalance</w:t>
      </w:r>
      <w:r w:rsidRPr="0032739E">
        <w:t xml:space="preserve"> </w:t>
      </w:r>
      <w:r>
        <w:t>exists, which is the difference between the theoretical reserve and the book reserve, reserve transfers may be performed.</w:t>
      </w:r>
      <w:r>
        <w:rPr>
          <w:rStyle w:val="FootnoteReference"/>
        </w:rPr>
        <w:footnoteReference w:id="12"/>
      </w:r>
      <w:r>
        <w:t xml:space="preserve"> The Commission has approved reserve transfers to reduce or eliminate reserve imbalances in the past. However, Rule 25-7.045(4)(e), F.A.C., does not require that reserve transfers be performed, only that reserve imbalances be identified. As a functional matter, the remaining life depreciation rate, which is calculated using the reserve percentage as one of the input parameters, corrects any reserve imbalance over the life of the account, thus “self-correcting” any imbalance. However, when a significant reserve imbalance is observed, a reserve transfer (or other treatment) may become necessary due to magnitude. </w:t>
      </w:r>
    </w:p>
    <w:p w:rsidR="007119AC" w:rsidRPr="00DD2912" w:rsidRDefault="007119AC" w:rsidP="007119AC">
      <w:pPr>
        <w:pStyle w:val="BodyText"/>
      </w:pPr>
      <w:r>
        <w:t>For the 2019 Study, a reserve surplus of $2.3 million was c</w:t>
      </w:r>
      <w:r w:rsidR="007F28B7">
        <w:t>alculated using FPUC’s proposed</w:t>
      </w:r>
      <w:r>
        <w:t xml:space="preserve"> life and salvage parameters. The most significant reserve imbalances are found in the plastic and Gas Reliability Infrastructure Program (GRIP) mains accounts (376.1 and 376G), which are $11.1 million surplus and $7.1 deficit</w:t>
      </w:r>
      <w:r w:rsidR="00D06AC5">
        <w:t>,</w:t>
      </w:r>
      <w:r>
        <w:t xml:space="preserve"> respectively; and plastic and GRIP services accounts (380.1 and 380G), which are $2.6 million surplus and $3.1 million deficit</w:t>
      </w:r>
      <w:r w:rsidR="00227E1A">
        <w:t>,</w:t>
      </w:r>
      <w:r>
        <w:t xml:space="preserve"> respectively.</w:t>
      </w:r>
      <w:r>
        <w:rPr>
          <w:rStyle w:val="FootnoteReference"/>
        </w:rPr>
        <w:footnoteReference w:id="13"/>
      </w:r>
      <w:r>
        <w:rPr>
          <w:vertAlign w:val="superscript"/>
        </w:rPr>
        <w:t>,</w:t>
      </w:r>
      <w:r>
        <w:rPr>
          <w:rStyle w:val="FootnoteReference"/>
        </w:rPr>
        <w:footnoteReference w:id="14"/>
      </w:r>
      <w:r>
        <w:t xml:space="preserve"> However, FPUC proposed that </w:t>
      </w:r>
      <w:r w:rsidR="004B4F57">
        <w:t xml:space="preserve">the </w:t>
      </w:r>
      <w:r>
        <w:t>plastic and GRIP mains accounts be com</w:t>
      </w:r>
      <w:r w:rsidR="004B4F57">
        <w:t>bined for one depreciation rate,</w:t>
      </w:r>
      <w:r>
        <w:t xml:space="preserve"> and </w:t>
      </w:r>
      <w:r w:rsidR="004B4F57">
        <w:t xml:space="preserve">the </w:t>
      </w:r>
      <w:r>
        <w:t>pl</w:t>
      </w:r>
      <w:r w:rsidRPr="00992873">
        <w:t>astic and GRIP services accounts be combined for one depreciation rate. Staff agrees with the Company. In so doing, the reserve imbalances are reduced to approximately</w:t>
      </w:r>
      <w:r w:rsidR="008373B3">
        <w:t xml:space="preserve"> a</w:t>
      </w:r>
      <w:r w:rsidRPr="00992873">
        <w:t xml:space="preserve"> $4 million surplus f</w:t>
      </w:r>
      <w:r w:rsidR="00DE5751" w:rsidRPr="00992873">
        <w:t>or plastic mains</w:t>
      </w:r>
      <w:r w:rsidR="008373B3">
        <w:t xml:space="preserve"> and approximately a </w:t>
      </w:r>
      <w:r w:rsidRPr="00992873">
        <w:t>$0</w:t>
      </w:r>
      <w:r w:rsidR="00DE5751" w:rsidRPr="00992873">
        <w:t>.5 million deficit for plastic services</w:t>
      </w:r>
      <w:r w:rsidRPr="00992873">
        <w:t>. Given this</w:t>
      </w:r>
      <w:r w:rsidR="001A59F6">
        <w:t xml:space="preserve"> situation</w:t>
      </w:r>
      <w:r w:rsidRPr="00992873">
        <w:t>, staff belie</w:t>
      </w:r>
      <w:r w:rsidR="00DE5751" w:rsidRPr="00992873">
        <w:t>ves that it is reasonable to forgo</w:t>
      </w:r>
      <w:r w:rsidRPr="00992873">
        <w:t xml:space="preserve"> perform</w:t>
      </w:r>
      <w:r w:rsidR="00DE5751" w:rsidRPr="00992873">
        <w:t>ing</w:t>
      </w:r>
      <w:r w:rsidRPr="00992873">
        <w:t xml:space="preserve"> any reserve transfers in the current proceeding, but rather re-investigate the matter during the Company’s next depreciation study review</w:t>
      </w:r>
      <w:r w:rsidR="00DE5751" w:rsidRPr="00992873">
        <w:t>. Staff believes there</w:t>
      </w:r>
      <w:r w:rsidRPr="00992873">
        <w:t xml:space="preserve"> will </w:t>
      </w:r>
      <w:r w:rsidR="00DE5751" w:rsidRPr="00992873">
        <w:t>likely be better information</w:t>
      </w:r>
      <w:r w:rsidRPr="00992873">
        <w:t xml:space="preserve"> for determining the necessity </w:t>
      </w:r>
      <w:r w:rsidRPr="00992873">
        <w:lastRenderedPageBreak/>
        <w:t>of reserve transfer</w:t>
      </w:r>
      <w:r w:rsidR="00DE5751" w:rsidRPr="00992873">
        <w:t>s in the future as GRIP concludes</w:t>
      </w:r>
      <w:r w:rsidR="00227E1A">
        <w:t xml:space="preserve"> in 2020</w:t>
      </w:r>
      <w:r w:rsidRPr="00992873">
        <w:t>. Consequ</w:t>
      </w:r>
      <w:r>
        <w:t>ently, staff recommends no reserve transfers be performed in this proceeding.</w:t>
      </w:r>
    </w:p>
    <w:p w:rsidR="003703E6" w:rsidRDefault="003703E6" w:rsidP="004742D9">
      <w:pPr>
        <w:pStyle w:val="BodyText"/>
        <w:rPr>
          <w:rFonts w:ascii="Arial" w:hAnsi="Arial" w:cs="Arial"/>
          <w:b/>
        </w:rPr>
      </w:pPr>
      <w:r w:rsidRPr="004742D9">
        <w:rPr>
          <w:rFonts w:ascii="Arial" w:hAnsi="Arial" w:cs="Arial"/>
          <w:b/>
        </w:rPr>
        <w:t>Account-Specific Analysis</w:t>
      </w:r>
    </w:p>
    <w:p w:rsidR="00A226D1" w:rsidRDefault="00A226D1" w:rsidP="00A226D1">
      <w:pPr>
        <w:pStyle w:val="BodyText"/>
      </w:pPr>
      <w:r w:rsidRPr="00A226D1">
        <w:t xml:space="preserve">Staff discusses its recommendations regarding </w:t>
      </w:r>
      <w:r w:rsidR="00505833">
        <w:t>FPUC’s</w:t>
      </w:r>
      <w:r w:rsidRPr="00A226D1">
        <w:t xml:space="preserve"> 2019 Study on a select account-by-account basis</w:t>
      </w:r>
      <w:r>
        <w:t xml:space="preserve"> </w:t>
      </w:r>
      <w:r w:rsidRPr="00A226D1">
        <w:t>below. Staff notes not all accounts</w:t>
      </w:r>
      <w:r>
        <w:t xml:space="preserve"> and/or underlying depreciation parameters used in developing the rates</w:t>
      </w:r>
      <w:r w:rsidRPr="00A226D1">
        <w:t xml:space="preserve"> </w:t>
      </w:r>
      <w:r>
        <w:t>appearing on Attachment A</w:t>
      </w:r>
      <w:r w:rsidR="001A59F6">
        <w:t xml:space="preserve"> are discussed in</w:t>
      </w:r>
      <w:r w:rsidR="00623075">
        <w:t xml:space="preserve"> the</w:t>
      </w:r>
      <w:r w:rsidR="001A59F6">
        <w:t xml:space="preserve"> narrative</w:t>
      </w:r>
      <w:r w:rsidR="00623075">
        <w:t xml:space="preserve"> below</w:t>
      </w:r>
      <w:r w:rsidR="001A59F6">
        <w:t>.</w:t>
      </w:r>
      <w:r w:rsidRPr="00A226D1">
        <w:t xml:space="preserve"> </w:t>
      </w:r>
      <w:r w:rsidR="001A59F6">
        <w:t>Rather s</w:t>
      </w:r>
      <w:r>
        <w:t>t</w:t>
      </w:r>
      <w:r w:rsidR="001A59F6">
        <w:t>aff</w:t>
      </w:r>
      <w:r>
        <w:t xml:space="preserve"> chose</w:t>
      </w:r>
      <w:r w:rsidRPr="00A226D1">
        <w:t xml:space="preserve"> to</w:t>
      </w:r>
      <w:r w:rsidR="00992873">
        <w:t xml:space="preserve"> focus on apprising</w:t>
      </w:r>
      <w:r w:rsidRPr="00A226D1">
        <w:t xml:space="preserve"> the Commission of what it believes</w:t>
      </w:r>
      <w:r w:rsidR="001A59F6">
        <w:t xml:space="preserve"> are</w:t>
      </w:r>
      <w:r w:rsidRPr="00A226D1">
        <w:t xml:space="preserve"> the more pertinent developments</w:t>
      </w:r>
      <w:r>
        <w:t xml:space="preserve"> and </w:t>
      </w:r>
      <w:r w:rsidR="00505833">
        <w:t xml:space="preserve">associated </w:t>
      </w:r>
      <w:r>
        <w:t>effects</w:t>
      </w:r>
      <w:r w:rsidR="001A59F6">
        <w:t xml:space="preserve"> over the study period</w:t>
      </w:r>
      <w:r w:rsidRPr="00A226D1">
        <w:t xml:space="preserve">. </w:t>
      </w:r>
    </w:p>
    <w:p w:rsidR="00F0580B" w:rsidRPr="00F0580B" w:rsidRDefault="00F0580B" w:rsidP="00F0580B">
      <w:pPr>
        <w:pStyle w:val="BodyText"/>
        <w:rPr>
          <w:u w:val="single"/>
        </w:rPr>
      </w:pPr>
      <w:r w:rsidRPr="00F0580B">
        <w:rPr>
          <w:u w:val="single"/>
        </w:rPr>
        <w:t>Account 374.1 – Land Rights</w:t>
      </w:r>
    </w:p>
    <w:p w:rsidR="00F0580B" w:rsidRDefault="00F0580B" w:rsidP="00F0580B">
      <w:pPr>
        <w:pStyle w:val="BodyText"/>
      </w:pPr>
      <w:r>
        <w:t>This account contains the investment associated with easements, and it has an average age of 27.6 years. The current investment of the account was made in 1990 and 1991, and FPUC has no plans for near term retirement. Given these factors, the Company propose</w:t>
      </w:r>
      <w:r w:rsidR="00405C5D">
        <w:t>d an increase in the account’s ASL</w:t>
      </w:r>
      <w:r>
        <w:t xml:space="preserve"> from 30 years to 35 years. Staff believes the proposal is appropriate. Using the proposed ASL value with the account’s average age and its existing SQ retire</w:t>
      </w:r>
      <w:r w:rsidRPr="00405C5D">
        <w:t>ment dispersion, an average remaining life (ARL) of 7.4 years is calculated for the account.</w:t>
      </w:r>
      <w:r w:rsidR="00405C5D" w:rsidRPr="00405C5D">
        <w:rPr>
          <w:vertAlign w:val="superscript"/>
        </w:rPr>
        <w:footnoteReference w:id="15"/>
      </w:r>
      <w:r w:rsidRPr="00405C5D">
        <w:t xml:space="preserve"> </w:t>
      </w:r>
      <w:r w:rsidR="007F3E47" w:rsidRPr="007F3E47">
        <w:t>For background,</w:t>
      </w:r>
      <w:r w:rsidR="007F3E47">
        <w:t xml:space="preserve"> </w:t>
      </w:r>
      <w:r w:rsidR="007F3E47" w:rsidRPr="007F3E47">
        <w:t>an ARL is the future expected service life in years of the asset-group survivors at a given age</w:t>
      </w:r>
      <w:r w:rsidR="007F3E47">
        <w:t>.</w:t>
      </w:r>
      <w:r w:rsidR="007F3E47" w:rsidRPr="007F3E47">
        <w:t xml:space="preserve"> </w:t>
      </w:r>
      <w:r w:rsidRPr="00405C5D">
        <w:t>Wit</w:t>
      </w:r>
      <w:r>
        <w:t xml:space="preserve">h respect to the </w:t>
      </w:r>
      <w:r w:rsidR="00AE0B01">
        <w:t>net salvage (</w:t>
      </w:r>
      <w:r>
        <w:t>NS</w:t>
      </w:r>
      <w:r w:rsidR="00AE0B01">
        <w:t>)</w:t>
      </w:r>
      <w:r>
        <w:t xml:space="preserve"> parameter, FPUC proposed to retain the existing value of zero per</w:t>
      </w:r>
      <w:r w:rsidRPr="00AE0B01">
        <w:t xml:space="preserve">cent. </w:t>
      </w:r>
      <w:r w:rsidR="00AE0B01" w:rsidRPr="00AE0B01">
        <w:t>Staff notes NS represents the difference between the value of salva</w:t>
      </w:r>
      <w:r w:rsidR="00AE0B01" w:rsidRPr="00FC3783">
        <w:t xml:space="preserve">ge and cost of removal resulting from plant retirement and disposal. </w:t>
      </w:r>
      <w:r>
        <w:t xml:space="preserve">Considering the nature of the account and the industry averages, staff believes the Company’s salvage proposal is reasonable. Staff recommends approval of </w:t>
      </w:r>
      <w:r w:rsidR="00D06AC5">
        <w:t xml:space="preserve">an </w:t>
      </w:r>
      <w:r>
        <w:t>ARL of 7.4 years and NS of zero percent for Account 374.1.</w:t>
      </w:r>
    </w:p>
    <w:p w:rsidR="00F0580B" w:rsidRPr="00F0580B" w:rsidRDefault="00F0580B" w:rsidP="00F0580B">
      <w:pPr>
        <w:pStyle w:val="BodyText"/>
        <w:rPr>
          <w:u w:val="single"/>
        </w:rPr>
      </w:pPr>
      <w:r w:rsidRPr="00F0580B">
        <w:rPr>
          <w:u w:val="single"/>
        </w:rPr>
        <w:t>Account 376 – Distribution Mains</w:t>
      </w:r>
    </w:p>
    <w:p w:rsidR="00F0580B" w:rsidRDefault="002C5A06" w:rsidP="00F0580B">
      <w:pPr>
        <w:pStyle w:val="BodyText"/>
      </w:pPr>
      <w:r>
        <w:t>The m</w:t>
      </w:r>
      <w:r w:rsidR="00F0580B">
        <w:t>ains accounts co</w:t>
      </w:r>
      <w:r w:rsidR="00CD0C8D">
        <w:t>nsist of plastic mains (376.1), steel mains (376.2), and GRIP mains (</w:t>
      </w:r>
      <w:r>
        <w:t>376G). Collectively, these</w:t>
      </w:r>
      <w:r w:rsidR="00F0580B">
        <w:t xml:space="preserve"> accounts comprise 64 percent of FPUC’s distribution plant investment and more than 60 percent of FPUC’s total plant investment under study. In 2012, the Commissi</w:t>
      </w:r>
      <w:r w:rsidR="00E9622C">
        <w:t xml:space="preserve">on approved FPUC’s </w:t>
      </w:r>
      <w:r>
        <w:t xml:space="preserve">GRIP </w:t>
      </w:r>
      <w:r w:rsidR="00E9622C">
        <w:t>initiative.</w:t>
      </w:r>
      <w:r>
        <w:rPr>
          <w:rStyle w:val="FootnoteReference"/>
        </w:rPr>
        <w:footnoteReference w:id="16"/>
      </w:r>
      <w:r w:rsidR="00E9622C">
        <w:t xml:space="preserve"> </w:t>
      </w:r>
      <w:r w:rsidR="00F0580B">
        <w:t>GRIP provides for the accelerated replacement of FPUC’s bare steel and cast iron pipes. The program was initiated in response to concerns regarding aging infrastructure reliability and safety. As a result, the GRIP-related plant investment has increased by approximately 150 percent du</w:t>
      </w:r>
      <w:r>
        <w:t>ring the current study period; correspondingly</w:t>
      </w:r>
      <w:r w:rsidR="00227E1A">
        <w:t>,</w:t>
      </w:r>
      <w:r>
        <w:t xml:space="preserve"> the mains accounts have</w:t>
      </w:r>
      <w:r w:rsidR="00F0580B">
        <w:t xml:space="preserve"> experienced increased retirements. However, FPUC indicated that it “believes this situation will return to normal once GRIP ends in 2020.”  </w:t>
      </w:r>
    </w:p>
    <w:p w:rsidR="00F0580B" w:rsidRDefault="00F0580B" w:rsidP="00F0580B">
      <w:pPr>
        <w:pStyle w:val="BodyText"/>
      </w:pPr>
      <w:r>
        <w:lastRenderedPageBreak/>
        <w:t>Each of the mains accounts has a currently-approved ASL of 45 years. FPUC proposed to increase the ASL of all three mains accounts to 55 years. The Company believes that with the replacement of the problematic mains, the</w:t>
      </w:r>
      <w:r w:rsidR="00806D86">
        <w:t xml:space="preserve"> new mains investment/technology</w:t>
      </w:r>
      <w:r>
        <w:t xml:space="preserve"> should experience longer life. With</w:t>
      </w:r>
      <w:r w:rsidR="00806D86">
        <w:t xml:space="preserve"> the current expectation</w:t>
      </w:r>
      <w:r>
        <w:t xml:space="preserve"> that plastic mains will exper</w:t>
      </w:r>
      <w:r w:rsidR="00806D86">
        <w:t>ience an average life of greater</w:t>
      </w:r>
      <w:r>
        <w:t xml:space="preserve"> than 55 years, staff believes the Company’s proposal is appropriate. </w:t>
      </w:r>
    </w:p>
    <w:p w:rsidR="00806D86" w:rsidRDefault="00F0580B" w:rsidP="00F0580B">
      <w:pPr>
        <w:pStyle w:val="BodyText"/>
      </w:pPr>
      <w:r>
        <w:t>The current</w:t>
      </w:r>
      <w:r w:rsidR="00806D86">
        <w:t>ly-</w:t>
      </w:r>
      <w:r>
        <w:t>prescribed retirement dispersion for plastic (inclusive of GRIP) and steel mains accounts is</w:t>
      </w:r>
      <w:r w:rsidR="00806D86">
        <w:t xml:space="preserve"> the</w:t>
      </w:r>
      <w:r>
        <w:t xml:space="preserve"> S3 curve shape. FPUC acknowledged t</w:t>
      </w:r>
      <w:r w:rsidR="00806D86">
        <w:t>hat during this study period</w:t>
      </w:r>
      <w:r>
        <w:t xml:space="preserve"> retirement activities in</w:t>
      </w:r>
      <w:r w:rsidR="00806D86">
        <w:t xml:space="preserve"> the</w:t>
      </w:r>
      <w:r>
        <w:t xml:space="preserve"> mains accounts indicated retirement dispersions with higher infant mortality</w:t>
      </w:r>
      <w:r w:rsidR="00FD464C">
        <w:t xml:space="preserve"> (higher number of earlier retirements) </w:t>
      </w:r>
      <w:r>
        <w:t xml:space="preserve">than </w:t>
      </w:r>
      <w:r w:rsidR="00806D86">
        <w:t xml:space="preserve">the </w:t>
      </w:r>
      <w:r>
        <w:t>S3 curve shape provides. However, the Company believes that the retirement dispersions used for estimating future lives should be based on account expectations of a return to normalcy (with less infant mortality), as the retirement activities are expected to go back to normal when the GRIP ends. Thus, FPUC believes the current S3 dispersion remain</w:t>
      </w:r>
      <w:r w:rsidR="00806D86">
        <w:t>s reasonable for the future study period. Staff considers this reasoning</w:t>
      </w:r>
      <w:r>
        <w:t xml:space="preserve"> appropriate. Consequently, for the combined plastic and GRIP mains account, an ARL of 48 years is calculated </w:t>
      </w:r>
      <w:r w:rsidR="00806D86">
        <w:t xml:space="preserve">by </w:t>
      </w:r>
      <w:r>
        <w:t>using a 55-year ASL with the account’s average age of 7.3 years. For the steel mains account, an ARL of 37 years is calculated</w:t>
      </w:r>
      <w:r w:rsidR="00806D86">
        <w:t xml:space="preserve"> by</w:t>
      </w:r>
      <w:r>
        <w:t xml:space="preserve"> using a 55-year ASL with the account’s average age of 18.5 years. </w:t>
      </w:r>
      <w:r w:rsidR="00D25D20">
        <w:t>Staff recommends approval of</w:t>
      </w:r>
      <w:r w:rsidR="00DA78B3">
        <w:t xml:space="preserve"> ARL</w:t>
      </w:r>
      <w:r w:rsidR="00D25D20">
        <w:t>s of 48 years and 37 years</w:t>
      </w:r>
      <w:r w:rsidR="00227E1A">
        <w:t>,</w:t>
      </w:r>
      <w:r w:rsidR="00D25D20">
        <w:t xml:space="preserve"> respectively</w:t>
      </w:r>
      <w:r w:rsidR="00227E1A">
        <w:t>,</w:t>
      </w:r>
      <w:r w:rsidR="00D25D20">
        <w:t xml:space="preserve"> for plastic mains (inclusive of GRIP) and steel mains.</w:t>
      </w:r>
    </w:p>
    <w:p w:rsidR="00F0580B" w:rsidRDefault="00F0580B" w:rsidP="00F0580B">
      <w:pPr>
        <w:pStyle w:val="BodyText"/>
      </w:pPr>
      <w:r>
        <w:t>Cur</w:t>
      </w:r>
      <w:r w:rsidR="00806D86">
        <w:t>rently</w:t>
      </w:r>
      <w:r w:rsidR="002F7CC8">
        <w:t>,</w:t>
      </w:r>
      <w:r w:rsidR="00806D86">
        <w:t xml:space="preserve"> the </w:t>
      </w:r>
      <w:r w:rsidR="002F7CC8">
        <w:t>plastic (inclusive of GRIP) and steel mains</w:t>
      </w:r>
      <w:r w:rsidR="00806D86">
        <w:t xml:space="preserve"> accounts have</w:t>
      </w:r>
      <w:r>
        <w:t xml:space="preserve"> prescribed NS parameters of negative 16 </w:t>
      </w:r>
      <w:r w:rsidR="002F7CC8">
        <w:t>percent and negative 28 percent</w:t>
      </w:r>
      <w:r w:rsidR="00227E1A">
        <w:t>,</w:t>
      </w:r>
      <w:r>
        <w:t xml:space="preserve"> respectively. During this study period, the plastic mains experienced NS activities ranging from negative 24 percent to negative 668 percent with an average of negative 147 percent; and the steel mains experienced NS activities ranging from negative 56 percent to negative 1</w:t>
      </w:r>
      <w:r w:rsidR="005C5AF1">
        <w:t>,</w:t>
      </w:r>
      <w:r>
        <w:t>228 percent with an average of negative 172 percent. FPUC considers t</w:t>
      </w:r>
      <w:r w:rsidR="002F7CC8">
        <w:t>he recent NS activity to be</w:t>
      </w:r>
      <w:r>
        <w:t xml:space="preserve"> atypical</w:t>
      </w:r>
      <w:r w:rsidR="002F7CC8">
        <w:t xml:space="preserve"> (due to the GRIP replacements)  and expects</w:t>
      </w:r>
      <w:r>
        <w:t xml:space="preserve"> the NS </w:t>
      </w:r>
      <w:r w:rsidR="002F7CC8">
        <w:t xml:space="preserve">levels of these accounts to return to normalcy in the future </w:t>
      </w:r>
      <w:r w:rsidR="00F06D25">
        <w:t>as</w:t>
      </w:r>
      <w:r w:rsidR="002F7CC8">
        <w:t xml:space="preserve"> the GRIP </w:t>
      </w:r>
      <w:r w:rsidR="00F06D25">
        <w:t xml:space="preserve"> program concludes. </w:t>
      </w:r>
      <w:r>
        <w:t>As such, FPUC proposed re</w:t>
      </w:r>
      <w:r w:rsidR="00F06D25">
        <w:t>taining the currently-approved</w:t>
      </w:r>
      <w:r>
        <w:t xml:space="preserve"> NS parameters for plastic (inclusive of GRIP) and steel mains accounts. Staff believes this is reasonable. Staff recommends approval of the NS parameters of negative 16 percent for plastic (inclusive of GRIP) mains account and negative 28 percent for steel mains account.</w:t>
      </w:r>
    </w:p>
    <w:p w:rsidR="00F0580B" w:rsidRPr="00F0580B" w:rsidRDefault="00F0580B" w:rsidP="00F0580B">
      <w:pPr>
        <w:pStyle w:val="BodyText"/>
        <w:rPr>
          <w:u w:val="single"/>
        </w:rPr>
      </w:pPr>
      <w:r w:rsidRPr="00F0580B">
        <w:rPr>
          <w:u w:val="single"/>
        </w:rPr>
        <w:t>Account 379 – Measuring &amp; Regulating Equipment (City Gate)</w:t>
      </w:r>
    </w:p>
    <w:p w:rsidR="00F0580B" w:rsidRDefault="00F0580B" w:rsidP="00F0580B">
      <w:pPr>
        <w:pStyle w:val="BodyText"/>
      </w:pPr>
      <w:r>
        <w:t>This account consists of pipes, controls</w:t>
      </w:r>
      <w:r w:rsidR="00F06D25">
        <w:t>, and other equipment used at</w:t>
      </w:r>
      <w:r>
        <w:t xml:space="preserve"> city gate stations. During the current study period, </w:t>
      </w:r>
      <w:r w:rsidR="00F06D25">
        <w:t>this</w:t>
      </w:r>
      <w:r>
        <w:t xml:space="preserve"> account has experienced an increase of approximately 72 perce</w:t>
      </w:r>
      <w:r w:rsidR="00F06D25">
        <w:t>nt in new plant investment and no</w:t>
      </w:r>
      <w:r>
        <w:t xml:space="preserve"> retirement</w:t>
      </w:r>
      <w:r w:rsidR="00F06D25">
        <w:t>s</w:t>
      </w:r>
      <w:r>
        <w:t>. Acknowledging “[a]ver</w:t>
      </w:r>
      <w:r w:rsidR="00227E1A">
        <w:t>a</w:t>
      </w:r>
      <w:r>
        <w:t>ge service lives for other gas companies in the State range from 31 years to 35 years,” FPUC proposed a slight increase in the ASL from 30 to 32 years. Staff consid</w:t>
      </w:r>
      <w:r w:rsidR="008373B3">
        <w:t>ers the Company’s proposal reasonable</w:t>
      </w:r>
      <w:r>
        <w:t>. This results in an ARL of 23 years calculated by using the account’s average age of 9.5 years and existing R3 retirement dispersion. Staff recommends an ARL</w:t>
      </w:r>
      <w:r w:rsidR="001A59F6">
        <w:t xml:space="preserve"> of</w:t>
      </w:r>
      <w:r>
        <w:t xml:space="preserve"> 23 years be approved</w:t>
      </w:r>
      <w:r w:rsidR="00CE4342">
        <w:t xml:space="preserve"> for this account</w:t>
      </w:r>
      <w:r>
        <w:t>.</w:t>
      </w:r>
    </w:p>
    <w:p w:rsidR="00F0580B" w:rsidRDefault="00D06AC5" w:rsidP="00F0580B">
      <w:pPr>
        <w:pStyle w:val="BodyText"/>
      </w:pPr>
      <w:r>
        <w:t>Regarding</w:t>
      </w:r>
      <w:r w:rsidR="00F0580B">
        <w:t xml:space="preserve"> NS, FPUC proposed to</w:t>
      </w:r>
      <w:r w:rsidR="00CD11B8">
        <w:t xml:space="preserve"> retain the currently-approved</w:t>
      </w:r>
      <w:r w:rsidR="00F0580B">
        <w:t xml:space="preserve"> value of negative 5 pe</w:t>
      </w:r>
      <w:r w:rsidR="001A59F6">
        <w:t>rcent. Recognizing</w:t>
      </w:r>
      <w:r w:rsidR="00F0580B">
        <w:t xml:space="preserve"> </w:t>
      </w:r>
      <w:r w:rsidR="001A59F6">
        <w:t xml:space="preserve">there were </w:t>
      </w:r>
      <w:r w:rsidR="00066DB1">
        <w:t>no</w:t>
      </w:r>
      <w:r w:rsidR="00F0580B">
        <w:t xml:space="preserve"> retirement activities</w:t>
      </w:r>
      <w:r w:rsidR="001A59F6">
        <w:t xml:space="preserve"> in the account</w:t>
      </w:r>
      <w:r w:rsidR="00F0580B">
        <w:t xml:space="preserve"> during the study period, staff believes this </w:t>
      </w:r>
      <w:r w:rsidR="001A59F6">
        <w:t xml:space="preserve">proposal </w:t>
      </w:r>
      <w:r w:rsidR="00F0580B">
        <w:t>is appropriate. Staff recommends that NS of negative 5 percent be approved for the account.</w:t>
      </w:r>
    </w:p>
    <w:p w:rsidR="00F0580B" w:rsidRPr="00F0580B" w:rsidRDefault="00F0580B" w:rsidP="00F0580B">
      <w:pPr>
        <w:pStyle w:val="BodyText"/>
        <w:rPr>
          <w:u w:val="single"/>
        </w:rPr>
      </w:pPr>
      <w:r w:rsidRPr="00F0580B">
        <w:rPr>
          <w:u w:val="single"/>
        </w:rPr>
        <w:lastRenderedPageBreak/>
        <w:t>Account 380 –</w:t>
      </w:r>
      <w:r>
        <w:rPr>
          <w:u w:val="single"/>
        </w:rPr>
        <w:t xml:space="preserve"> Distribution Services</w:t>
      </w:r>
    </w:p>
    <w:p w:rsidR="00F0580B" w:rsidRDefault="00F0580B" w:rsidP="00F0580B">
      <w:pPr>
        <w:pStyle w:val="BodyText"/>
      </w:pPr>
      <w:r>
        <w:t>Services accounts consist of plastic services (380.1), steel services (380.2), and GRIP services (380G). Collectively, these accounts comprise approximately 20 percent of FPUC’s distribution plant investment and 19 percent of FPUC’s total plant investment under study. As with the mains accounts, bare st</w:t>
      </w:r>
      <w:r w:rsidR="00A705F9">
        <w:t>eel and cast iron services</w:t>
      </w:r>
      <w:r>
        <w:t xml:space="preserve"> are being replaced as a result of GRIP and in response to concerns regarding reliability and safety of the aging infrastructure. </w:t>
      </w:r>
    </w:p>
    <w:p w:rsidR="005149B7" w:rsidRDefault="00F0580B" w:rsidP="00F0580B">
      <w:pPr>
        <w:pStyle w:val="BodyText"/>
      </w:pPr>
      <w:r>
        <w:t>For the plastic services (inclusive of GRIP) account, the currently-approved ASL is 45 years. For the steel services account, the currently-approved ASL is 40 years. FPUC believes that all of its service accounts’ investments now have longe</w:t>
      </w:r>
      <w:r w:rsidR="00227E1A">
        <w:t>r life expectancies as a result</w:t>
      </w:r>
      <w:r>
        <w:t xml:space="preserve"> of the replacement of the problematic services pipes. FPUC proposed to increase the ASL of all services accounts by 10 years, which brings the ASL of plastic services to 55 years and the ASL of steel services to 50 years. Staff considers FPUC’s ave</w:t>
      </w:r>
      <w:r w:rsidR="001A59F6">
        <w:t>rage service life proposals</w:t>
      </w:r>
      <w:r>
        <w:t xml:space="preserve"> reasonable. The age of the combined plastic services account is 9.0 years, and the age of the steel services account is 31.3 years. The existing retirement dispersion of the plastic services is S3. FPUC </w:t>
      </w:r>
      <w:r w:rsidR="008373B3">
        <w:t>believes, and staff concurs</w:t>
      </w:r>
      <w:r>
        <w:t xml:space="preserve">, that such dispersion may not accurately reflect </w:t>
      </w:r>
      <w:r w:rsidR="001A59F6">
        <w:t xml:space="preserve">the </w:t>
      </w:r>
      <w:r>
        <w:t xml:space="preserve">current retirement pattern of the account, but is reflective of future expectations. The existing retirement dispersion of steel services is </w:t>
      </w:r>
      <w:r w:rsidR="00A03523">
        <w:t xml:space="preserve">the </w:t>
      </w:r>
      <w:r>
        <w:t>S2</w:t>
      </w:r>
      <w:r w:rsidR="00A03523">
        <w:t xml:space="preserve"> curve shape</w:t>
      </w:r>
      <w:r>
        <w:t>. Using these parameters, the ARLs of the plastic services account and the steel services account is 46 years and 22 years, respectively. Staff recommends approval of these two ARL parameters.</w:t>
      </w:r>
    </w:p>
    <w:p w:rsidR="00F0580B" w:rsidRDefault="00F0580B" w:rsidP="00F00903">
      <w:pPr>
        <w:pStyle w:val="BodyText"/>
      </w:pPr>
      <w:r>
        <w:t xml:space="preserve">For </w:t>
      </w:r>
      <w:r w:rsidR="00A705F9">
        <w:t xml:space="preserve">the </w:t>
      </w:r>
      <w:r>
        <w:t>plastic services (inclusive of GRIP) and steel services accounts, the cur</w:t>
      </w:r>
      <w:r w:rsidR="00227E1A">
        <w:t>rently-approved NS parameters are</w:t>
      </w:r>
      <w:r>
        <w:t xml:space="preserve"> negative 22 percent and negative 125 percent, respectively. Similar to the mains accounts, the servi</w:t>
      </w:r>
      <w:r w:rsidR="00A705F9">
        <w:t>ces accounts experienced a wide</w:t>
      </w:r>
      <w:r>
        <w:t xml:space="preserve"> range of NS values dur</w:t>
      </w:r>
      <w:r w:rsidR="00A705F9">
        <w:t>ing the current study period:</w:t>
      </w:r>
      <w:r w:rsidR="00F00903">
        <w:t xml:space="preserve"> plastic services</w:t>
      </w:r>
      <w:r w:rsidR="00D06AC5">
        <w:t xml:space="preserve"> ranged</w:t>
      </w:r>
      <w:r w:rsidR="00F00903">
        <w:t xml:space="preserve"> </w:t>
      </w:r>
      <w:r>
        <w:t>from negative 58 percent to negative 341 percent with an averag</w:t>
      </w:r>
      <w:r w:rsidR="00A03523">
        <w:t>e of negative 101 percent,</w:t>
      </w:r>
      <w:r>
        <w:t xml:space="preserve"> and </w:t>
      </w:r>
      <w:r w:rsidR="00F00903">
        <w:t>steel services</w:t>
      </w:r>
      <w:r w:rsidR="00D06AC5">
        <w:t xml:space="preserve"> ranged</w:t>
      </w:r>
      <w:r>
        <w:t xml:space="preserve"> from negative 49 percent to negative 357 percent with an average of negative 179 percent. FPUC considers th</w:t>
      </w:r>
      <w:r w:rsidR="00227E1A">
        <w:t>ese levels atypical and</w:t>
      </w:r>
      <w:r w:rsidR="00F00903">
        <w:t xml:space="preserve"> a result</w:t>
      </w:r>
      <w:r>
        <w:t xml:space="preserve"> </w:t>
      </w:r>
      <w:r w:rsidR="00F00903">
        <w:t xml:space="preserve">of </w:t>
      </w:r>
      <w:r>
        <w:t>GRIP</w:t>
      </w:r>
      <w:r w:rsidR="00F00903">
        <w:t>-related</w:t>
      </w:r>
      <w:r>
        <w:t xml:space="preserve"> replacement</w:t>
      </w:r>
      <w:r w:rsidR="00F00903">
        <w:t>s</w:t>
      </w:r>
      <w:r>
        <w:t>. Th</w:t>
      </w:r>
      <w:r w:rsidR="00F00903">
        <w:t xml:space="preserve">e Company expects the </w:t>
      </w:r>
      <w:r w:rsidR="00D06AC5">
        <w:t xml:space="preserve">NS levels will return to  </w:t>
      </w:r>
      <w:r>
        <w:t xml:space="preserve">normalcy in the future as GRIP replacements decrease into the program’s completion. </w:t>
      </w:r>
      <w:r w:rsidR="00F00903">
        <w:t>As such, FPUC proposed</w:t>
      </w:r>
      <w:r>
        <w:t xml:space="preserve"> retaining the currently-</w:t>
      </w:r>
      <w:r w:rsidR="00F00903">
        <w:t>approved</w:t>
      </w:r>
      <w:r>
        <w:t xml:space="preserve"> NS parameters</w:t>
      </w:r>
      <w:r w:rsidR="0001408E">
        <w:t xml:space="preserve"> for plastic services (inclusive of GRIP) and steel services</w:t>
      </w:r>
      <w:r>
        <w:t xml:space="preserve"> of negative 22 percent</w:t>
      </w:r>
      <w:r w:rsidR="00F00903">
        <w:t>,</w:t>
      </w:r>
      <w:r>
        <w:t xml:space="preserve"> and negative 125 percent</w:t>
      </w:r>
      <w:r w:rsidR="00F00903">
        <w:t>,</w:t>
      </w:r>
      <w:r>
        <w:t xml:space="preserve"> respectively. Staff believes FPUC’s salvage proposal</w:t>
      </w:r>
      <w:r w:rsidR="0001408E">
        <w:t>s are</w:t>
      </w:r>
      <w:r>
        <w:t xml:space="preserve"> app</w:t>
      </w:r>
      <w:r w:rsidR="0001408E">
        <w:t>ropriate</w:t>
      </w:r>
      <w:r>
        <w:t>.</w:t>
      </w:r>
    </w:p>
    <w:p w:rsidR="00F0580B" w:rsidRPr="00DB358A" w:rsidRDefault="00F0580B" w:rsidP="00F0580B">
      <w:pPr>
        <w:pStyle w:val="BodyText"/>
        <w:rPr>
          <w:u w:val="single"/>
        </w:rPr>
      </w:pPr>
      <w:r w:rsidRPr="00DB358A">
        <w:rPr>
          <w:u w:val="single"/>
        </w:rPr>
        <w:t>Account 385 – Industrial Measuring &amp; Regulation Equipment</w:t>
      </w:r>
    </w:p>
    <w:p w:rsidR="00F0580B" w:rsidRDefault="00F0580B" w:rsidP="00F0580B">
      <w:pPr>
        <w:pStyle w:val="BodyText"/>
      </w:pPr>
      <w:r>
        <w:t xml:space="preserve">This account consists of measuring and regulating equipment at industrial stations. The </w:t>
      </w:r>
      <w:r w:rsidR="00061734">
        <w:t xml:space="preserve">currently-approved </w:t>
      </w:r>
      <w:r>
        <w:t>ASL of the account is 30 years. FP</w:t>
      </w:r>
      <w:r w:rsidR="00061734">
        <w:t>UC proposed a modest increase to</w:t>
      </w:r>
      <w:r>
        <w:t xml:space="preserve"> 35 years. Staff believes the p</w:t>
      </w:r>
      <w:r w:rsidR="00061734">
        <w:t>roposal is reasonable</w:t>
      </w:r>
      <w:r>
        <w:t>. Based on this, an ARL of 17.7 years is calculated using the account’s average age of 18.9 years and its exi</w:t>
      </w:r>
      <w:r w:rsidR="00061734">
        <w:t xml:space="preserve">sting R3 </w:t>
      </w:r>
      <w:r w:rsidR="00A03523">
        <w:t xml:space="preserve">curve shape </w:t>
      </w:r>
      <w:r w:rsidR="00061734">
        <w:t>retirement dispersion.</w:t>
      </w:r>
    </w:p>
    <w:p w:rsidR="00F0580B" w:rsidRDefault="00061734" w:rsidP="00F0580B">
      <w:pPr>
        <w:pStyle w:val="BodyText"/>
      </w:pPr>
      <w:r>
        <w:t>For</w:t>
      </w:r>
      <w:r w:rsidR="00F0580B">
        <w:t xml:space="preserve"> the NS parameter, FPUC proposes to retain the curre</w:t>
      </w:r>
      <w:r>
        <w:t>ntly-approved zero percent sinc</w:t>
      </w:r>
      <w:r w:rsidR="00227E1A">
        <w:t>e there have</w:t>
      </w:r>
      <w:r>
        <w:t xml:space="preserve"> been no retirement/salvage activities</w:t>
      </w:r>
      <w:r w:rsidR="00F0580B">
        <w:t xml:space="preserve"> during the study period. Staff believes the Company’s proposal is</w:t>
      </w:r>
      <w:r>
        <w:t xml:space="preserve"> appropriate</w:t>
      </w:r>
      <w:r w:rsidR="00F0580B">
        <w:t>.</w:t>
      </w:r>
    </w:p>
    <w:p w:rsidR="001E7BA8" w:rsidRDefault="001E7BA8" w:rsidP="00F0580B">
      <w:pPr>
        <w:pStyle w:val="BodyText"/>
      </w:pPr>
    </w:p>
    <w:p w:rsidR="0027004E" w:rsidRPr="006B5F83" w:rsidRDefault="0027004E" w:rsidP="006B5F83">
      <w:pPr>
        <w:pStyle w:val="BodyText"/>
        <w:rPr>
          <w:u w:val="single"/>
        </w:rPr>
      </w:pPr>
      <w:r w:rsidRPr="006B5F83">
        <w:rPr>
          <w:u w:val="single"/>
        </w:rPr>
        <w:lastRenderedPageBreak/>
        <w:t>Account 390 – Structures &amp; Improvements</w:t>
      </w:r>
    </w:p>
    <w:p w:rsidR="0027004E" w:rsidRPr="008C777A" w:rsidRDefault="0027004E" w:rsidP="006B5F83">
      <w:pPr>
        <w:pStyle w:val="BodyText"/>
      </w:pPr>
      <w:r w:rsidRPr="008C777A">
        <w:t xml:space="preserve">The currently-approved NS rate for this account is 10 percent. The most recent 6-year analysis of actual NS is approximately 51 percent. </w:t>
      </w:r>
      <w:r w:rsidR="001C78A7" w:rsidRPr="008C777A">
        <w:t>In questioning this matter, t</w:t>
      </w:r>
      <w:r w:rsidR="008B0D70" w:rsidRPr="008C777A">
        <w:t>he Company informed staff that the unusually high net salvage over the study period was due to the sale of its Winter Haven and Indiantown office buildings. These building</w:t>
      </w:r>
      <w:r w:rsidR="001A59F6">
        <w:t>s</w:t>
      </w:r>
      <w:r w:rsidR="008B0D70" w:rsidRPr="008C777A">
        <w:t xml:space="preserve"> </w:t>
      </w:r>
      <w:r w:rsidR="001C78A7" w:rsidRPr="008C777A">
        <w:t xml:space="preserve">were no longer </w:t>
      </w:r>
      <w:r w:rsidR="008B0D70" w:rsidRPr="008C777A">
        <w:t>needed post conso</w:t>
      </w:r>
      <w:r w:rsidR="008C777A">
        <w:t xml:space="preserve">lidation of </w:t>
      </w:r>
      <w:r w:rsidR="004C40AA">
        <w:t xml:space="preserve">the </w:t>
      </w:r>
      <w:r w:rsidR="008C777A">
        <w:t>FPUC gas companies.</w:t>
      </w:r>
      <w:r w:rsidR="008B0D70" w:rsidRPr="008C777A">
        <w:t xml:space="preserve"> While </w:t>
      </w:r>
      <w:r w:rsidR="001C78A7" w:rsidRPr="008C777A">
        <w:t>staff is not currently recommending</w:t>
      </w:r>
      <w:r w:rsidRPr="008C777A">
        <w:t xml:space="preserve"> a change from the 10</w:t>
      </w:r>
      <w:r w:rsidR="001C78A7" w:rsidRPr="008C777A">
        <w:t xml:space="preserve"> percent level</w:t>
      </w:r>
      <w:r w:rsidR="008C777A">
        <w:t xml:space="preserve"> based on only two data points</w:t>
      </w:r>
      <w:r w:rsidR="001C78A7" w:rsidRPr="008C777A">
        <w:t>, it will monitor</w:t>
      </w:r>
      <w:r w:rsidRPr="008C777A">
        <w:t xml:space="preserve"> this account’s NS developments over the next study period for determining if the trend towards higher NS persists</w:t>
      </w:r>
      <w:r w:rsidR="008B0D70" w:rsidRPr="008C777A">
        <w:t xml:space="preserve"> and </w:t>
      </w:r>
      <w:r w:rsidR="001C78A7" w:rsidRPr="008C777A">
        <w:t>if a</w:t>
      </w:r>
      <w:r w:rsidR="008C777A">
        <w:t xml:space="preserve"> </w:t>
      </w:r>
      <w:r w:rsidR="008B0D70" w:rsidRPr="008C777A">
        <w:t xml:space="preserve">change </w:t>
      </w:r>
      <w:r w:rsidR="008C777A">
        <w:t xml:space="preserve">should be </w:t>
      </w:r>
      <w:r w:rsidR="001C78A7" w:rsidRPr="008C777A">
        <w:t>recommended to the Commission</w:t>
      </w:r>
      <w:r w:rsidR="008C777A">
        <w:t xml:space="preserve"> in the future</w:t>
      </w:r>
      <w:r w:rsidRPr="008C777A">
        <w:t xml:space="preserve">.     </w:t>
      </w:r>
    </w:p>
    <w:p w:rsidR="0027004E" w:rsidRPr="006B5F83" w:rsidRDefault="0027004E" w:rsidP="006B5F83">
      <w:pPr>
        <w:pStyle w:val="BodyText"/>
        <w:rPr>
          <w:u w:val="single"/>
        </w:rPr>
      </w:pPr>
      <w:r w:rsidRPr="006B5F83">
        <w:rPr>
          <w:u w:val="single"/>
        </w:rPr>
        <w:t>Account 391.0 – Office Furniture</w:t>
      </w:r>
    </w:p>
    <w:p w:rsidR="0027004E" w:rsidRPr="00822DFD" w:rsidRDefault="0027004E" w:rsidP="006B5F83">
      <w:pPr>
        <w:pStyle w:val="BodyText"/>
      </w:pPr>
      <w:r>
        <w:t>Staff recommends the transition of this account</w:t>
      </w:r>
      <w:r w:rsidR="004A7235">
        <w:t xml:space="preserve"> to vintage year accounting at</w:t>
      </w:r>
      <w:r>
        <w:t xml:space="preserve"> an annual amortization rate of 5</w:t>
      </w:r>
      <w:r w:rsidR="00227E1A">
        <w:t>.0</w:t>
      </w:r>
      <w:r>
        <w:t xml:space="preserve"> percent.</w:t>
      </w:r>
    </w:p>
    <w:p w:rsidR="0027004E" w:rsidRPr="006B5F83" w:rsidRDefault="0027004E" w:rsidP="006B5F83">
      <w:pPr>
        <w:pStyle w:val="BodyText"/>
        <w:rPr>
          <w:u w:val="single"/>
        </w:rPr>
      </w:pPr>
      <w:r w:rsidRPr="006B5F83">
        <w:rPr>
          <w:u w:val="single"/>
        </w:rPr>
        <w:t>Account 391.2 – Office Equipment</w:t>
      </w:r>
    </w:p>
    <w:p w:rsidR="0027004E" w:rsidRPr="00822DFD" w:rsidRDefault="0027004E" w:rsidP="006B5F83">
      <w:pPr>
        <w:pStyle w:val="BodyText"/>
      </w:pPr>
      <w:r>
        <w:t>Staff recommends</w:t>
      </w:r>
      <w:r w:rsidRPr="0027004E">
        <w:t xml:space="preserve"> </w:t>
      </w:r>
      <w:r>
        <w:t>the transition of this account to vintage year accounting</w:t>
      </w:r>
      <w:r w:rsidR="004A7235">
        <w:t xml:space="preserve"> at</w:t>
      </w:r>
      <w:r w:rsidR="00F26D58">
        <w:t xml:space="preserve"> an </w:t>
      </w:r>
      <w:r>
        <w:t>annual amortization rate of 7.1 percent.</w:t>
      </w:r>
    </w:p>
    <w:p w:rsidR="0027004E" w:rsidRPr="006B5F83" w:rsidRDefault="0027004E" w:rsidP="006B5F83">
      <w:pPr>
        <w:pStyle w:val="BodyText"/>
        <w:rPr>
          <w:u w:val="single"/>
        </w:rPr>
      </w:pPr>
      <w:r w:rsidRPr="006B5F83">
        <w:rPr>
          <w:u w:val="single"/>
        </w:rPr>
        <w:t>Account 391.3 – Computer Hardware</w:t>
      </w:r>
    </w:p>
    <w:p w:rsidR="0027004E" w:rsidRPr="00822DFD" w:rsidRDefault="0027004E" w:rsidP="006B5F83">
      <w:pPr>
        <w:pStyle w:val="BodyText"/>
      </w:pPr>
      <w:r>
        <w:t>Staff recommends the transition of this account to vintage year accounting</w:t>
      </w:r>
      <w:r w:rsidR="004A7235">
        <w:t xml:space="preserve"> at</w:t>
      </w:r>
      <w:r w:rsidR="00F26D58">
        <w:t xml:space="preserve"> an </w:t>
      </w:r>
      <w:r>
        <w:t>annual amortization rate of 10</w:t>
      </w:r>
      <w:r w:rsidR="00227E1A">
        <w:t>.0</w:t>
      </w:r>
      <w:r>
        <w:t xml:space="preserve"> percent.</w:t>
      </w:r>
    </w:p>
    <w:p w:rsidR="0027004E" w:rsidRPr="006B5F83" w:rsidRDefault="0027004E" w:rsidP="006B5F83">
      <w:pPr>
        <w:pStyle w:val="BodyText"/>
        <w:rPr>
          <w:u w:val="single"/>
        </w:rPr>
      </w:pPr>
      <w:r w:rsidRPr="006B5F83">
        <w:rPr>
          <w:u w:val="single"/>
        </w:rPr>
        <w:t>Account 391.4 – Computer Software</w:t>
      </w:r>
    </w:p>
    <w:p w:rsidR="0027004E" w:rsidRPr="00822DFD" w:rsidRDefault="0027004E" w:rsidP="006B5F83">
      <w:pPr>
        <w:pStyle w:val="BodyText"/>
      </w:pPr>
      <w:r>
        <w:t>Staff recommends the transition of this account to vintage year accounting</w:t>
      </w:r>
      <w:r w:rsidR="004A7235">
        <w:t xml:space="preserve"> at</w:t>
      </w:r>
      <w:r w:rsidR="00F26D58">
        <w:t xml:space="preserve"> an </w:t>
      </w:r>
      <w:r>
        <w:t>annual amortization rate of 10</w:t>
      </w:r>
      <w:r w:rsidR="00227E1A">
        <w:t>.0</w:t>
      </w:r>
      <w:r>
        <w:t xml:space="preserve"> percent.</w:t>
      </w:r>
    </w:p>
    <w:p w:rsidR="0027004E" w:rsidRPr="006B5F83" w:rsidRDefault="0027004E" w:rsidP="006B5F83">
      <w:pPr>
        <w:pStyle w:val="BodyText"/>
        <w:rPr>
          <w:u w:val="single"/>
        </w:rPr>
      </w:pPr>
      <w:r w:rsidRPr="006B5F83">
        <w:rPr>
          <w:u w:val="single"/>
        </w:rPr>
        <w:t>Account 393 – Stores Equipment</w:t>
      </w:r>
    </w:p>
    <w:p w:rsidR="0027004E" w:rsidRPr="00822DFD" w:rsidRDefault="0027004E" w:rsidP="006B5F83">
      <w:pPr>
        <w:pStyle w:val="BodyText"/>
      </w:pPr>
      <w:r>
        <w:t>Staff recommends</w:t>
      </w:r>
      <w:r w:rsidRPr="0027004E">
        <w:t xml:space="preserve"> </w:t>
      </w:r>
      <w:r>
        <w:t>the transition of this account to vintage year accounting</w:t>
      </w:r>
      <w:r w:rsidR="004A7235">
        <w:t xml:space="preserve"> at</w:t>
      </w:r>
      <w:r w:rsidR="00F26D58">
        <w:t xml:space="preserve"> an </w:t>
      </w:r>
      <w:r>
        <w:t>annual amortization rate of 3.8 percent.</w:t>
      </w:r>
    </w:p>
    <w:p w:rsidR="0027004E" w:rsidRPr="006B5F83" w:rsidRDefault="0027004E" w:rsidP="006B5F83">
      <w:pPr>
        <w:pStyle w:val="BodyText"/>
        <w:rPr>
          <w:u w:val="single"/>
        </w:rPr>
      </w:pPr>
      <w:r w:rsidRPr="006B5F83">
        <w:rPr>
          <w:u w:val="single"/>
        </w:rPr>
        <w:t>Account 394 – Tools, Shop &amp; Garage Equipment</w:t>
      </w:r>
    </w:p>
    <w:p w:rsidR="0027004E" w:rsidRPr="00822DFD" w:rsidRDefault="0027004E" w:rsidP="006B5F83">
      <w:pPr>
        <w:pStyle w:val="BodyText"/>
      </w:pPr>
      <w:r>
        <w:t>Staff recommends the transition of this account to vintage year accounting</w:t>
      </w:r>
      <w:r w:rsidR="004A7235">
        <w:t xml:space="preserve"> at</w:t>
      </w:r>
      <w:r w:rsidR="00F26D58">
        <w:t xml:space="preserve"> an </w:t>
      </w:r>
      <w:r>
        <w:t>annual amortization rate of 6.7 percent.</w:t>
      </w:r>
    </w:p>
    <w:p w:rsidR="0027004E" w:rsidRPr="006B5F83" w:rsidRDefault="0027004E" w:rsidP="006B5F83">
      <w:pPr>
        <w:pStyle w:val="BodyText"/>
        <w:rPr>
          <w:u w:val="single"/>
        </w:rPr>
      </w:pPr>
      <w:r w:rsidRPr="006B5F83">
        <w:rPr>
          <w:u w:val="single"/>
        </w:rPr>
        <w:t>Account 395 – Laboratory Equipment</w:t>
      </w:r>
    </w:p>
    <w:p w:rsidR="0027004E" w:rsidRDefault="0027004E" w:rsidP="006B5F83">
      <w:pPr>
        <w:pStyle w:val="BodyText"/>
      </w:pPr>
      <w:r>
        <w:t>Staff recommends the transition of this account to vintage year accounting</w:t>
      </w:r>
      <w:r w:rsidR="004A7235">
        <w:t xml:space="preserve"> at</w:t>
      </w:r>
      <w:r w:rsidR="00F26D58">
        <w:t xml:space="preserve"> an </w:t>
      </w:r>
      <w:r>
        <w:t>annual amortization rate of 5.0 percent.</w:t>
      </w:r>
    </w:p>
    <w:p w:rsidR="00A03523" w:rsidRPr="00822DFD" w:rsidRDefault="00A03523" w:rsidP="006B5F83">
      <w:pPr>
        <w:pStyle w:val="BodyText"/>
      </w:pPr>
    </w:p>
    <w:p w:rsidR="0027004E" w:rsidRPr="006B5F83" w:rsidRDefault="0027004E" w:rsidP="006B5F83">
      <w:pPr>
        <w:pStyle w:val="BodyText"/>
        <w:rPr>
          <w:u w:val="single"/>
        </w:rPr>
      </w:pPr>
      <w:r w:rsidRPr="006B5F83">
        <w:rPr>
          <w:u w:val="single"/>
        </w:rPr>
        <w:lastRenderedPageBreak/>
        <w:t>Account 397 – Communication Equipment</w:t>
      </w:r>
    </w:p>
    <w:p w:rsidR="0027004E" w:rsidRPr="00822DFD" w:rsidRDefault="0027004E" w:rsidP="006B5F83">
      <w:pPr>
        <w:pStyle w:val="BodyText"/>
      </w:pPr>
      <w:r>
        <w:t>Staff recommends the transition of this account to vintage year accounting</w:t>
      </w:r>
      <w:r w:rsidR="004A7235">
        <w:t xml:space="preserve"> at</w:t>
      </w:r>
      <w:r w:rsidR="00F26D58">
        <w:t xml:space="preserve"> an </w:t>
      </w:r>
      <w:r>
        <w:t>annual amortization rate of 7.7 percent.</w:t>
      </w:r>
    </w:p>
    <w:p w:rsidR="0027004E" w:rsidRPr="006B5F83" w:rsidRDefault="0027004E" w:rsidP="006B5F83">
      <w:pPr>
        <w:pStyle w:val="BodyText"/>
        <w:rPr>
          <w:u w:val="single"/>
        </w:rPr>
      </w:pPr>
      <w:r w:rsidRPr="006B5F83">
        <w:rPr>
          <w:u w:val="single"/>
        </w:rPr>
        <w:t>Account 398 – Miscellaneous Equipment</w:t>
      </w:r>
    </w:p>
    <w:p w:rsidR="0027004E" w:rsidRPr="00822DFD" w:rsidRDefault="0027004E" w:rsidP="006B5F83">
      <w:pPr>
        <w:pStyle w:val="BodyText"/>
      </w:pPr>
      <w:r>
        <w:t>Staff recommends the transition of this account to vintage year accounting</w:t>
      </w:r>
      <w:r w:rsidR="004A7235">
        <w:t xml:space="preserve"> at</w:t>
      </w:r>
      <w:r w:rsidR="00F26D58">
        <w:t xml:space="preserve"> an </w:t>
      </w:r>
      <w:r>
        <w:t>annual amortization rate of 5.9 percent.</w:t>
      </w:r>
    </w:p>
    <w:p w:rsidR="008C777A" w:rsidRPr="006B5F83" w:rsidRDefault="00F01E6D" w:rsidP="008C777A">
      <w:pPr>
        <w:pStyle w:val="BodyText"/>
        <w:rPr>
          <w:rFonts w:ascii="Arial" w:hAnsi="Arial" w:cs="Arial"/>
          <w:b/>
          <w:i/>
        </w:rPr>
      </w:pPr>
      <w:r w:rsidRPr="006B5F83">
        <w:rPr>
          <w:rFonts w:ascii="Arial" w:hAnsi="Arial" w:cs="Arial"/>
          <w:b/>
          <w:i/>
        </w:rPr>
        <w:t>Conclusion</w:t>
      </w:r>
    </w:p>
    <w:p w:rsidR="00683A2C" w:rsidRDefault="008C777A" w:rsidP="00683A2C">
      <w:pPr>
        <w:pStyle w:val="BodyText"/>
      </w:pPr>
      <w:r w:rsidRPr="00F71A27">
        <w:t>Staff recommends the Commission approve the lives, reserve percentages, net salvage percentages, and resulting depreciation rates applicable to FPUC’s investments that are s</w:t>
      </w:r>
      <w:r w:rsidRPr="004C3F5D">
        <w:t xml:space="preserve">hown on Attachment A. As shown on Attachment B, the </w:t>
      </w:r>
      <w:r>
        <w:t xml:space="preserve">relevant </w:t>
      </w:r>
      <w:r w:rsidRPr="004C3F5D">
        <w:t xml:space="preserve">corresponding </w:t>
      </w:r>
      <w:r>
        <w:t xml:space="preserve">total </w:t>
      </w:r>
      <w:r w:rsidRPr="004C3F5D">
        <w:t>depreciation expense effect of staff’s rate recommendations is</w:t>
      </w:r>
      <w:r>
        <w:t xml:space="preserve"> a decrease of $893,899</w:t>
      </w:r>
      <w:r w:rsidRPr="004C3F5D">
        <w:t xml:space="preserve">, or approximately 7.2 percent, from current depreciation </w:t>
      </w:r>
      <w:r>
        <w:t>expense</w:t>
      </w:r>
      <w:r w:rsidRPr="004C3F5D">
        <w:t xml:space="preserve"> levels</w:t>
      </w:r>
      <w:r>
        <w:t xml:space="preserve"> at December 31, 2018</w:t>
      </w:r>
      <w:r w:rsidRPr="004C3F5D">
        <w:t>.</w:t>
      </w:r>
      <w:r w:rsidR="00683A2C">
        <w:t xml:space="preserve"> Further, with respect to  Chesapeake, staff reviewed the effect of the recommended depreciation rate reductions on forecasted earnings for calendar year 2019.</w:t>
      </w:r>
      <w:r w:rsidR="00683A2C">
        <w:rPr>
          <w:rStyle w:val="FootnoteReference"/>
        </w:rPr>
        <w:footnoteReference w:id="17"/>
      </w:r>
      <w:r w:rsidR="00683A2C">
        <w:t xml:space="preserve"> Based on staff’s review, Chesapeake is projected to remain earning within its authorized return on equity range of 9.8 percent to 11.8 percent for 2019.</w:t>
      </w:r>
      <w:r w:rsidR="00683A2C">
        <w:rPr>
          <w:rStyle w:val="FootnoteReference"/>
        </w:rPr>
        <w:footnoteReference w:id="18"/>
      </w:r>
    </w:p>
    <w:p w:rsidR="0027004E" w:rsidRDefault="0027004E" w:rsidP="008C777A">
      <w:pPr>
        <w:pStyle w:val="BodyText"/>
      </w:pPr>
    </w:p>
    <w:p w:rsidR="0027004E" w:rsidRPr="0027004E" w:rsidRDefault="0027004E" w:rsidP="008C777A">
      <w:pPr>
        <w:pStyle w:val="BodyText"/>
        <w:rPr>
          <w:u w:val="single"/>
        </w:rPr>
      </w:pPr>
    </w:p>
    <w:p w:rsidR="00104FCC" w:rsidRDefault="00104FCC">
      <w:pPr>
        <w:pStyle w:val="IssueHeading"/>
        <w:rPr>
          <w:vanish/>
          <w:specVanish/>
        </w:rPr>
      </w:pPr>
      <w:r w:rsidRPr="004C3641">
        <w:rPr>
          <w:b w:val="0"/>
          <w:i w:val="0"/>
        </w:rPr>
        <w:br w:type="page"/>
      </w:r>
      <w:r w:rsidRPr="004C3641">
        <w:lastRenderedPageBreak/>
        <w:t xml:space="preserve">Issue </w:t>
      </w:r>
      <w:r w:rsidR="00D15F2C">
        <w:fldChar w:fldCharType="begin"/>
      </w:r>
      <w:r w:rsidR="00D15F2C">
        <w:instrText xml:space="preserve"> SEQ Issue \* MERGEFORMAT </w:instrText>
      </w:r>
      <w:r w:rsidR="00D15F2C">
        <w:fldChar w:fldCharType="separate"/>
      </w:r>
      <w:r w:rsidR="00822F4B">
        <w:rPr>
          <w:noProof/>
        </w:rPr>
        <w:t>3</w:t>
      </w:r>
      <w:r w:rsidR="00D15F2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22F4B">
        <w:rPr>
          <w:noProof/>
        </w:rPr>
        <w:instrText>3</w:instrText>
      </w:r>
      <w:r>
        <w:fldChar w:fldCharType="end"/>
      </w:r>
      <w:r>
        <w:tab/>
        <w:instrText xml:space="preserve">" \l 1 </w:instrText>
      </w:r>
      <w:r>
        <w:fldChar w:fldCharType="end"/>
      </w:r>
      <w:r>
        <w:t> </w:t>
      </w:r>
    </w:p>
    <w:p w:rsidR="00104FCC" w:rsidRDefault="00104FCC">
      <w:pPr>
        <w:pStyle w:val="BodyText"/>
      </w:pPr>
      <w:r>
        <w:t> W</w:t>
      </w:r>
      <w:r w:rsidR="003703E6" w:rsidRPr="003703E6">
        <w:t>hat should be the implementation date for ne</w:t>
      </w:r>
      <w:r w:rsidR="00D52B3D">
        <w:t>wly authorized</w:t>
      </w:r>
      <w:r w:rsidR="003703E6">
        <w:t xml:space="preserve"> depreciation rates</w:t>
      </w:r>
      <w:r>
        <w:t>?</w:t>
      </w:r>
    </w:p>
    <w:p w:rsidR="00104FCC" w:rsidRPr="004C3641" w:rsidRDefault="00104FCC">
      <w:pPr>
        <w:pStyle w:val="IssueSubsectionHeading"/>
        <w:rPr>
          <w:vanish/>
          <w:specVanish/>
        </w:rPr>
      </w:pPr>
      <w:r w:rsidRPr="004C3641">
        <w:t>Recommendation: </w:t>
      </w:r>
    </w:p>
    <w:p w:rsidR="00104FCC" w:rsidRDefault="00104FCC">
      <w:pPr>
        <w:pStyle w:val="BodyText"/>
      </w:pPr>
      <w:r>
        <w:t> </w:t>
      </w:r>
      <w:r w:rsidR="00D52B3D">
        <w:t xml:space="preserve">For </w:t>
      </w:r>
      <w:r w:rsidR="00D52B3D" w:rsidRPr="00D52B3D">
        <w:t>the</w:t>
      </w:r>
      <w:r w:rsidR="003703E6" w:rsidRPr="00D52B3D">
        <w:t xml:space="preserve"> </w:t>
      </w:r>
      <w:r w:rsidR="00D52B3D" w:rsidRPr="00D52B3D">
        <w:t xml:space="preserve">depreciation rates </w:t>
      </w:r>
      <w:r w:rsidR="003703E6" w:rsidRPr="00D52B3D">
        <w:t>approved by the Commission</w:t>
      </w:r>
      <w:r w:rsidR="00D52B3D">
        <w:t xml:space="preserve"> in Issue 2</w:t>
      </w:r>
      <w:r w:rsidR="003703E6" w:rsidRPr="003703E6">
        <w:t>, staff recommends</w:t>
      </w:r>
      <w:r w:rsidR="00D52B3D">
        <w:t xml:space="preserve"> an implementation date of</w:t>
      </w:r>
      <w:r w:rsidR="003703E6" w:rsidRPr="003703E6">
        <w:t xml:space="preserve"> January 1, 2019.</w:t>
      </w:r>
      <w:r w:rsidRPr="004C3F5D">
        <w:t xml:space="preserve"> (Higg</w:t>
      </w:r>
      <w:r>
        <w:t>ins, Wu)</w:t>
      </w:r>
    </w:p>
    <w:p w:rsidR="00104FCC" w:rsidRPr="004C3641" w:rsidRDefault="00104FCC">
      <w:pPr>
        <w:pStyle w:val="IssueSubsectionHeading"/>
        <w:rPr>
          <w:vanish/>
          <w:specVanish/>
        </w:rPr>
      </w:pPr>
      <w:r w:rsidRPr="004C3641">
        <w:t>Staff Analysis: </w:t>
      </w:r>
    </w:p>
    <w:p w:rsidR="00B77B73" w:rsidRDefault="00B77B73" w:rsidP="00F71A27">
      <w:pPr>
        <w:pStyle w:val="BodyText"/>
      </w:pPr>
      <w:r>
        <w:t> </w:t>
      </w:r>
      <w:r w:rsidR="00E96D19" w:rsidRPr="00E96D19">
        <w:t>The data submitted for the 2019 Study, including actual</w:t>
      </w:r>
      <w:r w:rsidR="004A0009">
        <w:t xml:space="preserve"> plant and reserve balances, is</w:t>
      </w:r>
      <w:r w:rsidR="00E96D19" w:rsidRPr="00E96D19">
        <w:t xml:space="preserve"> as of De</w:t>
      </w:r>
      <w:r w:rsidR="005149B7">
        <w:t>cember 31, 2018. Thus</w:t>
      </w:r>
      <w:r w:rsidR="00227E1A">
        <w:t>,</w:t>
      </w:r>
      <w:r w:rsidR="005149B7">
        <w:t xml:space="preserve"> the underly</w:t>
      </w:r>
      <w:r w:rsidR="00E96D19" w:rsidRPr="00E96D19">
        <w:t>ing</w:t>
      </w:r>
      <w:r w:rsidR="00061734">
        <w:t xml:space="preserve"> Company</w:t>
      </w:r>
      <w:r w:rsidR="00E96D19" w:rsidRPr="00E96D19">
        <w:t xml:space="preserve"> data and</w:t>
      </w:r>
      <w:r w:rsidR="005149B7">
        <w:t xml:space="preserve"> depreciation-related</w:t>
      </w:r>
      <w:r w:rsidR="00E96D19" w:rsidRPr="00E96D19">
        <w:t xml:space="preserve"> calculations </w:t>
      </w:r>
      <w:r w:rsidR="00E96D19">
        <w:t xml:space="preserve">appropriately </w:t>
      </w:r>
      <w:r w:rsidR="00E96D19" w:rsidRPr="00E96D19">
        <w:t>match an implementation date of January 1, 2019.</w:t>
      </w:r>
    </w:p>
    <w:p w:rsidR="002B74B3" w:rsidRDefault="002B74B3" w:rsidP="00462B5D">
      <w:pPr>
        <w:pStyle w:val="IssueHeading"/>
        <w:rPr>
          <w:vanish/>
          <w:specVanish/>
        </w:rPr>
      </w:pPr>
      <w:r w:rsidRPr="004C3641">
        <w:rPr>
          <w:b w:val="0"/>
          <w:i w:val="0"/>
        </w:rPr>
        <w:br w:type="page"/>
      </w:r>
      <w:r w:rsidRPr="004C3641">
        <w:lastRenderedPageBreak/>
        <w:t xml:space="preserve">Issue </w:t>
      </w:r>
      <w:r w:rsidR="00D15F2C">
        <w:fldChar w:fldCharType="begin"/>
      </w:r>
      <w:r w:rsidR="00D15F2C">
        <w:instrText xml:space="preserve"> SEQ Issue \* MERGEFORMAT </w:instrText>
      </w:r>
      <w:r w:rsidR="00D15F2C">
        <w:fldChar w:fldCharType="separate"/>
      </w:r>
      <w:r w:rsidR="00822F4B">
        <w:rPr>
          <w:noProof/>
        </w:rPr>
        <w:t>4</w:t>
      </w:r>
      <w:r w:rsidR="00D15F2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22F4B">
        <w:rPr>
          <w:noProof/>
        </w:rPr>
        <w:instrText>4</w:instrText>
      </w:r>
      <w:r>
        <w:fldChar w:fldCharType="end"/>
      </w:r>
      <w:r>
        <w:tab/>
        <w:instrText xml:space="preserve">(Chichetti, Smith II)" \l 1 </w:instrText>
      </w:r>
      <w:r>
        <w:fldChar w:fldCharType="end"/>
      </w:r>
      <w:r>
        <w:t> </w:t>
      </w:r>
    </w:p>
    <w:p w:rsidR="002B74B3" w:rsidRDefault="002B74B3">
      <w:pPr>
        <w:pStyle w:val="BodyText"/>
      </w:pPr>
      <w:r>
        <w:t> Should the current amortization of investment tax credits (ITCs) and flow back of excess deferred income taxes (EDITs) be revised to reflect the approved depreciation rates and amortization schedules?</w:t>
      </w:r>
    </w:p>
    <w:p w:rsidR="002B74B3" w:rsidRPr="004C3641" w:rsidRDefault="002B74B3">
      <w:pPr>
        <w:pStyle w:val="IssueSubsectionHeading"/>
        <w:rPr>
          <w:vanish/>
          <w:specVanish/>
        </w:rPr>
      </w:pPr>
      <w:r w:rsidRPr="004C3641">
        <w:t>Recommendation: </w:t>
      </w:r>
    </w:p>
    <w:p w:rsidR="002B74B3" w:rsidRDefault="002B74B3">
      <w:pPr>
        <w:pStyle w:val="BodyText"/>
      </w:pPr>
      <w:r>
        <w:t> </w:t>
      </w:r>
      <w:r w:rsidRPr="002B74B3">
        <w:t>Yes. The current amortization of ITCs should be revised to match the actual recovery periods for the related property. The Company should file detailed calculations of the revised ITC amortization at the same time it files its earnings surveillance report covering the period e</w:t>
      </w:r>
      <w:r w:rsidRPr="00FF51F7">
        <w:t xml:space="preserve">nding </w:t>
      </w:r>
      <w:r w:rsidR="002112C7" w:rsidRPr="00FF51F7">
        <w:t>December 31, 2019</w:t>
      </w:r>
      <w:r w:rsidRPr="00FF51F7">
        <w:t>, as speci</w:t>
      </w:r>
      <w:r w:rsidRPr="002B74B3">
        <w:t xml:space="preserve">fied in Rule 27-7.1352, F.A.C. </w:t>
      </w:r>
      <w:r>
        <w:t>(Cicchetti, Smith II)</w:t>
      </w:r>
    </w:p>
    <w:p w:rsidR="002B74B3" w:rsidRPr="004C3641" w:rsidRDefault="002B74B3">
      <w:pPr>
        <w:pStyle w:val="IssueSubsectionHeading"/>
        <w:rPr>
          <w:vanish/>
          <w:specVanish/>
        </w:rPr>
      </w:pPr>
      <w:r w:rsidRPr="004C3641">
        <w:t>Staff Analysis: </w:t>
      </w:r>
    </w:p>
    <w:p w:rsidR="002B74B3" w:rsidRDefault="002B74B3" w:rsidP="002B74B3">
      <w:pPr>
        <w:pStyle w:val="BodyText"/>
      </w:pPr>
      <w:r>
        <w:t> </w:t>
      </w:r>
      <w:r w:rsidRPr="000332B6">
        <w:t xml:space="preserve">In Issue </w:t>
      </w:r>
      <w:r w:rsidR="00FF51F7">
        <w:t>3</w:t>
      </w:r>
      <w:r w:rsidRPr="000332B6">
        <w:t>, staff recommended approval of revised dep</w:t>
      </w:r>
      <w:r>
        <w:t>reciation rates for the Company</w:t>
      </w:r>
      <w:r w:rsidRPr="000332B6">
        <w:t xml:space="preserve"> to be effec</w:t>
      </w:r>
      <w:r w:rsidRPr="00FF51F7">
        <w:t>tive January 1, 201</w:t>
      </w:r>
      <w:r w:rsidR="002112C7" w:rsidRPr="00FF51F7">
        <w:t>9</w:t>
      </w:r>
      <w:r w:rsidRPr="00FF51F7">
        <w:t xml:space="preserve">, which reflect changes to most accounts’ remaining lives </w:t>
      </w:r>
      <w:r w:rsidR="00021599">
        <w:t xml:space="preserve">also </w:t>
      </w:r>
      <w:r w:rsidRPr="00FF51F7">
        <w:t>to be effective January 1, 201</w:t>
      </w:r>
      <w:r w:rsidR="002112C7" w:rsidRPr="00FF51F7">
        <w:t>9</w:t>
      </w:r>
      <w:r w:rsidRPr="00FF51F7">
        <w:t>. Revising a utility’s book depreciation lives generally results in a change in its rate of ITC amortization in order to comply with the normalization requirements of the Internal Revenue Code (IRC or Code) set forth in Sections 168(f)(2) and (i)(9),</w:t>
      </w:r>
      <w:r w:rsidRPr="00FF51F7">
        <w:rPr>
          <w:vertAlign w:val="superscript"/>
        </w:rPr>
        <w:footnoteReference w:id="19"/>
      </w:r>
      <w:r w:rsidRPr="00FF51F7">
        <w:t xml:space="preserve"> former IRC Section 167(l),</w:t>
      </w:r>
      <w:r w:rsidRPr="00FF51F7">
        <w:rPr>
          <w:vertAlign w:val="superscript"/>
        </w:rPr>
        <w:t>[</w:t>
      </w:r>
      <w:r w:rsidRPr="00FF51F7">
        <w:rPr>
          <w:rStyle w:val="FootnoteReference"/>
        </w:rPr>
        <w:footnoteReference w:id="20"/>
      </w:r>
      <w:r w:rsidRPr="00BB30EA">
        <w:rPr>
          <w:vertAlign w:val="superscript"/>
        </w:rPr>
        <w:t>,</w:t>
      </w:r>
      <w:r>
        <w:rPr>
          <w:vertAlign w:val="superscript"/>
        </w:rPr>
        <w:t xml:space="preserve"> </w:t>
      </w:r>
      <w:r>
        <w:rPr>
          <w:rStyle w:val="FootnoteReference"/>
        </w:rPr>
        <w:footnoteReference w:id="21"/>
      </w:r>
      <w:r>
        <w:rPr>
          <w:vertAlign w:val="superscript"/>
        </w:rPr>
        <w:t>]</w:t>
      </w:r>
      <w:r w:rsidRPr="00BB30EA">
        <w:t xml:space="preserve"> </w:t>
      </w:r>
      <w:r>
        <w:t>former IRC Section 46(f),</w:t>
      </w:r>
      <w:r w:rsidRPr="0025771A">
        <w:rPr>
          <w:vertAlign w:val="superscript"/>
        </w:rPr>
        <w:t>[</w:t>
      </w:r>
      <w:r>
        <w:rPr>
          <w:rStyle w:val="FootnoteReference"/>
        </w:rPr>
        <w:footnoteReference w:id="22"/>
      </w:r>
      <w:r w:rsidRPr="002B7B2A">
        <w:rPr>
          <w:vertAlign w:val="superscript"/>
        </w:rPr>
        <w:t>,</w:t>
      </w:r>
      <w:r>
        <w:rPr>
          <w:rStyle w:val="FootnoteReference"/>
        </w:rPr>
        <w:footnoteReference w:id="23"/>
      </w:r>
      <w:r>
        <w:rPr>
          <w:vertAlign w:val="superscript"/>
        </w:rPr>
        <w:t>]</w:t>
      </w:r>
      <w:r>
        <w:t xml:space="preserve"> Federal Tax Regulations under the Code sections,</w:t>
      </w:r>
      <w:r>
        <w:rPr>
          <w:rStyle w:val="FootnoteReference"/>
        </w:rPr>
        <w:footnoteReference w:id="24"/>
      </w:r>
      <w:r>
        <w:t xml:space="preserve"> and Section 203(e) of the Tax Reform Act of 1986 (the Act).</w:t>
      </w:r>
      <w:r>
        <w:rPr>
          <w:rStyle w:val="FootnoteReference"/>
        </w:rPr>
        <w:footnoteReference w:id="25"/>
      </w:r>
    </w:p>
    <w:p w:rsidR="002B74B3" w:rsidRDefault="002B74B3" w:rsidP="002B74B3">
      <w:pPr>
        <w:pStyle w:val="BodyText"/>
      </w:pPr>
      <w:r>
        <w:t>Staff, the Internal Revenue Service (IRS), and independent outside auditors examine a company</w:t>
      </w:r>
      <w:r w:rsidRPr="00561EEE">
        <w:t>’</w:t>
      </w:r>
      <w:r>
        <w:t>s books and records, and the orders and rules of the jurisdictional regulatory authorities to determine if the books and records are maintained in the appropriate manner. The books are also reviewed to determine if they are in compliance with the regulatory guidelines regarding normalization.</w:t>
      </w:r>
    </w:p>
    <w:p w:rsidR="002B74B3" w:rsidRDefault="002B74B3" w:rsidP="002B74B3">
      <w:pPr>
        <w:pStyle w:val="BodyText"/>
      </w:pPr>
      <w:r>
        <w:t>Former IRC Section 46(f)(6)</w:t>
      </w:r>
      <w:r>
        <w:rPr>
          <w:bCs/>
        </w:rPr>
        <w:t xml:space="preserve"> of the Code</w:t>
      </w:r>
      <w:r>
        <w:rPr>
          <w:b/>
          <w:bCs/>
        </w:rPr>
        <w:t xml:space="preserve"> </w:t>
      </w:r>
      <w:r>
        <w:t>indicated that the amortization of ITC should be determined by the period of time actually used in computing depreciation expense for ratemaking purposes and on the regulated books of the utility.</w:t>
      </w:r>
      <w:r>
        <w:rPr>
          <w:rStyle w:val="FootnoteReference"/>
        </w:rPr>
        <w:footnoteReference w:id="26"/>
      </w:r>
      <w:r>
        <w:t xml:space="preserve"> While, Section 46(f)(6) was repealed, under IRC Section 50(d)(2), the terms of former IRC Section 46(f)(6) remain applicable to public utility property for which a regulated utility previously claimed ITCs. Because staff is recommending changes to the Company’s remaining lives, it is also important to change the amortization of ITCs to avoid violation of the provisions of IRC Section 50(d)(2)</w:t>
      </w:r>
      <w:r w:rsidRPr="0025771A">
        <w:t xml:space="preserve"> </w:t>
      </w:r>
      <w:r>
        <w:t xml:space="preserve">and its underlying Treasury Regulations. The consequence of an ITC normalization violation is a repayment of unamortized ITC balances to the IRS. </w:t>
      </w:r>
      <w:r w:rsidRPr="00AF5B64">
        <w:t>Therefore, staff recommends</w:t>
      </w:r>
      <w:r>
        <w:t xml:space="preserve"> that</w:t>
      </w:r>
      <w:r w:rsidRPr="00AF5B64">
        <w:t xml:space="preserve"> the current amortization of ITCs should be revised to match the actual recovery periods for the related property. The </w:t>
      </w:r>
      <w:r>
        <w:t>Company</w:t>
      </w:r>
      <w:r w:rsidRPr="00AF5B64">
        <w:t xml:space="preserve"> should file detailed calculations of the revised ITC amortization at the </w:t>
      </w:r>
      <w:r w:rsidRPr="00AF5B64">
        <w:lastRenderedPageBreak/>
        <w:t xml:space="preserve">same time it files its earnings surveillance report covering the period </w:t>
      </w:r>
      <w:r w:rsidRPr="00FF51F7">
        <w:t>ending December 31, 201</w:t>
      </w:r>
      <w:r w:rsidR="002112C7" w:rsidRPr="00FF51F7">
        <w:t>9</w:t>
      </w:r>
      <w:r w:rsidRPr="00FF51F7">
        <w:t>, as specified in Rule 25-7.1352, F.A.C.</w:t>
      </w:r>
    </w:p>
    <w:p w:rsidR="002B74B3" w:rsidRDefault="002B74B3">
      <w:pPr>
        <w:pStyle w:val="IssueHeading"/>
        <w:rPr>
          <w:vanish/>
          <w:specVanish/>
        </w:rPr>
      </w:pPr>
      <w:r w:rsidRPr="004C3641">
        <w:rPr>
          <w:b w:val="0"/>
          <w:i w:val="0"/>
        </w:rPr>
        <w:br w:type="page"/>
      </w:r>
      <w:r w:rsidRPr="004C3641">
        <w:lastRenderedPageBreak/>
        <w:t xml:space="preserve">Issue </w:t>
      </w:r>
      <w:r w:rsidR="00D15F2C">
        <w:fldChar w:fldCharType="begin"/>
      </w:r>
      <w:r w:rsidR="00D15F2C">
        <w:instrText xml:space="preserve"> SEQ Issue \* MERGEFORMAT </w:instrText>
      </w:r>
      <w:r w:rsidR="00D15F2C">
        <w:fldChar w:fldCharType="separate"/>
      </w:r>
      <w:r w:rsidR="00822F4B">
        <w:rPr>
          <w:noProof/>
        </w:rPr>
        <w:t>5</w:t>
      </w:r>
      <w:r w:rsidR="00D15F2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22F4B">
        <w:rPr>
          <w:noProof/>
        </w:rPr>
        <w:instrText>5</w:instrText>
      </w:r>
      <w:r>
        <w:fldChar w:fldCharType="end"/>
      </w:r>
      <w:r>
        <w:tab/>
        <w:instrText xml:space="preserve">(Brownless)" \l 1 </w:instrText>
      </w:r>
      <w:r>
        <w:fldChar w:fldCharType="end"/>
      </w:r>
      <w:r>
        <w:t> </w:t>
      </w:r>
    </w:p>
    <w:p w:rsidR="002B74B3" w:rsidRDefault="002B74B3">
      <w:pPr>
        <w:pStyle w:val="BodyText"/>
      </w:pPr>
      <w:r>
        <w:t> Should this docket be closed?</w:t>
      </w:r>
    </w:p>
    <w:p w:rsidR="002B74B3" w:rsidRPr="004C3641" w:rsidRDefault="002B74B3">
      <w:pPr>
        <w:pStyle w:val="IssueSubsectionHeading"/>
        <w:rPr>
          <w:vanish/>
          <w:specVanish/>
        </w:rPr>
      </w:pPr>
      <w:r w:rsidRPr="004C3641">
        <w:t>Recommendation: </w:t>
      </w:r>
    </w:p>
    <w:p w:rsidR="002B74B3" w:rsidRDefault="002B74B3">
      <w:pPr>
        <w:pStyle w:val="BodyText"/>
      </w:pPr>
      <w:r>
        <w:t> </w:t>
      </w:r>
      <w:r w:rsidRPr="002B74B3">
        <w:t xml:space="preserve">If no person whose substantial interests are affected by the proposed agency action files a protest within 21 days of the issuance of the order, this docket should be closed upon the issuance of </w:t>
      </w:r>
      <w:r w:rsidR="00E03DDA">
        <w:t xml:space="preserve">a consummating order. </w:t>
      </w:r>
      <w:r>
        <w:t>(Brownless)</w:t>
      </w:r>
    </w:p>
    <w:p w:rsidR="002B74B3" w:rsidRPr="004C3641" w:rsidRDefault="002B74B3">
      <w:pPr>
        <w:pStyle w:val="IssueSubsectionHeading"/>
        <w:rPr>
          <w:vanish/>
          <w:specVanish/>
        </w:rPr>
      </w:pPr>
      <w:r w:rsidRPr="004C3641">
        <w:t>Staff Analysis: </w:t>
      </w:r>
    </w:p>
    <w:p w:rsidR="002B74B3" w:rsidRDefault="002B74B3">
      <w:pPr>
        <w:pStyle w:val="BodyText"/>
      </w:pPr>
      <w:r>
        <w:t> </w:t>
      </w:r>
      <w:r w:rsidRPr="00CA5B85">
        <w:t>At the conclusion of the protest period, if no protest is filed, this docket should be closed upon the issuance of a consummating order.</w:t>
      </w:r>
    </w:p>
    <w:p w:rsidR="00EB5B62" w:rsidRDefault="00EB5B62">
      <w:pPr>
        <w:sectPr w:rsidR="00EB5B62"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tbl>
      <w:tblPr>
        <w:tblW w:w="10336" w:type="dxa"/>
        <w:jc w:val="center"/>
        <w:tblLook w:val="04A0" w:firstRow="1" w:lastRow="0" w:firstColumn="1" w:lastColumn="0" w:noHBand="0" w:noVBand="1"/>
      </w:tblPr>
      <w:tblGrid>
        <w:gridCol w:w="894"/>
        <w:gridCol w:w="1765"/>
        <w:gridCol w:w="976"/>
        <w:gridCol w:w="1099"/>
        <w:gridCol w:w="1094"/>
        <w:gridCol w:w="266"/>
        <w:gridCol w:w="922"/>
        <w:gridCol w:w="861"/>
        <w:gridCol w:w="266"/>
        <w:gridCol w:w="1099"/>
        <w:gridCol w:w="1094"/>
      </w:tblGrid>
      <w:tr w:rsidR="00BA0422" w:rsidTr="006A595C">
        <w:trPr>
          <w:trHeight w:val="276"/>
          <w:tblHeader/>
          <w:jc w:val="center"/>
        </w:trPr>
        <w:tc>
          <w:tcPr>
            <w:tcW w:w="10336" w:type="dxa"/>
            <w:gridSpan w:val="11"/>
            <w:tcBorders>
              <w:top w:val="nil"/>
              <w:left w:val="nil"/>
              <w:bottom w:val="single" w:sz="8" w:space="0" w:color="auto"/>
              <w:right w:val="nil"/>
            </w:tcBorders>
            <w:shd w:val="clear" w:color="000000" w:fill="FFFFFF"/>
            <w:noWrap/>
            <w:vAlign w:val="bottom"/>
            <w:hideMark/>
          </w:tcPr>
          <w:p w:rsidR="00BA0422" w:rsidRDefault="00BA0422">
            <w:pPr>
              <w:jc w:val="right"/>
              <w:rPr>
                <w:sz w:val="20"/>
                <w:szCs w:val="20"/>
              </w:rPr>
            </w:pPr>
            <w:r>
              <w:rPr>
                <w:sz w:val="20"/>
                <w:szCs w:val="20"/>
              </w:rPr>
              <w:lastRenderedPageBreak/>
              <w:t>Attachment A</w:t>
            </w:r>
          </w:p>
        </w:tc>
      </w:tr>
      <w:tr w:rsidR="00BA0422" w:rsidTr="006A595C">
        <w:trPr>
          <w:trHeight w:val="264"/>
          <w:tblHeader/>
          <w:jc w:val="center"/>
        </w:trPr>
        <w:tc>
          <w:tcPr>
            <w:tcW w:w="10336"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BA0422" w:rsidRDefault="00BA0422">
            <w:pPr>
              <w:jc w:val="center"/>
              <w:rPr>
                <w:b/>
                <w:bCs/>
                <w:sz w:val="20"/>
                <w:szCs w:val="20"/>
              </w:rPr>
            </w:pPr>
            <w:r>
              <w:rPr>
                <w:b/>
                <w:bCs/>
                <w:sz w:val="20"/>
                <w:szCs w:val="20"/>
              </w:rPr>
              <w:t>Comparison of Rates and Components</w:t>
            </w:r>
          </w:p>
        </w:tc>
      </w:tr>
      <w:tr w:rsidR="00BA0422" w:rsidTr="006A595C">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BA0422" w:rsidRDefault="00BA0422">
            <w:pPr>
              <w:jc w:val="center"/>
              <w:rPr>
                <w:b/>
                <w:bCs/>
                <w:sz w:val="20"/>
                <w:szCs w:val="20"/>
              </w:rPr>
            </w:pPr>
            <w:r>
              <w:rPr>
                <w:b/>
                <w:bCs/>
                <w:sz w:val="20"/>
                <w:szCs w:val="20"/>
              </w:rPr>
              <w:t> </w:t>
            </w:r>
          </w:p>
        </w:tc>
        <w:tc>
          <w:tcPr>
            <w:tcW w:w="1765" w:type="dxa"/>
            <w:tcBorders>
              <w:top w:val="nil"/>
              <w:left w:val="nil"/>
              <w:bottom w:val="nil"/>
              <w:right w:val="nil"/>
            </w:tcBorders>
            <w:shd w:val="clear" w:color="000000" w:fill="C0C0C0"/>
            <w:noWrap/>
            <w:vAlign w:val="bottom"/>
            <w:hideMark/>
          </w:tcPr>
          <w:p w:rsidR="00BA0422" w:rsidRDefault="00BA0422">
            <w:pPr>
              <w:jc w:val="center"/>
              <w:rPr>
                <w:sz w:val="20"/>
                <w:szCs w:val="20"/>
              </w:rPr>
            </w:pPr>
            <w:r>
              <w:rPr>
                <w:sz w:val="20"/>
                <w:szCs w:val="20"/>
              </w:rPr>
              <w:t> </w:t>
            </w:r>
          </w:p>
        </w:tc>
        <w:tc>
          <w:tcPr>
            <w:tcW w:w="3169" w:type="dxa"/>
            <w:gridSpan w:val="3"/>
            <w:tcBorders>
              <w:top w:val="nil"/>
              <w:left w:val="nil"/>
              <w:bottom w:val="nil"/>
              <w:right w:val="nil"/>
            </w:tcBorders>
            <w:shd w:val="clear" w:color="000000" w:fill="C0C0C0"/>
            <w:noWrap/>
            <w:vAlign w:val="bottom"/>
            <w:hideMark/>
          </w:tcPr>
          <w:p w:rsidR="00BA0422" w:rsidRDefault="00BA0422">
            <w:pPr>
              <w:jc w:val="center"/>
              <w:rPr>
                <w:b/>
                <w:bCs/>
                <w:sz w:val="20"/>
                <w:szCs w:val="20"/>
              </w:rPr>
            </w:pPr>
            <w:r>
              <w:rPr>
                <w:b/>
                <w:bCs/>
                <w:sz w:val="20"/>
                <w:szCs w:val="20"/>
              </w:rPr>
              <w:t>Current¹</w:t>
            </w:r>
          </w:p>
        </w:tc>
        <w:tc>
          <w:tcPr>
            <w:tcW w:w="266" w:type="dxa"/>
            <w:tcBorders>
              <w:top w:val="nil"/>
              <w:left w:val="nil"/>
              <w:bottom w:val="nil"/>
              <w:right w:val="nil"/>
            </w:tcBorders>
            <w:shd w:val="clear" w:color="000000" w:fill="C0C0C0"/>
            <w:noWrap/>
            <w:vAlign w:val="bottom"/>
            <w:hideMark/>
          </w:tcPr>
          <w:p w:rsidR="00BA0422" w:rsidRDefault="00BA0422">
            <w:pPr>
              <w:jc w:val="center"/>
              <w:rPr>
                <w:sz w:val="20"/>
                <w:szCs w:val="20"/>
              </w:rPr>
            </w:pPr>
            <w:r>
              <w:rPr>
                <w:sz w:val="20"/>
                <w:szCs w:val="20"/>
              </w:rPr>
              <w:t> </w:t>
            </w:r>
          </w:p>
        </w:tc>
        <w:tc>
          <w:tcPr>
            <w:tcW w:w="4242" w:type="dxa"/>
            <w:gridSpan w:val="5"/>
            <w:tcBorders>
              <w:top w:val="nil"/>
              <w:left w:val="nil"/>
              <w:bottom w:val="nil"/>
              <w:right w:val="single" w:sz="8" w:space="0" w:color="000000"/>
            </w:tcBorders>
            <w:shd w:val="clear" w:color="000000" w:fill="C0C0C0"/>
            <w:noWrap/>
            <w:vAlign w:val="bottom"/>
            <w:hideMark/>
          </w:tcPr>
          <w:p w:rsidR="00BA0422" w:rsidRDefault="00BA0422">
            <w:pPr>
              <w:jc w:val="center"/>
              <w:rPr>
                <w:b/>
                <w:bCs/>
                <w:sz w:val="20"/>
                <w:szCs w:val="20"/>
              </w:rPr>
            </w:pPr>
            <w:r>
              <w:rPr>
                <w:b/>
                <w:bCs/>
                <w:sz w:val="20"/>
                <w:szCs w:val="20"/>
              </w:rPr>
              <w:t>Staff Recommended</w:t>
            </w:r>
          </w:p>
        </w:tc>
      </w:tr>
      <w:tr w:rsidR="006A595C" w:rsidTr="006A595C">
        <w:trPr>
          <w:trHeight w:val="264"/>
          <w:tblHeader/>
          <w:jc w:val="center"/>
        </w:trPr>
        <w:tc>
          <w:tcPr>
            <w:tcW w:w="894" w:type="dxa"/>
            <w:vMerge w:val="restart"/>
            <w:tcBorders>
              <w:top w:val="nil"/>
              <w:left w:val="single" w:sz="8" w:space="0" w:color="auto"/>
              <w:right w:val="nil"/>
            </w:tcBorders>
            <w:shd w:val="clear" w:color="000000" w:fill="C0C0C0"/>
            <w:noWrap/>
            <w:vAlign w:val="bottom"/>
            <w:hideMark/>
          </w:tcPr>
          <w:p w:rsidR="006A595C" w:rsidRDefault="006A595C">
            <w:pPr>
              <w:jc w:val="center"/>
              <w:rPr>
                <w:sz w:val="20"/>
                <w:szCs w:val="20"/>
              </w:rPr>
            </w:pPr>
            <w:r>
              <w:rPr>
                <w:sz w:val="20"/>
                <w:szCs w:val="20"/>
              </w:rPr>
              <w:t>Account</w:t>
            </w:r>
          </w:p>
          <w:p w:rsidR="006A595C" w:rsidRDefault="006A595C" w:rsidP="00174551">
            <w:pPr>
              <w:jc w:val="center"/>
              <w:rPr>
                <w:sz w:val="20"/>
                <w:szCs w:val="20"/>
              </w:rPr>
            </w:pPr>
            <w:r>
              <w:rPr>
                <w:sz w:val="20"/>
                <w:szCs w:val="20"/>
              </w:rPr>
              <w:t>Number</w:t>
            </w:r>
          </w:p>
        </w:tc>
        <w:tc>
          <w:tcPr>
            <w:tcW w:w="1765" w:type="dxa"/>
            <w:vMerge w:val="restart"/>
            <w:tcBorders>
              <w:top w:val="nil"/>
              <w:left w:val="nil"/>
              <w:bottom w:val="nil"/>
              <w:right w:val="nil"/>
            </w:tcBorders>
            <w:shd w:val="clear" w:color="000000" w:fill="C0C0C0"/>
            <w:noWrap/>
            <w:vAlign w:val="center"/>
            <w:hideMark/>
          </w:tcPr>
          <w:p w:rsidR="006A595C" w:rsidRDefault="006A595C">
            <w:pPr>
              <w:jc w:val="center"/>
              <w:rPr>
                <w:sz w:val="20"/>
                <w:szCs w:val="20"/>
              </w:rPr>
            </w:pPr>
            <w:r>
              <w:rPr>
                <w:sz w:val="20"/>
                <w:szCs w:val="20"/>
              </w:rPr>
              <w:t>Account Title</w:t>
            </w:r>
          </w:p>
        </w:tc>
        <w:tc>
          <w:tcPr>
            <w:tcW w:w="976"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Ave.</w:t>
            </w:r>
          </w:p>
        </w:tc>
        <w:tc>
          <w:tcPr>
            <w:tcW w:w="1099"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Future</w:t>
            </w:r>
          </w:p>
        </w:tc>
        <w:tc>
          <w:tcPr>
            <w:tcW w:w="1094" w:type="dxa"/>
            <w:vMerge w:val="restart"/>
            <w:tcBorders>
              <w:top w:val="nil"/>
              <w:left w:val="nil"/>
              <w:right w:val="nil"/>
            </w:tcBorders>
            <w:shd w:val="clear" w:color="000000" w:fill="C0C0C0"/>
            <w:noWrap/>
            <w:vAlign w:val="bottom"/>
            <w:hideMark/>
          </w:tcPr>
          <w:p w:rsidR="006A595C" w:rsidRDefault="006A595C">
            <w:pPr>
              <w:jc w:val="center"/>
              <w:rPr>
                <w:sz w:val="20"/>
                <w:szCs w:val="20"/>
              </w:rPr>
            </w:pPr>
            <w:r>
              <w:rPr>
                <w:sz w:val="20"/>
                <w:szCs w:val="20"/>
              </w:rPr>
              <w:t xml:space="preserve">Remaining </w:t>
            </w:r>
          </w:p>
          <w:p w:rsidR="006A595C" w:rsidRDefault="006A595C" w:rsidP="00174551">
            <w:pPr>
              <w:jc w:val="center"/>
              <w:rPr>
                <w:sz w:val="20"/>
                <w:szCs w:val="20"/>
              </w:rPr>
            </w:pPr>
            <w:r>
              <w:rPr>
                <w:sz w:val="20"/>
                <w:szCs w:val="20"/>
              </w:rPr>
              <w:t>Life Rate</w:t>
            </w:r>
          </w:p>
        </w:tc>
        <w:tc>
          <w:tcPr>
            <w:tcW w:w="266" w:type="dxa"/>
            <w:tcBorders>
              <w:top w:val="nil"/>
              <w:left w:val="nil"/>
              <w:bottom w:val="nil"/>
              <w:right w:val="nil"/>
            </w:tcBorders>
            <w:shd w:val="clear" w:color="000000" w:fill="C0C0C0"/>
            <w:noWrap/>
            <w:vAlign w:val="bottom"/>
            <w:hideMark/>
          </w:tcPr>
          <w:p w:rsidR="006A595C" w:rsidRDefault="006A595C">
            <w:pPr>
              <w:rPr>
                <w:sz w:val="20"/>
                <w:szCs w:val="20"/>
              </w:rPr>
            </w:pPr>
            <w:r>
              <w:rPr>
                <w:sz w:val="20"/>
                <w:szCs w:val="20"/>
              </w:rPr>
              <w:t> </w:t>
            </w:r>
          </w:p>
        </w:tc>
        <w:tc>
          <w:tcPr>
            <w:tcW w:w="922"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Ave.</w:t>
            </w:r>
          </w:p>
        </w:tc>
        <w:tc>
          <w:tcPr>
            <w:tcW w:w="861" w:type="dxa"/>
            <w:vMerge w:val="restart"/>
            <w:tcBorders>
              <w:top w:val="nil"/>
              <w:left w:val="nil"/>
              <w:right w:val="nil"/>
            </w:tcBorders>
            <w:shd w:val="clear" w:color="000000" w:fill="C0C0C0"/>
            <w:noWrap/>
            <w:vAlign w:val="bottom"/>
            <w:hideMark/>
          </w:tcPr>
          <w:p w:rsidR="006A595C" w:rsidRDefault="006A595C">
            <w:pPr>
              <w:jc w:val="center"/>
              <w:rPr>
                <w:sz w:val="20"/>
                <w:szCs w:val="20"/>
              </w:rPr>
            </w:pPr>
            <w:r>
              <w:rPr>
                <w:sz w:val="20"/>
                <w:szCs w:val="20"/>
              </w:rPr>
              <w:t>Reserve</w:t>
            </w:r>
          </w:p>
          <w:p w:rsidR="006A595C" w:rsidRDefault="006A595C" w:rsidP="00174551">
            <w:pP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 </w:t>
            </w:r>
          </w:p>
        </w:tc>
        <w:tc>
          <w:tcPr>
            <w:tcW w:w="1099"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Future</w:t>
            </w:r>
          </w:p>
        </w:tc>
        <w:tc>
          <w:tcPr>
            <w:tcW w:w="1094" w:type="dxa"/>
            <w:vMerge w:val="restart"/>
            <w:tcBorders>
              <w:top w:val="nil"/>
              <w:left w:val="nil"/>
              <w:right w:val="single" w:sz="8" w:space="0" w:color="auto"/>
            </w:tcBorders>
            <w:shd w:val="clear" w:color="000000" w:fill="C0C0C0"/>
            <w:noWrap/>
            <w:vAlign w:val="bottom"/>
            <w:hideMark/>
          </w:tcPr>
          <w:p w:rsidR="006A595C" w:rsidRDefault="006A595C">
            <w:pPr>
              <w:jc w:val="center"/>
              <w:rPr>
                <w:sz w:val="20"/>
                <w:szCs w:val="20"/>
              </w:rPr>
            </w:pPr>
            <w:r>
              <w:rPr>
                <w:sz w:val="20"/>
                <w:szCs w:val="20"/>
              </w:rPr>
              <w:t xml:space="preserve">Remaining </w:t>
            </w:r>
          </w:p>
          <w:p w:rsidR="006A595C" w:rsidRDefault="006A595C" w:rsidP="00174551">
            <w:pPr>
              <w:jc w:val="center"/>
              <w:rPr>
                <w:sz w:val="20"/>
                <w:szCs w:val="20"/>
              </w:rPr>
            </w:pPr>
            <w:r>
              <w:rPr>
                <w:sz w:val="20"/>
                <w:szCs w:val="20"/>
              </w:rPr>
              <w:t>Life Rate</w:t>
            </w:r>
          </w:p>
        </w:tc>
      </w:tr>
      <w:tr w:rsidR="006A595C" w:rsidTr="006A595C">
        <w:trPr>
          <w:trHeight w:val="264"/>
          <w:tblHeader/>
          <w:jc w:val="center"/>
        </w:trPr>
        <w:tc>
          <w:tcPr>
            <w:tcW w:w="894" w:type="dxa"/>
            <w:vMerge/>
            <w:tcBorders>
              <w:left w:val="single" w:sz="8" w:space="0" w:color="auto"/>
              <w:bottom w:val="nil"/>
              <w:right w:val="nil"/>
            </w:tcBorders>
            <w:shd w:val="clear" w:color="000000" w:fill="C0C0C0"/>
            <w:noWrap/>
            <w:vAlign w:val="bottom"/>
            <w:hideMark/>
          </w:tcPr>
          <w:p w:rsidR="006A595C" w:rsidRDefault="006A595C">
            <w:pPr>
              <w:jc w:val="center"/>
              <w:rPr>
                <w:sz w:val="20"/>
                <w:szCs w:val="20"/>
              </w:rPr>
            </w:pPr>
          </w:p>
        </w:tc>
        <w:tc>
          <w:tcPr>
            <w:tcW w:w="1765" w:type="dxa"/>
            <w:vMerge/>
            <w:tcBorders>
              <w:top w:val="nil"/>
              <w:left w:val="nil"/>
              <w:bottom w:val="nil"/>
              <w:right w:val="nil"/>
            </w:tcBorders>
            <w:vAlign w:val="center"/>
            <w:hideMark/>
          </w:tcPr>
          <w:p w:rsidR="006A595C" w:rsidRDefault="006A595C">
            <w:pPr>
              <w:rPr>
                <w:sz w:val="20"/>
                <w:szCs w:val="20"/>
              </w:rPr>
            </w:pPr>
          </w:p>
        </w:tc>
        <w:tc>
          <w:tcPr>
            <w:tcW w:w="976"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Rem. Life</w:t>
            </w:r>
          </w:p>
        </w:tc>
        <w:tc>
          <w:tcPr>
            <w:tcW w:w="1099"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Net Salvage</w:t>
            </w:r>
          </w:p>
        </w:tc>
        <w:tc>
          <w:tcPr>
            <w:tcW w:w="1094" w:type="dxa"/>
            <w:vMerge/>
            <w:tcBorders>
              <w:left w:val="nil"/>
              <w:bottom w:val="nil"/>
              <w:right w:val="nil"/>
            </w:tcBorders>
            <w:shd w:val="clear" w:color="000000" w:fill="C0C0C0"/>
            <w:noWrap/>
            <w:vAlign w:val="bottom"/>
            <w:hideMark/>
          </w:tcPr>
          <w:p w:rsidR="006A595C" w:rsidRDefault="006A595C">
            <w:pPr>
              <w:jc w:val="center"/>
              <w:rPr>
                <w:sz w:val="20"/>
                <w:szCs w:val="20"/>
              </w:rPr>
            </w:pPr>
          </w:p>
        </w:tc>
        <w:tc>
          <w:tcPr>
            <w:tcW w:w="266" w:type="dxa"/>
            <w:tcBorders>
              <w:top w:val="nil"/>
              <w:left w:val="nil"/>
              <w:bottom w:val="nil"/>
              <w:right w:val="nil"/>
            </w:tcBorders>
            <w:shd w:val="clear" w:color="000000" w:fill="C0C0C0"/>
            <w:noWrap/>
            <w:vAlign w:val="bottom"/>
            <w:hideMark/>
          </w:tcPr>
          <w:p w:rsidR="006A595C" w:rsidRDefault="006A595C">
            <w:pPr>
              <w:rPr>
                <w:sz w:val="20"/>
                <w:szCs w:val="20"/>
              </w:rPr>
            </w:pPr>
            <w:r>
              <w:rPr>
                <w:sz w:val="20"/>
                <w:szCs w:val="20"/>
              </w:rPr>
              <w:t> </w:t>
            </w:r>
          </w:p>
        </w:tc>
        <w:tc>
          <w:tcPr>
            <w:tcW w:w="922"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Rem. Life</w:t>
            </w:r>
          </w:p>
        </w:tc>
        <w:tc>
          <w:tcPr>
            <w:tcW w:w="861" w:type="dxa"/>
            <w:vMerge/>
            <w:tcBorders>
              <w:left w:val="nil"/>
              <w:bottom w:val="nil"/>
              <w:right w:val="nil"/>
            </w:tcBorders>
            <w:shd w:val="clear" w:color="000000" w:fill="C0C0C0"/>
            <w:noWrap/>
            <w:vAlign w:val="bottom"/>
            <w:hideMark/>
          </w:tcPr>
          <w:p w:rsidR="006A595C" w:rsidRDefault="006A595C">
            <w:pPr>
              <w:rPr>
                <w:sz w:val="20"/>
                <w:szCs w:val="20"/>
              </w:rPr>
            </w:pPr>
          </w:p>
        </w:tc>
        <w:tc>
          <w:tcPr>
            <w:tcW w:w="266"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 </w:t>
            </w:r>
          </w:p>
        </w:tc>
        <w:tc>
          <w:tcPr>
            <w:tcW w:w="1099"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Net Salvage</w:t>
            </w:r>
          </w:p>
        </w:tc>
        <w:tc>
          <w:tcPr>
            <w:tcW w:w="1094" w:type="dxa"/>
            <w:vMerge/>
            <w:tcBorders>
              <w:left w:val="nil"/>
              <w:bottom w:val="nil"/>
              <w:right w:val="single" w:sz="8" w:space="0" w:color="auto"/>
            </w:tcBorders>
            <w:shd w:val="clear" w:color="000000" w:fill="C0C0C0"/>
            <w:noWrap/>
            <w:vAlign w:val="bottom"/>
            <w:hideMark/>
          </w:tcPr>
          <w:p w:rsidR="006A595C" w:rsidRDefault="006A595C">
            <w:pPr>
              <w:jc w:val="center"/>
              <w:rPr>
                <w:sz w:val="20"/>
                <w:szCs w:val="20"/>
              </w:rPr>
            </w:pPr>
          </w:p>
        </w:tc>
      </w:tr>
      <w:tr w:rsidR="00BA0422" w:rsidTr="006A595C">
        <w:trPr>
          <w:trHeight w:val="300"/>
          <w:tblHeader/>
          <w:jc w:val="center"/>
        </w:trPr>
        <w:tc>
          <w:tcPr>
            <w:tcW w:w="2659" w:type="dxa"/>
            <w:gridSpan w:val="2"/>
            <w:tcBorders>
              <w:top w:val="nil"/>
              <w:left w:val="single" w:sz="8" w:space="0" w:color="auto"/>
              <w:bottom w:val="single" w:sz="8" w:space="0" w:color="auto"/>
              <w:right w:val="nil"/>
            </w:tcBorders>
            <w:shd w:val="clear" w:color="000000" w:fill="C0C0C0"/>
            <w:noWrap/>
            <w:vAlign w:val="bottom"/>
            <w:hideMark/>
          </w:tcPr>
          <w:p w:rsidR="00BA0422" w:rsidRDefault="00BA0422">
            <w:pPr>
              <w:rPr>
                <w:sz w:val="20"/>
                <w:szCs w:val="20"/>
              </w:rPr>
            </w:pPr>
            <w:r>
              <w:rPr>
                <w:sz w:val="20"/>
                <w:szCs w:val="20"/>
              </w:rPr>
              <w:t> </w:t>
            </w:r>
          </w:p>
        </w:tc>
        <w:tc>
          <w:tcPr>
            <w:tcW w:w="976" w:type="dxa"/>
            <w:tcBorders>
              <w:top w:val="nil"/>
              <w:left w:val="nil"/>
              <w:bottom w:val="single" w:sz="8" w:space="0" w:color="auto"/>
              <w:right w:val="nil"/>
            </w:tcBorders>
            <w:shd w:val="clear" w:color="000000" w:fill="C0C0C0"/>
            <w:noWrap/>
            <w:vAlign w:val="bottom"/>
            <w:hideMark/>
          </w:tcPr>
          <w:p w:rsidR="00BA0422" w:rsidRDefault="00BA0422">
            <w:pPr>
              <w:jc w:val="center"/>
              <w:rPr>
                <w:sz w:val="20"/>
                <w:szCs w:val="20"/>
              </w:rPr>
            </w:pPr>
            <w:r>
              <w:rPr>
                <w:sz w:val="20"/>
                <w:szCs w:val="20"/>
              </w:rPr>
              <w:t>(yrs.)</w:t>
            </w:r>
          </w:p>
        </w:tc>
        <w:tc>
          <w:tcPr>
            <w:tcW w:w="1099" w:type="dxa"/>
            <w:tcBorders>
              <w:top w:val="nil"/>
              <w:left w:val="nil"/>
              <w:bottom w:val="single" w:sz="8" w:space="0" w:color="auto"/>
              <w:right w:val="nil"/>
            </w:tcBorders>
            <w:shd w:val="clear" w:color="000000" w:fill="C0C0C0"/>
            <w:noWrap/>
            <w:vAlign w:val="bottom"/>
            <w:hideMark/>
          </w:tcPr>
          <w:p w:rsidR="00BA0422" w:rsidRDefault="00BA0422">
            <w:pPr>
              <w:jc w:val="center"/>
              <w:rPr>
                <w:sz w:val="20"/>
                <w:szCs w:val="20"/>
              </w:rPr>
            </w:pPr>
            <w:r>
              <w:rPr>
                <w:sz w:val="20"/>
                <w:szCs w:val="20"/>
              </w:rPr>
              <w:t>(%)</w:t>
            </w:r>
          </w:p>
        </w:tc>
        <w:tc>
          <w:tcPr>
            <w:tcW w:w="1094" w:type="dxa"/>
            <w:tcBorders>
              <w:top w:val="nil"/>
              <w:left w:val="nil"/>
              <w:bottom w:val="single" w:sz="8" w:space="0" w:color="auto"/>
              <w:right w:val="nil"/>
            </w:tcBorders>
            <w:shd w:val="clear" w:color="000000" w:fill="C0C0C0"/>
            <w:noWrap/>
            <w:vAlign w:val="bottom"/>
            <w:hideMark/>
          </w:tcPr>
          <w:p w:rsidR="00BA0422" w:rsidRDefault="00BA0422">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BA0422" w:rsidRDefault="00BA0422">
            <w:pPr>
              <w:rPr>
                <w:sz w:val="20"/>
                <w:szCs w:val="20"/>
              </w:rPr>
            </w:pPr>
            <w:r>
              <w:rPr>
                <w:sz w:val="20"/>
                <w:szCs w:val="20"/>
              </w:rPr>
              <w:t> </w:t>
            </w:r>
          </w:p>
        </w:tc>
        <w:tc>
          <w:tcPr>
            <w:tcW w:w="922" w:type="dxa"/>
            <w:tcBorders>
              <w:top w:val="nil"/>
              <w:left w:val="nil"/>
              <w:bottom w:val="single" w:sz="8" w:space="0" w:color="auto"/>
              <w:right w:val="nil"/>
            </w:tcBorders>
            <w:shd w:val="clear" w:color="000000" w:fill="C0C0C0"/>
            <w:noWrap/>
            <w:vAlign w:val="bottom"/>
            <w:hideMark/>
          </w:tcPr>
          <w:p w:rsidR="00BA0422" w:rsidRDefault="00BA0422">
            <w:pPr>
              <w:jc w:val="center"/>
              <w:rPr>
                <w:sz w:val="20"/>
                <w:szCs w:val="20"/>
              </w:rPr>
            </w:pPr>
            <w:r>
              <w:rPr>
                <w:sz w:val="20"/>
                <w:szCs w:val="20"/>
              </w:rPr>
              <w:t>(yrs.)</w:t>
            </w:r>
          </w:p>
        </w:tc>
        <w:tc>
          <w:tcPr>
            <w:tcW w:w="861" w:type="dxa"/>
            <w:tcBorders>
              <w:top w:val="nil"/>
              <w:left w:val="nil"/>
              <w:bottom w:val="single" w:sz="8" w:space="0" w:color="auto"/>
              <w:right w:val="nil"/>
            </w:tcBorders>
            <w:shd w:val="clear" w:color="000000" w:fill="C0C0C0"/>
            <w:noWrap/>
            <w:vAlign w:val="bottom"/>
            <w:hideMark/>
          </w:tcPr>
          <w:p w:rsidR="00BA0422" w:rsidRDefault="00BA0422">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1099" w:type="dxa"/>
            <w:tcBorders>
              <w:top w:val="nil"/>
              <w:left w:val="nil"/>
              <w:bottom w:val="single" w:sz="8" w:space="0" w:color="auto"/>
              <w:right w:val="nil"/>
            </w:tcBorders>
            <w:shd w:val="clear" w:color="000000" w:fill="C0C0C0"/>
            <w:noWrap/>
            <w:vAlign w:val="bottom"/>
            <w:hideMark/>
          </w:tcPr>
          <w:p w:rsidR="00BA0422" w:rsidRDefault="00BA0422">
            <w:pPr>
              <w:jc w:val="center"/>
              <w:rPr>
                <w:sz w:val="20"/>
                <w:szCs w:val="20"/>
              </w:rPr>
            </w:pPr>
            <w:r>
              <w:rPr>
                <w:sz w:val="20"/>
                <w:szCs w:val="20"/>
              </w:rPr>
              <w:t>(%)</w:t>
            </w:r>
          </w:p>
        </w:tc>
        <w:tc>
          <w:tcPr>
            <w:tcW w:w="1094" w:type="dxa"/>
            <w:tcBorders>
              <w:top w:val="nil"/>
              <w:left w:val="nil"/>
              <w:bottom w:val="single" w:sz="8" w:space="0" w:color="auto"/>
              <w:right w:val="single" w:sz="8" w:space="0" w:color="auto"/>
            </w:tcBorders>
            <w:shd w:val="clear" w:color="000000" w:fill="C0C0C0"/>
            <w:noWrap/>
            <w:vAlign w:val="bottom"/>
            <w:hideMark/>
          </w:tcPr>
          <w:p w:rsidR="00BA0422" w:rsidRDefault="00BA0422">
            <w:pPr>
              <w:jc w:val="center"/>
              <w:rPr>
                <w:sz w:val="20"/>
                <w:szCs w:val="20"/>
              </w:rPr>
            </w:pPr>
            <w:r>
              <w:rPr>
                <w:sz w:val="20"/>
                <w:szCs w:val="20"/>
              </w:rPr>
              <w:t>(%)</w:t>
            </w:r>
          </w:p>
        </w:tc>
      </w:tr>
      <w:tr w:rsidR="00BA0422" w:rsidTr="006A595C">
        <w:trPr>
          <w:trHeight w:val="288"/>
          <w:jc w:val="center"/>
        </w:trPr>
        <w:tc>
          <w:tcPr>
            <w:tcW w:w="2659"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BA0422" w:rsidRDefault="00BA0422">
            <w:pPr>
              <w:rPr>
                <w:sz w:val="20"/>
                <w:szCs w:val="20"/>
              </w:rPr>
            </w:pPr>
            <w:r>
              <w:rPr>
                <w:sz w:val="20"/>
                <w:szCs w:val="20"/>
              </w:rPr>
              <w:t>DISTRIBUTION PLANT</w:t>
            </w:r>
          </w:p>
        </w:tc>
        <w:tc>
          <w:tcPr>
            <w:tcW w:w="976" w:type="dxa"/>
            <w:tcBorders>
              <w:top w:val="nil"/>
              <w:left w:val="nil"/>
              <w:bottom w:val="single" w:sz="4"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1099" w:type="dxa"/>
            <w:tcBorders>
              <w:top w:val="nil"/>
              <w:left w:val="nil"/>
              <w:bottom w:val="single" w:sz="4"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1094" w:type="dxa"/>
            <w:tcBorders>
              <w:top w:val="nil"/>
              <w:left w:val="nil"/>
              <w:bottom w:val="single" w:sz="4"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BA0422" w:rsidRDefault="00BA0422">
            <w:pPr>
              <w:rPr>
                <w:sz w:val="20"/>
                <w:szCs w:val="20"/>
              </w:rPr>
            </w:pPr>
            <w:r>
              <w:rPr>
                <w:sz w:val="20"/>
                <w:szCs w:val="20"/>
              </w:rPr>
              <w:t> </w:t>
            </w:r>
          </w:p>
        </w:tc>
        <w:tc>
          <w:tcPr>
            <w:tcW w:w="922" w:type="dxa"/>
            <w:tcBorders>
              <w:top w:val="nil"/>
              <w:left w:val="nil"/>
              <w:bottom w:val="single" w:sz="4"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861" w:type="dxa"/>
            <w:tcBorders>
              <w:top w:val="nil"/>
              <w:left w:val="nil"/>
              <w:bottom w:val="single" w:sz="4"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266" w:type="dxa"/>
            <w:tcBorders>
              <w:top w:val="nil"/>
              <w:left w:val="nil"/>
              <w:bottom w:val="single" w:sz="4"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1099" w:type="dxa"/>
            <w:tcBorders>
              <w:top w:val="nil"/>
              <w:left w:val="nil"/>
              <w:bottom w:val="single" w:sz="4" w:space="0" w:color="auto"/>
              <w:right w:val="nil"/>
            </w:tcBorders>
            <w:shd w:val="clear" w:color="000000" w:fill="C0C0C0"/>
            <w:noWrap/>
            <w:vAlign w:val="bottom"/>
            <w:hideMark/>
          </w:tcPr>
          <w:p w:rsidR="00BA0422" w:rsidRDefault="00BA0422">
            <w:pPr>
              <w:jc w:val="center"/>
              <w:rPr>
                <w:sz w:val="20"/>
                <w:szCs w:val="20"/>
              </w:rPr>
            </w:pPr>
            <w:r>
              <w:rPr>
                <w:sz w:val="20"/>
                <w:szCs w:val="20"/>
              </w:rPr>
              <w:t> </w:t>
            </w:r>
          </w:p>
        </w:tc>
        <w:tc>
          <w:tcPr>
            <w:tcW w:w="1094" w:type="dxa"/>
            <w:tcBorders>
              <w:top w:val="nil"/>
              <w:left w:val="nil"/>
              <w:bottom w:val="single" w:sz="4" w:space="0" w:color="auto"/>
              <w:right w:val="single" w:sz="8" w:space="0" w:color="auto"/>
            </w:tcBorders>
            <w:shd w:val="clear" w:color="000000" w:fill="C0C0C0"/>
            <w:noWrap/>
            <w:vAlign w:val="bottom"/>
            <w:hideMark/>
          </w:tcPr>
          <w:p w:rsidR="00BA0422" w:rsidRDefault="00BA0422">
            <w:pPr>
              <w:jc w:val="center"/>
              <w:rPr>
                <w:sz w:val="20"/>
                <w:szCs w:val="20"/>
              </w:rPr>
            </w:pPr>
            <w:r>
              <w:rPr>
                <w:sz w:val="20"/>
                <w:szCs w:val="20"/>
              </w:rPr>
              <w:t>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374.1</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Land Rights</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7.4</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17.2</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7.4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59.02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5.5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375</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Structures &amp; Improvements</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18.9</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2.5</w:t>
            </w:r>
          </w:p>
        </w:tc>
        <w:tc>
          <w:tcPr>
            <w:tcW w:w="266" w:type="dxa"/>
            <w:tcBorders>
              <w:top w:val="nil"/>
              <w:left w:val="nil"/>
              <w:bottom w:val="nil"/>
              <w:right w:val="single" w:sz="4" w:space="0" w:color="auto"/>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23</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42.02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2.5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376.1</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Mains - Plastic</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35</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2.6</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48</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17.26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2.1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376.2</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Mains - Steel</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28</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(28)</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2.8</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37</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45.56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(28)</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2.2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C96E89" w:rsidP="00DC20E2">
            <w:pPr>
              <w:rPr>
                <w:color w:val="000000"/>
                <w:sz w:val="20"/>
                <w:szCs w:val="20"/>
              </w:rPr>
            </w:pPr>
            <w:r>
              <w:rPr>
                <w:color w:val="000000"/>
                <w:sz w:val="20"/>
                <w:szCs w:val="20"/>
              </w:rPr>
              <w:t>376</w:t>
            </w:r>
            <w:r w:rsidR="00BA0422">
              <w:rPr>
                <w:color w:val="000000"/>
                <w:sz w:val="20"/>
                <w:szCs w:val="20"/>
              </w:rPr>
              <w:t>G</w:t>
            </w:r>
            <w:r>
              <w:rPr>
                <w:color w:val="000000"/>
                <w:sz w:val="20"/>
                <w:szCs w:val="20"/>
              </w:rPr>
              <w:t>²</w:t>
            </w:r>
          </w:p>
        </w:tc>
        <w:tc>
          <w:tcPr>
            <w:tcW w:w="1765" w:type="dxa"/>
            <w:tcBorders>
              <w:top w:val="nil"/>
              <w:left w:val="nil"/>
              <w:bottom w:val="single" w:sz="4" w:space="0" w:color="auto"/>
              <w:right w:val="single" w:sz="4" w:space="0" w:color="auto"/>
            </w:tcBorders>
            <w:shd w:val="clear" w:color="auto" w:fill="auto"/>
            <w:vAlign w:val="center"/>
            <w:hideMark/>
          </w:tcPr>
          <w:p w:rsidR="00BA0422" w:rsidRPr="00CF59C8" w:rsidRDefault="00BA0422">
            <w:pPr>
              <w:rPr>
                <w:color w:val="000000"/>
                <w:sz w:val="20"/>
                <w:szCs w:val="20"/>
              </w:rPr>
            </w:pPr>
            <w:r w:rsidRPr="00CF59C8">
              <w:rPr>
                <w:color w:val="000000"/>
                <w:sz w:val="20"/>
                <w:szCs w:val="20"/>
              </w:rPr>
              <w:t>Mains - GRIP</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35</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CF2F93" w:rsidP="00CF2F93">
            <w:pPr>
              <w:jc w:val="right"/>
              <w:rPr>
                <w:color w:val="000000"/>
                <w:sz w:val="20"/>
                <w:szCs w:val="20"/>
              </w:rPr>
            </w:pPr>
            <w:r>
              <w:rPr>
                <w:color w:val="000000"/>
                <w:sz w:val="20"/>
                <w:szCs w:val="20"/>
              </w:rPr>
              <w:t>2.6</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48</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17.26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(16)</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2.1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378</w:t>
            </w:r>
          </w:p>
        </w:tc>
        <w:tc>
          <w:tcPr>
            <w:tcW w:w="1765" w:type="dxa"/>
            <w:tcBorders>
              <w:top w:val="nil"/>
              <w:left w:val="nil"/>
              <w:bottom w:val="single" w:sz="4" w:space="0" w:color="auto"/>
              <w:right w:val="single" w:sz="4" w:space="0" w:color="auto"/>
            </w:tcBorders>
            <w:shd w:val="clear" w:color="auto" w:fill="auto"/>
            <w:vAlign w:val="center"/>
            <w:hideMark/>
          </w:tcPr>
          <w:p w:rsidR="00BA0422" w:rsidRPr="00CF59C8" w:rsidRDefault="00BA0422">
            <w:pPr>
              <w:rPr>
                <w:color w:val="000000"/>
                <w:sz w:val="20"/>
                <w:szCs w:val="20"/>
              </w:rPr>
            </w:pPr>
            <w:r w:rsidRPr="00CF59C8">
              <w:rPr>
                <w:color w:val="000000"/>
                <w:sz w:val="20"/>
                <w:szCs w:val="20"/>
              </w:rPr>
              <w:t>M&amp;R Station Equip. - General</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21</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3.3</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23</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25.21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3.5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379</w:t>
            </w:r>
          </w:p>
        </w:tc>
        <w:tc>
          <w:tcPr>
            <w:tcW w:w="1765" w:type="dxa"/>
            <w:tcBorders>
              <w:top w:val="nil"/>
              <w:left w:val="nil"/>
              <w:bottom w:val="single" w:sz="4" w:space="0" w:color="auto"/>
              <w:right w:val="single" w:sz="4" w:space="0" w:color="auto"/>
            </w:tcBorders>
            <w:shd w:val="clear" w:color="auto" w:fill="auto"/>
            <w:vAlign w:val="center"/>
            <w:hideMark/>
          </w:tcPr>
          <w:p w:rsidR="00BA0422" w:rsidRPr="00CF59C8" w:rsidRDefault="00BA0422">
            <w:pPr>
              <w:rPr>
                <w:color w:val="000000"/>
                <w:sz w:val="20"/>
                <w:szCs w:val="20"/>
              </w:rPr>
            </w:pPr>
            <w:r w:rsidRPr="00CF59C8">
              <w:rPr>
                <w:color w:val="000000"/>
                <w:sz w:val="20"/>
                <w:szCs w:val="20"/>
              </w:rPr>
              <w:t>M&amp;R Station Equip. - City Gate</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22</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3.4</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23</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33.14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(5)</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3.1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380.1</w:t>
            </w:r>
          </w:p>
        </w:tc>
        <w:tc>
          <w:tcPr>
            <w:tcW w:w="1765" w:type="dxa"/>
            <w:tcBorders>
              <w:top w:val="nil"/>
              <w:left w:val="nil"/>
              <w:bottom w:val="single" w:sz="4" w:space="0" w:color="auto"/>
              <w:right w:val="single" w:sz="4" w:space="0" w:color="auto"/>
            </w:tcBorders>
            <w:shd w:val="clear" w:color="auto" w:fill="auto"/>
            <w:vAlign w:val="center"/>
            <w:hideMark/>
          </w:tcPr>
          <w:p w:rsidR="00BA0422" w:rsidRPr="00CF59C8" w:rsidRDefault="00BA0422">
            <w:pPr>
              <w:rPr>
                <w:color w:val="000000"/>
                <w:sz w:val="20"/>
                <w:szCs w:val="20"/>
              </w:rPr>
            </w:pPr>
            <w:r w:rsidRPr="00CF59C8">
              <w:rPr>
                <w:color w:val="000000"/>
                <w:sz w:val="20"/>
                <w:szCs w:val="20"/>
              </w:rPr>
              <w:t>Services - Plastic</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34</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2.7</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46</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20.27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2.2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380.2</w:t>
            </w:r>
          </w:p>
        </w:tc>
        <w:tc>
          <w:tcPr>
            <w:tcW w:w="1765" w:type="dxa"/>
            <w:tcBorders>
              <w:top w:val="nil"/>
              <w:left w:val="nil"/>
              <w:bottom w:val="single" w:sz="4" w:space="0" w:color="auto"/>
              <w:right w:val="single" w:sz="4" w:space="0" w:color="auto"/>
            </w:tcBorders>
            <w:shd w:val="clear" w:color="auto" w:fill="auto"/>
            <w:vAlign w:val="center"/>
            <w:hideMark/>
          </w:tcPr>
          <w:p w:rsidR="00BA0422" w:rsidRPr="00CF59C8" w:rsidRDefault="00BA0422">
            <w:pPr>
              <w:rPr>
                <w:color w:val="000000"/>
                <w:sz w:val="20"/>
                <w:szCs w:val="20"/>
              </w:rPr>
            </w:pPr>
            <w:r w:rsidRPr="00CF59C8">
              <w:rPr>
                <w:color w:val="000000"/>
                <w:sz w:val="20"/>
                <w:szCs w:val="20"/>
              </w:rPr>
              <w:t>Services - Other</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24</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(125)</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6.5</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22</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22.61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(125)</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9.2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52751E" w:rsidP="00DC20E2">
            <w:pPr>
              <w:rPr>
                <w:color w:val="000000"/>
                <w:sz w:val="20"/>
                <w:szCs w:val="20"/>
              </w:rPr>
            </w:pPr>
            <w:r>
              <w:rPr>
                <w:color w:val="000000"/>
                <w:sz w:val="20"/>
                <w:szCs w:val="20"/>
              </w:rPr>
              <w:t>380</w:t>
            </w:r>
            <w:r w:rsidR="00BA0422">
              <w:rPr>
                <w:color w:val="000000"/>
                <w:sz w:val="20"/>
                <w:szCs w:val="20"/>
              </w:rPr>
              <w:t>G</w:t>
            </w:r>
            <w:r w:rsidR="00C96E89">
              <w:rPr>
                <w:color w:val="000000"/>
                <w:sz w:val="20"/>
                <w:szCs w:val="20"/>
              </w:rPr>
              <w:t>²</w:t>
            </w:r>
          </w:p>
        </w:tc>
        <w:tc>
          <w:tcPr>
            <w:tcW w:w="1765" w:type="dxa"/>
            <w:tcBorders>
              <w:top w:val="nil"/>
              <w:left w:val="nil"/>
              <w:bottom w:val="single" w:sz="4" w:space="0" w:color="auto"/>
              <w:right w:val="single" w:sz="4" w:space="0" w:color="auto"/>
            </w:tcBorders>
            <w:shd w:val="clear" w:color="auto" w:fill="auto"/>
            <w:vAlign w:val="center"/>
            <w:hideMark/>
          </w:tcPr>
          <w:p w:rsidR="00BA0422" w:rsidRPr="00CF59C8" w:rsidRDefault="00BA0422">
            <w:pPr>
              <w:rPr>
                <w:color w:val="000000"/>
                <w:sz w:val="20"/>
                <w:szCs w:val="20"/>
              </w:rPr>
            </w:pPr>
            <w:r w:rsidRPr="00CF59C8">
              <w:rPr>
                <w:color w:val="000000"/>
                <w:sz w:val="20"/>
                <w:szCs w:val="20"/>
              </w:rPr>
              <w:t>Services - GRIP</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34</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rsidP="00C96E89">
            <w:pPr>
              <w:jc w:val="right"/>
              <w:rPr>
                <w:color w:val="000000"/>
                <w:sz w:val="20"/>
                <w:szCs w:val="20"/>
              </w:rPr>
            </w:pPr>
            <w:r>
              <w:rPr>
                <w:color w:val="000000"/>
                <w:sz w:val="20"/>
                <w:szCs w:val="20"/>
              </w:rPr>
              <w:t> </w:t>
            </w:r>
            <w:r w:rsidR="00C96E89">
              <w:rPr>
                <w:color w:val="000000"/>
                <w:sz w:val="20"/>
                <w:szCs w:val="20"/>
              </w:rPr>
              <w:t>2.7</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46</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20.27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(22)</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2.2 </w:t>
            </w:r>
          </w:p>
        </w:tc>
      </w:tr>
      <w:tr w:rsidR="00BA0422" w:rsidTr="00DC20E2">
        <w:trPr>
          <w:trHeight w:val="276"/>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381</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Meters</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16.2</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3.7</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17.1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38.26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3.6 </w:t>
            </w:r>
          </w:p>
        </w:tc>
      </w:tr>
      <w:tr w:rsidR="00BA0422" w:rsidTr="00DC20E2">
        <w:trPr>
          <w:trHeight w:val="540"/>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381.1</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Meters - AMR Equipment</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16.7</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4.5</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12.1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47.57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4.3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382</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Meter Installations</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25</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3.1</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27</w:t>
            </w:r>
            <w:r w:rsidR="00BA0422">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23.76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3.2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382.1</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Meter Installations - MTU/DCU</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33</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2.6</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28</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37.18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FF0000"/>
                <w:sz w:val="20"/>
                <w:szCs w:val="20"/>
              </w:rPr>
              <w:t>(10)</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2.6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383</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House Regulators</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16.7</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3.3</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16.2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45.98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3.3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384</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House Regulator Installations</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21</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2.7</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16.3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55.65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2.7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385</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Industrial M&amp;R Station Equip.</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16.9</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3.4</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17.7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59.64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2.3 </w:t>
            </w:r>
          </w:p>
        </w:tc>
      </w:tr>
      <w:tr w:rsidR="00BA0422" w:rsidTr="00DC20E2">
        <w:trPr>
          <w:trHeight w:val="264"/>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387</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Other Equipment</w:t>
            </w:r>
          </w:p>
        </w:tc>
        <w:tc>
          <w:tcPr>
            <w:tcW w:w="976"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15.7</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4.0</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15.7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37.24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4.0 </w:t>
            </w:r>
          </w:p>
        </w:tc>
      </w:tr>
      <w:tr w:rsidR="00BA0422" w:rsidTr="006A595C">
        <w:trPr>
          <w:trHeight w:val="264"/>
          <w:jc w:val="center"/>
        </w:trPr>
        <w:tc>
          <w:tcPr>
            <w:tcW w:w="2659" w:type="dxa"/>
            <w:gridSpan w:val="2"/>
            <w:tcBorders>
              <w:top w:val="nil"/>
              <w:left w:val="single" w:sz="8" w:space="0" w:color="auto"/>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GENERAL PLANT</w:t>
            </w:r>
          </w:p>
        </w:tc>
        <w:tc>
          <w:tcPr>
            <w:tcW w:w="97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1099"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1094"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861"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1099"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1094" w:type="dxa"/>
            <w:tcBorders>
              <w:top w:val="nil"/>
              <w:left w:val="nil"/>
              <w:bottom w:val="nil"/>
              <w:right w:val="single" w:sz="8" w:space="0" w:color="auto"/>
            </w:tcBorders>
            <w:shd w:val="clear" w:color="000000" w:fill="BFBFBF"/>
            <w:noWrap/>
            <w:vAlign w:val="bottom"/>
            <w:hideMark/>
          </w:tcPr>
          <w:p w:rsidR="00BA0422" w:rsidRDefault="00BA0422">
            <w:pPr>
              <w:rPr>
                <w:color w:val="000000"/>
                <w:sz w:val="20"/>
                <w:szCs w:val="20"/>
              </w:rPr>
            </w:pPr>
            <w:r>
              <w:rPr>
                <w:color w:val="000000"/>
                <w:sz w:val="20"/>
                <w:szCs w:val="20"/>
              </w:rPr>
              <w:t> </w:t>
            </w:r>
          </w:p>
        </w:tc>
      </w:tr>
      <w:tr w:rsidR="00BA0422" w:rsidTr="00DC20E2">
        <w:trPr>
          <w:trHeight w:val="528"/>
          <w:jc w:val="center"/>
        </w:trPr>
        <w:tc>
          <w:tcPr>
            <w:tcW w:w="8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390</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Structures &amp; Improvements</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BA0422" w:rsidRDefault="00CF59C8">
            <w:pPr>
              <w:jc w:val="right"/>
              <w:rPr>
                <w:color w:val="000000"/>
                <w:sz w:val="20"/>
                <w:szCs w:val="20"/>
              </w:rPr>
            </w:pPr>
            <w:r>
              <w:rPr>
                <w:color w:val="000000"/>
                <w:sz w:val="20"/>
                <w:szCs w:val="20"/>
              </w:rPr>
              <w:t>31</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10</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2</w:t>
            </w:r>
            <w:r w:rsidR="00CF2F93">
              <w:rPr>
                <w:color w:val="000000"/>
                <w:sz w:val="20"/>
                <w:szCs w:val="20"/>
              </w:rPr>
              <w:t>.0</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31</w:t>
            </w:r>
            <w:r w:rsidR="00BA0422">
              <w:rPr>
                <w:color w:val="000000"/>
                <w:sz w:val="20"/>
                <w:szCs w:val="20"/>
              </w:rPr>
              <w:t xml:space="preserve"> </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17.40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10 </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2.3 </w:t>
            </w:r>
          </w:p>
        </w:tc>
      </w:tr>
      <w:tr w:rsidR="00BA0422" w:rsidTr="00DC20E2">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391</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Office Furniture</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15.6</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3.7</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20-Year Amortization</w:t>
            </w:r>
          </w:p>
        </w:tc>
      </w:tr>
      <w:tr w:rsidR="00BA0422" w:rsidTr="00DC20E2">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391.2</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Office Equipment</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10.1</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6.1</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14-Year Amortization</w:t>
            </w:r>
          </w:p>
        </w:tc>
      </w:tr>
      <w:tr w:rsidR="00BA0422" w:rsidTr="00DC20E2">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391.3</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Computer Hardware</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4.3</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5.2</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10-Year Amortization</w:t>
            </w:r>
          </w:p>
        </w:tc>
      </w:tr>
      <w:tr w:rsidR="00BA0422" w:rsidTr="00DC20E2">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391.4</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Computer Software</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4.3</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5.2</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10-Year Amortization</w:t>
            </w:r>
          </w:p>
        </w:tc>
      </w:tr>
      <w:tr w:rsidR="00BA0422" w:rsidTr="00DC20E2">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392.1</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Transportation - Cars</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5.1</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11</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4.4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13.54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17.4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392.2</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Transportation - Light Trucks &amp; Vans</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4.8</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20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8</w:t>
            </w:r>
            <w:r w:rsidR="00CF2F93">
              <w:rPr>
                <w:color w:val="000000"/>
                <w:sz w:val="20"/>
                <w:szCs w:val="20"/>
              </w:rPr>
              <w:t>.0</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5.1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37.37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20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8.4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lastRenderedPageBreak/>
              <w:t>392.3</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Transportation - Heavy Trucks</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CF59C8">
            <w:pPr>
              <w:jc w:val="right"/>
              <w:rPr>
                <w:color w:val="000000"/>
                <w:sz w:val="20"/>
                <w:szCs w:val="20"/>
              </w:rPr>
            </w:pPr>
            <w:r>
              <w:rPr>
                <w:color w:val="000000"/>
                <w:sz w:val="20"/>
                <w:szCs w:val="20"/>
              </w:rPr>
              <w:t>0</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8.2</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CF59C8">
            <w:pPr>
              <w:jc w:val="right"/>
              <w:rPr>
                <w:color w:val="000000"/>
                <w:sz w:val="20"/>
                <w:szCs w:val="20"/>
              </w:rPr>
            </w:pPr>
            <w:r>
              <w:rPr>
                <w:color w:val="000000"/>
                <w:sz w:val="20"/>
                <w:szCs w:val="20"/>
              </w:rPr>
              <w:t>0</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0.00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8.2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392.4</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Transportation - Other</w:t>
            </w:r>
          </w:p>
        </w:tc>
        <w:tc>
          <w:tcPr>
            <w:tcW w:w="976"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9.9</w:t>
            </w:r>
          </w:p>
        </w:tc>
        <w:tc>
          <w:tcPr>
            <w:tcW w:w="1099"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3.3</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9.8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43.27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5.8 </w:t>
            </w:r>
          </w:p>
        </w:tc>
      </w:tr>
      <w:tr w:rsidR="00BA0422" w:rsidTr="00DC20E2">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393</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Stores Equipment</w:t>
            </w:r>
          </w:p>
        </w:tc>
        <w:tc>
          <w:tcPr>
            <w:tcW w:w="976" w:type="dxa"/>
            <w:tcBorders>
              <w:top w:val="nil"/>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5.8</w:t>
            </w:r>
          </w:p>
        </w:tc>
        <w:tc>
          <w:tcPr>
            <w:tcW w:w="1099" w:type="dxa"/>
            <w:tcBorders>
              <w:top w:val="nil"/>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nil"/>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5.8</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26-Year Amortization</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394</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Tools, Shop &amp; Garage Equip.</w:t>
            </w:r>
          </w:p>
        </w:tc>
        <w:tc>
          <w:tcPr>
            <w:tcW w:w="976"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3.8</w:t>
            </w:r>
          </w:p>
        </w:tc>
        <w:tc>
          <w:tcPr>
            <w:tcW w:w="1099"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7.4</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15-Year Amortization</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395</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Laboratory Equipment</w:t>
            </w:r>
          </w:p>
        </w:tc>
        <w:tc>
          <w:tcPr>
            <w:tcW w:w="976" w:type="dxa"/>
            <w:tcBorders>
              <w:top w:val="single" w:sz="4" w:space="0" w:color="auto"/>
              <w:left w:val="nil"/>
              <w:bottom w:val="nil"/>
              <w:right w:val="single" w:sz="4" w:space="0" w:color="auto"/>
            </w:tcBorders>
            <w:shd w:val="clear" w:color="auto" w:fill="auto"/>
            <w:vAlign w:val="bottom"/>
            <w:hideMark/>
          </w:tcPr>
          <w:p w:rsidR="00BA0422" w:rsidRDefault="00CF59C8">
            <w:pPr>
              <w:jc w:val="right"/>
              <w:rPr>
                <w:color w:val="000000"/>
                <w:sz w:val="20"/>
                <w:szCs w:val="20"/>
              </w:rPr>
            </w:pPr>
            <w:r>
              <w:rPr>
                <w:color w:val="000000"/>
                <w:sz w:val="20"/>
                <w:szCs w:val="20"/>
              </w:rPr>
              <w:t>0</w:t>
            </w:r>
          </w:p>
        </w:tc>
        <w:tc>
          <w:tcPr>
            <w:tcW w:w="1099"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5</w:t>
            </w:r>
            <w:r w:rsidR="00CF59C8">
              <w:rPr>
                <w:color w:val="000000"/>
                <w:sz w:val="20"/>
                <w:szCs w:val="20"/>
              </w:rPr>
              <w:t>.0</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20-Year Amortization</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396</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Power Operated Equip.</w:t>
            </w:r>
          </w:p>
        </w:tc>
        <w:tc>
          <w:tcPr>
            <w:tcW w:w="976"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6.0</w:t>
            </w:r>
          </w:p>
        </w:tc>
        <w:tc>
          <w:tcPr>
            <w:tcW w:w="1099"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10</w:t>
            </w:r>
          </w:p>
        </w:tc>
        <w:tc>
          <w:tcPr>
            <w:tcW w:w="1094"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1.1</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5.7 </w:t>
            </w:r>
          </w:p>
        </w:tc>
        <w:tc>
          <w:tcPr>
            <w:tcW w:w="861"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61.16 </w:t>
            </w:r>
          </w:p>
        </w:tc>
        <w:tc>
          <w:tcPr>
            <w:tcW w:w="266" w:type="dxa"/>
            <w:tcBorders>
              <w:top w:val="nil"/>
              <w:left w:val="nil"/>
              <w:bottom w:val="single" w:sz="4" w:space="0" w:color="auto"/>
              <w:right w:val="single" w:sz="4" w:space="0" w:color="auto"/>
            </w:tcBorders>
            <w:shd w:val="clear" w:color="auto" w:fill="auto"/>
            <w:noWrap/>
            <w:vAlign w:val="bottom"/>
            <w:hideMark/>
          </w:tcPr>
          <w:p w:rsidR="00BA0422" w:rsidRDefault="00BA0422">
            <w:pPr>
              <w:jc w:val="center"/>
              <w:rPr>
                <w:color w:val="000000"/>
                <w:sz w:val="20"/>
                <w:szCs w:val="20"/>
              </w:rPr>
            </w:pPr>
            <w:r>
              <w:rPr>
                <w:color w:val="000000"/>
                <w:sz w:val="20"/>
                <w:szCs w:val="20"/>
              </w:rPr>
              <w:t> </w:t>
            </w:r>
          </w:p>
        </w:tc>
        <w:tc>
          <w:tcPr>
            <w:tcW w:w="1099" w:type="dxa"/>
            <w:tcBorders>
              <w:top w:val="nil"/>
              <w:left w:val="nil"/>
              <w:bottom w:val="single" w:sz="4" w:space="0" w:color="auto"/>
              <w:right w:val="single" w:sz="4"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10 </w:t>
            </w:r>
          </w:p>
        </w:tc>
        <w:tc>
          <w:tcPr>
            <w:tcW w:w="1094" w:type="dxa"/>
            <w:tcBorders>
              <w:top w:val="nil"/>
              <w:left w:val="nil"/>
              <w:bottom w:val="single" w:sz="4" w:space="0" w:color="auto"/>
              <w:right w:val="single" w:sz="8" w:space="0" w:color="auto"/>
            </w:tcBorders>
            <w:shd w:val="clear" w:color="auto" w:fill="auto"/>
            <w:noWrap/>
            <w:vAlign w:val="bottom"/>
            <w:hideMark/>
          </w:tcPr>
          <w:p w:rsidR="00BA0422" w:rsidRDefault="00BA0422">
            <w:pPr>
              <w:jc w:val="right"/>
              <w:rPr>
                <w:color w:val="000000"/>
                <w:sz w:val="20"/>
                <w:szCs w:val="20"/>
              </w:rPr>
            </w:pPr>
            <w:r>
              <w:rPr>
                <w:color w:val="000000"/>
                <w:sz w:val="20"/>
                <w:szCs w:val="20"/>
              </w:rPr>
              <w:t xml:space="preserve">5.1 </w:t>
            </w:r>
          </w:p>
        </w:tc>
      </w:tr>
      <w:tr w:rsidR="00BA0422" w:rsidTr="00DC20E2">
        <w:trPr>
          <w:trHeight w:val="52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397</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Communication Equip.</w:t>
            </w:r>
          </w:p>
        </w:tc>
        <w:tc>
          <w:tcPr>
            <w:tcW w:w="976"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8.1</w:t>
            </w:r>
          </w:p>
        </w:tc>
        <w:tc>
          <w:tcPr>
            <w:tcW w:w="1099"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7</w:t>
            </w:r>
            <w:r w:rsidR="00CF59C8">
              <w:rPr>
                <w:color w:val="000000"/>
                <w:sz w:val="20"/>
                <w:szCs w:val="20"/>
              </w:rPr>
              <w:t>.0</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13-Year Amortization</w:t>
            </w:r>
          </w:p>
        </w:tc>
      </w:tr>
      <w:tr w:rsidR="00BA0422" w:rsidTr="00DC20E2">
        <w:trPr>
          <w:trHeight w:val="288"/>
          <w:jc w:val="center"/>
        </w:trPr>
        <w:tc>
          <w:tcPr>
            <w:tcW w:w="894" w:type="dxa"/>
            <w:tcBorders>
              <w:top w:val="nil"/>
              <w:left w:val="single" w:sz="8" w:space="0" w:color="auto"/>
              <w:bottom w:val="single" w:sz="4"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398</w:t>
            </w:r>
          </w:p>
        </w:tc>
        <w:tc>
          <w:tcPr>
            <w:tcW w:w="1765" w:type="dxa"/>
            <w:tcBorders>
              <w:top w:val="nil"/>
              <w:left w:val="nil"/>
              <w:bottom w:val="single" w:sz="4"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Miscellaneous Equip.</w:t>
            </w:r>
          </w:p>
        </w:tc>
        <w:tc>
          <w:tcPr>
            <w:tcW w:w="976"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10.5</w:t>
            </w:r>
          </w:p>
        </w:tc>
        <w:tc>
          <w:tcPr>
            <w:tcW w:w="1099"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0</w:t>
            </w:r>
          </w:p>
        </w:tc>
        <w:tc>
          <w:tcPr>
            <w:tcW w:w="1094" w:type="dxa"/>
            <w:tcBorders>
              <w:top w:val="single" w:sz="4" w:space="0" w:color="auto"/>
              <w:left w:val="nil"/>
              <w:bottom w:val="nil"/>
              <w:right w:val="single" w:sz="4" w:space="0" w:color="auto"/>
            </w:tcBorders>
            <w:shd w:val="clear" w:color="auto" w:fill="auto"/>
            <w:vAlign w:val="bottom"/>
            <w:hideMark/>
          </w:tcPr>
          <w:p w:rsidR="00BA0422" w:rsidRDefault="00BA0422">
            <w:pPr>
              <w:jc w:val="right"/>
              <w:rPr>
                <w:color w:val="000000"/>
                <w:sz w:val="20"/>
                <w:szCs w:val="20"/>
              </w:rPr>
            </w:pPr>
            <w:r>
              <w:rPr>
                <w:color w:val="000000"/>
                <w:sz w:val="20"/>
                <w:szCs w:val="20"/>
              </w:rPr>
              <w:t>4.6</w:t>
            </w:r>
          </w:p>
        </w:tc>
        <w:tc>
          <w:tcPr>
            <w:tcW w:w="266" w:type="dxa"/>
            <w:tcBorders>
              <w:top w:val="nil"/>
              <w:left w:val="nil"/>
              <w:bottom w:val="nil"/>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BA0422" w:rsidRDefault="00BA0422">
            <w:pPr>
              <w:jc w:val="center"/>
              <w:rPr>
                <w:color w:val="000000"/>
                <w:sz w:val="20"/>
                <w:szCs w:val="20"/>
              </w:rPr>
            </w:pPr>
            <w:r>
              <w:rPr>
                <w:color w:val="000000"/>
                <w:sz w:val="20"/>
                <w:szCs w:val="20"/>
              </w:rPr>
              <w:t>17-Year Amortization</w:t>
            </w:r>
          </w:p>
        </w:tc>
      </w:tr>
      <w:tr w:rsidR="00BA0422" w:rsidTr="00DC20E2">
        <w:trPr>
          <w:trHeight w:val="552"/>
          <w:jc w:val="center"/>
        </w:trPr>
        <w:tc>
          <w:tcPr>
            <w:tcW w:w="894" w:type="dxa"/>
            <w:tcBorders>
              <w:top w:val="nil"/>
              <w:left w:val="single" w:sz="8" w:space="0" w:color="auto"/>
              <w:bottom w:val="single" w:sz="8" w:space="0" w:color="auto"/>
              <w:right w:val="single" w:sz="4" w:space="0" w:color="auto"/>
            </w:tcBorders>
            <w:shd w:val="clear" w:color="auto" w:fill="auto"/>
            <w:vAlign w:val="bottom"/>
            <w:hideMark/>
          </w:tcPr>
          <w:p w:rsidR="00BA0422" w:rsidRDefault="00BA0422" w:rsidP="00DC20E2">
            <w:pPr>
              <w:rPr>
                <w:color w:val="000000"/>
                <w:sz w:val="20"/>
                <w:szCs w:val="20"/>
              </w:rPr>
            </w:pPr>
            <w:r>
              <w:rPr>
                <w:color w:val="000000"/>
                <w:sz w:val="20"/>
                <w:szCs w:val="20"/>
              </w:rPr>
              <w:t>399</w:t>
            </w:r>
          </w:p>
        </w:tc>
        <w:tc>
          <w:tcPr>
            <w:tcW w:w="1765" w:type="dxa"/>
            <w:tcBorders>
              <w:top w:val="nil"/>
              <w:left w:val="nil"/>
              <w:bottom w:val="single" w:sz="8" w:space="0" w:color="auto"/>
              <w:right w:val="single" w:sz="4" w:space="0" w:color="auto"/>
            </w:tcBorders>
            <w:shd w:val="clear" w:color="auto" w:fill="auto"/>
            <w:vAlign w:val="center"/>
            <w:hideMark/>
          </w:tcPr>
          <w:p w:rsidR="00BA0422" w:rsidRDefault="00BA0422">
            <w:pPr>
              <w:rPr>
                <w:color w:val="000000"/>
                <w:sz w:val="20"/>
                <w:szCs w:val="20"/>
              </w:rPr>
            </w:pPr>
            <w:r>
              <w:rPr>
                <w:color w:val="000000"/>
                <w:sz w:val="20"/>
                <w:szCs w:val="20"/>
              </w:rPr>
              <w:t>Miscellaneous Tangible</w:t>
            </w:r>
          </w:p>
        </w:tc>
        <w:tc>
          <w:tcPr>
            <w:tcW w:w="3169" w:type="dxa"/>
            <w:gridSpan w:val="3"/>
            <w:tcBorders>
              <w:top w:val="single" w:sz="4" w:space="0" w:color="auto"/>
              <w:left w:val="nil"/>
              <w:bottom w:val="single" w:sz="8" w:space="0" w:color="auto"/>
              <w:right w:val="single" w:sz="4" w:space="0" w:color="000000"/>
            </w:tcBorders>
            <w:shd w:val="clear" w:color="auto" w:fill="auto"/>
            <w:vAlign w:val="bottom"/>
            <w:hideMark/>
          </w:tcPr>
          <w:p w:rsidR="00BA0422" w:rsidRDefault="00BA0422">
            <w:pPr>
              <w:jc w:val="center"/>
              <w:rPr>
                <w:color w:val="000000"/>
                <w:sz w:val="20"/>
                <w:szCs w:val="20"/>
              </w:rPr>
            </w:pPr>
            <w:r>
              <w:rPr>
                <w:color w:val="000000"/>
                <w:sz w:val="20"/>
                <w:szCs w:val="20"/>
              </w:rPr>
              <w:t>5-Year Amortization</w:t>
            </w:r>
          </w:p>
        </w:tc>
        <w:tc>
          <w:tcPr>
            <w:tcW w:w="266" w:type="dxa"/>
            <w:tcBorders>
              <w:top w:val="nil"/>
              <w:left w:val="nil"/>
              <w:bottom w:val="single" w:sz="8" w:space="0" w:color="auto"/>
              <w:right w:val="nil"/>
            </w:tcBorders>
            <w:shd w:val="clear" w:color="000000" w:fill="BFBFBF"/>
            <w:noWrap/>
            <w:vAlign w:val="bottom"/>
            <w:hideMark/>
          </w:tcPr>
          <w:p w:rsidR="00BA0422" w:rsidRDefault="00BA0422">
            <w:pPr>
              <w:rPr>
                <w:color w:val="000000"/>
                <w:sz w:val="20"/>
                <w:szCs w:val="20"/>
              </w:rPr>
            </w:pPr>
            <w:r>
              <w:rPr>
                <w:color w:val="000000"/>
                <w:sz w:val="20"/>
                <w:szCs w:val="20"/>
              </w:rPr>
              <w:t> </w:t>
            </w:r>
          </w:p>
        </w:tc>
        <w:tc>
          <w:tcPr>
            <w:tcW w:w="4242" w:type="dxa"/>
            <w:gridSpan w:val="5"/>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BA0422" w:rsidRDefault="00BA0422">
            <w:pPr>
              <w:jc w:val="center"/>
              <w:rPr>
                <w:color w:val="000000"/>
                <w:sz w:val="20"/>
                <w:szCs w:val="20"/>
              </w:rPr>
            </w:pPr>
            <w:r>
              <w:rPr>
                <w:color w:val="000000"/>
                <w:sz w:val="20"/>
                <w:szCs w:val="20"/>
              </w:rPr>
              <w:t>5-Year Amortization</w:t>
            </w:r>
          </w:p>
        </w:tc>
      </w:tr>
      <w:tr w:rsidR="00BA0422" w:rsidTr="006A595C">
        <w:trPr>
          <w:trHeight w:val="264"/>
          <w:jc w:val="center"/>
        </w:trPr>
        <w:tc>
          <w:tcPr>
            <w:tcW w:w="3635" w:type="dxa"/>
            <w:gridSpan w:val="3"/>
            <w:tcBorders>
              <w:top w:val="nil"/>
              <w:left w:val="nil"/>
              <w:bottom w:val="nil"/>
              <w:right w:val="nil"/>
            </w:tcBorders>
            <w:shd w:val="clear" w:color="auto" w:fill="auto"/>
            <w:noWrap/>
            <w:vAlign w:val="bottom"/>
            <w:hideMark/>
          </w:tcPr>
          <w:p w:rsidR="00BA0422" w:rsidRDefault="002765D0">
            <w:pPr>
              <w:rPr>
                <w:color w:val="000000"/>
                <w:sz w:val="20"/>
                <w:szCs w:val="20"/>
              </w:rPr>
            </w:pPr>
            <w:r>
              <w:rPr>
                <w:color w:val="000000"/>
                <w:sz w:val="20"/>
                <w:szCs w:val="20"/>
              </w:rPr>
              <w:t>¹</w:t>
            </w:r>
            <w:r w:rsidR="00BA0422">
              <w:rPr>
                <w:color w:val="000000"/>
                <w:sz w:val="20"/>
                <w:szCs w:val="20"/>
              </w:rPr>
              <w:t>Order No. PSC-14-0698-PAA-GU</w:t>
            </w:r>
            <w:r w:rsidR="008373B3">
              <w:rPr>
                <w:color w:val="000000"/>
                <w:sz w:val="20"/>
                <w:szCs w:val="20"/>
              </w:rPr>
              <w:t>.</w:t>
            </w:r>
          </w:p>
        </w:tc>
        <w:tc>
          <w:tcPr>
            <w:tcW w:w="1099"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c>
          <w:tcPr>
            <w:tcW w:w="1094"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c>
          <w:tcPr>
            <w:tcW w:w="266"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c>
          <w:tcPr>
            <w:tcW w:w="922"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c>
          <w:tcPr>
            <w:tcW w:w="861"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c>
          <w:tcPr>
            <w:tcW w:w="266"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c>
          <w:tcPr>
            <w:tcW w:w="1099"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c>
          <w:tcPr>
            <w:tcW w:w="1094" w:type="dxa"/>
            <w:tcBorders>
              <w:top w:val="nil"/>
              <w:left w:val="nil"/>
              <w:bottom w:val="nil"/>
              <w:right w:val="nil"/>
            </w:tcBorders>
            <w:shd w:val="clear" w:color="auto" w:fill="auto"/>
            <w:noWrap/>
            <w:vAlign w:val="bottom"/>
            <w:hideMark/>
          </w:tcPr>
          <w:p w:rsidR="00BA0422" w:rsidRDefault="00BA0422">
            <w:pPr>
              <w:rPr>
                <w:color w:val="000000"/>
                <w:sz w:val="20"/>
                <w:szCs w:val="20"/>
              </w:rPr>
            </w:pPr>
          </w:p>
        </w:tc>
      </w:tr>
      <w:tr w:rsidR="00C96E89" w:rsidTr="00082407">
        <w:trPr>
          <w:trHeight w:val="264"/>
          <w:jc w:val="center"/>
        </w:trPr>
        <w:tc>
          <w:tcPr>
            <w:tcW w:w="10336" w:type="dxa"/>
            <w:gridSpan w:val="11"/>
            <w:tcBorders>
              <w:top w:val="nil"/>
              <w:left w:val="nil"/>
              <w:bottom w:val="nil"/>
              <w:right w:val="nil"/>
            </w:tcBorders>
            <w:shd w:val="clear" w:color="auto" w:fill="auto"/>
            <w:noWrap/>
            <w:vAlign w:val="bottom"/>
          </w:tcPr>
          <w:p w:rsidR="00C96E89" w:rsidRDefault="002765D0">
            <w:pPr>
              <w:rPr>
                <w:color w:val="000000"/>
                <w:sz w:val="20"/>
                <w:szCs w:val="20"/>
              </w:rPr>
            </w:pPr>
            <w:r>
              <w:rPr>
                <w:color w:val="000000"/>
                <w:sz w:val="20"/>
                <w:szCs w:val="20"/>
              </w:rPr>
              <w:t>²</w:t>
            </w:r>
            <w:r w:rsidR="00B6288E">
              <w:rPr>
                <w:color w:val="000000"/>
                <w:sz w:val="20"/>
                <w:szCs w:val="20"/>
              </w:rPr>
              <w:t>Account n</w:t>
            </w:r>
            <w:r w:rsidR="00C96E89">
              <w:rPr>
                <w:color w:val="000000"/>
                <w:sz w:val="20"/>
                <w:szCs w:val="20"/>
              </w:rPr>
              <w:t>ot shown on Order No. PSC-14-0698-PAA-GU.  Rates applicable to Accounts 376.1 and 380</w:t>
            </w:r>
            <w:r w:rsidR="00CF59C8">
              <w:rPr>
                <w:color w:val="000000"/>
                <w:sz w:val="20"/>
                <w:szCs w:val="20"/>
              </w:rPr>
              <w:t>.1</w:t>
            </w:r>
            <w:r w:rsidR="00C96E89">
              <w:rPr>
                <w:color w:val="000000"/>
                <w:sz w:val="20"/>
                <w:szCs w:val="20"/>
              </w:rPr>
              <w:t xml:space="preserve"> were applied during the period between depreciation studies.  </w:t>
            </w:r>
          </w:p>
        </w:tc>
      </w:tr>
    </w:tbl>
    <w:p w:rsidR="006A595C" w:rsidRDefault="006A595C" w:rsidP="00E275D8">
      <w:pPr>
        <w:pStyle w:val="BodyText"/>
      </w:pPr>
    </w:p>
    <w:p w:rsidR="006A595C" w:rsidRDefault="006A595C" w:rsidP="006A595C">
      <w:r>
        <w:br w:type="page"/>
      </w:r>
    </w:p>
    <w:tbl>
      <w:tblPr>
        <w:tblW w:w="9483" w:type="dxa"/>
        <w:tblInd w:w="93" w:type="dxa"/>
        <w:tblLook w:val="04A0" w:firstRow="1" w:lastRow="0" w:firstColumn="1" w:lastColumn="0" w:noHBand="0" w:noVBand="1"/>
      </w:tblPr>
      <w:tblGrid>
        <w:gridCol w:w="907"/>
        <w:gridCol w:w="2255"/>
        <w:gridCol w:w="1335"/>
        <w:gridCol w:w="1146"/>
        <w:gridCol w:w="299"/>
        <w:gridCol w:w="1249"/>
        <w:gridCol w:w="1225"/>
        <w:gridCol w:w="1067"/>
      </w:tblGrid>
      <w:tr w:rsidR="006A595C" w:rsidTr="006A595C">
        <w:trPr>
          <w:trHeight w:val="276"/>
          <w:tblHeader/>
        </w:trPr>
        <w:tc>
          <w:tcPr>
            <w:tcW w:w="9483" w:type="dxa"/>
            <w:gridSpan w:val="8"/>
            <w:tcBorders>
              <w:top w:val="nil"/>
              <w:left w:val="nil"/>
              <w:bottom w:val="single" w:sz="8" w:space="0" w:color="auto"/>
              <w:right w:val="nil"/>
            </w:tcBorders>
            <w:shd w:val="clear" w:color="000000" w:fill="FFFFFF"/>
            <w:noWrap/>
            <w:vAlign w:val="bottom"/>
            <w:hideMark/>
          </w:tcPr>
          <w:p w:rsidR="006A595C" w:rsidRDefault="006A595C">
            <w:pPr>
              <w:jc w:val="right"/>
              <w:rPr>
                <w:sz w:val="20"/>
                <w:szCs w:val="20"/>
              </w:rPr>
            </w:pPr>
            <w:r>
              <w:rPr>
                <w:sz w:val="20"/>
                <w:szCs w:val="20"/>
              </w:rPr>
              <w:lastRenderedPageBreak/>
              <w:t>Attachment B</w:t>
            </w:r>
          </w:p>
        </w:tc>
      </w:tr>
      <w:tr w:rsidR="006A595C" w:rsidTr="006A595C">
        <w:trPr>
          <w:trHeight w:val="264"/>
          <w:tblHeader/>
        </w:trPr>
        <w:tc>
          <w:tcPr>
            <w:tcW w:w="9483"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6A595C" w:rsidRDefault="006A595C">
            <w:pPr>
              <w:jc w:val="center"/>
              <w:rPr>
                <w:b/>
                <w:bCs/>
                <w:sz w:val="20"/>
                <w:szCs w:val="20"/>
              </w:rPr>
            </w:pPr>
            <w:r>
              <w:rPr>
                <w:b/>
                <w:bCs/>
                <w:sz w:val="20"/>
                <w:szCs w:val="20"/>
              </w:rPr>
              <w:t>Comparison of Expenses</w:t>
            </w:r>
          </w:p>
        </w:tc>
      </w:tr>
      <w:tr w:rsidR="006A595C" w:rsidTr="00C96E89">
        <w:trPr>
          <w:trHeight w:val="264"/>
          <w:tblHeader/>
        </w:trPr>
        <w:tc>
          <w:tcPr>
            <w:tcW w:w="907" w:type="dxa"/>
            <w:tcBorders>
              <w:top w:val="nil"/>
              <w:left w:val="single" w:sz="8" w:space="0" w:color="auto"/>
              <w:bottom w:val="nil"/>
              <w:right w:val="nil"/>
            </w:tcBorders>
            <w:shd w:val="clear" w:color="000000" w:fill="C0C0C0"/>
            <w:noWrap/>
            <w:vAlign w:val="bottom"/>
            <w:hideMark/>
          </w:tcPr>
          <w:p w:rsidR="006A595C" w:rsidRDefault="006A595C">
            <w:pPr>
              <w:jc w:val="center"/>
              <w:rPr>
                <w:b/>
                <w:bCs/>
                <w:sz w:val="20"/>
                <w:szCs w:val="20"/>
              </w:rPr>
            </w:pPr>
            <w:r>
              <w:rPr>
                <w:b/>
                <w:bCs/>
                <w:sz w:val="20"/>
                <w:szCs w:val="20"/>
              </w:rPr>
              <w:t> </w:t>
            </w:r>
          </w:p>
        </w:tc>
        <w:tc>
          <w:tcPr>
            <w:tcW w:w="2255"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 </w:t>
            </w:r>
          </w:p>
        </w:tc>
        <w:tc>
          <w:tcPr>
            <w:tcW w:w="2780" w:type="dxa"/>
            <w:gridSpan w:val="3"/>
            <w:tcBorders>
              <w:top w:val="nil"/>
              <w:left w:val="nil"/>
              <w:bottom w:val="nil"/>
              <w:right w:val="nil"/>
            </w:tcBorders>
            <w:shd w:val="clear" w:color="000000" w:fill="C0C0C0"/>
            <w:noWrap/>
            <w:vAlign w:val="bottom"/>
            <w:hideMark/>
          </w:tcPr>
          <w:p w:rsidR="006A595C" w:rsidRDefault="006A595C">
            <w:pPr>
              <w:jc w:val="center"/>
              <w:rPr>
                <w:b/>
                <w:bCs/>
                <w:sz w:val="20"/>
                <w:szCs w:val="20"/>
              </w:rPr>
            </w:pPr>
            <w:r>
              <w:rPr>
                <w:b/>
                <w:bCs/>
                <w:sz w:val="20"/>
                <w:szCs w:val="20"/>
              </w:rPr>
              <w:t>Current¹</w:t>
            </w:r>
          </w:p>
        </w:tc>
        <w:tc>
          <w:tcPr>
            <w:tcW w:w="3541" w:type="dxa"/>
            <w:gridSpan w:val="3"/>
            <w:tcBorders>
              <w:top w:val="nil"/>
              <w:left w:val="nil"/>
              <w:bottom w:val="nil"/>
              <w:right w:val="single" w:sz="8" w:space="0" w:color="000000"/>
            </w:tcBorders>
            <w:shd w:val="clear" w:color="000000" w:fill="C0C0C0"/>
            <w:noWrap/>
            <w:vAlign w:val="bottom"/>
            <w:hideMark/>
          </w:tcPr>
          <w:p w:rsidR="006A595C" w:rsidRDefault="001E7D79">
            <w:pPr>
              <w:jc w:val="center"/>
              <w:rPr>
                <w:b/>
                <w:bCs/>
                <w:sz w:val="20"/>
                <w:szCs w:val="20"/>
              </w:rPr>
            </w:pPr>
            <w:r>
              <w:rPr>
                <w:b/>
                <w:bCs/>
                <w:sz w:val="20"/>
                <w:szCs w:val="20"/>
              </w:rPr>
              <w:t>Staff Recommended</w:t>
            </w:r>
          </w:p>
        </w:tc>
      </w:tr>
      <w:tr w:rsidR="006A595C" w:rsidTr="00C96E89">
        <w:trPr>
          <w:trHeight w:val="264"/>
          <w:tblHeader/>
        </w:trPr>
        <w:tc>
          <w:tcPr>
            <w:tcW w:w="907" w:type="dxa"/>
            <w:tcBorders>
              <w:top w:val="nil"/>
              <w:left w:val="single" w:sz="8" w:space="0" w:color="auto"/>
              <w:bottom w:val="nil"/>
              <w:right w:val="nil"/>
            </w:tcBorders>
            <w:shd w:val="clear" w:color="000000" w:fill="C0C0C0"/>
            <w:noWrap/>
            <w:vAlign w:val="bottom"/>
            <w:hideMark/>
          </w:tcPr>
          <w:p w:rsidR="006A595C" w:rsidRDefault="006A595C">
            <w:pPr>
              <w:jc w:val="center"/>
              <w:rPr>
                <w:sz w:val="20"/>
                <w:szCs w:val="20"/>
              </w:rPr>
            </w:pPr>
            <w:r>
              <w:rPr>
                <w:sz w:val="20"/>
                <w:szCs w:val="20"/>
              </w:rPr>
              <w:t>Account</w:t>
            </w:r>
          </w:p>
        </w:tc>
        <w:tc>
          <w:tcPr>
            <w:tcW w:w="2255" w:type="dxa"/>
            <w:vMerge w:val="restart"/>
            <w:tcBorders>
              <w:top w:val="nil"/>
              <w:left w:val="nil"/>
              <w:bottom w:val="nil"/>
              <w:right w:val="nil"/>
            </w:tcBorders>
            <w:shd w:val="clear" w:color="000000" w:fill="C0C0C0"/>
            <w:noWrap/>
            <w:vAlign w:val="center"/>
            <w:hideMark/>
          </w:tcPr>
          <w:p w:rsidR="006A595C" w:rsidRDefault="006A595C">
            <w:pPr>
              <w:jc w:val="center"/>
              <w:rPr>
                <w:sz w:val="20"/>
                <w:szCs w:val="20"/>
              </w:rPr>
            </w:pPr>
            <w:r>
              <w:rPr>
                <w:sz w:val="20"/>
                <w:szCs w:val="20"/>
              </w:rPr>
              <w:t>Account Title</w:t>
            </w:r>
          </w:p>
        </w:tc>
        <w:tc>
          <w:tcPr>
            <w:tcW w:w="1335"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Depreciation</w:t>
            </w:r>
          </w:p>
        </w:tc>
        <w:tc>
          <w:tcPr>
            <w:tcW w:w="1146"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Annual</w:t>
            </w:r>
          </w:p>
        </w:tc>
        <w:tc>
          <w:tcPr>
            <w:tcW w:w="299" w:type="dxa"/>
            <w:tcBorders>
              <w:top w:val="nil"/>
              <w:left w:val="nil"/>
              <w:bottom w:val="nil"/>
              <w:right w:val="nil"/>
            </w:tcBorders>
            <w:shd w:val="clear" w:color="000000" w:fill="C0C0C0"/>
            <w:noWrap/>
            <w:vAlign w:val="bottom"/>
            <w:hideMark/>
          </w:tcPr>
          <w:p w:rsidR="006A595C" w:rsidRDefault="006A595C">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Depreciation</w:t>
            </w:r>
          </w:p>
        </w:tc>
        <w:tc>
          <w:tcPr>
            <w:tcW w:w="1225"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Annual</w:t>
            </w:r>
          </w:p>
        </w:tc>
        <w:tc>
          <w:tcPr>
            <w:tcW w:w="1067" w:type="dxa"/>
            <w:tcBorders>
              <w:top w:val="nil"/>
              <w:left w:val="nil"/>
              <w:bottom w:val="nil"/>
              <w:right w:val="single" w:sz="8" w:space="0" w:color="auto"/>
            </w:tcBorders>
            <w:shd w:val="clear" w:color="000000" w:fill="C0C0C0"/>
            <w:noWrap/>
            <w:vAlign w:val="bottom"/>
            <w:hideMark/>
          </w:tcPr>
          <w:p w:rsidR="006A595C" w:rsidRDefault="006A595C">
            <w:pPr>
              <w:jc w:val="center"/>
              <w:rPr>
                <w:sz w:val="20"/>
                <w:szCs w:val="20"/>
              </w:rPr>
            </w:pPr>
            <w:r>
              <w:rPr>
                <w:sz w:val="20"/>
                <w:szCs w:val="20"/>
              </w:rPr>
              <w:t>Change In</w:t>
            </w:r>
          </w:p>
        </w:tc>
      </w:tr>
      <w:tr w:rsidR="006A595C" w:rsidTr="00C96E89">
        <w:trPr>
          <w:trHeight w:val="264"/>
          <w:tblHeader/>
        </w:trPr>
        <w:tc>
          <w:tcPr>
            <w:tcW w:w="907" w:type="dxa"/>
            <w:tcBorders>
              <w:top w:val="nil"/>
              <w:left w:val="single" w:sz="8" w:space="0" w:color="auto"/>
              <w:bottom w:val="nil"/>
              <w:right w:val="nil"/>
            </w:tcBorders>
            <w:shd w:val="clear" w:color="000000" w:fill="C0C0C0"/>
            <w:noWrap/>
            <w:vAlign w:val="bottom"/>
            <w:hideMark/>
          </w:tcPr>
          <w:p w:rsidR="006A595C" w:rsidRDefault="006A595C">
            <w:pPr>
              <w:jc w:val="center"/>
              <w:rPr>
                <w:sz w:val="20"/>
                <w:szCs w:val="20"/>
              </w:rPr>
            </w:pPr>
            <w:r>
              <w:rPr>
                <w:sz w:val="20"/>
                <w:szCs w:val="20"/>
              </w:rPr>
              <w:t>Number</w:t>
            </w:r>
          </w:p>
        </w:tc>
        <w:tc>
          <w:tcPr>
            <w:tcW w:w="2255" w:type="dxa"/>
            <w:vMerge/>
            <w:tcBorders>
              <w:top w:val="nil"/>
              <w:left w:val="nil"/>
              <w:bottom w:val="nil"/>
              <w:right w:val="nil"/>
            </w:tcBorders>
            <w:vAlign w:val="center"/>
            <w:hideMark/>
          </w:tcPr>
          <w:p w:rsidR="006A595C" w:rsidRDefault="006A595C">
            <w:pPr>
              <w:rPr>
                <w:sz w:val="20"/>
                <w:szCs w:val="20"/>
              </w:rPr>
            </w:pPr>
          </w:p>
        </w:tc>
        <w:tc>
          <w:tcPr>
            <w:tcW w:w="1335"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Rate</w:t>
            </w:r>
          </w:p>
        </w:tc>
        <w:tc>
          <w:tcPr>
            <w:tcW w:w="1146"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Expense</w:t>
            </w:r>
          </w:p>
        </w:tc>
        <w:tc>
          <w:tcPr>
            <w:tcW w:w="299" w:type="dxa"/>
            <w:tcBorders>
              <w:top w:val="nil"/>
              <w:left w:val="nil"/>
              <w:bottom w:val="nil"/>
              <w:right w:val="nil"/>
            </w:tcBorders>
            <w:shd w:val="clear" w:color="000000" w:fill="C0C0C0"/>
            <w:noWrap/>
            <w:vAlign w:val="bottom"/>
            <w:hideMark/>
          </w:tcPr>
          <w:p w:rsidR="006A595C" w:rsidRDefault="006A595C">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Rate</w:t>
            </w:r>
          </w:p>
        </w:tc>
        <w:tc>
          <w:tcPr>
            <w:tcW w:w="1225" w:type="dxa"/>
            <w:tcBorders>
              <w:top w:val="nil"/>
              <w:left w:val="nil"/>
              <w:bottom w:val="nil"/>
              <w:right w:val="nil"/>
            </w:tcBorders>
            <w:shd w:val="clear" w:color="000000" w:fill="C0C0C0"/>
            <w:noWrap/>
            <w:vAlign w:val="bottom"/>
            <w:hideMark/>
          </w:tcPr>
          <w:p w:rsidR="006A595C" w:rsidRDefault="006A595C">
            <w:pPr>
              <w:jc w:val="center"/>
              <w:rPr>
                <w:sz w:val="20"/>
                <w:szCs w:val="20"/>
              </w:rPr>
            </w:pPr>
            <w:r>
              <w:rPr>
                <w:sz w:val="20"/>
                <w:szCs w:val="20"/>
              </w:rPr>
              <w:t>Expense</w:t>
            </w:r>
          </w:p>
        </w:tc>
        <w:tc>
          <w:tcPr>
            <w:tcW w:w="1067" w:type="dxa"/>
            <w:tcBorders>
              <w:top w:val="nil"/>
              <w:left w:val="nil"/>
              <w:bottom w:val="nil"/>
              <w:right w:val="single" w:sz="8" w:space="0" w:color="auto"/>
            </w:tcBorders>
            <w:shd w:val="clear" w:color="000000" w:fill="C0C0C0"/>
            <w:noWrap/>
            <w:vAlign w:val="bottom"/>
            <w:hideMark/>
          </w:tcPr>
          <w:p w:rsidR="006A595C" w:rsidRDefault="006A595C">
            <w:pPr>
              <w:jc w:val="center"/>
              <w:rPr>
                <w:sz w:val="20"/>
                <w:szCs w:val="20"/>
              </w:rPr>
            </w:pPr>
            <w:r>
              <w:rPr>
                <w:sz w:val="20"/>
                <w:szCs w:val="20"/>
              </w:rPr>
              <w:t>Expense</w:t>
            </w:r>
          </w:p>
        </w:tc>
      </w:tr>
      <w:tr w:rsidR="006A595C" w:rsidTr="00C96E89">
        <w:trPr>
          <w:trHeight w:val="300"/>
          <w:tblHeader/>
        </w:trPr>
        <w:tc>
          <w:tcPr>
            <w:tcW w:w="3162" w:type="dxa"/>
            <w:gridSpan w:val="2"/>
            <w:tcBorders>
              <w:top w:val="nil"/>
              <w:left w:val="single" w:sz="8" w:space="0" w:color="auto"/>
              <w:bottom w:val="single" w:sz="8" w:space="0" w:color="auto"/>
              <w:right w:val="nil"/>
            </w:tcBorders>
            <w:shd w:val="clear" w:color="000000" w:fill="C0C0C0"/>
            <w:noWrap/>
            <w:vAlign w:val="bottom"/>
            <w:hideMark/>
          </w:tcPr>
          <w:p w:rsidR="006A595C" w:rsidRDefault="006A595C">
            <w:pPr>
              <w:rPr>
                <w:sz w:val="20"/>
                <w:szCs w:val="20"/>
              </w:rPr>
            </w:pPr>
            <w:r>
              <w:rPr>
                <w:sz w:val="20"/>
                <w:szCs w:val="20"/>
              </w:rPr>
              <w:t> </w:t>
            </w:r>
          </w:p>
        </w:tc>
        <w:tc>
          <w:tcPr>
            <w:tcW w:w="1335" w:type="dxa"/>
            <w:tcBorders>
              <w:top w:val="nil"/>
              <w:left w:val="nil"/>
              <w:bottom w:val="single" w:sz="8" w:space="0" w:color="auto"/>
              <w:right w:val="nil"/>
            </w:tcBorders>
            <w:shd w:val="clear" w:color="000000" w:fill="C0C0C0"/>
            <w:noWrap/>
            <w:vAlign w:val="bottom"/>
            <w:hideMark/>
          </w:tcPr>
          <w:p w:rsidR="006A595C" w:rsidRDefault="006A595C">
            <w:pPr>
              <w:jc w:val="center"/>
              <w:rPr>
                <w:sz w:val="20"/>
                <w:szCs w:val="20"/>
              </w:rPr>
            </w:pPr>
            <w:r>
              <w:rPr>
                <w:sz w:val="20"/>
                <w:szCs w:val="20"/>
              </w:rPr>
              <w:t>(%)</w:t>
            </w:r>
          </w:p>
        </w:tc>
        <w:tc>
          <w:tcPr>
            <w:tcW w:w="1146" w:type="dxa"/>
            <w:tcBorders>
              <w:top w:val="nil"/>
              <w:left w:val="nil"/>
              <w:bottom w:val="single" w:sz="8" w:space="0" w:color="auto"/>
              <w:right w:val="nil"/>
            </w:tcBorders>
            <w:shd w:val="clear" w:color="000000" w:fill="C0C0C0"/>
            <w:noWrap/>
            <w:vAlign w:val="bottom"/>
            <w:hideMark/>
          </w:tcPr>
          <w:p w:rsidR="006A595C" w:rsidRDefault="006A595C">
            <w:pPr>
              <w:jc w:val="center"/>
              <w:rPr>
                <w:sz w:val="20"/>
                <w:szCs w:val="20"/>
              </w:rPr>
            </w:pPr>
            <w:r>
              <w:rPr>
                <w:sz w:val="20"/>
                <w:szCs w:val="20"/>
              </w:rPr>
              <w:t>($)</w:t>
            </w:r>
          </w:p>
        </w:tc>
        <w:tc>
          <w:tcPr>
            <w:tcW w:w="299" w:type="dxa"/>
            <w:tcBorders>
              <w:top w:val="nil"/>
              <w:left w:val="nil"/>
              <w:bottom w:val="single" w:sz="8" w:space="0" w:color="auto"/>
              <w:right w:val="nil"/>
            </w:tcBorders>
            <w:shd w:val="clear" w:color="000000" w:fill="C0C0C0"/>
            <w:noWrap/>
            <w:vAlign w:val="bottom"/>
            <w:hideMark/>
          </w:tcPr>
          <w:p w:rsidR="006A595C" w:rsidRDefault="006A595C">
            <w:pPr>
              <w:rPr>
                <w:sz w:val="20"/>
                <w:szCs w:val="20"/>
              </w:rPr>
            </w:pPr>
            <w:r>
              <w:rPr>
                <w:sz w:val="20"/>
                <w:szCs w:val="20"/>
              </w:rPr>
              <w:t> </w:t>
            </w:r>
          </w:p>
        </w:tc>
        <w:tc>
          <w:tcPr>
            <w:tcW w:w="1249" w:type="dxa"/>
            <w:tcBorders>
              <w:top w:val="nil"/>
              <w:left w:val="nil"/>
              <w:bottom w:val="single" w:sz="8" w:space="0" w:color="auto"/>
              <w:right w:val="nil"/>
            </w:tcBorders>
            <w:shd w:val="clear" w:color="000000" w:fill="C0C0C0"/>
            <w:noWrap/>
            <w:vAlign w:val="bottom"/>
            <w:hideMark/>
          </w:tcPr>
          <w:p w:rsidR="006A595C" w:rsidRDefault="006A595C">
            <w:pPr>
              <w:jc w:val="center"/>
              <w:rPr>
                <w:sz w:val="20"/>
                <w:szCs w:val="20"/>
              </w:rPr>
            </w:pPr>
            <w:r>
              <w:rPr>
                <w:sz w:val="20"/>
                <w:szCs w:val="20"/>
              </w:rPr>
              <w:t>(%)</w:t>
            </w:r>
          </w:p>
        </w:tc>
        <w:tc>
          <w:tcPr>
            <w:tcW w:w="1225" w:type="dxa"/>
            <w:tcBorders>
              <w:top w:val="nil"/>
              <w:left w:val="nil"/>
              <w:bottom w:val="single" w:sz="8" w:space="0" w:color="auto"/>
              <w:right w:val="nil"/>
            </w:tcBorders>
            <w:shd w:val="clear" w:color="000000" w:fill="C0C0C0"/>
            <w:noWrap/>
            <w:vAlign w:val="bottom"/>
            <w:hideMark/>
          </w:tcPr>
          <w:p w:rsidR="006A595C" w:rsidRDefault="006A595C">
            <w:pPr>
              <w:jc w:val="center"/>
              <w:rPr>
                <w:sz w:val="20"/>
                <w:szCs w:val="20"/>
              </w:rPr>
            </w:pPr>
            <w:r>
              <w:rPr>
                <w:sz w:val="20"/>
                <w:szCs w:val="20"/>
              </w:rPr>
              <w:t>($)</w:t>
            </w:r>
          </w:p>
        </w:tc>
        <w:tc>
          <w:tcPr>
            <w:tcW w:w="1067" w:type="dxa"/>
            <w:tcBorders>
              <w:top w:val="nil"/>
              <w:left w:val="nil"/>
              <w:bottom w:val="single" w:sz="8" w:space="0" w:color="auto"/>
              <w:right w:val="single" w:sz="8" w:space="0" w:color="auto"/>
            </w:tcBorders>
            <w:shd w:val="clear" w:color="000000" w:fill="C0C0C0"/>
            <w:noWrap/>
            <w:vAlign w:val="bottom"/>
            <w:hideMark/>
          </w:tcPr>
          <w:p w:rsidR="006A595C" w:rsidRDefault="006A595C">
            <w:pPr>
              <w:jc w:val="center"/>
              <w:rPr>
                <w:sz w:val="20"/>
                <w:szCs w:val="20"/>
              </w:rPr>
            </w:pPr>
            <w:r>
              <w:rPr>
                <w:sz w:val="20"/>
                <w:szCs w:val="20"/>
              </w:rPr>
              <w:t>($)</w:t>
            </w:r>
          </w:p>
        </w:tc>
      </w:tr>
      <w:tr w:rsidR="006A595C" w:rsidTr="00C96E89">
        <w:trPr>
          <w:trHeight w:val="288"/>
        </w:trPr>
        <w:tc>
          <w:tcPr>
            <w:tcW w:w="3162"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6A595C" w:rsidRDefault="006A595C">
            <w:pPr>
              <w:rPr>
                <w:sz w:val="20"/>
                <w:szCs w:val="20"/>
              </w:rPr>
            </w:pPr>
            <w:r>
              <w:rPr>
                <w:sz w:val="20"/>
                <w:szCs w:val="20"/>
              </w:rPr>
              <w:t>DISTRIBUTION PLANT</w:t>
            </w:r>
          </w:p>
        </w:tc>
        <w:tc>
          <w:tcPr>
            <w:tcW w:w="1335" w:type="dxa"/>
            <w:tcBorders>
              <w:top w:val="nil"/>
              <w:left w:val="nil"/>
              <w:bottom w:val="single" w:sz="4" w:space="0" w:color="auto"/>
              <w:right w:val="nil"/>
            </w:tcBorders>
            <w:shd w:val="clear" w:color="000000" w:fill="C0C0C0"/>
            <w:noWrap/>
            <w:vAlign w:val="bottom"/>
            <w:hideMark/>
          </w:tcPr>
          <w:p w:rsidR="006A595C" w:rsidRDefault="006A595C">
            <w:pPr>
              <w:jc w:val="center"/>
              <w:rPr>
                <w:sz w:val="20"/>
                <w:szCs w:val="20"/>
              </w:rPr>
            </w:pPr>
            <w:r>
              <w:rPr>
                <w:sz w:val="20"/>
                <w:szCs w:val="20"/>
              </w:rPr>
              <w:t> </w:t>
            </w:r>
          </w:p>
        </w:tc>
        <w:tc>
          <w:tcPr>
            <w:tcW w:w="1146" w:type="dxa"/>
            <w:tcBorders>
              <w:top w:val="nil"/>
              <w:left w:val="nil"/>
              <w:bottom w:val="single" w:sz="4" w:space="0" w:color="auto"/>
              <w:right w:val="nil"/>
            </w:tcBorders>
            <w:shd w:val="clear" w:color="000000" w:fill="C0C0C0"/>
            <w:noWrap/>
            <w:vAlign w:val="bottom"/>
            <w:hideMark/>
          </w:tcPr>
          <w:p w:rsidR="006A595C" w:rsidRDefault="006A595C">
            <w:pPr>
              <w:jc w:val="center"/>
              <w:rPr>
                <w:sz w:val="20"/>
                <w:szCs w:val="20"/>
              </w:rPr>
            </w:pPr>
            <w:r>
              <w:rPr>
                <w:sz w:val="20"/>
                <w:szCs w:val="20"/>
              </w:rPr>
              <w:t> </w:t>
            </w:r>
          </w:p>
        </w:tc>
        <w:tc>
          <w:tcPr>
            <w:tcW w:w="299" w:type="dxa"/>
            <w:tcBorders>
              <w:top w:val="nil"/>
              <w:left w:val="nil"/>
              <w:bottom w:val="nil"/>
              <w:right w:val="nil"/>
            </w:tcBorders>
            <w:shd w:val="clear" w:color="000000" w:fill="C0C0C0"/>
            <w:noWrap/>
            <w:vAlign w:val="bottom"/>
            <w:hideMark/>
          </w:tcPr>
          <w:p w:rsidR="006A595C" w:rsidRDefault="006A595C">
            <w:pPr>
              <w:rPr>
                <w:sz w:val="20"/>
                <w:szCs w:val="20"/>
              </w:rPr>
            </w:pPr>
            <w:r>
              <w:rPr>
                <w:sz w:val="20"/>
                <w:szCs w:val="20"/>
              </w:rPr>
              <w:t> </w:t>
            </w:r>
          </w:p>
        </w:tc>
        <w:tc>
          <w:tcPr>
            <w:tcW w:w="1249" w:type="dxa"/>
            <w:tcBorders>
              <w:top w:val="nil"/>
              <w:left w:val="nil"/>
              <w:bottom w:val="single" w:sz="4" w:space="0" w:color="auto"/>
              <w:right w:val="nil"/>
            </w:tcBorders>
            <w:shd w:val="clear" w:color="000000" w:fill="C0C0C0"/>
            <w:noWrap/>
            <w:vAlign w:val="bottom"/>
            <w:hideMark/>
          </w:tcPr>
          <w:p w:rsidR="006A595C" w:rsidRDefault="006A595C">
            <w:pPr>
              <w:jc w:val="center"/>
              <w:rPr>
                <w:sz w:val="20"/>
                <w:szCs w:val="20"/>
              </w:rPr>
            </w:pPr>
            <w:r>
              <w:rPr>
                <w:sz w:val="20"/>
                <w:szCs w:val="20"/>
              </w:rPr>
              <w:t> </w:t>
            </w:r>
          </w:p>
        </w:tc>
        <w:tc>
          <w:tcPr>
            <w:tcW w:w="1225" w:type="dxa"/>
            <w:tcBorders>
              <w:top w:val="nil"/>
              <w:left w:val="nil"/>
              <w:bottom w:val="single" w:sz="4" w:space="0" w:color="auto"/>
              <w:right w:val="nil"/>
            </w:tcBorders>
            <w:shd w:val="clear" w:color="000000" w:fill="C0C0C0"/>
            <w:noWrap/>
            <w:vAlign w:val="bottom"/>
            <w:hideMark/>
          </w:tcPr>
          <w:p w:rsidR="006A595C" w:rsidRDefault="006A595C">
            <w:pPr>
              <w:jc w:val="center"/>
              <w:rPr>
                <w:sz w:val="20"/>
                <w:szCs w:val="20"/>
              </w:rPr>
            </w:pPr>
            <w:r>
              <w:rPr>
                <w:sz w:val="20"/>
                <w:szCs w:val="20"/>
              </w:rPr>
              <w:t> </w:t>
            </w:r>
          </w:p>
        </w:tc>
        <w:tc>
          <w:tcPr>
            <w:tcW w:w="1067" w:type="dxa"/>
            <w:tcBorders>
              <w:top w:val="nil"/>
              <w:left w:val="nil"/>
              <w:bottom w:val="single" w:sz="4" w:space="0" w:color="auto"/>
              <w:right w:val="single" w:sz="8" w:space="0" w:color="auto"/>
            </w:tcBorders>
            <w:shd w:val="clear" w:color="000000" w:fill="C0C0C0"/>
            <w:noWrap/>
            <w:vAlign w:val="bottom"/>
            <w:hideMark/>
          </w:tcPr>
          <w:p w:rsidR="006A595C" w:rsidRDefault="006A595C">
            <w:pPr>
              <w:jc w:val="center"/>
              <w:rPr>
                <w:sz w:val="20"/>
                <w:szCs w:val="20"/>
              </w:rPr>
            </w:pPr>
            <w:r>
              <w:rPr>
                <w:sz w:val="20"/>
                <w:szCs w:val="20"/>
              </w:rPr>
              <w:t>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374.1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Land Rights</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17.2</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2,221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5.5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710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(1,511)</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375</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Structures &amp; Improvements</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2.5</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40,109 </w:t>
            </w:r>
          </w:p>
        </w:tc>
        <w:tc>
          <w:tcPr>
            <w:tcW w:w="299" w:type="dxa"/>
            <w:tcBorders>
              <w:top w:val="nil"/>
              <w:left w:val="nil"/>
              <w:bottom w:val="nil"/>
              <w:right w:val="single" w:sz="4" w:space="0" w:color="auto"/>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2.5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40,109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376.1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Mains - Plastic</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2.6</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2,441,461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2.1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$1,971,949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(469,512)</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376.2</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Mains - Steel</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2.8</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1,684,114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2.2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1,323,232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(360,882)</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52751E">
            <w:pPr>
              <w:rPr>
                <w:color w:val="000000"/>
                <w:sz w:val="20"/>
                <w:szCs w:val="20"/>
              </w:rPr>
            </w:pPr>
            <w:r>
              <w:rPr>
                <w:color w:val="000000"/>
                <w:sz w:val="20"/>
                <w:szCs w:val="20"/>
              </w:rPr>
              <w:t>376</w:t>
            </w:r>
            <w:r w:rsidR="006A595C">
              <w:rPr>
                <w:color w:val="000000"/>
                <w:sz w:val="20"/>
                <w:szCs w:val="20"/>
              </w:rPr>
              <w:t>G</w:t>
            </w:r>
            <w:r w:rsidR="00C96E89">
              <w:rPr>
                <w:color w:val="000000"/>
                <w:sz w:val="20"/>
                <w:szCs w:val="20"/>
              </w:rPr>
              <w:t>²</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Mains - GRIP</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2.6</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2,602,559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2.1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2,102,067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(500,492)</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378</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M&amp;R Station Equip. - General</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3.3</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143,871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3.5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152,591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8,720 </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379</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M&amp;R Station Equip. - City Gate</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3.4</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442,690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3.1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403,629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(39,061)</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380.1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Services - Plastic</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2.7</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1,381,087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2.2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$1,125,330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(255,757)</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380.2</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Services - Other</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6.5</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116,239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9.2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164,523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48,284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52751E">
            <w:pPr>
              <w:rPr>
                <w:color w:val="000000"/>
                <w:sz w:val="20"/>
                <w:szCs w:val="20"/>
              </w:rPr>
            </w:pPr>
            <w:r>
              <w:rPr>
                <w:color w:val="000000"/>
                <w:sz w:val="20"/>
                <w:szCs w:val="20"/>
              </w:rPr>
              <w:t>380</w:t>
            </w:r>
            <w:r w:rsidR="006A595C">
              <w:rPr>
                <w:color w:val="000000"/>
                <w:sz w:val="20"/>
                <w:szCs w:val="20"/>
              </w:rPr>
              <w:t>G</w:t>
            </w:r>
            <w:r w:rsidR="00C96E89">
              <w:rPr>
                <w:color w:val="000000"/>
                <w:sz w:val="20"/>
                <w:szCs w:val="20"/>
              </w:rPr>
              <w:t>²</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Services - GRIP</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2.7</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697,998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2.2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$568,739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(129,259)</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Meters</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3.7</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616,414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3.6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599,754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(16,660)</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381.1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Meters - AMR Equipment</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4.5</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100,481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4.3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96,015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(4,466)</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382</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Meter Installations</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3.1</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419,307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3.2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432,834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13,527 </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382.1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Meter Installations - MTU/DCU</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2.6</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15,513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2.6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15,513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383</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House Regulators</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3.3</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175,520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3.3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175,520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384</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House Regulator Installations</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2.7</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28,172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2.7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28,172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385</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Industrial M&amp;R Station Equip.</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3.4</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62,857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2.3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42,521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FF0000"/>
                <w:sz w:val="20"/>
                <w:szCs w:val="20"/>
              </w:rPr>
              <w:t>(20,336)</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387</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Other Equipment</w:t>
            </w:r>
          </w:p>
        </w:tc>
        <w:tc>
          <w:tcPr>
            <w:tcW w:w="133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4.0</w:t>
            </w:r>
          </w:p>
        </w:tc>
        <w:tc>
          <w:tcPr>
            <w:tcW w:w="1146"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117,769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4.0 </w:t>
            </w:r>
          </w:p>
        </w:tc>
        <w:tc>
          <w:tcPr>
            <w:tcW w:w="1225" w:type="dxa"/>
            <w:tcBorders>
              <w:top w:val="nil"/>
              <w:left w:val="nil"/>
              <w:bottom w:val="single" w:sz="4" w:space="0" w:color="auto"/>
              <w:right w:val="single" w:sz="4"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117,769 </w:t>
            </w:r>
          </w:p>
        </w:tc>
        <w:tc>
          <w:tcPr>
            <w:tcW w:w="1067" w:type="dxa"/>
            <w:tcBorders>
              <w:top w:val="nil"/>
              <w:left w:val="nil"/>
              <w:bottom w:val="single" w:sz="4" w:space="0" w:color="auto"/>
              <w:right w:val="single" w:sz="8" w:space="0" w:color="auto"/>
            </w:tcBorders>
            <w:shd w:val="clear" w:color="auto" w:fill="auto"/>
            <w:noWrap/>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264"/>
        </w:trPr>
        <w:tc>
          <w:tcPr>
            <w:tcW w:w="3162" w:type="dxa"/>
            <w:gridSpan w:val="2"/>
            <w:tcBorders>
              <w:top w:val="nil"/>
              <w:left w:val="single" w:sz="8" w:space="0" w:color="auto"/>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GENERAL PLANT</w:t>
            </w:r>
          </w:p>
        </w:tc>
        <w:tc>
          <w:tcPr>
            <w:tcW w:w="1335"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146"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29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49"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225" w:type="dxa"/>
            <w:tcBorders>
              <w:top w:val="nil"/>
              <w:left w:val="nil"/>
              <w:bottom w:val="nil"/>
              <w:right w:val="nil"/>
            </w:tcBorders>
            <w:shd w:val="clear" w:color="000000" w:fill="BFBFBF"/>
            <w:noWrap/>
            <w:vAlign w:val="bottom"/>
            <w:hideMark/>
          </w:tcPr>
          <w:p w:rsidR="006A595C" w:rsidRDefault="006A595C">
            <w:pPr>
              <w:rPr>
                <w:color w:val="000000"/>
                <w:sz w:val="20"/>
                <w:szCs w:val="20"/>
              </w:rPr>
            </w:pPr>
            <w:r>
              <w:rPr>
                <w:color w:val="000000"/>
                <w:sz w:val="20"/>
                <w:szCs w:val="20"/>
              </w:rPr>
              <w:t> </w:t>
            </w:r>
          </w:p>
        </w:tc>
        <w:tc>
          <w:tcPr>
            <w:tcW w:w="1067" w:type="dxa"/>
            <w:tcBorders>
              <w:top w:val="nil"/>
              <w:left w:val="nil"/>
              <w:bottom w:val="nil"/>
              <w:right w:val="single" w:sz="8" w:space="0" w:color="auto"/>
            </w:tcBorders>
            <w:shd w:val="clear" w:color="000000" w:fill="BFBFBF"/>
            <w:noWrap/>
            <w:vAlign w:val="bottom"/>
            <w:hideMark/>
          </w:tcPr>
          <w:p w:rsidR="006A595C" w:rsidRDefault="006A595C">
            <w:pPr>
              <w:rPr>
                <w:color w:val="000000"/>
                <w:sz w:val="20"/>
                <w:szCs w:val="20"/>
              </w:rPr>
            </w:pPr>
            <w:r>
              <w:rPr>
                <w:color w:val="000000"/>
                <w:sz w:val="20"/>
                <w:szCs w:val="20"/>
              </w:rPr>
              <w:t> </w:t>
            </w:r>
          </w:p>
        </w:tc>
      </w:tr>
      <w:tr w:rsidR="006A595C" w:rsidTr="00C96E89">
        <w:trPr>
          <w:trHeight w:val="264"/>
        </w:trPr>
        <w:tc>
          <w:tcPr>
            <w:tcW w:w="90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390</w:t>
            </w:r>
          </w:p>
        </w:tc>
        <w:tc>
          <w:tcPr>
            <w:tcW w:w="2255" w:type="dxa"/>
            <w:tcBorders>
              <w:top w:val="single" w:sz="4" w:space="0" w:color="auto"/>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Structures &amp; Improvements</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2.0</w:t>
            </w:r>
          </w:p>
        </w:tc>
        <w:tc>
          <w:tcPr>
            <w:tcW w:w="1146" w:type="dxa"/>
            <w:tcBorders>
              <w:top w:val="single" w:sz="4" w:space="0" w:color="auto"/>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62,775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2.3 </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72,192 </w:t>
            </w:r>
          </w:p>
        </w:tc>
        <w:tc>
          <w:tcPr>
            <w:tcW w:w="1067" w:type="dxa"/>
            <w:tcBorders>
              <w:top w:val="single" w:sz="4" w:space="0" w:color="auto"/>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9,417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Office Furniture</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3.7</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59,572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5.0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80,503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20,931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391.2</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Office Equipment</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6.1</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119,198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7.1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138,738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19,541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391.3</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Computer Hardware</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5.2</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50,833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10.0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97,755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46,922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391.4</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Computer Software</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5.2</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387,213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10.0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744,641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357,428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392.1</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Transportation - Cars</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11.0</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17,852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17.4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28,239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10,387 </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392.2</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Transportation - Light Trucks &amp; Vans</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8.0</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440,778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8.4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462,817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22,039 </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392.3</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Transportation - Heavy Trucks</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8.2</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8.2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392.4</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Transportation - Other</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3.3</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3,011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5.8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5,292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2,281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393</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Stores Equipment</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5.8</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1,484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3.8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972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FF0000"/>
                <w:sz w:val="20"/>
                <w:szCs w:val="20"/>
              </w:rPr>
              <w:t>(512)</w:t>
            </w:r>
          </w:p>
        </w:tc>
      </w:tr>
      <w:tr w:rsidR="006A595C" w:rsidTr="00C96E89">
        <w:trPr>
          <w:trHeight w:val="528"/>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lastRenderedPageBreak/>
              <w:t>394</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Tools, Shop &amp; Garage Equip.</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7.4</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68,426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6.7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61,953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FF0000"/>
                <w:sz w:val="20"/>
                <w:szCs w:val="20"/>
              </w:rPr>
              <w:t>(6,473)</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395</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Laboratory Equipment</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5.0</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5.0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396</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Power Operated Equip.</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1.1</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16,776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5.1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77,782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61,006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397</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Communication Equip.</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7.0</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156,963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7.7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172,659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15,696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398</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Miscellaneous Equip.</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4.6</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16,445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5.9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21,092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4,647 </w:t>
            </w:r>
          </w:p>
        </w:tc>
      </w:tr>
      <w:tr w:rsidR="006A595C" w:rsidTr="00C96E89">
        <w:trPr>
          <w:trHeight w:val="264"/>
        </w:trPr>
        <w:tc>
          <w:tcPr>
            <w:tcW w:w="907" w:type="dxa"/>
            <w:tcBorders>
              <w:top w:val="nil"/>
              <w:left w:val="single" w:sz="8" w:space="0" w:color="auto"/>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399</w:t>
            </w:r>
          </w:p>
        </w:tc>
        <w:tc>
          <w:tcPr>
            <w:tcW w:w="2255" w:type="dxa"/>
            <w:tcBorders>
              <w:top w:val="nil"/>
              <w:left w:val="nil"/>
              <w:bottom w:val="single" w:sz="4" w:space="0" w:color="auto"/>
              <w:right w:val="single" w:sz="4" w:space="0" w:color="auto"/>
            </w:tcBorders>
            <w:shd w:val="clear" w:color="auto" w:fill="auto"/>
            <w:vAlign w:val="bottom"/>
            <w:hideMark/>
          </w:tcPr>
          <w:p w:rsidR="006A595C" w:rsidRDefault="006A595C">
            <w:pPr>
              <w:rPr>
                <w:color w:val="000000"/>
                <w:sz w:val="20"/>
                <w:szCs w:val="20"/>
              </w:rPr>
            </w:pPr>
            <w:r>
              <w:rPr>
                <w:color w:val="000000"/>
                <w:sz w:val="20"/>
                <w:szCs w:val="20"/>
              </w:rPr>
              <w:t>Miscellaneous Tangible</w:t>
            </w:r>
          </w:p>
        </w:tc>
        <w:tc>
          <w:tcPr>
            <w:tcW w:w="1335" w:type="dxa"/>
            <w:tcBorders>
              <w:top w:val="nil"/>
              <w:left w:val="nil"/>
              <w:bottom w:val="single" w:sz="4" w:space="0" w:color="auto"/>
              <w:right w:val="single" w:sz="4" w:space="0" w:color="auto"/>
            </w:tcBorders>
            <w:shd w:val="clear" w:color="auto" w:fill="auto"/>
            <w:vAlign w:val="bottom"/>
            <w:hideMark/>
          </w:tcPr>
          <w:p w:rsidR="006A595C" w:rsidRDefault="00A76112">
            <w:pPr>
              <w:jc w:val="right"/>
              <w:rPr>
                <w:color w:val="000000"/>
                <w:sz w:val="20"/>
                <w:szCs w:val="20"/>
              </w:rPr>
            </w:pPr>
            <w:r>
              <w:rPr>
                <w:color w:val="000000"/>
                <w:sz w:val="20"/>
                <w:szCs w:val="20"/>
              </w:rPr>
              <w:t>2</w:t>
            </w:r>
            <w:r w:rsidR="006A595C">
              <w:rPr>
                <w:color w:val="000000"/>
                <w:sz w:val="20"/>
                <w:szCs w:val="20"/>
              </w:rPr>
              <w:t>0.0</w:t>
            </w:r>
          </w:p>
        </w:tc>
        <w:tc>
          <w:tcPr>
            <w:tcW w:w="1146"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rsidR="006A595C" w:rsidRDefault="00A76112">
            <w:pPr>
              <w:jc w:val="right"/>
              <w:rPr>
                <w:color w:val="000000"/>
                <w:sz w:val="20"/>
                <w:szCs w:val="20"/>
              </w:rPr>
            </w:pPr>
            <w:r>
              <w:rPr>
                <w:color w:val="000000"/>
                <w:sz w:val="20"/>
                <w:szCs w:val="20"/>
              </w:rPr>
              <w:t>2</w:t>
            </w:r>
            <w:r w:rsidR="006A595C">
              <w:rPr>
                <w:color w:val="000000"/>
                <w:sz w:val="20"/>
                <w:szCs w:val="20"/>
              </w:rPr>
              <w:t xml:space="preserve">0.0 </w:t>
            </w:r>
          </w:p>
        </w:tc>
        <w:tc>
          <w:tcPr>
            <w:tcW w:w="1225" w:type="dxa"/>
            <w:tcBorders>
              <w:top w:val="nil"/>
              <w:left w:val="nil"/>
              <w:bottom w:val="single" w:sz="4"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c>
          <w:tcPr>
            <w:tcW w:w="1067" w:type="dxa"/>
            <w:tcBorders>
              <w:top w:val="nil"/>
              <w:left w:val="nil"/>
              <w:bottom w:val="single" w:sz="4" w:space="0" w:color="auto"/>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0 </w:t>
            </w:r>
          </w:p>
        </w:tc>
      </w:tr>
      <w:tr w:rsidR="006A595C" w:rsidTr="00C96E89">
        <w:trPr>
          <w:trHeight w:val="300"/>
        </w:trPr>
        <w:tc>
          <w:tcPr>
            <w:tcW w:w="3162" w:type="dxa"/>
            <w:gridSpan w:val="2"/>
            <w:tcBorders>
              <w:top w:val="single" w:sz="4" w:space="0" w:color="auto"/>
              <w:left w:val="single" w:sz="8" w:space="0" w:color="auto"/>
              <w:bottom w:val="single" w:sz="8" w:space="0" w:color="auto"/>
              <w:right w:val="single" w:sz="4" w:space="0" w:color="000000"/>
            </w:tcBorders>
            <w:shd w:val="clear" w:color="auto" w:fill="auto"/>
            <w:vAlign w:val="bottom"/>
            <w:hideMark/>
          </w:tcPr>
          <w:p w:rsidR="006A595C" w:rsidRDefault="006A595C">
            <w:pPr>
              <w:jc w:val="center"/>
              <w:rPr>
                <w:color w:val="000000"/>
                <w:sz w:val="20"/>
                <w:szCs w:val="20"/>
              </w:rPr>
            </w:pPr>
            <w:r>
              <w:rPr>
                <w:color w:val="000000"/>
                <w:sz w:val="20"/>
                <w:szCs w:val="20"/>
              </w:rPr>
              <w:t>General Plant Reserve Deficiency</w:t>
            </w:r>
          </w:p>
        </w:tc>
        <w:tc>
          <w:tcPr>
            <w:tcW w:w="1335"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146" w:type="dxa"/>
            <w:tcBorders>
              <w:top w:val="nil"/>
              <w:left w:val="nil"/>
              <w:bottom w:val="single" w:sz="8" w:space="0" w:color="auto"/>
              <w:right w:val="single" w:sz="4" w:space="0" w:color="auto"/>
            </w:tcBorders>
            <w:shd w:val="clear" w:color="000000" w:fill="BFBFBF"/>
            <w:vAlign w:val="bottom"/>
            <w:hideMark/>
          </w:tcPr>
          <w:p w:rsidR="006A595C" w:rsidRDefault="006A595C">
            <w:pPr>
              <w:rPr>
                <w:color w:val="000000"/>
                <w:sz w:val="20"/>
                <w:szCs w:val="20"/>
              </w:rPr>
            </w:pPr>
            <w:r>
              <w:rPr>
                <w:color w:val="000000"/>
                <w:sz w:val="20"/>
                <w:szCs w:val="20"/>
              </w:rPr>
              <w:t> </w:t>
            </w:r>
          </w:p>
        </w:tc>
        <w:tc>
          <w:tcPr>
            <w:tcW w:w="299" w:type="dxa"/>
            <w:tcBorders>
              <w:top w:val="nil"/>
              <w:left w:val="nil"/>
              <w:bottom w:val="nil"/>
              <w:right w:val="nil"/>
            </w:tcBorders>
            <w:shd w:val="clear" w:color="000000" w:fill="BFBFBF"/>
            <w:vAlign w:val="bottom"/>
            <w:hideMark/>
          </w:tcPr>
          <w:p w:rsidR="006A595C" w:rsidRDefault="006A595C">
            <w:pPr>
              <w:rPr>
                <w:color w:val="000000"/>
                <w:sz w:val="20"/>
                <w:szCs w:val="20"/>
              </w:rPr>
            </w:pPr>
            <w:r>
              <w:rPr>
                <w:color w:val="000000"/>
                <w:sz w:val="20"/>
                <w:szCs w:val="20"/>
              </w:rPr>
              <w:t> </w:t>
            </w:r>
          </w:p>
        </w:tc>
        <w:tc>
          <w:tcPr>
            <w:tcW w:w="1249" w:type="dxa"/>
            <w:tcBorders>
              <w:top w:val="nil"/>
              <w:left w:val="single" w:sz="4" w:space="0" w:color="auto"/>
              <w:bottom w:val="single" w:sz="8" w:space="0" w:color="auto"/>
              <w:right w:val="nil"/>
            </w:tcBorders>
            <w:shd w:val="clear" w:color="auto" w:fill="auto"/>
            <w:vAlign w:val="bottom"/>
            <w:hideMark/>
          </w:tcPr>
          <w:p w:rsidR="006A595C" w:rsidRDefault="006A595C">
            <w:pPr>
              <w:jc w:val="right"/>
              <w:rPr>
                <w:color w:val="000000"/>
                <w:sz w:val="20"/>
                <w:szCs w:val="20"/>
              </w:rPr>
            </w:pPr>
            <w:r>
              <w:rPr>
                <w:color w:val="000000"/>
                <w:sz w:val="20"/>
                <w:szCs w:val="20"/>
              </w:rPr>
              <w:t xml:space="preserve">20.0 </w:t>
            </w:r>
          </w:p>
        </w:tc>
        <w:tc>
          <w:tcPr>
            <w:tcW w:w="1225" w:type="dxa"/>
            <w:tcBorders>
              <w:top w:val="nil"/>
              <w:left w:val="single" w:sz="4" w:space="0" w:color="auto"/>
              <w:bottom w:val="single" w:sz="8" w:space="0" w:color="auto"/>
              <w:right w:val="single" w:sz="4"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270,196 </w:t>
            </w:r>
          </w:p>
        </w:tc>
        <w:tc>
          <w:tcPr>
            <w:tcW w:w="1067" w:type="dxa"/>
            <w:tcBorders>
              <w:top w:val="nil"/>
              <w:left w:val="nil"/>
              <w:bottom w:val="nil"/>
              <w:right w:val="single" w:sz="8" w:space="0" w:color="auto"/>
            </w:tcBorders>
            <w:shd w:val="clear" w:color="auto" w:fill="auto"/>
            <w:vAlign w:val="bottom"/>
            <w:hideMark/>
          </w:tcPr>
          <w:p w:rsidR="006A595C" w:rsidRDefault="006A595C">
            <w:pPr>
              <w:jc w:val="right"/>
              <w:rPr>
                <w:color w:val="000000"/>
                <w:sz w:val="20"/>
                <w:szCs w:val="20"/>
              </w:rPr>
            </w:pPr>
            <w:r>
              <w:rPr>
                <w:color w:val="000000"/>
                <w:sz w:val="20"/>
                <w:szCs w:val="20"/>
              </w:rPr>
              <w:t xml:space="preserve">270,196 </w:t>
            </w:r>
          </w:p>
        </w:tc>
      </w:tr>
      <w:tr w:rsidR="006A595C" w:rsidTr="00C96E89">
        <w:trPr>
          <w:trHeight w:val="276"/>
        </w:trPr>
        <w:tc>
          <w:tcPr>
            <w:tcW w:w="316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A595C" w:rsidRDefault="006A595C">
            <w:pPr>
              <w:jc w:val="right"/>
              <w:rPr>
                <w:b/>
                <w:bCs/>
                <w:sz w:val="20"/>
                <w:szCs w:val="20"/>
              </w:rPr>
            </w:pPr>
            <w:r>
              <w:rPr>
                <w:b/>
                <w:bCs/>
                <w:sz w:val="20"/>
                <w:szCs w:val="20"/>
              </w:rPr>
              <w:t>Total</w:t>
            </w:r>
          </w:p>
        </w:tc>
        <w:tc>
          <w:tcPr>
            <w:tcW w:w="1335" w:type="dxa"/>
            <w:tcBorders>
              <w:top w:val="single" w:sz="8" w:space="0" w:color="auto"/>
              <w:left w:val="nil"/>
              <w:bottom w:val="single" w:sz="8" w:space="0" w:color="auto"/>
              <w:right w:val="nil"/>
            </w:tcBorders>
            <w:shd w:val="clear" w:color="000000" w:fill="BFBFBF"/>
            <w:noWrap/>
            <w:vAlign w:val="bottom"/>
            <w:hideMark/>
          </w:tcPr>
          <w:p w:rsidR="006A595C" w:rsidRDefault="006A595C">
            <w:pPr>
              <w:jc w:val="right"/>
              <w:rPr>
                <w:color w:val="000000"/>
                <w:sz w:val="20"/>
                <w:szCs w:val="20"/>
              </w:rPr>
            </w:pPr>
            <w:r>
              <w:rPr>
                <w:color w:val="000000"/>
                <w:sz w:val="20"/>
                <w:szCs w:val="20"/>
              </w:rPr>
              <w:t> </w:t>
            </w:r>
          </w:p>
        </w:tc>
        <w:tc>
          <w:tcPr>
            <w:tcW w:w="1146" w:type="dxa"/>
            <w:tcBorders>
              <w:top w:val="nil"/>
              <w:left w:val="single" w:sz="8" w:space="0" w:color="auto"/>
              <w:bottom w:val="single" w:sz="8" w:space="0" w:color="auto"/>
              <w:right w:val="single" w:sz="8" w:space="0" w:color="auto"/>
            </w:tcBorders>
            <w:shd w:val="clear" w:color="auto" w:fill="auto"/>
            <w:noWrap/>
            <w:vAlign w:val="bottom"/>
            <w:hideMark/>
          </w:tcPr>
          <w:p w:rsidR="006A595C" w:rsidRDefault="006A595C">
            <w:pPr>
              <w:jc w:val="right"/>
              <w:rPr>
                <w:b/>
                <w:bCs/>
                <w:sz w:val="20"/>
                <w:szCs w:val="20"/>
              </w:rPr>
            </w:pPr>
            <w:r>
              <w:rPr>
                <w:b/>
                <w:bCs/>
                <w:sz w:val="20"/>
                <w:szCs w:val="20"/>
              </w:rPr>
              <w:t xml:space="preserve">12,489,709 </w:t>
            </w:r>
          </w:p>
        </w:tc>
        <w:tc>
          <w:tcPr>
            <w:tcW w:w="299" w:type="dxa"/>
            <w:tcBorders>
              <w:top w:val="nil"/>
              <w:left w:val="nil"/>
              <w:bottom w:val="single" w:sz="8" w:space="0" w:color="auto"/>
              <w:right w:val="nil"/>
            </w:tcBorders>
            <w:shd w:val="clear" w:color="000000" w:fill="BFBFBF"/>
            <w:noWrap/>
            <w:vAlign w:val="bottom"/>
            <w:hideMark/>
          </w:tcPr>
          <w:p w:rsidR="006A595C" w:rsidRDefault="006A595C">
            <w:pPr>
              <w:rPr>
                <w:sz w:val="20"/>
                <w:szCs w:val="20"/>
              </w:rPr>
            </w:pPr>
            <w:r>
              <w:rPr>
                <w:sz w:val="20"/>
                <w:szCs w:val="20"/>
              </w:rPr>
              <w:t> </w:t>
            </w:r>
          </w:p>
        </w:tc>
        <w:tc>
          <w:tcPr>
            <w:tcW w:w="1249" w:type="dxa"/>
            <w:tcBorders>
              <w:top w:val="nil"/>
              <w:left w:val="single" w:sz="8" w:space="0" w:color="auto"/>
              <w:bottom w:val="single" w:sz="8" w:space="0" w:color="auto"/>
              <w:right w:val="nil"/>
            </w:tcBorders>
            <w:shd w:val="clear" w:color="000000" w:fill="BFBFBF"/>
            <w:noWrap/>
            <w:vAlign w:val="bottom"/>
            <w:hideMark/>
          </w:tcPr>
          <w:p w:rsidR="006A595C" w:rsidRDefault="006A595C">
            <w:pPr>
              <w:jc w:val="right"/>
              <w:rPr>
                <w:b/>
                <w:bCs/>
                <w:sz w:val="20"/>
                <w:szCs w:val="20"/>
              </w:rPr>
            </w:pPr>
            <w:r>
              <w:rPr>
                <w:b/>
                <w:bCs/>
                <w:sz w:val="20"/>
                <w:szCs w:val="20"/>
              </w:rPr>
              <w:t> </w:t>
            </w:r>
          </w:p>
        </w:tc>
        <w:tc>
          <w:tcPr>
            <w:tcW w:w="1225" w:type="dxa"/>
            <w:tcBorders>
              <w:top w:val="nil"/>
              <w:left w:val="single" w:sz="8" w:space="0" w:color="auto"/>
              <w:bottom w:val="single" w:sz="8" w:space="0" w:color="auto"/>
              <w:right w:val="single" w:sz="8" w:space="0" w:color="auto"/>
            </w:tcBorders>
            <w:shd w:val="clear" w:color="auto" w:fill="auto"/>
            <w:noWrap/>
            <w:vAlign w:val="bottom"/>
            <w:hideMark/>
          </w:tcPr>
          <w:p w:rsidR="006A595C" w:rsidRDefault="006A595C">
            <w:pPr>
              <w:jc w:val="right"/>
              <w:rPr>
                <w:b/>
                <w:bCs/>
                <w:sz w:val="20"/>
                <w:szCs w:val="20"/>
              </w:rPr>
            </w:pPr>
            <w:r>
              <w:rPr>
                <w:b/>
                <w:bCs/>
                <w:sz w:val="20"/>
                <w:szCs w:val="20"/>
              </w:rPr>
              <w:t xml:space="preserve">11,595,809 </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rsidR="006A595C" w:rsidRDefault="006A595C">
            <w:pPr>
              <w:jc w:val="right"/>
              <w:rPr>
                <w:b/>
                <w:bCs/>
                <w:sz w:val="20"/>
                <w:szCs w:val="20"/>
              </w:rPr>
            </w:pPr>
            <w:r>
              <w:rPr>
                <w:b/>
                <w:bCs/>
                <w:color w:val="FF0000"/>
                <w:sz w:val="20"/>
                <w:szCs w:val="20"/>
              </w:rPr>
              <w:t>(893,899)</w:t>
            </w:r>
          </w:p>
        </w:tc>
      </w:tr>
      <w:tr w:rsidR="006A595C" w:rsidTr="00C96E89">
        <w:trPr>
          <w:trHeight w:val="264"/>
        </w:trPr>
        <w:tc>
          <w:tcPr>
            <w:tcW w:w="3162" w:type="dxa"/>
            <w:gridSpan w:val="2"/>
            <w:tcBorders>
              <w:top w:val="nil"/>
              <w:left w:val="nil"/>
              <w:bottom w:val="nil"/>
              <w:right w:val="nil"/>
            </w:tcBorders>
            <w:shd w:val="clear" w:color="auto" w:fill="auto"/>
            <w:noWrap/>
            <w:vAlign w:val="bottom"/>
            <w:hideMark/>
          </w:tcPr>
          <w:p w:rsidR="006A595C" w:rsidRDefault="002765D0">
            <w:pPr>
              <w:rPr>
                <w:color w:val="000000"/>
                <w:sz w:val="20"/>
                <w:szCs w:val="20"/>
              </w:rPr>
            </w:pPr>
            <w:r>
              <w:rPr>
                <w:color w:val="000000"/>
                <w:sz w:val="20"/>
                <w:szCs w:val="20"/>
              </w:rPr>
              <w:t>¹</w:t>
            </w:r>
            <w:r w:rsidR="006A595C">
              <w:rPr>
                <w:color w:val="000000"/>
                <w:sz w:val="20"/>
                <w:szCs w:val="20"/>
              </w:rPr>
              <w:t>Order No. PSC-14-0698-PAA-GU</w:t>
            </w:r>
            <w:r w:rsidR="008373B3">
              <w:rPr>
                <w:color w:val="000000"/>
                <w:sz w:val="20"/>
                <w:szCs w:val="20"/>
              </w:rPr>
              <w:t>.</w:t>
            </w:r>
          </w:p>
        </w:tc>
        <w:tc>
          <w:tcPr>
            <w:tcW w:w="1335" w:type="dxa"/>
            <w:tcBorders>
              <w:top w:val="nil"/>
              <w:left w:val="nil"/>
              <w:bottom w:val="nil"/>
              <w:right w:val="nil"/>
            </w:tcBorders>
            <w:shd w:val="clear" w:color="auto" w:fill="auto"/>
            <w:noWrap/>
            <w:vAlign w:val="bottom"/>
            <w:hideMark/>
          </w:tcPr>
          <w:p w:rsidR="006A595C" w:rsidRDefault="006A595C">
            <w:pPr>
              <w:rPr>
                <w:color w:val="000000"/>
                <w:sz w:val="20"/>
                <w:szCs w:val="20"/>
              </w:rPr>
            </w:pPr>
          </w:p>
        </w:tc>
        <w:tc>
          <w:tcPr>
            <w:tcW w:w="1146" w:type="dxa"/>
            <w:tcBorders>
              <w:top w:val="nil"/>
              <w:left w:val="nil"/>
              <w:bottom w:val="nil"/>
              <w:right w:val="nil"/>
            </w:tcBorders>
            <w:shd w:val="clear" w:color="auto" w:fill="auto"/>
            <w:noWrap/>
            <w:vAlign w:val="bottom"/>
            <w:hideMark/>
          </w:tcPr>
          <w:p w:rsidR="006A595C" w:rsidRDefault="006A595C">
            <w:pPr>
              <w:rPr>
                <w:color w:val="000000"/>
                <w:sz w:val="20"/>
                <w:szCs w:val="20"/>
              </w:rPr>
            </w:pPr>
          </w:p>
        </w:tc>
        <w:tc>
          <w:tcPr>
            <w:tcW w:w="299" w:type="dxa"/>
            <w:tcBorders>
              <w:top w:val="nil"/>
              <w:left w:val="nil"/>
              <w:bottom w:val="nil"/>
              <w:right w:val="nil"/>
            </w:tcBorders>
            <w:shd w:val="clear" w:color="auto" w:fill="auto"/>
            <w:noWrap/>
            <w:vAlign w:val="bottom"/>
            <w:hideMark/>
          </w:tcPr>
          <w:p w:rsidR="006A595C" w:rsidRDefault="006A595C">
            <w:pPr>
              <w:rPr>
                <w:color w:val="000000"/>
                <w:sz w:val="20"/>
                <w:szCs w:val="20"/>
              </w:rPr>
            </w:pPr>
          </w:p>
        </w:tc>
        <w:tc>
          <w:tcPr>
            <w:tcW w:w="1249" w:type="dxa"/>
            <w:tcBorders>
              <w:top w:val="nil"/>
              <w:left w:val="nil"/>
              <w:bottom w:val="nil"/>
              <w:right w:val="nil"/>
            </w:tcBorders>
            <w:shd w:val="clear" w:color="auto" w:fill="auto"/>
            <w:noWrap/>
            <w:vAlign w:val="bottom"/>
            <w:hideMark/>
          </w:tcPr>
          <w:p w:rsidR="006A595C" w:rsidRDefault="006A595C">
            <w:pPr>
              <w:rPr>
                <w:color w:val="000000"/>
                <w:sz w:val="20"/>
                <w:szCs w:val="20"/>
              </w:rPr>
            </w:pPr>
          </w:p>
        </w:tc>
        <w:tc>
          <w:tcPr>
            <w:tcW w:w="1225" w:type="dxa"/>
            <w:tcBorders>
              <w:top w:val="nil"/>
              <w:left w:val="nil"/>
              <w:bottom w:val="nil"/>
              <w:right w:val="nil"/>
            </w:tcBorders>
            <w:shd w:val="clear" w:color="auto" w:fill="auto"/>
            <w:noWrap/>
            <w:vAlign w:val="bottom"/>
            <w:hideMark/>
          </w:tcPr>
          <w:p w:rsidR="006A595C" w:rsidRDefault="006A595C">
            <w:pPr>
              <w:rPr>
                <w:color w:val="000000"/>
                <w:sz w:val="20"/>
                <w:szCs w:val="20"/>
              </w:rPr>
            </w:pPr>
          </w:p>
        </w:tc>
        <w:tc>
          <w:tcPr>
            <w:tcW w:w="1067" w:type="dxa"/>
            <w:tcBorders>
              <w:top w:val="nil"/>
              <w:left w:val="nil"/>
              <w:bottom w:val="nil"/>
              <w:right w:val="nil"/>
            </w:tcBorders>
            <w:shd w:val="clear" w:color="auto" w:fill="auto"/>
            <w:noWrap/>
            <w:vAlign w:val="bottom"/>
            <w:hideMark/>
          </w:tcPr>
          <w:p w:rsidR="006A595C" w:rsidRDefault="006A595C">
            <w:pPr>
              <w:rPr>
                <w:color w:val="000000"/>
                <w:sz w:val="20"/>
                <w:szCs w:val="20"/>
              </w:rPr>
            </w:pPr>
          </w:p>
        </w:tc>
      </w:tr>
      <w:tr w:rsidR="00C96E89" w:rsidTr="00082407">
        <w:trPr>
          <w:trHeight w:val="264"/>
        </w:trPr>
        <w:tc>
          <w:tcPr>
            <w:tcW w:w="9483" w:type="dxa"/>
            <w:gridSpan w:val="8"/>
            <w:tcBorders>
              <w:top w:val="nil"/>
              <w:left w:val="nil"/>
              <w:bottom w:val="nil"/>
              <w:right w:val="nil"/>
            </w:tcBorders>
            <w:shd w:val="clear" w:color="auto" w:fill="auto"/>
            <w:noWrap/>
            <w:vAlign w:val="bottom"/>
          </w:tcPr>
          <w:p w:rsidR="00C96E89" w:rsidRDefault="002765D0">
            <w:pPr>
              <w:rPr>
                <w:color w:val="000000"/>
                <w:sz w:val="20"/>
                <w:szCs w:val="20"/>
              </w:rPr>
            </w:pPr>
            <w:r>
              <w:rPr>
                <w:color w:val="000000"/>
                <w:sz w:val="20"/>
                <w:szCs w:val="20"/>
              </w:rPr>
              <w:t>²</w:t>
            </w:r>
            <w:r w:rsidR="00B6288E">
              <w:rPr>
                <w:color w:val="000000"/>
                <w:sz w:val="20"/>
                <w:szCs w:val="20"/>
              </w:rPr>
              <w:t>Account n</w:t>
            </w:r>
            <w:r w:rsidR="00C96E89">
              <w:rPr>
                <w:color w:val="000000"/>
                <w:sz w:val="20"/>
                <w:szCs w:val="20"/>
              </w:rPr>
              <w:t>ot shown on Order No. PSC-14-0698-PAA-GU.  Rates applicable to Accounts 376.1 and 380</w:t>
            </w:r>
            <w:r w:rsidR="00CF59C8">
              <w:rPr>
                <w:color w:val="000000"/>
                <w:sz w:val="20"/>
                <w:szCs w:val="20"/>
              </w:rPr>
              <w:t>.1</w:t>
            </w:r>
            <w:r w:rsidR="00C96E89">
              <w:rPr>
                <w:color w:val="000000"/>
                <w:sz w:val="20"/>
                <w:szCs w:val="20"/>
              </w:rPr>
              <w:t xml:space="preserve"> were applied during the period between depreciation studies.</w:t>
            </w:r>
          </w:p>
        </w:tc>
      </w:tr>
      <w:tr w:rsidR="00EF5801" w:rsidTr="00C96E89">
        <w:trPr>
          <w:trHeight w:val="264"/>
        </w:trPr>
        <w:tc>
          <w:tcPr>
            <w:tcW w:w="3162" w:type="dxa"/>
            <w:gridSpan w:val="2"/>
            <w:tcBorders>
              <w:top w:val="nil"/>
              <w:left w:val="nil"/>
              <w:bottom w:val="nil"/>
              <w:right w:val="nil"/>
            </w:tcBorders>
            <w:shd w:val="clear" w:color="auto" w:fill="auto"/>
            <w:noWrap/>
            <w:vAlign w:val="bottom"/>
          </w:tcPr>
          <w:p w:rsidR="00EF5801" w:rsidRDefault="00EF5801">
            <w:pPr>
              <w:rPr>
                <w:color w:val="000000"/>
                <w:sz w:val="20"/>
                <w:szCs w:val="20"/>
              </w:rPr>
            </w:pPr>
          </w:p>
        </w:tc>
        <w:tc>
          <w:tcPr>
            <w:tcW w:w="1335" w:type="dxa"/>
            <w:tcBorders>
              <w:top w:val="nil"/>
              <w:left w:val="nil"/>
              <w:bottom w:val="nil"/>
              <w:right w:val="nil"/>
            </w:tcBorders>
            <w:shd w:val="clear" w:color="auto" w:fill="auto"/>
            <w:noWrap/>
            <w:vAlign w:val="bottom"/>
          </w:tcPr>
          <w:p w:rsidR="00EF5801" w:rsidRDefault="00EF5801">
            <w:pPr>
              <w:rPr>
                <w:color w:val="000000"/>
                <w:sz w:val="20"/>
                <w:szCs w:val="20"/>
              </w:rPr>
            </w:pPr>
          </w:p>
        </w:tc>
        <w:tc>
          <w:tcPr>
            <w:tcW w:w="1146" w:type="dxa"/>
            <w:tcBorders>
              <w:top w:val="nil"/>
              <w:left w:val="nil"/>
              <w:bottom w:val="nil"/>
              <w:right w:val="nil"/>
            </w:tcBorders>
            <w:shd w:val="clear" w:color="auto" w:fill="auto"/>
            <w:noWrap/>
            <w:vAlign w:val="bottom"/>
          </w:tcPr>
          <w:p w:rsidR="00EF5801" w:rsidRDefault="00EF5801">
            <w:pPr>
              <w:rPr>
                <w:color w:val="000000"/>
                <w:sz w:val="20"/>
                <w:szCs w:val="20"/>
              </w:rPr>
            </w:pPr>
          </w:p>
        </w:tc>
        <w:tc>
          <w:tcPr>
            <w:tcW w:w="299" w:type="dxa"/>
            <w:tcBorders>
              <w:top w:val="nil"/>
              <w:left w:val="nil"/>
              <w:bottom w:val="nil"/>
              <w:right w:val="nil"/>
            </w:tcBorders>
            <w:shd w:val="clear" w:color="auto" w:fill="auto"/>
            <w:noWrap/>
            <w:vAlign w:val="bottom"/>
          </w:tcPr>
          <w:p w:rsidR="00EF5801" w:rsidRDefault="00EF5801">
            <w:pPr>
              <w:rPr>
                <w:color w:val="000000"/>
                <w:sz w:val="20"/>
                <w:szCs w:val="20"/>
              </w:rPr>
            </w:pPr>
          </w:p>
        </w:tc>
        <w:tc>
          <w:tcPr>
            <w:tcW w:w="1249" w:type="dxa"/>
            <w:tcBorders>
              <w:top w:val="nil"/>
              <w:left w:val="nil"/>
              <w:bottom w:val="nil"/>
              <w:right w:val="nil"/>
            </w:tcBorders>
            <w:shd w:val="clear" w:color="auto" w:fill="auto"/>
            <w:noWrap/>
            <w:vAlign w:val="bottom"/>
          </w:tcPr>
          <w:p w:rsidR="00EF5801" w:rsidRDefault="00EF5801">
            <w:pPr>
              <w:rPr>
                <w:color w:val="000000"/>
                <w:sz w:val="20"/>
                <w:szCs w:val="20"/>
              </w:rPr>
            </w:pPr>
          </w:p>
        </w:tc>
        <w:tc>
          <w:tcPr>
            <w:tcW w:w="1225" w:type="dxa"/>
            <w:tcBorders>
              <w:top w:val="nil"/>
              <w:left w:val="nil"/>
              <w:bottom w:val="nil"/>
              <w:right w:val="nil"/>
            </w:tcBorders>
            <w:shd w:val="clear" w:color="auto" w:fill="auto"/>
            <w:noWrap/>
            <w:vAlign w:val="bottom"/>
          </w:tcPr>
          <w:p w:rsidR="00EF5801" w:rsidRDefault="00EF5801">
            <w:pPr>
              <w:rPr>
                <w:color w:val="000000"/>
                <w:sz w:val="20"/>
                <w:szCs w:val="20"/>
              </w:rPr>
            </w:pPr>
          </w:p>
        </w:tc>
        <w:tc>
          <w:tcPr>
            <w:tcW w:w="1067" w:type="dxa"/>
            <w:tcBorders>
              <w:top w:val="nil"/>
              <w:left w:val="nil"/>
              <w:bottom w:val="nil"/>
              <w:right w:val="nil"/>
            </w:tcBorders>
            <w:shd w:val="clear" w:color="auto" w:fill="auto"/>
            <w:noWrap/>
            <w:vAlign w:val="bottom"/>
          </w:tcPr>
          <w:p w:rsidR="00EF5801" w:rsidRDefault="00EF5801">
            <w:pPr>
              <w:rPr>
                <w:color w:val="000000"/>
                <w:sz w:val="20"/>
                <w:szCs w:val="20"/>
              </w:rPr>
            </w:pPr>
          </w:p>
        </w:tc>
      </w:tr>
    </w:tbl>
    <w:p w:rsidR="00E06484" w:rsidRDefault="00E06484" w:rsidP="00E275D8">
      <w:pPr>
        <w:pStyle w:val="BodyText"/>
      </w:pPr>
    </w:p>
    <w:sectPr w:rsidR="00E06484"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4B" w:rsidRDefault="00822F4B">
      <w:r>
        <w:separator/>
      </w:r>
    </w:p>
  </w:endnote>
  <w:endnote w:type="continuationSeparator" w:id="0">
    <w:p w:rsidR="00822F4B" w:rsidRDefault="0082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873B5">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4B" w:rsidRDefault="00822F4B">
      <w:r>
        <w:separator/>
      </w:r>
    </w:p>
  </w:footnote>
  <w:footnote w:type="continuationSeparator" w:id="0">
    <w:p w:rsidR="00822F4B" w:rsidRDefault="00822F4B">
      <w:r>
        <w:continuationSeparator/>
      </w:r>
    </w:p>
  </w:footnote>
  <w:footnote w:id="1">
    <w:p w:rsidR="00822F4B" w:rsidRDefault="00822F4B" w:rsidP="00C96BBB">
      <w:pPr>
        <w:pStyle w:val="FootnoteText"/>
      </w:pPr>
      <w:r>
        <w:rPr>
          <w:rStyle w:val="FootnoteReference"/>
        </w:rPr>
        <w:footnoteRef/>
      </w:r>
      <w:r>
        <w:t>Order No. PSC-14-0698-PAA-GU, i</w:t>
      </w:r>
      <w:r w:rsidRPr="00571229">
        <w:t xml:space="preserve">ssued December 18, 2014, in Docket No. 140016-GU, </w:t>
      </w:r>
      <w:r w:rsidRPr="00571229">
        <w:rPr>
          <w:i/>
        </w:rPr>
        <w:t>In re: 2014 depreciation study by Florida Public Utilities Company</w:t>
      </w:r>
      <w:r w:rsidRPr="00571229">
        <w:t>.</w:t>
      </w:r>
    </w:p>
  </w:footnote>
  <w:footnote w:id="2">
    <w:p w:rsidR="00822F4B" w:rsidRDefault="00822F4B">
      <w:pPr>
        <w:pStyle w:val="FootnoteText"/>
      </w:pPr>
      <w:r>
        <w:rPr>
          <w:rStyle w:val="FootnoteReference"/>
        </w:rPr>
        <w:footnoteRef/>
      </w:r>
      <w:r>
        <w:t xml:space="preserve">Document No. </w:t>
      </w:r>
      <w:r w:rsidRPr="00254C18">
        <w:t>07669-2018</w:t>
      </w:r>
      <w:r>
        <w:t>.</w:t>
      </w:r>
    </w:p>
  </w:footnote>
  <w:footnote w:id="3">
    <w:p w:rsidR="00822F4B" w:rsidRDefault="00822F4B">
      <w:pPr>
        <w:pStyle w:val="FootnoteText"/>
      </w:pPr>
      <w:r>
        <w:rPr>
          <w:rStyle w:val="FootnoteReference"/>
        </w:rPr>
        <w:footnoteRef/>
      </w:r>
      <w:r w:rsidRPr="00175318">
        <w:t>O</w:t>
      </w:r>
      <w:r>
        <w:t>rder No. PSC-2019-0067-PAA-GU, i</w:t>
      </w:r>
      <w:r w:rsidRPr="00175318">
        <w:t xml:space="preserve">ssued February 22, 2019, </w:t>
      </w:r>
      <w:r>
        <w:t xml:space="preserve">in </w:t>
      </w:r>
      <w:r w:rsidRPr="00175318">
        <w:t xml:space="preserve">Docket No. 20180230-GU, </w:t>
      </w:r>
      <w:r w:rsidRPr="00175318">
        <w:rPr>
          <w:i/>
        </w:rPr>
        <w:t>In re: Petition for temporary waiver of Rule 25-7.045, F.A.C., by Florida Public Utilities Company</w:t>
      </w:r>
      <w:r w:rsidRPr="00175318">
        <w:t>.</w:t>
      </w:r>
    </w:p>
  </w:footnote>
  <w:footnote w:id="4">
    <w:p w:rsidR="00822F4B" w:rsidRDefault="00822F4B">
      <w:pPr>
        <w:pStyle w:val="FootnoteText"/>
      </w:pPr>
      <w:r>
        <w:rPr>
          <w:rStyle w:val="FootnoteReference"/>
        </w:rPr>
        <w:footnoteRef/>
      </w:r>
      <w:r>
        <w:t>Document No</w:t>
      </w:r>
      <w:r w:rsidRPr="00F710AC">
        <w:t>. 03618-2019</w:t>
      </w:r>
      <w:r>
        <w:t>.</w:t>
      </w:r>
    </w:p>
  </w:footnote>
  <w:footnote w:id="5">
    <w:p w:rsidR="00822F4B" w:rsidRDefault="00822F4B" w:rsidP="00206560">
      <w:pPr>
        <w:pStyle w:val="FootnoteText"/>
      </w:pPr>
      <w:r>
        <w:rPr>
          <w:rStyle w:val="FootnoteReference"/>
        </w:rPr>
        <w:footnoteRef/>
      </w:r>
      <w:r>
        <w:t>Document No. 08748-2019.</w:t>
      </w:r>
    </w:p>
  </w:footnote>
  <w:footnote w:id="6">
    <w:p w:rsidR="00822F4B" w:rsidRDefault="00822F4B" w:rsidP="00206560">
      <w:pPr>
        <w:pStyle w:val="FootnoteText"/>
      </w:pPr>
      <w:r>
        <w:rPr>
          <w:rStyle w:val="FootnoteReference"/>
        </w:rPr>
        <w:footnoteRef/>
      </w:r>
      <w:r>
        <w:t>Order No. PSC-10-0029-PAA-GU, issued January 14, 2010, in Docket No. 090125-GU,</w:t>
      </w:r>
      <w:r w:rsidRPr="00FC7339">
        <w:rPr>
          <w:i/>
        </w:rPr>
        <w:t xml:space="preserve"> </w:t>
      </w:r>
      <w:r>
        <w:rPr>
          <w:i/>
        </w:rPr>
        <w:t xml:space="preserve">In re: Petition </w:t>
      </w:r>
      <w:r w:rsidRPr="00FC7339">
        <w:rPr>
          <w:i/>
        </w:rPr>
        <w:t xml:space="preserve"> for increase in rates by Florida Division of Chesapeake Utilities Corporation</w:t>
      </w:r>
      <w:r>
        <w:t xml:space="preserve">.  </w:t>
      </w:r>
    </w:p>
  </w:footnote>
  <w:footnote w:id="7">
    <w:p w:rsidR="00822F4B" w:rsidRDefault="00822F4B">
      <w:pPr>
        <w:pStyle w:val="FootnoteText"/>
      </w:pPr>
      <w:r>
        <w:rPr>
          <w:rStyle w:val="FootnoteReference"/>
        </w:rPr>
        <w:footnoteRef/>
      </w:r>
      <w:r>
        <w:t>Order No. PSC-14-0698-PAA-GU.</w:t>
      </w:r>
    </w:p>
  </w:footnote>
  <w:footnote w:id="8">
    <w:p w:rsidR="00822F4B" w:rsidRDefault="00822F4B">
      <w:pPr>
        <w:pStyle w:val="FootnoteText"/>
      </w:pPr>
      <w:r>
        <w:rPr>
          <w:rStyle w:val="FootnoteReference"/>
        </w:rPr>
        <w:footnoteRef/>
      </w:r>
      <w:r w:rsidRPr="00175318">
        <w:t>Order No. PSC-2019-0067-PAA-GU</w:t>
      </w:r>
      <w:r>
        <w:t>.</w:t>
      </w:r>
    </w:p>
  </w:footnote>
  <w:footnote w:id="9">
    <w:p w:rsidR="00822F4B" w:rsidRPr="00612EBB" w:rsidRDefault="00822F4B" w:rsidP="003703E6">
      <w:pPr>
        <w:pStyle w:val="FootnoteText"/>
      </w:pPr>
      <w:r>
        <w:rPr>
          <w:rStyle w:val="FootnoteReference"/>
        </w:rPr>
        <w:footnoteRef/>
      </w:r>
      <w:r w:rsidRPr="00571229">
        <w:t>Order No. PSC-14-0698-PAA-G</w:t>
      </w:r>
      <w:r w:rsidRPr="009677D3">
        <w:t>U, Pages</w:t>
      </w:r>
      <w:r>
        <w:t xml:space="preserve"> 4-5. </w:t>
      </w:r>
    </w:p>
  </w:footnote>
  <w:footnote w:id="10">
    <w:p w:rsidR="00822F4B" w:rsidRDefault="00822F4B" w:rsidP="003703E6">
      <w:pPr>
        <w:pStyle w:val="FootnoteText"/>
      </w:pPr>
      <w:r w:rsidRPr="00396F49">
        <w:rPr>
          <w:rStyle w:val="FootnoteReference"/>
        </w:rPr>
        <w:footnoteRef/>
      </w:r>
      <w:r w:rsidRPr="00396F49">
        <w:t xml:space="preserve">Rule </w:t>
      </w:r>
      <w:r w:rsidRPr="00227310">
        <w:t>25-7.045</w:t>
      </w:r>
      <w:r w:rsidRPr="00396F49">
        <w:t>(6), F</w:t>
      </w:r>
      <w:r>
        <w:t>.</w:t>
      </w:r>
      <w:r w:rsidRPr="00396F49">
        <w:t>A</w:t>
      </w:r>
      <w:r>
        <w:t>.</w:t>
      </w:r>
      <w:r w:rsidRPr="00396F49">
        <w:t>C.</w:t>
      </w:r>
    </w:p>
  </w:footnote>
  <w:footnote w:id="11">
    <w:p w:rsidR="00822F4B" w:rsidRDefault="00822F4B" w:rsidP="002C376B">
      <w:pPr>
        <w:pStyle w:val="FootnoteText"/>
      </w:pPr>
      <w:r>
        <w:rPr>
          <w:rStyle w:val="FootnoteReference"/>
        </w:rPr>
        <w:footnoteRef/>
      </w:r>
      <w:r>
        <w:t xml:space="preserve">See Federal Energy Regulatory Commission Accounting Release 15. </w:t>
      </w:r>
    </w:p>
  </w:footnote>
  <w:footnote w:id="12">
    <w:p w:rsidR="00822F4B" w:rsidRDefault="00822F4B" w:rsidP="007119AC">
      <w:pPr>
        <w:pStyle w:val="FootnoteText"/>
      </w:pPr>
      <w:r>
        <w:rPr>
          <w:rStyle w:val="FootnoteReference"/>
        </w:rPr>
        <w:footnoteRef/>
      </w:r>
      <w:r>
        <w:t>The theoretical reserve is the calculated balance that would be in the reserve if the estimates of depreciation life and salvage now considered appropriate had always been applied. The book reserve is the amount of plant investment actually recovered to date.</w:t>
      </w:r>
    </w:p>
  </w:footnote>
  <w:footnote w:id="13">
    <w:p w:rsidR="00822F4B" w:rsidRPr="00B62168" w:rsidRDefault="00822F4B" w:rsidP="007119AC">
      <w:pPr>
        <w:pStyle w:val="FootnoteText"/>
      </w:pPr>
      <w:r>
        <w:rPr>
          <w:rStyle w:val="FootnoteReference"/>
        </w:rPr>
        <w:footnoteRef/>
      </w:r>
      <w:r>
        <w:t>Revised Attachment 2 of the</w:t>
      </w:r>
      <w:r w:rsidRPr="00C65D5F">
        <w:t xml:space="preserve"> </w:t>
      </w:r>
      <w:r>
        <w:t>2019 Study, Exhibit DD, FPUC’s respons</w:t>
      </w:r>
      <w:r w:rsidRPr="00B62168">
        <w:t>e to Staff’s Data Request, No. 38</w:t>
      </w:r>
      <w:r>
        <w:t>, and Staff Report, Page 3</w:t>
      </w:r>
      <w:r w:rsidRPr="00B62168">
        <w:t>.</w:t>
      </w:r>
      <w:r>
        <w:t xml:space="preserve"> Document Nos.</w:t>
      </w:r>
      <w:r w:rsidRPr="00F710AC">
        <w:t xml:space="preserve"> 03618-2019</w:t>
      </w:r>
      <w:r>
        <w:t xml:space="preserve">, 04383-2019, and 05299-2019, respectively. </w:t>
      </w:r>
    </w:p>
  </w:footnote>
  <w:footnote w:id="14">
    <w:p w:rsidR="00822F4B" w:rsidRDefault="00822F4B" w:rsidP="007119AC">
      <w:pPr>
        <w:pStyle w:val="FootnoteText"/>
      </w:pPr>
      <w:r w:rsidRPr="00B62168">
        <w:rPr>
          <w:rStyle w:val="FootnoteReference"/>
        </w:rPr>
        <w:footnoteRef/>
      </w:r>
      <w:r>
        <w:t>Order No. PSC-12-0490-TRF-GU, i</w:t>
      </w:r>
      <w:r w:rsidRPr="00B62168">
        <w:t xml:space="preserve">ssued September 24, 2012, in Docket No. 120036-GU, </w:t>
      </w:r>
      <w:r w:rsidRPr="00B62168">
        <w:rPr>
          <w:i/>
        </w:rPr>
        <w:t>In re: Joint petition for approval of Gas Reliability Infrastructure Program (GRIP) by Florida Public Utilities Company and the Florida Division of Chesapeake Utilities Corporation</w:t>
      </w:r>
      <w:r w:rsidRPr="00B62168">
        <w:t>.</w:t>
      </w:r>
    </w:p>
  </w:footnote>
  <w:footnote w:id="15">
    <w:p w:rsidR="00822F4B" w:rsidRDefault="00822F4B" w:rsidP="00405C5D">
      <w:pPr>
        <w:pStyle w:val="FootnoteText"/>
      </w:pPr>
      <w:r>
        <w:rPr>
          <w:rStyle w:val="FootnoteReference"/>
        </w:rPr>
        <w:footnoteRef/>
      </w:r>
      <w:r>
        <w:t xml:space="preserve">Bulletin 125, </w:t>
      </w:r>
      <w:r w:rsidRPr="008558EA">
        <w:rPr>
          <w:i/>
        </w:rPr>
        <w:t>Statistical Analysis of Industrial Reporting</w:t>
      </w:r>
      <w:r>
        <w:t>,</w:t>
      </w:r>
      <w:r w:rsidRPr="005370BB">
        <w:t xml:space="preserve"> published in 1935, by Robley Winfrey of the Iowa State College Engineering Experimental Station. The retirement distributions (depicted as the “Iowa Curves”) published in Bulletin 125 are </w:t>
      </w:r>
      <w:r>
        <w:t>widely-</w:t>
      </w:r>
      <w:r w:rsidRPr="005370BB">
        <w:t>accepted r</w:t>
      </w:r>
      <w:r>
        <w:t>epresentations of</w:t>
      </w:r>
      <w:r w:rsidRPr="005370BB">
        <w:t xml:space="preserve"> utility property</w:t>
      </w:r>
      <w:r>
        <w:t xml:space="preserve"> retirement patterns</w:t>
      </w:r>
      <w:r w:rsidRPr="005370BB">
        <w:t>.</w:t>
      </w:r>
      <w:r w:rsidRPr="005F5529">
        <w:t xml:space="preserve"> Iowa curves are comprised of</w:t>
      </w:r>
      <w:r>
        <w:t xml:space="preserve"> a set of standardized patterns</w:t>
      </w:r>
      <w:r w:rsidRPr="005F5529">
        <w:t xml:space="preserve"> </w:t>
      </w:r>
      <w:r>
        <w:t>(</w:t>
      </w:r>
      <w:r w:rsidRPr="005F5529">
        <w:t>or curve shapes</w:t>
      </w:r>
      <w:r>
        <w:t>)</w:t>
      </w:r>
      <w:r w:rsidRPr="005F5529">
        <w:t xml:space="preserve"> of asset retirement dispersion</w:t>
      </w:r>
      <w:r>
        <w:t>s</w:t>
      </w:r>
      <w:r w:rsidRPr="005F5529">
        <w:t xml:space="preserve"> organized into four broad classes: “S,” “R,” “L,” </w:t>
      </w:r>
      <w:r>
        <w:t>and “O” curves. The inherent logic of the Iowa Curves is that the same type o</w:t>
      </w:r>
      <w:r w:rsidRPr="005F5529">
        <w:t>f plant, living in the same environments, generally experiencing the same external f</w:t>
      </w:r>
      <w:r>
        <w:t>actors, will continue to follow</w:t>
      </w:r>
      <w:r w:rsidRPr="008558EA">
        <w:t xml:space="preserve"> </w:t>
      </w:r>
      <w:r w:rsidRPr="005F5529">
        <w:t>the same mortality pattern, or until</w:t>
      </w:r>
      <w:r>
        <w:t xml:space="preserve"> factors/considerations change.</w:t>
      </w:r>
    </w:p>
  </w:footnote>
  <w:footnote w:id="16">
    <w:p w:rsidR="00822F4B" w:rsidRDefault="00822F4B">
      <w:pPr>
        <w:pStyle w:val="FootnoteText"/>
      </w:pPr>
      <w:r>
        <w:rPr>
          <w:rStyle w:val="FootnoteReference"/>
        </w:rPr>
        <w:footnoteRef/>
      </w:r>
      <w:r w:rsidRPr="00C77726">
        <w:t>O</w:t>
      </w:r>
      <w:r>
        <w:t>rder No. PSC-12-0490-TRF-GU.</w:t>
      </w:r>
    </w:p>
  </w:footnote>
  <w:footnote w:id="17">
    <w:p w:rsidR="00822F4B" w:rsidRDefault="00822F4B" w:rsidP="00683A2C">
      <w:pPr>
        <w:pStyle w:val="FootnoteText"/>
      </w:pPr>
      <w:r>
        <w:rPr>
          <w:rStyle w:val="FootnoteReference"/>
        </w:rPr>
        <w:footnoteRef/>
      </w:r>
      <w:r>
        <w:t>Document No. 08748-2019.</w:t>
      </w:r>
    </w:p>
  </w:footnote>
  <w:footnote w:id="18">
    <w:p w:rsidR="00822F4B" w:rsidRDefault="00822F4B" w:rsidP="00683A2C">
      <w:pPr>
        <w:pStyle w:val="FootnoteText"/>
      </w:pPr>
      <w:r>
        <w:rPr>
          <w:rStyle w:val="FootnoteReference"/>
        </w:rPr>
        <w:footnoteRef/>
      </w:r>
      <w:r>
        <w:t xml:space="preserve">Order No. PSC-10-0029-PAA-GU.  </w:t>
      </w:r>
    </w:p>
  </w:footnote>
  <w:footnote w:id="19">
    <w:p w:rsidR="00822F4B" w:rsidRDefault="00822F4B" w:rsidP="002B74B3">
      <w:pPr>
        <w:pStyle w:val="FootnoteText"/>
      </w:pPr>
      <w:r>
        <w:rPr>
          <w:rStyle w:val="FootnoteReference"/>
        </w:rPr>
        <w:footnoteRef/>
      </w:r>
      <w:r>
        <w:t>26 USC §§168(f)(2) and (i)(9).</w:t>
      </w:r>
    </w:p>
  </w:footnote>
  <w:footnote w:id="20">
    <w:p w:rsidR="00822F4B" w:rsidRDefault="00822F4B" w:rsidP="002B74B3">
      <w:pPr>
        <w:pStyle w:val="FootnoteText"/>
      </w:pPr>
      <w:r>
        <w:rPr>
          <w:rStyle w:val="FootnoteReference"/>
        </w:rPr>
        <w:footnoteRef/>
      </w:r>
      <w:r>
        <w:t xml:space="preserve">Former </w:t>
      </w:r>
      <w:r w:rsidRPr="008D7C15">
        <w:t>26 USC §167(l)</w:t>
      </w:r>
      <w:r>
        <w:t>, repealed by Revenue Reconciliation Act of 1990, Pub. L. No</w:t>
      </w:r>
      <w:r w:rsidRPr="008D7C15">
        <w:t>.</w:t>
      </w:r>
      <w:r>
        <w:t xml:space="preserve"> 101-508, </w:t>
      </w:r>
      <w:r w:rsidRPr="008D7C15">
        <w:t>§</w:t>
      </w:r>
      <w:r>
        <w:t>11812(a)(1-2)(1990).</w:t>
      </w:r>
    </w:p>
  </w:footnote>
  <w:footnote w:id="21">
    <w:p w:rsidR="00822F4B" w:rsidRDefault="00822F4B" w:rsidP="002B74B3">
      <w:pPr>
        <w:pStyle w:val="FootnoteText"/>
      </w:pPr>
      <w:r>
        <w:rPr>
          <w:rStyle w:val="FootnoteReference"/>
        </w:rPr>
        <w:footnoteRef/>
      </w:r>
      <w:r>
        <w:t>Under IRC Section 50(d)(2), the terms of former IRC Section 167(l) remain applicable to public utility property for which a regulated utility previously claimed ITCs, which is the case here. (I.R.S. Priv. Ltr. Rul. 200933023, 1n.1 (May 7, 2009)).</w:t>
      </w:r>
    </w:p>
  </w:footnote>
  <w:footnote w:id="22">
    <w:p w:rsidR="00822F4B" w:rsidRDefault="00822F4B" w:rsidP="002B74B3">
      <w:pPr>
        <w:pStyle w:val="FootnoteText"/>
      </w:pPr>
      <w:r>
        <w:rPr>
          <w:rStyle w:val="FootnoteReference"/>
        </w:rPr>
        <w:footnoteRef/>
      </w:r>
      <w:r>
        <w:t xml:space="preserve">Former </w:t>
      </w:r>
      <w:r w:rsidRPr="008D7C15">
        <w:t>26 USC §46(f)</w:t>
      </w:r>
      <w:r>
        <w:t>, repealed by Revenue Reconciliation Act of 1990, Pub. L. No</w:t>
      </w:r>
      <w:r w:rsidRPr="008D7C15">
        <w:t>.</w:t>
      </w:r>
      <w:r>
        <w:t xml:space="preserve"> 101-508, </w:t>
      </w:r>
      <w:r w:rsidRPr="008D7C15">
        <w:t>§</w:t>
      </w:r>
      <w:r>
        <w:t>11813(1990).</w:t>
      </w:r>
    </w:p>
  </w:footnote>
  <w:footnote w:id="23">
    <w:p w:rsidR="00822F4B" w:rsidRDefault="00822F4B" w:rsidP="002B74B3">
      <w:pPr>
        <w:pStyle w:val="FootnoteText"/>
      </w:pPr>
      <w:r>
        <w:rPr>
          <w:rStyle w:val="FootnoteReference"/>
        </w:rPr>
        <w:footnoteRef/>
      </w:r>
      <w:r>
        <w:t>Under IRC Section 50(d)(2), the terms of former IRC Section 46(f) remain applicable to public utility property for which a regulated utility previously claimed ITCs, which is the case here. (I.R.S. Priv. Ltr. Rul. 200933023, 1n.1 (May 7, 2009)).</w:t>
      </w:r>
    </w:p>
  </w:footnote>
  <w:footnote w:id="24">
    <w:p w:rsidR="00822F4B" w:rsidRDefault="00822F4B" w:rsidP="002B74B3">
      <w:pPr>
        <w:pStyle w:val="FootnoteText"/>
      </w:pPr>
      <w:r>
        <w:rPr>
          <w:rStyle w:val="FootnoteReference"/>
        </w:rPr>
        <w:footnoteRef/>
      </w:r>
      <w:r>
        <w:t>Treas. Reg. §1.168; Treas. Reg. §1.167; Treas. Reg. §1.46.</w:t>
      </w:r>
    </w:p>
  </w:footnote>
  <w:footnote w:id="25">
    <w:p w:rsidR="00822F4B" w:rsidRDefault="00822F4B" w:rsidP="002B74B3">
      <w:pPr>
        <w:pStyle w:val="FootnoteText"/>
      </w:pPr>
      <w:r>
        <w:rPr>
          <w:rStyle w:val="FootnoteReference"/>
        </w:rPr>
        <w:footnoteRef/>
      </w:r>
      <w:r>
        <w:t>Tax Reform Act of 1986, Pub. L. No. 99-514 (100 Stat. 2085, 2146)(1986).</w:t>
      </w:r>
    </w:p>
  </w:footnote>
  <w:footnote w:id="26">
    <w:p w:rsidR="00822F4B" w:rsidRDefault="00822F4B" w:rsidP="002B74B3">
      <w:pPr>
        <w:pStyle w:val="FootnoteText"/>
      </w:pPr>
      <w:r>
        <w:rPr>
          <w:rStyle w:val="FootnoteReference"/>
        </w:rPr>
        <w:footnoteRef/>
      </w:r>
      <w:r>
        <w:t>Former 26 USC §46(f)(6) (establishing proper determination of ratable portion).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20190056-GU</w:t>
    </w:r>
    <w:bookmarkEnd w:id="15"/>
  </w:p>
  <w:p w:rsidR="00822F4B" w:rsidRDefault="00822F4B">
    <w:pPr>
      <w:pStyle w:val="Header"/>
    </w:pPr>
    <w:r>
      <w:t xml:space="preserve">Date: </w:t>
    </w:r>
    <w:r w:rsidR="00D15F2C">
      <w:fldChar w:fldCharType="begin"/>
    </w:r>
    <w:r w:rsidR="00D15F2C">
      <w:instrText xml:space="preserve"> REF FilingDate </w:instrText>
    </w:r>
    <w:r w:rsidR="00D15F2C">
      <w:fldChar w:fldCharType="separate"/>
    </w:r>
    <w:r>
      <w:t>September 20, 2019</w:t>
    </w:r>
    <w:r w:rsidR="00D15F2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20190056-GU</w:t>
    </w:r>
    <w:r>
      <w:fldChar w:fldCharType="end"/>
    </w:r>
    <w:r>
      <w:tab/>
      <w:t xml:space="preserve">Issue </w:t>
    </w:r>
    <w:r w:rsidR="00D15F2C">
      <w:fldChar w:fldCharType="begin"/>
    </w:r>
    <w:r w:rsidR="00D15F2C">
      <w:instrText xml:space="preserve"> Seq Issue \c \* Arabic </w:instrText>
    </w:r>
    <w:r w:rsidR="00D15F2C">
      <w:fldChar w:fldCharType="separate"/>
    </w:r>
    <w:r w:rsidR="00B873B5">
      <w:rPr>
        <w:noProof/>
      </w:rPr>
      <w:t>5</w:t>
    </w:r>
    <w:r w:rsidR="00D15F2C">
      <w:rPr>
        <w:noProof/>
      </w:rPr>
      <w:fldChar w:fldCharType="end"/>
    </w:r>
  </w:p>
  <w:p w:rsidR="00822F4B" w:rsidRDefault="00822F4B">
    <w:pPr>
      <w:pStyle w:val="Header"/>
    </w:pPr>
    <w:r>
      <w:t xml:space="preserve">Date: </w:t>
    </w:r>
    <w:r w:rsidR="00D15F2C">
      <w:fldChar w:fldCharType="begin"/>
    </w:r>
    <w:r w:rsidR="00D15F2C">
      <w:instrText xml:space="preserve"> REF FilingDate </w:instrText>
    </w:r>
    <w:r w:rsidR="00D15F2C">
      <w:fldChar w:fldCharType="separate"/>
    </w:r>
    <w:r>
      <w:t>September 20, 2019</w:t>
    </w:r>
    <w:r w:rsidR="00D15F2C">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20190056-GU</w:t>
    </w:r>
    <w:r>
      <w:fldChar w:fldCharType="end"/>
    </w:r>
    <w:r>
      <w:tab/>
    </w:r>
  </w:p>
  <w:p w:rsidR="00822F4B" w:rsidRDefault="00822F4B">
    <w:pPr>
      <w:pStyle w:val="Header"/>
    </w:pPr>
    <w:r>
      <w:t xml:space="preserve">Date: </w:t>
    </w:r>
    <w:r w:rsidR="00D15F2C">
      <w:fldChar w:fldCharType="begin"/>
    </w:r>
    <w:r w:rsidR="00D15F2C">
      <w:instrText xml:space="preserve"> REF FilingDate </w:instrText>
    </w:r>
    <w:r w:rsidR="00D15F2C">
      <w:fldChar w:fldCharType="separate"/>
    </w:r>
    <w:r>
      <w:t>September 20, 2019</w:t>
    </w:r>
    <w:r w:rsidR="00D15F2C">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4B" w:rsidRDefault="00822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75A5242"/>
    <w:multiLevelType w:val="hybridMultilevel"/>
    <w:tmpl w:val="7CB2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99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B78B0"/>
    <w:rsid w:val="000043D5"/>
    <w:rsid w:val="00006170"/>
    <w:rsid w:val="000070C2"/>
    <w:rsid w:val="000100F1"/>
    <w:rsid w:val="00010E37"/>
    <w:rsid w:val="0001408E"/>
    <w:rsid w:val="000172DA"/>
    <w:rsid w:val="00021599"/>
    <w:rsid w:val="000247C5"/>
    <w:rsid w:val="000277C2"/>
    <w:rsid w:val="0003582A"/>
    <w:rsid w:val="00035B48"/>
    <w:rsid w:val="00035D92"/>
    <w:rsid w:val="00036CE2"/>
    <w:rsid w:val="000437FE"/>
    <w:rsid w:val="000513BE"/>
    <w:rsid w:val="00061734"/>
    <w:rsid w:val="00065A06"/>
    <w:rsid w:val="000666F3"/>
    <w:rsid w:val="00066DB1"/>
    <w:rsid w:val="00070DCB"/>
    <w:rsid w:val="00072CCA"/>
    <w:rsid w:val="00073120"/>
    <w:rsid w:val="000764D0"/>
    <w:rsid w:val="00082407"/>
    <w:rsid w:val="000828D3"/>
    <w:rsid w:val="00092558"/>
    <w:rsid w:val="0009656A"/>
    <w:rsid w:val="000A2B57"/>
    <w:rsid w:val="000A418B"/>
    <w:rsid w:val="000C0AD3"/>
    <w:rsid w:val="000C4431"/>
    <w:rsid w:val="000D1C06"/>
    <w:rsid w:val="000D4319"/>
    <w:rsid w:val="000F374A"/>
    <w:rsid w:val="000F6C6C"/>
    <w:rsid w:val="00104FCC"/>
    <w:rsid w:val="001076AF"/>
    <w:rsid w:val="00114C67"/>
    <w:rsid w:val="00117C8C"/>
    <w:rsid w:val="00124E2E"/>
    <w:rsid w:val="00125ED4"/>
    <w:rsid w:val="001272FA"/>
    <w:rsid w:val="001305E9"/>
    <w:rsid w:val="001307AF"/>
    <w:rsid w:val="00135687"/>
    <w:rsid w:val="0015506E"/>
    <w:rsid w:val="00163031"/>
    <w:rsid w:val="00171A90"/>
    <w:rsid w:val="00174551"/>
    <w:rsid w:val="00175318"/>
    <w:rsid w:val="00177874"/>
    <w:rsid w:val="00180254"/>
    <w:rsid w:val="00191E1F"/>
    <w:rsid w:val="00192943"/>
    <w:rsid w:val="001A59F6"/>
    <w:rsid w:val="001A7406"/>
    <w:rsid w:val="001B24FC"/>
    <w:rsid w:val="001B4FEE"/>
    <w:rsid w:val="001B51C5"/>
    <w:rsid w:val="001B6F3F"/>
    <w:rsid w:val="001C52B5"/>
    <w:rsid w:val="001C78A7"/>
    <w:rsid w:val="001D0D3E"/>
    <w:rsid w:val="001D636A"/>
    <w:rsid w:val="001E0D53"/>
    <w:rsid w:val="001E7BA8"/>
    <w:rsid w:val="001E7D79"/>
    <w:rsid w:val="001F2245"/>
    <w:rsid w:val="001F2C63"/>
    <w:rsid w:val="001F48C7"/>
    <w:rsid w:val="001F6DA1"/>
    <w:rsid w:val="002044E6"/>
    <w:rsid w:val="00205C82"/>
    <w:rsid w:val="00205DC2"/>
    <w:rsid w:val="00206560"/>
    <w:rsid w:val="002112C7"/>
    <w:rsid w:val="00212B17"/>
    <w:rsid w:val="002163B6"/>
    <w:rsid w:val="00220732"/>
    <w:rsid w:val="00221D32"/>
    <w:rsid w:val="00225C3F"/>
    <w:rsid w:val="00227E1A"/>
    <w:rsid w:val="002372C3"/>
    <w:rsid w:val="00240342"/>
    <w:rsid w:val="00254C18"/>
    <w:rsid w:val="00263D44"/>
    <w:rsid w:val="0027004E"/>
    <w:rsid w:val="002702AD"/>
    <w:rsid w:val="002765D0"/>
    <w:rsid w:val="00292D82"/>
    <w:rsid w:val="00294282"/>
    <w:rsid w:val="002963CB"/>
    <w:rsid w:val="002B266E"/>
    <w:rsid w:val="002B4A01"/>
    <w:rsid w:val="002B6B9B"/>
    <w:rsid w:val="002B74B3"/>
    <w:rsid w:val="002C376B"/>
    <w:rsid w:val="002C5A06"/>
    <w:rsid w:val="002D226D"/>
    <w:rsid w:val="002F25A7"/>
    <w:rsid w:val="002F6030"/>
    <w:rsid w:val="002F7CC8"/>
    <w:rsid w:val="003037E1"/>
    <w:rsid w:val="00307E51"/>
    <w:rsid w:val="003103EC"/>
    <w:rsid w:val="003124C5"/>
    <w:rsid w:val="003144EF"/>
    <w:rsid w:val="00322F74"/>
    <w:rsid w:val="00325B2E"/>
    <w:rsid w:val="00340073"/>
    <w:rsid w:val="00355789"/>
    <w:rsid w:val="003632FD"/>
    <w:rsid w:val="003703E6"/>
    <w:rsid w:val="00372805"/>
    <w:rsid w:val="00373180"/>
    <w:rsid w:val="00375AB9"/>
    <w:rsid w:val="003821A0"/>
    <w:rsid w:val="00382487"/>
    <w:rsid w:val="00385B04"/>
    <w:rsid w:val="003864CF"/>
    <w:rsid w:val="0038773D"/>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04C1C"/>
    <w:rsid w:val="00405C5D"/>
    <w:rsid w:val="00410DC4"/>
    <w:rsid w:val="00412119"/>
    <w:rsid w:val="00412DAE"/>
    <w:rsid w:val="0042033C"/>
    <w:rsid w:val="004242E6"/>
    <w:rsid w:val="00431598"/>
    <w:rsid w:val="004319AD"/>
    <w:rsid w:val="004426B8"/>
    <w:rsid w:val="00444432"/>
    <w:rsid w:val="00462B5D"/>
    <w:rsid w:val="00471860"/>
    <w:rsid w:val="004742D9"/>
    <w:rsid w:val="00477026"/>
    <w:rsid w:val="00477A37"/>
    <w:rsid w:val="00484799"/>
    <w:rsid w:val="004A0009"/>
    <w:rsid w:val="004A7235"/>
    <w:rsid w:val="004A744D"/>
    <w:rsid w:val="004B4F57"/>
    <w:rsid w:val="004B60BD"/>
    <w:rsid w:val="004C3150"/>
    <w:rsid w:val="004C3641"/>
    <w:rsid w:val="004C3F5D"/>
    <w:rsid w:val="004C40AA"/>
    <w:rsid w:val="004C4390"/>
    <w:rsid w:val="004C4AF7"/>
    <w:rsid w:val="004D2881"/>
    <w:rsid w:val="004D2D5E"/>
    <w:rsid w:val="004D385F"/>
    <w:rsid w:val="004D5B39"/>
    <w:rsid w:val="004D6420"/>
    <w:rsid w:val="004E330D"/>
    <w:rsid w:val="004E5147"/>
    <w:rsid w:val="004E69B5"/>
    <w:rsid w:val="004E7F86"/>
    <w:rsid w:val="004F5C43"/>
    <w:rsid w:val="00501023"/>
    <w:rsid w:val="00505833"/>
    <w:rsid w:val="0050652D"/>
    <w:rsid w:val="00506C03"/>
    <w:rsid w:val="00511A11"/>
    <w:rsid w:val="005149B7"/>
    <w:rsid w:val="00516496"/>
    <w:rsid w:val="00523B11"/>
    <w:rsid w:val="0052572A"/>
    <w:rsid w:val="0052751E"/>
    <w:rsid w:val="0053071B"/>
    <w:rsid w:val="00532DFB"/>
    <w:rsid w:val="00536603"/>
    <w:rsid w:val="00543CB3"/>
    <w:rsid w:val="005442E4"/>
    <w:rsid w:val="0055529B"/>
    <w:rsid w:val="00560FF0"/>
    <w:rsid w:val="005614BD"/>
    <w:rsid w:val="00570180"/>
    <w:rsid w:val="00571229"/>
    <w:rsid w:val="0057154F"/>
    <w:rsid w:val="00580399"/>
    <w:rsid w:val="00580F69"/>
    <w:rsid w:val="00581CA3"/>
    <w:rsid w:val="00587A44"/>
    <w:rsid w:val="00594F28"/>
    <w:rsid w:val="00597730"/>
    <w:rsid w:val="005977EC"/>
    <w:rsid w:val="00597DE7"/>
    <w:rsid w:val="005A4AA2"/>
    <w:rsid w:val="005B34B6"/>
    <w:rsid w:val="005B6C8F"/>
    <w:rsid w:val="005B6EC3"/>
    <w:rsid w:val="005B7161"/>
    <w:rsid w:val="005C5AF1"/>
    <w:rsid w:val="005D0F74"/>
    <w:rsid w:val="005D2E7D"/>
    <w:rsid w:val="005D4A8F"/>
    <w:rsid w:val="005D561B"/>
    <w:rsid w:val="005D5ECF"/>
    <w:rsid w:val="005E7281"/>
    <w:rsid w:val="005F3BC5"/>
    <w:rsid w:val="005F468D"/>
    <w:rsid w:val="005F4B39"/>
    <w:rsid w:val="005F69A3"/>
    <w:rsid w:val="00600981"/>
    <w:rsid w:val="00602400"/>
    <w:rsid w:val="006044EA"/>
    <w:rsid w:val="00604CC7"/>
    <w:rsid w:val="00615423"/>
    <w:rsid w:val="006165B2"/>
    <w:rsid w:val="00617276"/>
    <w:rsid w:val="00623075"/>
    <w:rsid w:val="0062527B"/>
    <w:rsid w:val="00625D97"/>
    <w:rsid w:val="00625F1C"/>
    <w:rsid w:val="006279E1"/>
    <w:rsid w:val="00630CEB"/>
    <w:rsid w:val="00632264"/>
    <w:rsid w:val="006470BC"/>
    <w:rsid w:val="006554D3"/>
    <w:rsid w:val="00667036"/>
    <w:rsid w:val="00673BDB"/>
    <w:rsid w:val="00674341"/>
    <w:rsid w:val="006771B8"/>
    <w:rsid w:val="00683A2C"/>
    <w:rsid w:val="006843B6"/>
    <w:rsid w:val="0068481F"/>
    <w:rsid w:val="00686852"/>
    <w:rsid w:val="00696F5D"/>
    <w:rsid w:val="00697249"/>
    <w:rsid w:val="00697473"/>
    <w:rsid w:val="006A595C"/>
    <w:rsid w:val="006B3947"/>
    <w:rsid w:val="006B4293"/>
    <w:rsid w:val="006B5F83"/>
    <w:rsid w:val="006B624F"/>
    <w:rsid w:val="006C0C95"/>
    <w:rsid w:val="006C31E3"/>
    <w:rsid w:val="006D18D3"/>
    <w:rsid w:val="006D7062"/>
    <w:rsid w:val="006E08CB"/>
    <w:rsid w:val="006E598D"/>
    <w:rsid w:val="006F07C1"/>
    <w:rsid w:val="006F26A9"/>
    <w:rsid w:val="0070437D"/>
    <w:rsid w:val="00704CF1"/>
    <w:rsid w:val="00705B04"/>
    <w:rsid w:val="007119AC"/>
    <w:rsid w:val="00724992"/>
    <w:rsid w:val="00734820"/>
    <w:rsid w:val="007349DC"/>
    <w:rsid w:val="0074365E"/>
    <w:rsid w:val="00744B55"/>
    <w:rsid w:val="007466F7"/>
    <w:rsid w:val="007515FD"/>
    <w:rsid w:val="007549C1"/>
    <w:rsid w:val="00760D80"/>
    <w:rsid w:val="00767459"/>
    <w:rsid w:val="00776AF4"/>
    <w:rsid w:val="00780C09"/>
    <w:rsid w:val="00780DDF"/>
    <w:rsid w:val="007818FD"/>
    <w:rsid w:val="007834E9"/>
    <w:rsid w:val="00787DBC"/>
    <w:rsid w:val="0079019A"/>
    <w:rsid w:val="00792935"/>
    <w:rsid w:val="007A04A1"/>
    <w:rsid w:val="007A1840"/>
    <w:rsid w:val="007B7EF5"/>
    <w:rsid w:val="007C0528"/>
    <w:rsid w:val="007C3D38"/>
    <w:rsid w:val="007D0F35"/>
    <w:rsid w:val="007D4FEB"/>
    <w:rsid w:val="007D6146"/>
    <w:rsid w:val="007E0CE7"/>
    <w:rsid w:val="007E0E5E"/>
    <w:rsid w:val="007F1193"/>
    <w:rsid w:val="007F28B7"/>
    <w:rsid w:val="007F3E47"/>
    <w:rsid w:val="007F417F"/>
    <w:rsid w:val="007F7644"/>
    <w:rsid w:val="008042BD"/>
    <w:rsid w:val="00806D86"/>
    <w:rsid w:val="00816624"/>
    <w:rsid w:val="00822427"/>
    <w:rsid w:val="00822562"/>
    <w:rsid w:val="00822F4B"/>
    <w:rsid w:val="00823663"/>
    <w:rsid w:val="00832DDC"/>
    <w:rsid w:val="00836ABD"/>
    <w:rsid w:val="008373B3"/>
    <w:rsid w:val="00843AA5"/>
    <w:rsid w:val="008445B2"/>
    <w:rsid w:val="00847CB6"/>
    <w:rsid w:val="00850BAC"/>
    <w:rsid w:val="0085246F"/>
    <w:rsid w:val="00853B3B"/>
    <w:rsid w:val="00854A3E"/>
    <w:rsid w:val="00855D08"/>
    <w:rsid w:val="00874344"/>
    <w:rsid w:val="00882155"/>
    <w:rsid w:val="0088233B"/>
    <w:rsid w:val="0088599E"/>
    <w:rsid w:val="00886C37"/>
    <w:rsid w:val="008918C1"/>
    <w:rsid w:val="00892D99"/>
    <w:rsid w:val="00893315"/>
    <w:rsid w:val="008B0D70"/>
    <w:rsid w:val="008B62AE"/>
    <w:rsid w:val="008B78B0"/>
    <w:rsid w:val="008C04B5"/>
    <w:rsid w:val="008C14FA"/>
    <w:rsid w:val="008C442C"/>
    <w:rsid w:val="008C777A"/>
    <w:rsid w:val="008C7B0B"/>
    <w:rsid w:val="008D1C79"/>
    <w:rsid w:val="008D4057"/>
    <w:rsid w:val="008E1455"/>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51A4"/>
    <w:rsid w:val="00920E64"/>
    <w:rsid w:val="00922002"/>
    <w:rsid w:val="00924020"/>
    <w:rsid w:val="009271A7"/>
    <w:rsid w:val="0093658B"/>
    <w:rsid w:val="009365A8"/>
    <w:rsid w:val="009429FF"/>
    <w:rsid w:val="00945BD6"/>
    <w:rsid w:val="009479FB"/>
    <w:rsid w:val="00951C45"/>
    <w:rsid w:val="00954EAB"/>
    <w:rsid w:val="009656F2"/>
    <w:rsid w:val="00966A08"/>
    <w:rsid w:val="009677D3"/>
    <w:rsid w:val="00971207"/>
    <w:rsid w:val="00975CB4"/>
    <w:rsid w:val="009863B0"/>
    <w:rsid w:val="00987DE1"/>
    <w:rsid w:val="00990571"/>
    <w:rsid w:val="00992873"/>
    <w:rsid w:val="0099673A"/>
    <w:rsid w:val="009A3330"/>
    <w:rsid w:val="009A7C96"/>
    <w:rsid w:val="009C3DB9"/>
    <w:rsid w:val="009D46E5"/>
    <w:rsid w:val="009D4D7C"/>
    <w:rsid w:val="009D568A"/>
    <w:rsid w:val="009D79B1"/>
    <w:rsid w:val="009F04EC"/>
    <w:rsid w:val="009F247B"/>
    <w:rsid w:val="009F2A7C"/>
    <w:rsid w:val="009F3B36"/>
    <w:rsid w:val="00A019B9"/>
    <w:rsid w:val="00A03523"/>
    <w:rsid w:val="00A12508"/>
    <w:rsid w:val="00A1282B"/>
    <w:rsid w:val="00A13A27"/>
    <w:rsid w:val="00A175B6"/>
    <w:rsid w:val="00A21835"/>
    <w:rsid w:val="00A226D1"/>
    <w:rsid w:val="00A2374B"/>
    <w:rsid w:val="00A27D6E"/>
    <w:rsid w:val="00A328EC"/>
    <w:rsid w:val="00A33A51"/>
    <w:rsid w:val="00A34EFF"/>
    <w:rsid w:val="00A41CA6"/>
    <w:rsid w:val="00A47927"/>
    <w:rsid w:val="00A47FFC"/>
    <w:rsid w:val="00A5442F"/>
    <w:rsid w:val="00A54FF9"/>
    <w:rsid w:val="00A56765"/>
    <w:rsid w:val="00A675AC"/>
    <w:rsid w:val="00A705F9"/>
    <w:rsid w:val="00A7581F"/>
    <w:rsid w:val="00A76112"/>
    <w:rsid w:val="00A833AB"/>
    <w:rsid w:val="00A92FB1"/>
    <w:rsid w:val="00A95A0C"/>
    <w:rsid w:val="00A96FD4"/>
    <w:rsid w:val="00A97025"/>
    <w:rsid w:val="00AA2765"/>
    <w:rsid w:val="00AA77B5"/>
    <w:rsid w:val="00AB1DE4"/>
    <w:rsid w:val="00AB6C5D"/>
    <w:rsid w:val="00AC3401"/>
    <w:rsid w:val="00AC51A7"/>
    <w:rsid w:val="00AC7576"/>
    <w:rsid w:val="00AD444B"/>
    <w:rsid w:val="00AD5614"/>
    <w:rsid w:val="00AD6C78"/>
    <w:rsid w:val="00AE0B01"/>
    <w:rsid w:val="00AE2EAB"/>
    <w:rsid w:val="00AF5F89"/>
    <w:rsid w:val="00AF73CB"/>
    <w:rsid w:val="00B002D6"/>
    <w:rsid w:val="00B03379"/>
    <w:rsid w:val="00B05B51"/>
    <w:rsid w:val="00B14E5A"/>
    <w:rsid w:val="00B15370"/>
    <w:rsid w:val="00B16DA4"/>
    <w:rsid w:val="00B17BEB"/>
    <w:rsid w:val="00B17C02"/>
    <w:rsid w:val="00B17CD6"/>
    <w:rsid w:val="00B21A3C"/>
    <w:rsid w:val="00B223C0"/>
    <w:rsid w:val="00B234ED"/>
    <w:rsid w:val="00B249B2"/>
    <w:rsid w:val="00B25CA3"/>
    <w:rsid w:val="00B2765A"/>
    <w:rsid w:val="00B30043"/>
    <w:rsid w:val="00B3109A"/>
    <w:rsid w:val="00B33A1B"/>
    <w:rsid w:val="00B516ED"/>
    <w:rsid w:val="00B57A6A"/>
    <w:rsid w:val="00B62168"/>
    <w:rsid w:val="00B6288E"/>
    <w:rsid w:val="00B760F1"/>
    <w:rsid w:val="00B7669E"/>
    <w:rsid w:val="00B77B73"/>
    <w:rsid w:val="00B77DA1"/>
    <w:rsid w:val="00B822A0"/>
    <w:rsid w:val="00B85535"/>
    <w:rsid w:val="00B858AE"/>
    <w:rsid w:val="00B85964"/>
    <w:rsid w:val="00B873B5"/>
    <w:rsid w:val="00B95EE0"/>
    <w:rsid w:val="00B96250"/>
    <w:rsid w:val="00B9774A"/>
    <w:rsid w:val="00BA0422"/>
    <w:rsid w:val="00BA0D55"/>
    <w:rsid w:val="00BA37B3"/>
    <w:rsid w:val="00BA4CC6"/>
    <w:rsid w:val="00BB3493"/>
    <w:rsid w:val="00BB7468"/>
    <w:rsid w:val="00BC1192"/>
    <w:rsid w:val="00BC188A"/>
    <w:rsid w:val="00BC402E"/>
    <w:rsid w:val="00BD0F48"/>
    <w:rsid w:val="00BE6DDB"/>
    <w:rsid w:val="00BF3466"/>
    <w:rsid w:val="00BF5010"/>
    <w:rsid w:val="00C032D8"/>
    <w:rsid w:val="00C03D5F"/>
    <w:rsid w:val="00C13791"/>
    <w:rsid w:val="00C20ABE"/>
    <w:rsid w:val="00C31BB3"/>
    <w:rsid w:val="00C36977"/>
    <w:rsid w:val="00C467DA"/>
    <w:rsid w:val="00C46BF8"/>
    <w:rsid w:val="00C477D9"/>
    <w:rsid w:val="00C60BA3"/>
    <w:rsid w:val="00C623F7"/>
    <w:rsid w:val="00C75BC5"/>
    <w:rsid w:val="00C8025C"/>
    <w:rsid w:val="00C81670"/>
    <w:rsid w:val="00C81773"/>
    <w:rsid w:val="00C826F8"/>
    <w:rsid w:val="00C82861"/>
    <w:rsid w:val="00C84B4D"/>
    <w:rsid w:val="00C85682"/>
    <w:rsid w:val="00C86896"/>
    <w:rsid w:val="00C90673"/>
    <w:rsid w:val="00C907A8"/>
    <w:rsid w:val="00C929E2"/>
    <w:rsid w:val="00C93211"/>
    <w:rsid w:val="00C942EC"/>
    <w:rsid w:val="00C96047"/>
    <w:rsid w:val="00C96BBB"/>
    <w:rsid w:val="00C96E89"/>
    <w:rsid w:val="00C979D0"/>
    <w:rsid w:val="00CA0818"/>
    <w:rsid w:val="00CA15C8"/>
    <w:rsid w:val="00CA2C8F"/>
    <w:rsid w:val="00CA30DA"/>
    <w:rsid w:val="00CA3A24"/>
    <w:rsid w:val="00CB1243"/>
    <w:rsid w:val="00CB1777"/>
    <w:rsid w:val="00CB33E9"/>
    <w:rsid w:val="00CC10A9"/>
    <w:rsid w:val="00CD0C8D"/>
    <w:rsid w:val="00CD11B8"/>
    <w:rsid w:val="00CE2BF8"/>
    <w:rsid w:val="00CE4342"/>
    <w:rsid w:val="00CE484E"/>
    <w:rsid w:val="00CE656F"/>
    <w:rsid w:val="00CF0DA8"/>
    <w:rsid w:val="00CF2E25"/>
    <w:rsid w:val="00CF2F93"/>
    <w:rsid w:val="00CF4453"/>
    <w:rsid w:val="00CF59C8"/>
    <w:rsid w:val="00CF5D94"/>
    <w:rsid w:val="00CF7E0F"/>
    <w:rsid w:val="00D034D7"/>
    <w:rsid w:val="00D03F3E"/>
    <w:rsid w:val="00D04BE4"/>
    <w:rsid w:val="00D06396"/>
    <w:rsid w:val="00D06AC5"/>
    <w:rsid w:val="00D06FC7"/>
    <w:rsid w:val="00D12565"/>
    <w:rsid w:val="00D14127"/>
    <w:rsid w:val="00D25D20"/>
    <w:rsid w:val="00D52B3D"/>
    <w:rsid w:val="00D60B16"/>
    <w:rsid w:val="00D60F02"/>
    <w:rsid w:val="00D66E49"/>
    <w:rsid w:val="00D67CB4"/>
    <w:rsid w:val="00D70D71"/>
    <w:rsid w:val="00D72F74"/>
    <w:rsid w:val="00D81563"/>
    <w:rsid w:val="00D85907"/>
    <w:rsid w:val="00D877D2"/>
    <w:rsid w:val="00D9073E"/>
    <w:rsid w:val="00D9221D"/>
    <w:rsid w:val="00D958DF"/>
    <w:rsid w:val="00D96DA1"/>
    <w:rsid w:val="00DA51E7"/>
    <w:rsid w:val="00DA78B3"/>
    <w:rsid w:val="00DB0260"/>
    <w:rsid w:val="00DB1C78"/>
    <w:rsid w:val="00DB358A"/>
    <w:rsid w:val="00DB7D96"/>
    <w:rsid w:val="00DC1A05"/>
    <w:rsid w:val="00DC20E2"/>
    <w:rsid w:val="00DC23FE"/>
    <w:rsid w:val="00DC59E6"/>
    <w:rsid w:val="00DD150B"/>
    <w:rsid w:val="00DD5025"/>
    <w:rsid w:val="00DD678D"/>
    <w:rsid w:val="00DE5751"/>
    <w:rsid w:val="00DF1510"/>
    <w:rsid w:val="00E02F1F"/>
    <w:rsid w:val="00E03DDA"/>
    <w:rsid w:val="00E06484"/>
    <w:rsid w:val="00E20A7D"/>
    <w:rsid w:val="00E275D8"/>
    <w:rsid w:val="00E30F6A"/>
    <w:rsid w:val="00E3117C"/>
    <w:rsid w:val="00E31F2F"/>
    <w:rsid w:val="00E356A8"/>
    <w:rsid w:val="00E375CA"/>
    <w:rsid w:val="00E567E8"/>
    <w:rsid w:val="00E64679"/>
    <w:rsid w:val="00E65EBC"/>
    <w:rsid w:val="00E677FE"/>
    <w:rsid w:val="00E73432"/>
    <w:rsid w:val="00E77B0C"/>
    <w:rsid w:val="00E77FB8"/>
    <w:rsid w:val="00E838B0"/>
    <w:rsid w:val="00E86A7C"/>
    <w:rsid w:val="00E878E1"/>
    <w:rsid w:val="00E87F2C"/>
    <w:rsid w:val="00E95278"/>
    <w:rsid w:val="00E9622C"/>
    <w:rsid w:val="00E96D19"/>
    <w:rsid w:val="00EA09E6"/>
    <w:rsid w:val="00EA2273"/>
    <w:rsid w:val="00EA7C3C"/>
    <w:rsid w:val="00EB2DB3"/>
    <w:rsid w:val="00EB5B62"/>
    <w:rsid w:val="00EC3FBB"/>
    <w:rsid w:val="00EC6B7A"/>
    <w:rsid w:val="00ED3A87"/>
    <w:rsid w:val="00ED5B67"/>
    <w:rsid w:val="00EF264C"/>
    <w:rsid w:val="00EF3FEE"/>
    <w:rsid w:val="00EF5801"/>
    <w:rsid w:val="00F00903"/>
    <w:rsid w:val="00F01E6D"/>
    <w:rsid w:val="00F04B59"/>
    <w:rsid w:val="00F0580B"/>
    <w:rsid w:val="00F06D25"/>
    <w:rsid w:val="00F11741"/>
    <w:rsid w:val="00F12B1C"/>
    <w:rsid w:val="00F13CF8"/>
    <w:rsid w:val="00F15855"/>
    <w:rsid w:val="00F200B2"/>
    <w:rsid w:val="00F227DC"/>
    <w:rsid w:val="00F26D58"/>
    <w:rsid w:val="00F3015C"/>
    <w:rsid w:val="00F32978"/>
    <w:rsid w:val="00F45CB2"/>
    <w:rsid w:val="00F4710E"/>
    <w:rsid w:val="00F544C0"/>
    <w:rsid w:val="00F55332"/>
    <w:rsid w:val="00F6504A"/>
    <w:rsid w:val="00F65519"/>
    <w:rsid w:val="00F705C5"/>
    <w:rsid w:val="00F710AC"/>
    <w:rsid w:val="00F713C0"/>
    <w:rsid w:val="00F71A27"/>
    <w:rsid w:val="00F75D42"/>
    <w:rsid w:val="00F75DDC"/>
    <w:rsid w:val="00F7792F"/>
    <w:rsid w:val="00F842AA"/>
    <w:rsid w:val="00F8476F"/>
    <w:rsid w:val="00F84CB9"/>
    <w:rsid w:val="00F853E1"/>
    <w:rsid w:val="00F85604"/>
    <w:rsid w:val="00F93E49"/>
    <w:rsid w:val="00F94B7A"/>
    <w:rsid w:val="00F969AC"/>
    <w:rsid w:val="00FA17AC"/>
    <w:rsid w:val="00FA32DE"/>
    <w:rsid w:val="00FA3382"/>
    <w:rsid w:val="00FA59CD"/>
    <w:rsid w:val="00FB1740"/>
    <w:rsid w:val="00FB68C5"/>
    <w:rsid w:val="00FC3783"/>
    <w:rsid w:val="00FC5469"/>
    <w:rsid w:val="00FC6D7D"/>
    <w:rsid w:val="00FD16B0"/>
    <w:rsid w:val="00FD464C"/>
    <w:rsid w:val="00FD4B1C"/>
    <w:rsid w:val="00FD4FED"/>
    <w:rsid w:val="00FD7F11"/>
    <w:rsid w:val="00FE0577"/>
    <w:rsid w:val="00FE59EC"/>
    <w:rsid w:val="00FE5B67"/>
    <w:rsid w:val="00FE60D6"/>
    <w:rsid w:val="00FF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B74B3"/>
  </w:style>
  <w:style w:type="character" w:styleId="FootnoteReference">
    <w:name w:val="footnote reference"/>
    <w:uiPriority w:val="99"/>
    <w:rsid w:val="002B74B3"/>
    <w:rPr>
      <w:vertAlign w:val="superscript"/>
    </w:rPr>
  </w:style>
  <w:style w:type="paragraph" w:styleId="ListParagraph">
    <w:name w:val="List Paragraph"/>
    <w:basedOn w:val="Normal"/>
    <w:uiPriority w:val="34"/>
    <w:qFormat/>
    <w:rsid w:val="0027004E"/>
    <w:pPr>
      <w:ind w:left="720"/>
      <w:contextualSpacing/>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B74B3"/>
  </w:style>
  <w:style w:type="character" w:styleId="FootnoteReference">
    <w:name w:val="footnote reference"/>
    <w:uiPriority w:val="99"/>
    <w:rsid w:val="002B74B3"/>
    <w:rPr>
      <w:vertAlign w:val="superscript"/>
    </w:rPr>
  </w:style>
  <w:style w:type="paragraph" w:styleId="ListParagraph">
    <w:name w:val="List Paragraph"/>
    <w:basedOn w:val="Normal"/>
    <w:uiPriority w:val="34"/>
    <w:qFormat/>
    <w:rsid w:val="0027004E"/>
    <w:pPr>
      <w:ind w:left="720"/>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83807">
      <w:bodyDiv w:val="1"/>
      <w:marLeft w:val="0"/>
      <w:marRight w:val="0"/>
      <w:marTop w:val="0"/>
      <w:marBottom w:val="0"/>
      <w:divBdr>
        <w:top w:val="none" w:sz="0" w:space="0" w:color="auto"/>
        <w:left w:val="none" w:sz="0" w:space="0" w:color="auto"/>
        <w:bottom w:val="none" w:sz="0" w:space="0" w:color="auto"/>
        <w:right w:val="none" w:sz="0" w:space="0" w:color="auto"/>
      </w:divBdr>
    </w:div>
    <w:div w:id="20066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A4B1-0E40-473D-9938-A6716FF4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18</Pages>
  <Words>4747</Words>
  <Characters>27422</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Recommendation</vt:lpstr>
      <vt:lpstr>Case Background</vt:lpstr>
      <vt:lpstr>Discussion of Issues</vt:lpstr>
      <vt:lpstr>Issue 1: </vt:lpstr>
      <vt:lpstr>    Recommendation: </vt:lpstr>
      <vt:lpstr>    Staff Analysis: </vt:lpstr>
      <vt:lpstr>Issue 2:  </vt:lpstr>
      <vt:lpstr>    Recommendation: </vt:lpstr>
      <vt:lpstr>    Staff Analysis: </vt:lpstr>
      <vt:lpstr>Issue 3: </vt:lpstr>
      <vt:lpstr>    Recommendation: </vt:lpstr>
      <vt:lpstr>    Staff Analysis: </vt:lpstr>
      <vt:lpstr>Issue 4: </vt:lpstr>
      <vt:lpstr>    Recommendation: </vt:lpstr>
      <vt:lpstr>    Staff Analysis: </vt:lpstr>
      <vt:lpstr>Issue 5: </vt:lpstr>
      <vt:lpstr>    Recommendation: </vt:lpstr>
      <vt:lpstr>    Staff Analysis: </vt:lpstr>
    </vt:vector>
  </TitlesOfParts>
  <Company>Florida Public Service Commission</Company>
  <LinksUpToDate>false</LinksUpToDate>
  <CharactersWithSpaces>32105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Shari Cornelius</cp:lastModifiedBy>
  <cp:revision>2</cp:revision>
  <cp:lastPrinted>2019-09-20T12:20:00Z</cp:lastPrinted>
  <dcterms:created xsi:type="dcterms:W3CDTF">2019-09-20T14:00:00Z</dcterms:created>
  <dcterms:modified xsi:type="dcterms:W3CDTF">2019-09-20T14:00:00Z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20190056-GU</vt:lpwstr>
  </property>
  <property fmtid="{D5CDD505-2E9C-101B-9397-08002B2CF9AE}" pid="3" name="MasterDocument">
    <vt:bool>false</vt:bool>
  </property>
</Properties>
</file>