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2D1CE672" wp14:editId="48C1618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A544E">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A544E" w:rsidRDefault="00FA544E">
            <w:pPr>
              <w:pStyle w:val="MemoHeading"/>
            </w:pPr>
            <w:bookmarkStart w:id="2" w:name="From"/>
            <w:r>
              <w:t>Office of the General Counsel (DuVal, Cowdery)</w:t>
            </w:r>
          </w:p>
          <w:p w:rsidR="007C0528" w:rsidRDefault="00FA544E">
            <w:pPr>
              <w:pStyle w:val="MemoHeading"/>
            </w:pPr>
            <w:r>
              <w:t>Office of Industry Development and Market Analysis (Vogel)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A544E">
            <w:pPr>
              <w:pStyle w:val="MemoHeadingRe"/>
            </w:pPr>
            <w:bookmarkStart w:id="3" w:name="Re"/>
            <w:r>
              <w:t>Docket No. 20190176-EI – Joint petition for approval of regulatory improvements for decentralized solar net-metering systems in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544E" w:rsidP="007B075C">
            <w:pPr>
              <w:pStyle w:val="MemoHeading"/>
            </w:pPr>
            <w:bookmarkStart w:id="4" w:name="AgendaDate"/>
            <w:r>
              <w:t>12/10/19</w:t>
            </w:r>
            <w:bookmarkEnd w:id="4"/>
            <w:r w:rsidR="007C0528">
              <w:t xml:space="preserve"> – </w:t>
            </w:r>
            <w:bookmarkStart w:id="5" w:name="PermittedStatus"/>
            <w:r>
              <w:t xml:space="preserve">Regular Agenda – </w:t>
            </w:r>
            <w:bookmarkEnd w:id="5"/>
            <w:r w:rsidR="00DE1D9A">
              <w:t>Motion for Reconsidera</w:t>
            </w:r>
            <w:r w:rsidR="009E6358">
              <w:t>tion – Or</w:t>
            </w:r>
            <w:r w:rsidR="007B075C">
              <w:t xml:space="preserve">al Argument Requested – </w:t>
            </w:r>
            <w:r w:rsidR="00DE1D9A">
              <w:t xml:space="preserve">Participation is </w:t>
            </w:r>
            <w:r w:rsidR="009E6358">
              <w:t>Dependent on</w:t>
            </w:r>
            <w:r w:rsidR="00DE1D9A">
              <w:t xml:space="preserve"> the Commission’s </w:t>
            </w:r>
            <w:r w:rsidR="009E6358">
              <w:t>Vote on Issue 1</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A544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544E">
            <w:pPr>
              <w:pStyle w:val="MemoHeading"/>
            </w:pPr>
            <w:bookmarkStart w:id="7" w:name="PrehearingOfficer"/>
            <w:r>
              <w:t>Clark</w:t>
            </w:r>
            <w:bookmarkEnd w:id="7"/>
          </w:p>
        </w:tc>
      </w:tr>
      <w:tr w:rsidR="00B90C53">
        <w:tc>
          <w:tcPr>
            <w:tcW w:w="3690" w:type="dxa"/>
            <w:gridSpan w:val="3"/>
            <w:tcBorders>
              <w:top w:val="nil"/>
              <w:left w:val="nil"/>
              <w:bottom w:val="nil"/>
              <w:right w:val="nil"/>
            </w:tcBorders>
            <w:shd w:val="clear" w:color="auto" w:fill="auto"/>
            <w:tcMar>
              <w:top w:w="288" w:type="dxa"/>
              <w:bottom w:w="0" w:type="dxa"/>
              <w:right w:w="0" w:type="dxa"/>
            </w:tcMar>
          </w:tcPr>
          <w:p w:rsidR="00B90C53" w:rsidRDefault="00B90C53" w:rsidP="00506C03">
            <w:pPr>
              <w:pStyle w:val="MemoHeadingLabel"/>
            </w:pPr>
            <w:r>
              <w:t>CRITICAL DATES</w:t>
            </w:r>
          </w:p>
        </w:tc>
        <w:tc>
          <w:tcPr>
            <w:tcW w:w="5785" w:type="dxa"/>
            <w:tcBorders>
              <w:top w:val="nil"/>
              <w:left w:val="nil"/>
              <w:bottom w:val="nil"/>
              <w:right w:val="nil"/>
            </w:tcBorders>
            <w:shd w:val="clear" w:color="auto" w:fill="auto"/>
          </w:tcPr>
          <w:p w:rsidR="00B90C53" w:rsidRDefault="00B90C53">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544E">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DE1D9A" w:rsidRDefault="00DE1D9A" w:rsidP="009E6358">
      <w:pPr>
        <w:pStyle w:val="BodyText"/>
      </w:pPr>
      <w:r w:rsidRPr="00D34C56">
        <w:t>On September 3, 2019, Achim Ginsberg-Klemmt, Chris</w:t>
      </w:r>
      <w:r w:rsidR="00191D0E">
        <w:t>topher</w:t>
      </w:r>
      <w:r w:rsidRPr="00D34C56">
        <w:t xml:space="preserve"> Pierce, Darrell Prather, Geoffrey P. Dorney, Jeffrey L. Hill, John Bachmeier, J. Robert Barnes, Paul Romanoski, Terry Langlois, and Robert Winfield filed a Joint Petition for Approval of Regulatory Improvements for Decentralized Solar Ne</w:t>
      </w:r>
      <w:r w:rsidR="00B344D2">
        <w:t xml:space="preserve">t-Metering Systems in Florida (Joint </w:t>
      </w:r>
      <w:r w:rsidRPr="00D34C56">
        <w:t xml:space="preserve">Petition). </w:t>
      </w:r>
      <w:r w:rsidR="00F24F47">
        <w:t xml:space="preserve">Joint </w:t>
      </w:r>
      <w:r w:rsidRPr="00D34C56">
        <w:t xml:space="preserve">Petitioners </w:t>
      </w:r>
      <w:r>
        <w:t>asked the Commission</w:t>
      </w:r>
      <w:r w:rsidRPr="00D34C56">
        <w:t xml:space="preserve"> </w:t>
      </w:r>
      <w:r>
        <w:t xml:space="preserve">to </w:t>
      </w:r>
      <w:r w:rsidRPr="00D34C56">
        <w:t xml:space="preserve">take certain action relating to the interconnection and net metering of customer-owned renewable generation by electric utilities in Florida. Specifically, </w:t>
      </w:r>
      <w:r w:rsidR="00F24F47">
        <w:t xml:space="preserve">Joint </w:t>
      </w:r>
      <w:r w:rsidRPr="00D34C56">
        <w:t>Petitioners request</w:t>
      </w:r>
      <w:r>
        <w:t>ed that the Commission</w:t>
      </w:r>
      <w:r w:rsidRPr="00D34C56">
        <w:t xml:space="preserve"> revise certain terms and requirements related to interconnection and net metering.  </w:t>
      </w:r>
    </w:p>
    <w:p w:rsidR="00F24F47" w:rsidRDefault="004955B7" w:rsidP="009E6358">
      <w:pPr>
        <w:pStyle w:val="BodyText"/>
      </w:pPr>
      <w:r>
        <w:t xml:space="preserve">On September 30, 2019, five of the </w:t>
      </w:r>
      <w:r w:rsidR="00F24F47">
        <w:t>Joint Petitioners</w:t>
      </w:r>
      <w:r>
        <w:t>,</w:t>
      </w:r>
      <w:r w:rsidRPr="004955B7">
        <w:t xml:space="preserve"> </w:t>
      </w:r>
      <w:r w:rsidRPr="00D34C56">
        <w:t>Achim Ginsberg-Klemmt, Chris</w:t>
      </w:r>
      <w:r>
        <w:t>topher</w:t>
      </w:r>
      <w:r w:rsidRPr="00D34C56">
        <w:t xml:space="preserve"> Pierce, Jeffrey L. Hill, </w:t>
      </w:r>
      <w:r w:rsidR="00F24F47">
        <w:t xml:space="preserve">Paul Romanoski, </w:t>
      </w:r>
      <w:r w:rsidRPr="00D34C56">
        <w:t>and Robert Winfield</w:t>
      </w:r>
      <w:r w:rsidR="00F24F47">
        <w:t xml:space="preserve">, filed a Memorandum in Opposition to FPSC Staff’s Recommendation to Deny the Joint Petition for Approving </w:t>
      </w:r>
      <w:r w:rsidR="00F24F47">
        <w:lastRenderedPageBreak/>
        <w:t>Improvements for Decentralized Net-Metering Systems in Florida</w:t>
      </w:r>
      <w:r w:rsidR="008F0600">
        <w:t xml:space="preserve"> (Memorandum in Opposition)</w:t>
      </w:r>
      <w:r w:rsidR="00F24F47">
        <w:t xml:space="preserve">.  In addition, on October 1, 2019, Mr. Ginsberg-Klemmt </w:t>
      </w:r>
      <w:r w:rsidR="00191D0E">
        <w:t xml:space="preserve">and Mr. Chris E. Pierce </w:t>
      </w:r>
      <w:r w:rsidR="00F24F47">
        <w:t>filed Petitioners’ Response Opposing Staff Recommendation to Deny</w:t>
      </w:r>
      <w:r w:rsidR="008F0600">
        <w:t xml:space="preserve"> (Response in Opposition)</w:t>
      </w:r>
      <w:r w:rsidR="00F24F47">
        <w:t xml:space="preserve">. </w:t>
      </w:r>
      <w:r w:rsidR="00164B66">
        <w:t xml:space="preserve">Mr. Ginsberg-Klemmt addressed the Commission at the October 3, 2019 Agenda Conference at which the </w:t>
      </w:r>
      <w:r w:rsidR="00B344D2">
        <w:t xml:space="preserve">Joint </w:t>
      </w:r>
      <w:r w:rsidR="00164B66">
        <w:t>Petition was heard.</w:t>
      </w:r>
      <w:r w:rsidR="00DE1D9A">
        <w:t xml:space="preserve"> </w:t>
      </w:r>
      <w:proofErr w:type="gramStart"/>
      <w:r w:rsidR="00DE1D9A">
        <w:t>By Order No.</w:t>
      </w:r>
      <w:proofErr w:type="gramEnd"/>
      <w:r w:rsidR="00DE1D9A">
        <w:t xml:space="preserve"> PSC-2019-0410-FOF-EI</w:t>
      </w:r>
      <w:r w:rsidR="00FF5653">
        <w:t>, issued October 10, 2019</w:t>
      </w:r>
      <w:r w:rsidR="00CE187D">
        <w:t xml:space="preserve"> (Final Order)</w:t>
      </w:r>
      <w:r w:rsidR="00FF5653">
        <w:t>, the Commission</w:t>
      </w:r>
      <w:r w:rsidR="00827726">
        <w:t xml:space="preserve"> ordered that the Joint Petition be treated as a petition to initiate rulemaking to amend Rule 25-6.065, </w:t>
      </w:r>
      <w:r w:rsidR="00191D0E">
        <w:t xml:space="preserve">Florida Administrative Code (F.A.C.), </w:t>
      </w:r>
      <w:r w:rsidR="00827726">
        <w:t>Interconnection and Net Metering of Customer-Owned Renewable Generation. Further, the Commission</w:t>
      </w:r>
      <w:r w:rsidR="00FF5653">
        <w:t xml:space="preserve"> denied the </w:t>
      </w:r>
      <w:r w:rsidR="00B344D2">
        <w:t xml:space="preserve">Joint </w:t>
      </w:r>
      <w:r w:rsidR="00FF5653">
        <w:t>Petition.</w:t>
      </w:r>
      <w:r>
        <w:t xml:space="preserve"> </w:t>
      </w:r>
    </w:p>
    <w:p w:rsidR="0068481F" w:rsidRDefault="00FF5653" w:rsidP="009E6358">
      <w:pPr>
        <w:pStyle w:val="BodyText"/>
      </w:pPr>
      <w:r>
        <w:t xml:space="preserve">On October 21, 2019, </w:t>
      </w:r>
      <w:r w:rsidR="00F24F47">
        <w:t>Mr.</w:t>
      </w:r>
      <w:r>
        <w:t xml:space="preserve"> Ginsberg-Klemmt </w:t>
      </w:r>
      <w:r w:rsidR="004955B7">
        <w:t xml:space="preserve">(Petitioner) </w:t>
      </w:r>
      <w:r>
        <w:t xml:space="preserve">filed a timely Motion for Reconsideration of the Final Order. Also on that date, </w:t>
      </w:r>
      <w:r w:rsidR="004955B7">
        <w:t>Petitioner</w:t>
      </w:r>
      <w:r>
        <w:t xml:space="preserve"> filed a Request for Oral Argument</w:t>
      </w:r>
      <w:r w:rsidR="004955B7">
        <w:t>.</w:t>
      </w:r>
      <w:r w:rsidR="0075295A">
        <w:t xml:space="preserve"> On November 4, 2019, Petitioner filed a Notice of Appeal with the Florida Supreme Court. </w:t>
      </w:r>
      <w:r w:rsidR="006A20D7">
        <w:t xml:space="preserve">By </w:t>
      </w:r>
      <w:r w:rsidR="00191D0E">
        <w:t xml:space="preserve">the </w:t>
      </w:r>
      <w:r w:rsidR="006A20D7">
        <w:t xml:space="preserve">November 13, 2019 Order of the Florida Supreme Court, the appeal is being held in abeyance until the Commission </w:t>
      </w:r>
      <w:r w:rsidR="00191D0E">
        <w:t>issues and files with the Commission Clerk</w:t>
      </w:r>
      <w:r w:rsidR="006A20D7">
        <w:t xml:space="preserve"> its order disposing of Petitioner’s Motion for Reconsideration.</w:t>
      </w:r>
      <w:r w:rsidR="004955B7">
        <w:t xml:space="preserve"> </w:t>
      </w:r>
      <w:r>
        <w:t>The Commission has</w:t>
      </w:r>
      <w:r w:rsidR="00DE1D9A" w:rsidRPr="00D34C56">
        <w:t xml:space="preserve"> jurisdiction pursuant to Sections 120.54(7), 350.127(2), and 366.91,</w:t>
      </w:r>
      <w:r>
        <w:t xml:space="preserve"> Florida Statutes (</w:t>
      </w:r>
      <w:r w:rsidR="00DE1D9A" w:rsidRPr="00D34C56">
        <w:t>F.S</w:t>
      </w:r>
      <w:r w:rsidR="00DE1D9A">
        <w:t>.</w:t>
      </w:r>
      <w:r>
        <w:t>).</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FA544E" w:rsidRDefault="00FA544E">
      <w:pPr>
        <w:pStyle w:val="IssueHeading"/>
        <w:rPr>
          <w:vanish/>
          <w:specVanish/>
        </w:rPr>
      </w:pPr>
      <w:r w:rsidRPr="004C3641">
        <w:t xml:space="preserve">Issue </w:t>
      </w:r>
      <w:r w:rsidR="00BD7456">
        <w:t>1</w:t>
      </w:r>
      <w:r w:rsidRPr="004C3641">
        <w:t>:</w:t>
      </w:r>
      <w:r>
        <w:fldChar w:fldCharType="begin"/>
      </w:r>
      <w:r>
        <w:instrText xml:space="preserve"> TC "</w:instrText>
      </w:r>
      <w:r>
        <w:fldChar w:fldCharType="begin"/>
      </w:r>
      <w:r>
        <w:instrText xml:space="preserve"> SEQ issue \c </w:instrText>
      </w:r>
      <w:r>
        <w:fldChar w:fldCharType="separate"/>
      </w:r>
      <w:r w:rsidR="006A77A1">
        <w:rPr>
          <w:noProof/>
        </w:rPr>
        <w:instrText>0</w:instrText>
      </w:r>
      <w:r>
        <w:fldChar w:fldCharType="end"/>
      </w:r>
      <w:r>
        <w:tab/>
        <w:instrText xml:space="preserve">" \l 1 </w:instrText>
      </w:r>
      <w:r>
        <w:fldChar w:fldCharType="end"/>
      </w:r>
      <w:r>
        <w:t> </w:t>
      </w:r>
    </w:p>
    <w:p w:rsidR="00FA544E" w:rsidRDefault="00FA544E">
      <w:pPr>
        <w:pStyle w:val="BodyText"/>
      </w:pPr>
      <w:r>
        <w:t> </w:t>
      </w:r>
      <w:r w:rsidR="004955B7">
        <w:t>Should the Commission grant Petitioner’s Request for Oral Argument?</w:t>
      </w:r>
    </w:p>
    <w:p w:rsidR="00FA544E" w:rsidRPr="004C3641" w:rsidRDefault="00FA544E">
      <w:pPr>
        <w:pStyle w:val="IssueSubsectionHeading"/>
        <w:rPr>
          <w:vanish/>
          <w:specVanish/>
        </w:rPr>
      </w:pPr>
      <w:r w:rsidRPr="004C3641">
        <w:t>Recommendation: </w:t>
      </w:r>
    </w:p>
    <w:p w:rsidR="00FA544E" w:rsidRDefault="00FA544E">
      <w:pPr>
        <w:pStyle w:val="BodyText"/>
      </w:pPr>
      <w:r>
        <w:t> </w:t>
      </w:r>
      <w:r w:rsidR="00164B66">
        <w:t>No. The Commission should deny Petitioner’s Request for Oral Argument.</w:t>
      </w:r>
      <w:r w:rsidR="00CE187D">
        <w:t xml:space="preserve"> </w:t>
      </w:r>
      <w:r w:rsidR="00AC5335">
        <w:t>(DuVal, Cowdery)</w:t>
      </w:r>
    </w:p>
    <w:p w:rsidR="00FA544E" w:rsidRPr="004C3641" w:rsidRDefault="00FA544E">
      <w:pPr>
        <w:pStyle w:val="IssueSubsectionHeading"/>
        <w:rPr>
          <w:vanish/>
          <w:specVanish/>
        </w:rPr>
      </w:pPr>
      <w:r w:rsidRPr="004C3641">
        <w:t>Staff Analysis: </w:t>
      </w:r>
    </w:p>
    <w:p w:rsidR="00164B66" w:rsidRDefault="00164B66" w:rsidP="009E6358">
      <w:pPr>
        <w:pStyle w:val="BodyText"/>
      </w:pPr>
      <w:r>
        <w:t xml:space="preserve">Petitioner </w:t>
      </w:r>
      <w:r w:rsidR="00CE187D">
        <w:t>filed a Request for Oral Argument</w:t>
      </w:r>
      <w:r>
        <w:t xml:space="preserve"> on </w:t>
      </w:r>
      <w:r w:rsidR="00191D0E">
        <w:t>his</w:t>
      </w:r>
      <w:r>
        <w:t xml:space="preserve"> Motion for Reconsideration.</w:t>
      </w:r>
      <w:r>
        <w:rPr>
          <w:rStyle w:val="FootnoteReference"/>
        </w:rPr>
        <w:footnoteReference w:id="1"/>
      </w:r>
      <w:r>
        <w:t xml:space="preserve"> </w:t>
      </w:r>
      <w:r w:rsidR="00C70185">
        <w:t xml:space="preserve">Petitioner states that oral argument “would provide sufficient time for the Petitioner to discuss and rebut the faulty conclusions contained in the Commission Staff’s written recommendation which were merged almost verbatim into the Final Order.” </w:t>
      </w:r>
      <w:r>
        <w:t>Petitioner requested that he be g</w:t>
      </w:r>
      <w:r w:rsidR="00C70185">
        <w:t>ranted</w:t>
      </w:r>
      <w:r>
        <w:t xml:space="preserve"> 15 minutes</w:t>
      </w:r>
      <w:r w:rsidR="00C70185">
        <w:t xml:space="preserve"> for oral argument.</w:t>
      </w:r>
    </w:p>
    <w:p w:rsidR="009E6358" w:rsidRDefault="00BE7B58" w:rsidP="00164B66">
      <w:pPr>
        <w:pStyle w:val="BodyText"/>
        <w:spacing w:after="0"/>
      </w:pPr>
      <w:r>
        <w:t xml:space="preserve">Rule 25-22.0022(1), F.A.C., states that the request for oral argument must state with particularity why oral argument would aid the Commissioners in understanding and evaluating the issues to be decided. </w:t>
      </w:r>
      <w:r w:rsidR="001B2657">
        <w:t xml:space="preserve">Petitioner’s request </w:t>
      </w:r>
      <w:r w:rsidR="003248EF">
        <w:t>for</w:t>
      </w:r>
      <w:r w:rsidR="001B2657">
        <w:t xml:space="preserve"> oral argument does not explain why oral argument would aid the </w:t>
      </w:r>
      <w:proofErr w:type="gramStart"/>
      <w:r w:rsidR="001B2657">
        <w:t>Commission’s understanding</w:t>
      </w:r>
      <w:proofErr w:type="gramEnd"/>
      <w:r w:rsidR="001B2657">
        <w:t xml:space="preserve"> and evaluation of the issues raised in the Motion for Reconsideration. </w:t>
      </w:r>
    </w:p>
    <w:p w:rsidR="009E6358" w:rsidRDefault="009E6358" w:rsidP="00164B66">
      <w:pPr>
        <w:pStyle w:val="BodyText"/>
        <w:spacing w:after="0"/>
      </w:pPr>
    </w:p>
    <w:p w:rsidR="00164B66" w:rsidRPr="00164B66" w:rsidRDefault="009E6358" w:rsidP="00164B66">
      <w:pPr>
        <w:pStyle w:val="BodyText"/>
        <w:spacing w:after="0"/>
      </w:pPr>
      <w:r>
        <w:t>Petitioner’s Motion for Reconsideration fully sets forth the Petitioner’s arguments. Staff does not believe</w:t>
      </w:r>
      <w:r w:rsidR="00CE6F00">
        <w:t xml:space="preserve"> that oral argument would aid the Commission in understanding and evaluating Petitioner’s Motion for Reconsideration</w:t>
      </w:r>
      <w:r>
        <w:t>. Thus, s</w:t>
      </w:r>
      <w:r w:rsidR="001B2657">
        <w:t>taff recommends that Petitioner’s Request for Oral Argument be denied</w:t>
      </w:r>
      <w:r w:rsidR="00CE6F00">
        <w:t>.</w:t>
      </w:r>
    </w:p>
    <w:p w:rsidR="00C07180" w:rsidRDefault="00C07180">
      <w:pPr>
        <w:pStyle w:val="IssueHeading"/>
        <w:rPr>
          <w:b w:val="0"/>
          <w:i w:val="0"/>
        </w:rPr>
        <w:sectPr w:rsidR="00C0718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A544E" w:rsidRDefault="00FA544E">
      <w:pPr>
        <w:pStyle w:val="IssueHeading"/>
        <w:rPr>
          <w:vanish/>
          <w:specVanish/>
        </w:rPr>
      </w:pPr>
      <w:r w:rsidRPr="004C3641">
        <w:lastRenderedPageBreak/>
        <w:t xml:space="preserve">Issue </w:t>
      </w:r>
      <w:r w:rsidR="00BD7456">
        <w:t>2</w:t>
      </w:r>
      <w:r w:rsidRPr="004C3641">
        <w:t>:</w:t>
      </w:r>
      <w:r>
        <w:fldChar w:fldCharType="begin"/>
      </w:r>
      <w:r>
        <w:instrText xml:space="preserve"> TC "</w:instrText>
      </w:r>
      <w:r>
        <w:fldChar w:fldCharType="begin"/>
      </w:r>
      <w:r>
        <w:instrText xml:space="preserve"> SEQ issue \c </w:instrText>
      </w:r>
      <w:r>
        <w:fldChar w:fldCharType="separate"/>
      </w:r>
      <w:r w:rsidR="006A77A1">
        <w:rPr>
          <w:noProof/>
        </w:rPr>
        <w:instrText>0</w:instrText>
      </w:r>
      <w:r>
        <w:fldChar w:fldCharType="end"/>
      </w:r>
      <w:r>
        <w:tab/>
        <w:instrText xml:space="preserve">" \l 1 </w:instrText>
      </w:r>
      <w:r>
        <w:fldChar w:fldCharType="end"/>
      </w:r>
      <w:r>
        <w:t> </w:t>
      </w:r>
    </w:p>
    <w:p w:rsidR="00FA544E" w:rsidRDefault="00FA544E">
      <w:pPr>
        <w:pStyle w:val="BodyText"/>
      </w:pPr>
      <w:r>
        <w:t> Should t</w:t>
      </w:r>
      <w:r w:rsidR="00BD7456">
        <w:t xml:space="preserve">he Commission grant Petitioner’s </w:t>
      </w:r>
      <w:r w:rsidR="00AC5335">
        <w:t>Motion for Reconsideration of</w:t>
      </w:r>
      <w:r w:rsidR="00BD7456">
        <w:t xml:space="preserve"> the Final Order </w:t>
      </w:r>
      <w:r w:rsidR="00AC5335">
        <w:t>D</w:t>
      </w:r>
      <w:r w:rsidR="00BD7456">
        <w:t>enying</w:t>
      </w:r>
      <w:r w:rsidR="00AC5335">
        <w:t xml:space="preserve"> P</w:t>
      </w:r>
      <w:r w:rsidR="00BD7456">
        <w:t>etition to</w:t>
      </w:r>
      <w:r w:rsidR="00AC5335">
        <w:t xml:space="preserve"> I</w:t>
      </w:r>
      <w:r w:rsidR="00BD7456">
        <w:t xml:space="preserve">nitiate </w:t>
      </w:r>
      <w:r w:rsidR="00AC5335">
        <w:t>R</w:t>
      </w:r>
      <w:r w:rsidR="00BD7456">
        <w:t>ulemaking</w:t>
      </w:r>
      <w:r w:rsidR="00AC5335">
        <w:t>?</w:t>
      </w:r>
      <w:r w:rsidR="00BD7456">
        <w:t xml:space="preserve"> </w:t>
      </w:r>
    </w:p>
    <w:p w:rsidR="00FA544E" w:rsidRPr="004C3641" w:rsidRDefault="00FA544E">
      <w:pPr>
        <w:pStyle w:val="IssueSubsectionHeading"/>
        <w:rPr>
          <w:vanish/>
          <w:specVanish/>
        </w:rPr>
      </w:pPr>
      <w:r w:rsidRPr="004C3641">
        <w:t>Recommendation: </w:t>
      </w:r>
    </w:p>
    <w:p w:rsidR="00FA544E" w:rsidRDefault="00FA544E">
      <w:pPr>
        <w:pStyle w:val="BodyText"/>
      </w:pPr>
      <w:r>
        <w:t> </w:t>
      </w:r>
      <w:r w:rsidR="00AC5335">
        <w:t>No. Petitioner’s Motion for Reconsideration should be denied because it does not meet the required standard for a motion for reconsideration.</w:t>
      </w:r>
      <w:r w:rsidR="00AC5335" w:rsidRPr="002E276D">
        <w:t xml:space="preserve"> </w:t>
      </w:r>
      <w:r w:rsidR="00AC5335">
        <w:t>Petitioner</w:t>
      </w:r>
      <w:r w:rsidR="00AC5335" w:rsidRPr="002E276D">
        <w:t xml:space="preserve"> has failed to identify a point of fact or law </w:t>
      </w:r>
      <w:r w:rsidR="00AC5335">
        <w:t>that</w:t>
      </w:r>
      <w:r w:rsidR="00AC5335" w:rsidRPr="002E276D">
        <w:t xml:space="preserve"> was overlooked or </w:t>
      </w:r>
      <w:r w:rsidR="00AC5335">
        <w:t>that</w:t>
      </w:r>
      <w:r w:rsidR="00AC5335" w:rsidRPr="002E276D">
        <w:t xml:space="preserve"> the Commission failed to consider in</w:t>
      </w:r>
      <w:r w:rsidR="00AC5335">
        <w:t xml:space="preserve"> rendering Order No. </w:t>
      </w:r>
      <w:proofErr w:type="gramStart"/>
      <w:r w:rsidR="00AC5335">
        <w:t>PSC-2019-0410-FOF-EI</w:t>
      </w:r>
      <w:r w:rsidR="00C70185">
        <w:t>, Order Denying Petition to Initiate Rulemaking</w:t>
      </w:r>
      <w:r w:rsidR="00AC5335">
        <w:t>.</w:t>
      </w:r>
      <w:proofErr w:type="gramEnd"/>
      <w:r w:rsidR="00AC5335">
        <w:t xml:space="preserve"> (Du</w:t>
      </w:r>
      <w:r w:rsidR="00191D0E">
        <w:t>V</w:t>
      </w:r>
      <w:r w:rsidR="00AC5335">
        <w:t>al, Cowdery</w:t>
      </w:r>
      <w:r w:rsidR="00DE092E">
        <w:t>, Vogel</w:t>
      </w:r>
      <w:r w:rsidR="00AC5335">
        <w:t>)</w:t>
      </w:r>
      <w:r>
        <w:t xml:space="preserve"> </w:t>
      </w:r>
    </w:p>
    <w:p w:rsidR="00FA544E" w:rsidRPr="004C3641" w:rsidRDefault="00FA544E" w:rsidP="00AC5335">
      <w:pPr>
        <w:pStyle w:val="IssueSubsectionHeading"/>
        <w:spacing w:after="0"/>
        <w:rPr>
          <w:vanish/>
          <w:specVanish/>
        </w:rPr>
      </w:pPr>
      <w:r w:rsidRPr="004C3641">
        <w:t>Staff Analysis: </w:t>
      </w:r>
    </w:p>
    <w:p w:rsidR="00AC5335" w:rsidRDefault="00FA544E" w:rsidP="00AC5335">
      <w:pPr>
        <w:pStyle w:val="BodyText"/>
      </w:pPr>
      <w:r>
        <w:t> </w:t>
      </w:r>
    </w:p>
    <w:p w:rsidR="00FA544E" w:rsidRDefault="00AC5335" w:rsidP="00AC5335">
      <w:pPr>
        <w:pStyle w:val="BodyText"/>
        <w:spacing w:after="0"/>
        <w:rPr>
          <w:rFonts w:ascii="Arial" w:hAnsi="Arial" w:cs="Arial"/>
          <w:b/>
        </w:rPr>
      </w:pPr>
      <w:r w:rsidRPr="00AC5335">
        <w:rPr>
          <w:rFonts w:ascii="Arial" w:hAnsi="Arial" w:cs="Arial"/>
          <w:b/>
        </w:rPr>
        <w:t>Standard of Review</w:t>
      </w:r>
    </w:p>
    <w:p w:rsidR="00AC5335" w:rsidRPr="00AC5335" w:rsidRDefault="00AC5335" w:rsidP="00AC5335">
      <w:pPr>
        <w:pStyle w:val="BodyText"/>
      </w:pPr>
      <w:r>
        <w:t xml:space="preserve">The appropriate standard of review in a motion for reconsideration is whether the motion identifies a point of fact or law that was overlooked or that the Commission failed to consider in rendering its Final Order.  </w:t>
      </w:r>
      <w:r w:rsidRPr="00581FA9">
        <w:rPr>
          <w:u w:val="single"/>
        </w:rPr>
        <w:t>Stewart Bonded Warehouse, Inc. v. Bevis</w:t>
      </w:r>
      <w:r>
        <w:t xml:space="preserve">, 294 So. </w:t>
      </w:r>
      <w:proofErr w:type="gramStart"/>
      <w:r>
        <w:t xml:space="preserve">2d 315 (Fla. 1974); </w:t>
      </w:r>
      <w:r w:rsidRPr="00581FA9">
        <w:rPr>
          <w:u w:val="single"/>
        </w:rPr>
        <w:t>Diamond Cab Co. v. King</w:t>
      </w:r>
      <w:r>
        <w:t>, 146 So.</w:t>
      </w:r>
      <w:proofErr w:type="gramEnd"/>
      <w:r>
        <w:t xml:space="preserve"> </w:t>
      </w:r>
      <w:proofErr w:type="gramStart"/>
      <w:r>
        <w:t xml:space="preserve">2d 889 (Fla. 1962); and </w:t>
      </w:r>
      <w:r w:rsidRPr="00581FA9">
        <w:rPr>
          <w:u w:val="single"/>
        </w:rPr>
        <w:t>Pingree v. Quaintance</w:t>
      </w:r>
      <w:r>
        <w:t>, 394 So.</w:t>
      </w:r>
      <w:proofErr w:type="gramEnd"/>
      <w:r>
        <w:t xml:space="preserve"> </w:t>
      </w:r>
      <w:proofErr w:type="gramStart"/>
      <w:r>
        <w:t>2d 161 (Fla. 1st DCA 1981).</w:t>
      </w:r>
      <w:proofErr w:type="gramEnd"/>
      <w:r>
        <w:t xml:space="preserve">  In a motion for reconsideration, it is not appropriate to reargue matters that have already been considered.</w:t>
      </w:r>
      <w:r w:rsidRPr="008962FE">
        <w:t xml:space="preserve">  </w:t>
      </w:r>
      <w:r w:rsidRPr="00581FA9">
        <w:rPr>
          <w:u w:val="single"/>
        </w:rPr>
        <w:t>Sherwood v. State</w:t>
      </w:r>
      <w:r>
        <w:t xml:space="preserve">, 111 So. 2d 96 (Fla. 3d DCA 1959), citing </w:t>
      </w:r>
      <w:r w:rsidRPr="00581FA9">
        <w:rPr>
          <w:u w:val="single"/>
        </w:rPr>
        <w:t>State ex rel. Jaytex Realty Co. v. Green</w:t>
      </w:r>
      <w:r>
        <w:t xml:space="preserve">, 105 So. </w:t>
      </w:r>
      <w:proofErr w:type="gramStart"/>
      <w:r>
        <w:t>2d 817 (Fla. 1st DCA 1958).</w:t>
      </w:r>
      <w:proofErr w:type="gramEnd"/>
    </w:p>
    <w:p w:rsidR="00DD04A3" w:rsidRDefault="00DD04A3" w:rsidP="00DD04A3">
      <w:pPr>
        <w:pStyle w:val="First-LevelSubheading"/>
      </w:pPr>
      <w:r>
        <w:t>Petitioner’s Motion for Reconsideration</w:t>
      </w:r>
    </w:p>
    <w:p w:rsidR="00DD04A3" w:rsidRDefault="00DD04A3" w:rsidP="00CF5AC3">
      <w:pPr>
        <w:pStyle w:val="BodyText"/>
      </w:pPr>
      <w:r>
        <w:t>Petitioner asserts that he was given insufficient time to discuss and rebut the “f</w:t>
      </w:r>
      <w:r w:rsidR="00CE6F00">
        <w:t>aulty conclusions” in the staff r</w:t>
      </w:r>
      <w:r w:rsidR="001C6857">
        <w:t xml:space="preserve">ecommendation. </w:t>
      </w:r>
      <w:r>
        <w:t xml:space="preserve">Petitioner </w:t>
      </w:r>
      <w:r w:rsidR="00CE6F00">
        <w:t>states</w:t>
      </w:r>
      <w:r>
        <w:t xml:space="preserve"> that the Commission misconstrued Joint Petitioners</w:t>
      </w:r>
      <w:r w:rsidR="00395305">
        <w:t>’</w:t>
      </w:r>
      <w:r>
        <w:t xml:space="preserve"> request “to allow net-metering customers or their contractors to freely choose the size of </w:t>
      </w:r>
      <w:r w:rsidR="008938C2">
        <w:t>their</w:t>
      </w:r>
      <w:r>
        <w:t xml:space="preserve"> net-metering systems providing that the existing electric grid connection supports the requested size and the requested solar system fully complies with the applicable technical standards controlled and verified by the current building permit inspection process at the County level.” Petitioner states </w:t>
      </w:r>
      <w:r w:rsidR="00BC02AD">
        <w:t>that he</w:t>
      </w:r>
      <w:r>
        <w:t xml:space="preserve"> agrees that net-metered solar systems should not be allowed to exceed transformer capacity, but that Flori</w:t>
      </w:r>
      <w:r w:rsidR="008938C2">
        <w:t>da P</w:t>
      </w:r>
      <w:r>
        <w:t xml:space="preserve">ower &amp; Light </w:t>
      </w:r>
      <w:r w:rsidR="00191D0E">
        <w:t xml:space="preserve">Company </w:t>
      </w:r>
      <w:r>
        <w:t>s</w:t>
      </w:r>
      <w:r w:rsidR="008938C2">
        <w:t>hould not be allowed</w:t>
      </w:r>
      <w:r>
        <w:t xml:space="preserve"> </w:t>
      </w:r>
      <w:r w:rsidR="008938C2">
        <w:t>“to unilaterally impose arbitrary limitations on solar net-metering systems.”</w:t>
      </w:r>
    </w:p>
    <w:p w:rsidR="008938C2" w:rsidRDefault="00CF5AC3" w:rsidP="00D348CC">
      <w:pPr>
        <w:pStyle w:val="BodyText"/>
      </w:pPr>
      <w:r>
        <w:t>The Motion for Reconsideration states</w:t>
      </w:r>
      <w:r w:rsidR="008938C2">
        <w:t xml:space="preserve"> that the Commission </w:t>
      </w:r>
      <w:r w:rsidR="0069676F">
        <w:t>should</w:t>
      </w:r>
      <w:r w:rsidR="00395305">
        <w:t>,</w:t>
      </w:r>
      <w:r w:rsidR="0069676F">
        <w:t xml:space="preserve"> but </w:t>
      </w:r>
      <w:r w:rsidR="008938C2">
        <w:t>is not required to</w:t>
      </w:r>
      <w:r w:rsidR="00395305">
        <w:t>,</w:t>
      </w:r>
      <w:r w:rsidR="008938C2">
        <w:t xml:space="preserve"> change Rule 25-6.065</w:t>
      </w:r>
      <w:r w:rsidR="00440705">
        <w:t>, F.A.C.,</w:t>
      </w:r>
      <w:r w:rsidR="008938C2">
        <w:t xml:space="preserve"> to </w:t>
      </w:r>
      <w:r w:rsidR="00191D0E">
        <w:t>“</w:t>
      </w:r>
      <w:r w:rsidR="008938C2">
        <w:t>mitigate negative effects</w:t>
      </w:r>
      <w:r w:rsidR="00191D0E">
        <w:t>”</w:t>
      </w:r>
      <w:r w:rsidR="008938C2">
        <w:t xml:space="preserve"> caused by the 10</w:t>
      </w:r>
      <w:r w:rsidR="00191D0E">
        <w:t>kW</w:t>
      </w:r>
      <w:r w:rsidR="008938C2">
        <w:t xml:space="preserve"> Tier 1 </w:t>
      </w:r>
      <w:r w:rsidR="00FA48A9">
        <w:t>provision</w:t>
      </w:r>
      <w:r w:rsidR="008938C2">
        <w:t>. Petitioner states that the Tier 1 threshold should be increased to 50</w:t>
      </w:r>
      <w:r w:rsidR="00191D0E">
        <w:t>kW</w:t>
      </w:r>
      <w:r w:rsidR="008938C2">
        <w:t xml:space="preserve"> because </w:t>
      </w:r>
      <w:r w:rsidR="0076003B">
        <w:t xml:space="preserve">the </w:t>
      </w:r>
      <w:r w:rsidR="008938C2">
        <w:t xml:space="preserve">10 </w:t>
      </w:r>
      <w:r w:rsidR="00191D0E">
        <w:t>kW</w:t>
      </w:r>
      <w:r w:rsidR="008938C2">
        <w:t xml:space="preserve"> </w:t>
      </w:r>
      <w:r w:rsidR="00FA48A9">
        <w:t>provision</w:t>
      </w:r>
      <w:r w:rsidR="008938C2">
        <w:t xml:space="preserve"> is not powerful enough to cover the needs of a larger home with electric vehicles. </w:t>
      </w:r>
      <w:r w:rsidR="009D4BD1">
        <w:t>T</w:t>
      </w:r>
      <w:r w:rsidR="00E630B3">
        <w:t xml:space="preserve">he Motion for Reconsideration </w:t>
      </w:r>
      <w:r w:rsidR="009D4BD1">
        <w:t xml:space="preserve">also states </w:t>
      </w:r>
      <w:r w:rsidR="008938C2">
        <w:t>that the Commission could “simply waive” the insurance requirement of one million dollars or grant a variance for all residential solar installations.</w:t>
      </w:r>
      <w:r w:rsidR="00BC3E16">
        <w:rPr>
          <w:rStyle w:val="FootnoteReference"/>
        </w:rPr>
        <w:footnoteReference w:id="2"/>
      </w:r>
      <w:r w:rsidR="0076003B">
        <w:t xml:space="preserve"> </w:t>
      </w:r>
      <w:r w:rsidR="007A57DB">
        <w:t xml:space="preserve">Petitioner </w:t>
      </w:r>
      <w:r w:rsidR="0069676F">
        <w:t>further</w:t>
      </w:r>
      <w:r w:rsidR="0076003B">
        <w:t xml:space="preserve"> allege</w:t>
      </w:r>
      <w:r w:rsidR="0069676F">
        <w:t>s</w:t>
      </w:r>
      <w:r w:rsidR="007A57DB">
        <w:t xml:space="preserve"> that the core problem is “the missing enforcement and missing oversight capabilities of existing rules during the permitting process” and that Commission staff lacks technical expertise concerning net-metering.</w:t>
      </w:r>
    </w:p>
    <w:p w:rsidR="00440705" w:rsidRDefault="007A57DB" w:rsidP="00DD04A3">
      <w:pPr>
        <w:pStyle w:val="BodyText"/>
      </w:pPr>
      <w:r>
        <w:lastRenderedPageBreak/>
        <w:t xml:space="preserve">Petitioner argues that the Joint Petition’s request to increase </w:t>
      </w:r>
      <w:r w:rsidR="00395305">
        <w:t>minimum</w:t>
      </w:r>
      <w:r>
        <w:t xml:space="preserve"> compensation for surplus solar electricity to a minimum of $0.08 per kWh was a “simple request for a rate </w:t>
      </w:r>
      <w:r w:rsidR="00D348CC">
        <w:t>increase” that was in</w:t>
      </w:r>
      <w:r>
        <w:t>appropriately treated as a petition to initiate rulemaking</w:t>
      </w:r>
      <w:r w:rsidR="00CF5AC3">
        <w:t>, but</w:t>
      </w:r>
      <w:r>
        <w:t xml:space="preserve"> if the </w:t>
      </w:r>
      <w:r w:rsidR="00D348CC">
        <w:t>treatment of the request</w:t>
      </w:r>
      <w:r>
        <w:t xml:space="preserve"> as a petition to initiate rulemaking</w:t>
      </w:r>
      <w:r w:rsidR="00D348CC">
        <w:t xml:space="preserve"> was proper</w:t>
      </w:r>
      <w:r>
        <w:t>, the rule should be modified.</w:t>
      </w:r>
      <w:r w:rsidR="00395305" w:rsidRPr="00395305">
        <w:t xml:space="preserve"> </w:t>
      </w:r>
      <w:r w:rsidR="00395305">
        <w:t>Petitioner maintains that because Rule 25-6.065(2)(a)</w:t>
      </w:r>
      <w:r w:rsidR="00D348CC">
        <w:t xml:space="preserve">, F.A.C., </w:t>
      </w:r>
      <w:r w:rsidR="00C93ECF">
        <w:t xml:space="preserve">defines </w:t>
      </w:r>
      <w:r w:rsidR="00395305">
        <w:t xml:space="preserve">customer-owned </w:t>
      </w:r>
      <w:r w:rsidR="00D348CC">
        <w:t>renew</w:t>
      </w:r>
      <w:r w:rsidR="00C93ECF">
        <w:t>able generation</w:t>
      </w:r>
      <w:r w:rsidR="00D348CC">
        <w:t xml:space="preserve"> as </w:t>
      </w:r>
      <w:r w:rsidR="00C7346E">
        <w:t>a system that is p</w:t>
      </w:r>
      <w:r w:rsidR="00395305">
        <w:t xml:space="preserve">rimarily intended to offset part or all of the customer’s electricity requirements with renewable energy, it follows that there exists a secondary purpose that </w:t>
      </w:r>
      <w:r w:rsidR="00981284">
        <w:t xml:space="preserve">allows </w:t>
      </w:r>
      <w:r w:rsidR="00395305">
        <w:t xml:space="preserve">customers’ net-metering systems to produce surplus power based on future usage.  </w:t>
      </w:r>
    </w:p>
    <w:p w:rsidR="00440705" w:rsidRDefault="00440705" w:rsidP="00440705">
      <w:pPr>
        <w:pStyle w:val="First-LevelSubheading"/>
      </w:pPr>
      <w:r>
        <w:t>Analysis</w:t>
      </w:r>
    </w:p>
    <w:p w:rsidR="00CF5AC3" w:rsidRDefault="00CF5AC3" w:rsidP="00440705">
      <w:pPr>
        <w:pStyle w:val="BodyText"/>
      </w:pPr>
      <w:r>
        <w:t xml:space="preserve">Staff disagrees with Petitioner’s claim that he had insufficient </w:t>
      </w:r>
      <w:r w:rsidR="003248EF">
        <w:t xml:space="preserve">time </w:t>
      </w:r>
      <w:r>
        <w:t>to address the staff recommendation. Petitioner responded to and addressed the staff recommendation in the Memorandum in Opposition, the Response in Opposit</w:t>
      </w:r>
      <w:r w:rsidR="00BC3E16">
        <w:t>ion, and at the October 3, 2019</w:t>
      </w:r>
      <w:r>
        <w:t xml:space="preserve"> Agenda Conference. Further, Petitioner’s Motion for Reconsideration sets out in detail Petitioner’s reasons for requesting reconsideration.</w:t>
      </w:r>
      <w:r w:rsidR="00FD53D2">
        <w:t xml:space="preserve"> </w:t>
      </w:r>
      <w:r w:rsidR="00D75F33">
        <w:t>As explained below, the Motion for Reconsideration does not</w:t>
      </w:r>
      <w:r w:rsidR="00D75F33" w:rsidRPr="00FD53D2">
        <w:t xml:space="preserve"> </w:t>
      </w:r>
      <w:r w:rsidR="00D75F33">
        <w:t xml:space="preserve">cite to any point of fact or law that was overlooked </w:t>
      </w:r>
      <w:r w:rsidR="00C7346E">
        <w:t xml:space="preserve">or that </w:t>
      </w:r>
      <w:r w:rsidR="00D75F33">
        <w:t xml:space="preserve">the Commission </w:t>
      </w:r>
      <w:r w:rsidR="00C7346E">
        <w:t xml:space="preserve">failed to consider </w:t>
      </w:r>
      <w:r w:rsidR="00D75F33">
        <w:t xml:space="preserve">in rendering its decision to deny the Joint Petition. Instead, Petitioner reargues the three points raised in the Joint Petition that have already been considered by the Commission in </w:t>
      </w:r>
      <w:r w:rsidR="00C142EB">
        <w:t>rendering the Final Order</w:t>
      </w:r>
      <w:r w:rsidR="00D75F33">
        <w:t>.</w:t>
      </w:r>
    </w:p>
    <w:p w:rsidR="008F0600" w:rsidRDefault="008F0600" w:rsidP="00440705">
      <w:pPr>
        <w:pStyle w:val="BodyText"/>
      </w:pPr>
      <w:r>
        <w:t xml:space="preserve">Petitioner’s </w:t>
      </w:r>
      <w:r w:rsidR="00D01DD0">
        <w:t xml:space="preserve">first </w:t>
      </w:r>
      <w:r w:rsidR="00C7346E">
        <w:t>argument</w:t>
      </w:r>
      <w:r>
        <w:t xml:space="preserve"> </w:t>
      </w:r>
      <w:r w:rsidR="00D01DD0">
        <w:t xml:space="preserve">on reconsideration is </w:t>
      </w:r>
      <w:r>
        <w:t>that the Commission misconstrued its request</w:t>
      </w:r>
      <w:r w:rsidR="00462E27">
        <w:t xml:space="preserve"> in the Joint Petition</w:t>
      </w:r>
      <w:r>
        <w:t xml:space="preserve"> </w:t>
      </w:r>
      <w:r w:rsidR="00BC3E16">
        <w:t>for</w:t>
      </w:r>
      <w:r>
        <w:t xml:space="preserve"> net-metering customers or their contractors </w:t>
      </w:r>
      <w:r w:rsidR="00BC3E16">
        <w:t>to</w:t>
      </w:r>
      <w:r>
        <w:t xml:space="preserve"> be allowed to “freely choose the size of their net-metering systems” subject to proper standards. </w:t>
      </w:r>
      <w:r w:rsidR="00D01DD0">
        <w:t xml:space="preserve">The Motion for Reconsideration does not identify a point of fact or law that was overlooked or that the Commission failed to consider. </w:t>
      </w:r>
      <w:r w:rsidR="00462E27">
        <w:t>Instead, Petition</w:t>
      </w:r>
      <w:r w:rsidR="006D2BF6">
        <w:t>er</w:t>
      </w:r>
      <w:r w:rsidR="00462E27">
        <w:t xml:space="preserve"> makes the same argument that </w:t>
      </w:r>
      <w:r w:rsidR="00395305">
        <w:t>he</w:t>
      </w:r>
      <w:r w:rsidR="005E05B8">
        <w:t xml:space="preserve"> addressed in</w:t>
      </w:r>
      <w:r w:rsidR="00E61EA5">
        <w:t xml:space="preserve"> </w:t>
      </w:r>
      <w:r w:rsidR="00462E27">
        <w:t xml:space="preserve">the </w:t>
      </w:r>
      <w:r w:rsidR="00E61EA5">
        <w:t>Memorandum in Opposition</w:t>
      </w:r>
      <w:r w:rsidR="00D75F33">
        <w:t>, citing</w:t>
      </w:r>
      <w:r w:rsidR="00D75F33" w:rsidRPr="00D75F33">
        <w:t xml:space="preserve"> </w:t>
      </w:r>
      <w:r w:rsidR="00D75F33">
        <w:t xml:space="preserve">legal analysis in Docket </w:t>
      </w:r>
      <w:r w:rsidR="00D01DD0">
        <w:t xml:space="preserve">No. </w:t>
      </w:r>
      <w:r w:rsidR="00D75F33">
        <w:t>20190167-EI</w:t>
      </w:r>
      <w:r w:rsidR="00D75F33">
        <w:rPr>
          <w:rStyle w:val="FootnoteReference"/>
        </w:rPr>
        <w:footnoteReference w:id="3"/>
      </w:r>
      <w:r w:rsidR="00D75F33">
        <w:t xml:space="preserve"> and Exhibit D.</w:t>
      </w:r>
      <w:r w:rsidR="00D75F33">
        <w:rPr>
          <w:rStyle w:val="FootnoteReference"/>
        </w:rPr>
        <w:footnoteReference w:id="4"/>
      </w:r>
      <w:r w:rsidR="00E61EA5">
        <w:t xml:space="preserve"> </w:t>
      </w:r>
      <w:r w:rsidR="007C630C">
        <w:t>Petitioner likewise addressed this point</w:t>
      </w:r>
      <w:r w:rsidR="00395305" w:rsidRPr="00395305">
        <w:t xml:space="preserve"> </w:t>
      </w:r>
      <w:r w:rsidR="00395305">
        <w:t>at the October 3, 2019 Agenda Conference</w:t>
      </w:r>
      <w:r w:rsidR="007C630C">
        <w:t xml:space="preserve">, specifically </w:t>
      </w:r>
      <w:r w:rsidR="0005359E">
        <w:t>raising</w:t>
      </w:r>
      <w:r w:rsidR="007C630C">
        <w:t xml:space="preserve"> Docket </w:t>
      </w:r>
      <w:r w:rsidR="00D01DD0">
        <w:t xml:space="preserve">No. </w:t>
      </w:r>
      <w:r w:rsidR="007C630C">
        <w:t>20190167-EI.</w:t>
      </w:r>
      <w:r w:rsidR="00A42878">
        <w:t xml:space="preserve"> The Final Order addressed </w:t>
      </w:r>
      <w:r w:rsidR="006D2BF6">
        <w:t>Joint Petitioners’ arguments</w:t>
      </w:r>
      <w:r w:rsidR="00A42878">
        <w:t xml:space="preserve"> and concluded</w:t>
      </w:r>
      <w:r w:rsidR="005E05B8">
        <w:t xml:space="preserve"> that the Joint Petitioners’ suggested amendment would not promote the development of small customer-owned renewable generation or otherwise meet the purpose of Rule 25-6.065, F.A.C.</w:t>
      </w:r>
      <w:r w:rsidR="00462E27" w:rsidRPr="00462E27">
        <w:t xml:space="preserve"> </w:t>
      </w:r>
    </w:p>
    <w:p w:rsidR="00ED0FFC" w:rsidRDefault="00D01DD0" w:rsidP="00E630B3">
      <w:pPr>
        <w:pStyle w:val="BodyText"/>
      </w:pPr>
      <w:r>
        <w:t>Petitioner’</w:t>
      </w:r>
      <w:r w:rsidR="00BC3E16">
        <w:t>s</w:t>
      </w:r>
      <w:r>
        <w:t xml:space="preserve"> second argument</w:t>
      </w:r>
      <w:r w:rsidR="007C630C">
        <w:t xml:space="preserve"> </w:t>
      </w:r>
      <w:r>
        <w:t xml:space="preserve">on reconsideration is </w:t>
      </w:r>
      <w:r w:rsidR="007C630C">
        <w:t>that the 10</w:t>
      </w:r>
      <w:r>
        <w:t>kW</w:t>
      </w:r>
      <w:r w:rsidR="007C630C">
        <w:t xml:space="preserve"> Tier 1 provision of Rule 25-6.065(4)(a)2., </w:t>
      </w:r>
      <w:r>
        <w:t xml:space="preserve">F.A.C., </w:t>
      </w:r>
      <w:r w:rsidR="007C630C">
        <w:t>should be increased to 50</w:t>
      </w:r>
      <w:r>
        <w:t>kW</w:t>
      </w:r>
      <w:r w:rsidR="007C630C">
        <w:t xml:space="preserve"> to allow more economical and less bureaucratic installation of solar systems for larger homes with electric vehicles. </w:t>
      </w:r>
      <w:r>
        <w:t xml:space="preserve">The Motion for Reconsideration does not identify a point of fact or law that was overlooked or failed to be considered by the Commission. </w:t>
      </w:r>
      <w:r w:rsidR="00D75F33">
        <w:t xml:space="preserve">Instead, </w:t>
      </w:r>
      <w:r w:rsidR="003248EF">
        <w:t>Petitioner</w:t>
      </w:r>
      <w:r w:rsidR="00D75F33">
        <w:t xml:space="preserve"> makes the same arguments </w:t>
      </w:r>
      <w:r w:rsidR="003248EF">
        <w:t>that</w:t>
      </w:r>
      <w:r w:rsidR="00D75F33">
        <w:t xml:space="preserve"> were made in the Joint Petition, the Memorandum in Opposition, the Response in Opposition, and at the October 3, 2019 Agenda Conference. The Final Order addressed the 10</w:t>
      </w:r>
      <w:r>
        <w:t>kW</w:t>
      </w:r>
      <w:r w:rsidR="00D75F33">
        <w:t xml:space="preserve"> Tier 1 provision </w:t>
      </w:r>
      <w:r w:rsidR="003248EF">
        <w:t xml:space="preserve">arguments </w:t>
      </w:r>
      <w:r w:rsidR="00D75F33">
        <w:t>and concluded that the allowable range for Tier 1 customers should not be amended.</w:t>
      </w:r>
      <w:r w:rsidR="00ED0FFC" w:rsidRPr="00ED0FFC">
        <w:t xml:space="preserve"> </w:t>
      </w:r>
    </w:p>
    <w:p w:rsidR="00ED0FFC" w:rsidRDefault="00ED0FFC" w:rsidP="00847DBF">
      <w:pPr>
        <w:pStyle w:val="BodyText"/>
      </w:pPr>
      <w:r>
        <w:lastRenderedPageBreak/>
        <w:t>Likewise, the Motion for Reconsideration does not allege that the Commission overlooked or failed to consider any facts or law concerning insurance requirements, rule enforcement, or staff expertise.</w:t>
      </w:r>
      <w:r w:rsidRPr="00ED0FFC">
        <w:t xml:space="preserve"> </w:t>
      </w:r>
      <w:r>
        <w:t xml:space="preserve">Further, the </w:t>
      </w:r>
      <w:r w:rsidR="004907A0">
        <w:t xml:space="preserve">Final Order does not address these points because the </w:t>
      </w:r>
      <w:r>
        <w:t xml:space="preserve">Joint Petition did not ask the Commission for relief on these </w:t>
      </w:r>
      <w:r w:rsidR="004907A0">
        <w:t>matters.</w:t>
      </w:r>
      <w:r w:rsidR="00C142EB" w:rsidRPr="00C142EB">
        <w:t xml:space="preserve"> </w:t>
      </w:r>
    </w:p>
    <w:p w:rsidR="00CA5F25" w:rsidRDefault="00E800A3" w:rsidP="00C142EB">
      <w:pPr>
        <w:pStyle w:val="BodyText"/>
      </w:pPr>
      <w:r>
        <w:t>Petitioner’s third point for reconsideration</w:t>
      </w:r>
      <w:r w:rsidR="0076003B">
        <w:t xml:space="preserve"> </w:t>
      </w:r>
      <w:r w:rsidR="00E772EC">
        <w:t>conc</w:t>
      </w:r>
      <w:r w:rsidR="00C142EB">
        <w:t xml:space="preserve">erns surplus power production. </w:t>
      </w:r>
      <w:r w:rsidR="00EF3B37">
        <w:t xml:space="preserve">The Motion for Reconsideration does not identify a point of fact or law that was overlooked </w:t>
      </w:r>
      <w:r w:rsidR="00D01DD0">
        <w:t xml:space="preserve">or failed to be considered </w:t>
      </w:r>
      <w:r w:rsidR="00EF3B37">
        <w:t>by the Commission</w:t>
      </w:r>
      <w:r w:rsidR="00D01DD0">
        <w:t>.</w:t>
      </w:r>
      <w:r w:rsidR="00EF3B37">
        <w:t xml:space="preserve"> </w:t>
      </w:r>
      <w:r w:rsidR="00D01DD0">
        <w:t>T</w:t>
      </w:r>
      <w:r w:rsidR="00C142EB">
        <w:t>he Joint Petition argu</w:t>
      </w:r>
      <w:r w:rsidR="00BC3E16">
        <w:t>ed</w:t>
      </w:r>
      <w:r w:rsidR="00C142EB">
        <w:t xml:space="preserve"> that</w:t>
      </w:r>
      <w:r w:rsidR="00EF3B37">
        <w:t xml:space="preserve"> </w:t>
      </w:r>
      <w:r w:rsidR="00C142EB">
        <w:t>“</w:t>
      </w:r>
      <w:r w:rsidR="00EF3B37">
        <w:t xml:space="preserve">compensation for surplus </w:t>
      </w:r>
      <w:r w:rsidR="00BC3E16">
        <w:t>solar electricity generated by decentralized solar net-metering systems</w:t>
      </w:r>
      <w:r w:rsidR="00C142EB">
        <w:t>” should be increased</w:t>
      </w:r>
      <w:r w:rsidR="004907A0">
        <w:t xml:space="preserve"> to a minimum of $0.08 per kWh</w:t>
      </w:r>
      <w:r w:rsidR="00EF3B37">
        <w:t>.</w:t>
      </w:r>
      <w:r w:rsidR="004907A0">
        <w:t xml:space="preserve"> </w:t>
      </w:r>
      <w:r w:rsidR="00EF3B37">
        <w:t xml:space="preserve">Although </w:t>
      </w:r>
      <w:r w:rsidR="00827726">
        <w:t xml:space="preserve">Petitioner </w:t>
      </w:r>
      <w:r w:rsidR="00EF3B37">
        <w:t>makes a general statement that this was a “simple request” for a rate increase and it was not appropriate to treat this request as a petition to initiate rulemaking, t</w:t>
      </w:r>
      <w:r w:rsidR="004907A0">
        <w:t>his argument was not raised in</w:t>
      </w:r>
      <w:r w:rsidR="00827726">
        <w:t xml:space="preserve"> the Joint Petition, Memorandum in Opposition, Response in Opposition, or at the October 3, 2019 Agenda Conference. </w:t>
      </w:r>
      <w:r w:rsidR="00C142EB">
        <w:t>T</w:t>
      </w:r>
      <w:r w:rsidR="00CA5F25">
        <w:t xml:space="preserve">he </w:t>
      </w:r>
      <w:r w:rsidR="004907A0">
        <w:t>Motion for Reconsideration</w:t>
      </w:r>
      <w:r w:rsidR="00C142EB">
        <w:t xml:space="preserve">’s </w:t>
      </w:r>
      <w:r w:rsidR="005360A8">
        <w:t xml:space="preserve">general </w:t>
      </w:r>
      <w:r w:rsidR="00CA5F25">
        <w:t xml:space="preserve">argument that </w:t>
      </w:r>
      <w:r w:rsidR="00C142EB">
        <w:t>increased compensation is needed to encourage the production of surplus solar electricity reargues the same points</w:t>
      </w:r>
      <w:r w:rsidR="00CA5F25">
        <w:t xml:space="preserve"> raised in the Joint Petition</w:t>
      </w:r>
      <w:r w:rsidR="005360A8">
        <w:t xml:space="preserve"> and in the Response in Opposition</w:t>
      </w:r>
      <w:r w:rsidR="00C142EB">
        <w:t>.</w:t>
      </w:r>
      <w:r w:rsidR="005360A8">
        <w:t xml:space="preserve"> </w:t>
      </w:r>
      <w:r w:rsidR="00CA5F25">
        <w:t>The Final Order addressed the issue of amending Rule 25-6.065(8)(f) and (g)</w:t>
      </w:r>
      <w:r w:rsidR="00D01DD0">
        <w:t>, F.A.C.,</w:t>
      </w:r>
      <w:r w:rsidR="00CA5F25">
        <w:t xml:space="preserve"> to change the amount by which unused credits are purchased by </w:t>
      </w:r>
      <w:r w:rsidR="00D01DD0">
        <w:t>a</w:t>
      </w:r>
      <w:r w:rsidR="00CA5F25">
        <w:t xml:space="preserve"> utility and concluded that the current amount is appropriate because it is consistent with the rate paid by investor-owned utilities to all other power producers in Florida.</w:t>
      </w:r>
    </w:p>
    <w:p w:rsidR="00FD53D2" w:rsidRDefault="00EF3B37" w:rsidP="00847DBF">
      <w:pPr>
        <w:pStyle w:val="BodyText"/>
      </w:pPr>
      <w:r>
        <w:t xml:space="preserve">Finally, the Motion for Reconsideration does not identify a point of fact or law that was overlooked </w:t>
      </w:r>
      <w:r w:rsidR="00D01DD0">
        <w:t xml:space="preserve">or failed to be considered </w:t>
      </w:r>
      <w:r>
        <w:t xml:space="preserve">by the Commission </w:t>
      </w:r>
      <w:r w:rsidR="00177CDC">
        <w:t>in rendering</w:t>
      </w:r>
      <w:r w:rsidR="00827726">
        <w:t xml:space="preserve"> </w:t>
      </w:r>
      <w:r>
        <w:t xml:space="preserve">the Final Order’s conclusion that if the purpose of the Joint Petition was to allow individuals to generate and sell electricity on a wholesale basis, the request was outside the scope of Rule 25-6.065, F.A.C.  Instead, Petitioner’s argument that the </w:t>
      </w:r>
      <w:r w:rsidR="0069676F">
        <w:t>Rule 25-6.065(2</w:t>
      </w:r>
      <w:proofErr w:type="gramStart"/>
      <w:r w:rsidR="0069676F">
        <w:t>)(</w:t>
      </w:r>
      <w:proofErr w:type="gramEnd"/>
      <w:r w:rsidR="0069676F">
        <w:t>a)</w:t>
      </w:r>
      <w:r w:rsidR="00D01DD0">
        <w:t>, F.A.C.,</w:t>
      </w:r>
      <w:r w:rsidR="0069676F">
        <w:t xml:space="preserve"> defin</w:t>
      </w:r>
      <w:r>
        <w:t xml:space="preserve">ition of </w:t>
      </w:r>
      <w:r w:rsidR="0069676F">
        <w:t>cust</w:t>
      </w:r>
      <w:r w:rsidR="00C93ECF">
        <w:t>omer-owned renewable generation</w:t>
      </w:r>
      <w:r w:rsidR="0069676F">
        <w:t xml:space="preserve"> should be </w:t>
      </w:r>
      <w:r w:rsidR="00177CDC">
        <w:t>read to allow customers</w:t>
      </w:r>
      <w:r w:rsidR="0069676F">
        <w:t xml:space="preserve"> to produce surplus power</w:t>
      </w:r>
      <w:r w:rsidR="0011403C">
        <w:t xml:space="preserve"> based on future usage</w:t>
      </w:r>
      <w:r w:rsidR="00177CDC">
        <w:t>, is the same argument that was</w:t>
      </w:r>
      <w:r w:rsidR="0011403C">
        <w:t xml:space="preserve"> </w:t>
      </w:r>
      <w:r w:rsidR="00827726">
        <w:t>made</w:t>
      </w:r>
      <w:r w:rsidR="0011403C">
        <w:t xml:space="preserve"> in the Joint Petition, </w:t>
      </w:r>
      <w:r w:rsidR="00177CDC">
        <w:t xml:space="preserve">the Response in Opposition, and at the October 3, 2019 Agenda Conference, and is </w:t>
      </w:r>
      <w:r w:rsidR="0051706B">
        <w:t xml:space="preserve">repeated almost </w:t>
      </w:r>
      <w:r w:rsidR="00395305">
        <w:t>ver</w:t>
      </w:r>
      <w:r w:rsidR="0051706B" w:rsidRPr="00395305">
        <w:t>batim</w:t>
      </w:r>
      <w:r w:rsidR="0051706B">
        <w:t xml:space="preserve"> </w:t>
      </w:r>
      <w:r w:rsidR="00177CDC">
        <w:t>from</w:t>
      </w:r>
      <w:r w:rsidR="0051706B">
        <w:t xml:space="preserve"> </w:t>
      </w:r>
      <w:r w:rsidR="0011403C">
        <w:t>the Memorandum in Opposition</w:t>
      </w:r>
      <w:r w:rsidR="00177CDC">
        <w:t>.</w:t>
      </w:r>
      <w:r w:rsidR="0011403C">
        <w:t xml:space="preserve"> </w:t>
      </w:r>
      <w:r w:rsidR="00C142EB">
        <w:t>The Commission considered this argument and rejected it.</w:t>
      </w:r>
    </w:p>
    <w:p w:rsidR="00440705" w:rsidRDefault="00440705" w:rsidP="00440705">
      <w:pPr>
        <w:pStyle w:val="First-LevelSubheading"/>
      </w:pPr>
      <w:r>
        <w:t>Conclusion</w:t>
      </w:r>
    </w:p>
    <w:p w:rsidR="00440705" w:rsidRPr="00440705" w:rsidRDefault="00827726" w:rsidP="00847DBF">
      <w:pPr>
        <w:pStyle w:val="BodyText"/>
      </w:pPr>
      <w:r>
        <w:t xml:space="preserve">Staff recommends that </w:t>
      </w:r>
      <w:r w:rsidR="00D75F33">
        <w:t>Petitioner’s Motion for Reconsideration be denied because it does not meet the required standard for a motion for reconsideration.</w:t>
      </w:r>
      <w:r w:rsidR="00D75F33" w:rsidRPr="002E276D">
        <w:t xml:space="preserve"> </w:t>
      </w:r>
      <w:r w:rsidR="00D75F33">
        <w:t>Petitioner</w:t>
      </w:r>
      <w:r w:rsidR="00D75F33" w:rsidRPr="002E276D">
        <w:t xml:space="preserve"> has failed to identify a point of fact or law </w:t>
      </w:r>
      <w:r w:rsidR="00D75F33">
        <w:t>that</w:t>
      </w:r>
      <w:r w:rsidR="00D75F33" w:rsidRPr="002E276D">
        <w:t xml:space="preserve"> was overlooked or </w:t>
      </w:r>
      <w:r w:rsidR="00D75F33">
        <w:t>that</w:t>
      </w:r>
      <w:r w:rsidR="00D75F33" w:rsidRPr="002E276D">
        <w:t xml:space="preserve"> the Commission failed to consider in</w:t>
      </w:r>
      <w:r w:rsidR="00D75F33">
        <w:t xml:space="preserve"> rendering Order No. </w:t>
      </w:r>
      <w:proofErr w:type="gramStart"/>
      <w:r w:rsidR="00D75F33">
        <w:t>PSC-2019-0410-FOF-EI, Order Denying Petition to Initiate Rulemaking.</w:t>
      </w:r>
      <w:proofErr w:type="gramEnd"/>
    </w:p>
    <w:p w:rsidR="00440705" w:rsidRPr="00440705" w:rsidRDefault="00440705" w:rsidP="00440705">
      <w:pPr>
        <w:pStyle w:val="BodyText"/>
      </w:pPr>
    </w:p>
    <w:p w:rsidR="00C07180" w:rsidRDefault="00C07180" w:rsidP="00DD04A3">
      <w:pPr>
        <w:pStyle w:val="BodyText"/>
        <w:sectPr w:rsidR="00C07180" w:rsidSect="0068481F">
          <w:headerReference w:type="default" r:id="rId15"/>
          <w:pgSz w:w="12240" w:h="15840" w:code="1"/>
          <w:pgMar w:top="1584" w:right="1440" w:bottom="1440" w:left="1440" w:header="720" w:footer="720" w:gutter="0"/>
          <w:cols w:space="720"/>
          <w:formProt w:val="0"/>
          <w:docGrid w:linePitch="360"/>
        </w:sectPr>
      </w:pPr>
    </w:p>
    <w:p w:rsidR="00BD7456" w:rsidRDefault="00BD7456">
      <w:pPr>
        <w:pStyle w:val="IssueHeading"/>
        <w:rPr>
          <w:vanish/>
          <w:specVanish/>
        </w:rPr>
      </w:pPr>
      <w:r w:rsidRPr="004C3641">
        <w:lastRenderedPageBreak/>
        <w:t xml:space="preserve">Issue </w:t>
      </w:r>
      <w:r w:rsidR="00C07180">
        <w:fldChar w:fldCharType="begin"/>
      </w:r>
      <w:r w:rsidR="00C07180">
        <w:instrText>seq issue \r 3</w:instrText>
      </w:r>
      <w:r w:rsidR="00C07180">
        <w:fldChar w:fldCharType="separate"/>
      </w:r>
      <w:r w:rsidR="006A77A1">
        <w:rPr>
          <w:noProof/>
        </w:rPr>
        <w:t>3</w:t>
      </w:r>
      <w:r w:rsidR="00C071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77A1">
        <w:rPr>
          <w:noProof/>
        </w:rPr>
        <w:instrText>3</w:instrText>
      </w:r>
      <w:r>
        <w:fldChar w:fldCharType="end"/>
      </w:r>
      <w:r>
        <w:tab/>
        <w:instrText xml:space="preserve">" \l 1 </w:instrText>
      </w:r>
      <w:r>
        <w:fldChar w:fldCharType="end"/>
      </w:r>
      <w:r>
        <w:t> </w:t>
      </w:r>
    </w:p>
    <w:p w:rsidR="00BD7456" w:rsidRDefault="00BD7456">
      <w:pPr>
        <w:pStyle w:val="BodyText"/>
      </w:pPr>
      <w:r>
        <w:t> Should this docket be closed?</w:t>
      </w:r>
    </w:p>
    <w:p w:rsidR="00BD7456" w:rsidRPr="004C3641" w:rsidRDefault="00BD7456">
      <w:pPr>
        <w:pStyle w:val="IssueSubsectionHeading"/>
        <w:rPr>
          <w:vanish/>
          <w:specVanish/>
        </w:rPr>
      </w:pPr>
      <w:r w:rsidRPr="004C3641">
        <w:t>Recommendation: </w:t>
      </w:r>
    </w:p>
    <w:p w:rsidR="00BD7456" w:rsidRDefault="00BD7456">
      <w:pPr>
        <w:pStyle w:val="BodyText"/>
      </w:pPr>
      <w:r>
        <w:t> </w:t>
      </w:r>
      <w:r w:rsidR="00847DBF">
        <w:t>No</w:t>
      </w:r>
      <w:r w:rsidR="00FD53D2">
        <w:t xml:space="preserve">, this docket should </w:t>
      </w:r>
      <w:r w:rsidR="00847DBF">
        <w:t>remain open in litigation status until the pending appeal is resolved by the Court</w:t>
      </w:r>
      <w:r w:rsidR="00FD53D2">
        <w:t>. (DuVal, Cowdery)</w:t>
      </w:r>
      <w:r>
        <w:t xml:space="preserve"> </w:t>
      </w:r>
    </w:p>
    <w:p w:rsidR="00BD7456" w:rsidRPr="004C3641" w:rsidRDefault="00BD7456">
      <w:pPr>
        <w:pStyle w:val="IssueSubsectionHeading"/>
        <w:rPr>
          <w:vanish/>
          <w:specVanish/>
        </w:rPr>
      </w:pPr>
      <w:r w:rsidRPr="004C3641">
        <w:t>Staff Analysis: </w:t>
      </w:r>
    </w:p>
    <w:p w:rsidR="00BD7456" w:rsidRDefault="00BD7456">
      <w:pPr>
        <w:pStyle w:val="BodyText"/>
      </w:pPr>
      <w:r>
        <w:t> </w:t>
      </w:r>
      <w:r w:rsidR="00FD53D2">
        <w:t xml:space="preserve">This docket should </w:t>
      </w:r>
      <w:r w:rsidR="00847DBF">
        <w:t>remain open in litigation status until the pending appeal is resolved by the Court</w:t>
      </w:r>
      <w:r w:rsidR="00FD53D2">
        <w:t>.</w:t>
      </w:r>
    </w:p>
    <w:p w:rsidR="00E06484" w:rsidRDefault="00E06484" w:rsidP="00E275D8">
      <w:pPr>
        <w:pStyle w:val="BodyText"/>
      </w:pP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4E" w:rsidRDefault="00FA544E">
      <w:r>
        <w:separator/>
      </w:r>
    </w:p>
  </w:endnote>
  <w:endnote w:type="continuationSeparator" w:id="0">
    <w:p w:rsidR="00FA544E" w:rsidRDefault="00FA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794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4E" w:rsidRDefault="00FA544E">
      <w:r>
        <w:separator/>
      </w:r>
    </w:p>
  </w:footnote>
  <w:footnote w:type="continuationSeparator" w:id="0">
    <w:p w:rsidR="00FA544E" w:rsidRDefault="00FA544E">
      <w:r>
        <w:continuationSeparator/>
      </w:r>
    </w:p>
  </w:footnote>
  <w:footnote w:id="1">
    <w:p w:rsidR="00164B66" w:rsidRPr="001B2657" w:rsidRDefault="00164B66">
      <w:pPr>
        <w:pStyle w:val="FootnoteText"/>
        <w:rPr>
          <w:sz w:val="24"/>
          <w:szCs w:val="24"/>
        </w:rPr>
      </w:pPr>
      <w:r w:rsidRPr="00153A8B">
        <w:rPr>
          <w:rStyle w:val="FootnoteReference"/>
        </w:rPr>
        <w:footnoteRef/>
      </w:r>
      <w:r w:rsidRPr="00164B66">
        <w:rPr>
          <w:sz w:val="24"/>
          <w:szCs w:val="24"/>
        </w:rPr>
        <w:t xml:space="preserve"> </w:t>
      </w:r>
      <w:r w:rsidRPr="006F3ADA">
        <w:t>Petitioner erroneously cited Rule 25-22.022, F.A.C.</w:t>
      </w:r>
      <w:r w:rsidR="003248EF" w:rsidRPr="006F3ADA">
        <w:t>, as the oral argument rule.</w:t>
      </w:r>
      <w:r w:rsidRPr="006F3ADA">
        <w:t xml:space="preserve"> The </w:t>
      </w:r>
      <w:r w:rsidR="003248EF" w:rsidRPr="006F3ADA">
        <w:t xml:space="preserve">correct citation </w:t>
      </w:r>
      <w:r w:rsidRPr="006F3ADA">
        <w:t>is Rule 25-22.0022</w:t>
      </w:r>
      <w:r w:rsidR="00191D0E" w:rsidRPr="006F3ADA">
        <w:t>, F.A.C</w:t>
      </w:r>
      <w:r w:rsidRPr="006F3ADA">
        <w:t>.</w:t>
      </w:r>
      <w:r w:rsidR="001B2657" w:rsidRPr="006F3ADA">
        <w:rPr>
          <w:rFonts w:eastAsia="SimSun"/>
        </w:rPr>
        <w:t xml:space="preserve"> </w:t>
      </w:r>
      <w:r w:rsidR="001B2657" w:rsidRPr="006F3ADA">
        <w:t>Rule 25-22.0022(3)</w:t>
      </w:r>
      <w:r w:rsidR="00191D0E" w:rsidRPr="006F3ADA">
        <w:t>, F.A.C.,</w:t>
      </w:r>
      <w:r w:rsidR="001B2657" w:rsidRPr="006F3ADA">
        <w:t xml:space="preserve"> states that </w:t>
      </w:r>
      <w:r w:rsidR="001B2657" w:rsidRPr="006F3ADA">
        <w:rPr>
          <w:rFonts w:eastAsia="SimSun"/>
        </w:rPr>
        <w:t>the Commission has the sole discretion to grant or deny oral argument.</w:t>
      </w:r>
    </w:p>
  </w:footnote>
  <w:footnote w:id="2">
    <w:p w:rsidR="00BC3E16" w:rsidRDefault="00BC3E16" w:rsidP="00BC3E16">
      <w:pPr>
        <w:pStyle w:val="FootnoteText"/>
      </w:pPr>
      <w:r>
        <w:rPr>
          <w:rStyle w:val="FootnoteReference"/>
        </w:rPr>
        <w:footnoteRef/>
      </w:r>
      <w:r>
        <w:t xml:space="preserve"> Rule 25-6.065(4</w:t>
      </w:r>
      <w:proofErr w:type="gramStart"/>
      <w:r>
        <w:t>)(</w:t>
      </w:r>
      <w:proofErr w:type="gramEnd"/>
      <w:r>
        <w:t>a)2., F.A.C., defines Tier 1 as customer-owned renewable generation with a gross power rating of 10kW or less. That rule also defines Tier 2 as customer-owned renewable generation with a gross power rating greater than 10 kW and less than or equal to 100 kW. Pursuant to Rule 25-6.065(5)(e), F.A.C., Tier 1 customers are not required to have liability insurance and Tier 2 customers are required to have</w:t>
      </w:r>
      <w:r w:rsidR="00C93ECF">
        <w:t xml:space="preserve"> general liability insurance or </w:t>
      </w:r>
      <w:r>
        <w:t xml:space="preserve">sufficient guarantee and proof of self-insurance in the amount of </w:t>
      </w:r>
      <w:r w:rsidRPr="00D348CC">
        <w:rPr>
          <w:u w:val="single"/>
        </w:rPr>
        <w:t>no more than</w:t>
      </w:r>
      <w:r>
        <w:t xml:space="preserve"> $1 million.</w:t>
      </w:r>
    </w:p>
  </w:footnote>
  <w:footnote w:id="3">
    <w:p w:rsidR="00D75F33" w:rsidRPr="006F3ADA" w:rsidRDefault="00D75F33" w:rsidP="00D75F33">
      <w:pPr>
        <w:pStyle w:val="FootnoteText"/>
      </w:pPr>
      <w:r w:rsidRPr="006F3ADA">
        <w:rPr>
          <w:rStyle w:val="FootnoteReference"/>
        </w:rPr>
        <w:footnoteRef/>
      </w:r>
      <w:r w:rsidRPr="006F3ADA">
        <w:t xml:space="preserve"> Docket No. 20190167-EI is the Petition to Compel Florida Power &amp; Light to Comply with Section 366.91, F.S., and Rule 25-6.065, F.A.C., by Floyd Gonzales and Robert Irwin.</w:t>
      </w:r>
    </w:p>
  </w:footnote>
  <w:footnote w:id="4">
    <w:p w:rsidR="00D75F33" w:rsidRPr="00A42878" w:rsidRDefault="00D75F33" w:rsidP="00D75F33">
      <w:pPr>
        <w:pStyle w:val="FootnoteText"/>
        <w:rPr>
          <w:sz w:val="24"/>
          <w:szCs w:val="24"/>
        </w:rPr>
      </w:pPr>
      <w:r w:rsidRPr="006F3ADA">
        <w:rPr>
          <w:rStyle w:val="FootnoteReference"/>
        </w:rPr>
        <w:footnoteRef/>
      </w:r>
      <w:r w:rsidRPr="006F3ADA">
        <w:t xml:space="preserve"> Exhibit D to the Memorandum in Opposition, correspondence between Petitioner and Public Counsel J.R. Kelly, was  provided in support of Joint Petitioners’ position in that memorandum that the “Commission currently allows and encourages utilit</w:t>
      </w:r>
      <w:r w:rsidR="00D01DD0" w:rsidRPr="006F3ADA">
        <w:t>y</w:t>
      </w:r>
      <w:r w:rsidRPr="006F3ADA">
        <w:t xml:space="preserve"> companies like Florida Power &amp; Light to enact and enforce their own rules based on their corporate policies.”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A544E"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20190176-EI</w:t>
    </w:r>
    <w:bookmarkEnd w:id="13"/>
  </w:p>
  <w:p w:rsidR="00BC402E" w:rsidRDefault="00BC402E">
    <w:pPr>
      <w:pStyle w:val="Header"/>
    </w:pPr>
    <w:r>
      <w:t xml:space="preserve">Date: </w:t>
    </w:r>
    <w:fldSimple w:instr=" REF FilingDate ">
      <w:r w:rsidR="006A77A1">
        <w:t>November 26,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A77A1">
      <w:t>Docket No.</w:t>
    </w:r>
    <w:r>
      <w:fldChar w:fldCharType="end"/>
    </w:r>
    <w:r>
      <w:t xml:space="preserve"> </w:t>
    </w:r>
    <w:r>
      <w:fldChar w:fldCharType="begin"/>
    </w:r>
    <w:r>
      <w:instrText xml:space="preserve"> REF DocketList</w:instrText>
    </w:r>
    <w:r>
      <w:fldChar w:fldCharType="separate"/>
    </w:r>
    <w:r w:rsidR="006A77A1">
      <w:t>20190176-EI</w:t>
    </w:r>
    <w:r>
      <w:fldChar w:fldCharType="end"/>
    </w:r>
    <w:r>
      <w:tab/>
      <w:t xml:space="preserve">Issue </w:t>
    </w:r>
    <w:r w:rsidR="00C07180">
      <w:t>1</w:t>
    </w:r>
  </w:p>
  <w:p w:rsidR="00BC402E" w:rsidRDefault="00BC402E">
    <w:pPr>
      <w:pStyle w:val="Header"/>
    </w:pPr>
    <w:r>
      <w:t xml:space="preserve">Date: </w:t>
    </w:r>
    <w:fldSimple w:instr=" REF FilingDate ">
      <w:r w:rsidR="006A77A1">
        <w:t>November 26,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80" w:rsidRDefault="00C07180" w:rsidP="00220732">
    <w:pPr>
      <w:pStyle w:val="Header"/>
      <w:tabs>
        <w:tab w:val="clear" w:pos="4320"/>
        <w:tab w:val="clear" w:pos="8640"/>
        <w:tab w:val="right" w:pos="9360"/>
      </w:tabs>
    </w:pPr>
    <w:r>
      <w:fldChar w:fldCharType="begin"/>
    </w:r>
    <w:r>
      <w:instrText xml:space="preserve"> REF DocketLabel</w:instrText>
    </w:r>
    <w:r>
      <w:fldChar w:fldCharType="separate"/>
    </w:r>
    <w:r w:rsidR="006A77A1">
      <w:t>Docket No.</w:t>
    </w:r>
    <w:r>
      <w:fldChar w:fldCharType="end"/>
    </w:r>
    <w:r>
      <w:t xml:space="preserve"> </w:t>
    </w:r>
    <w:r>
      <w:fldChar w:fldCharType="begin"/>
    </w:r>
    <w:r>
      <w:instrText xml:space="preserve"> REF DocketList</w:instrText>
    </w:r>
    <w:r>
      <w:fldChar w:fldCharType="separate"/>
    </w:r>
    <w:r w:rsidR="006A77A1">
      <w:t>20190176-EI</w:t>
    </w:r>
    <w:r>
      <w:fldChar w:fldCharType="end"/>
    </w:r>
    <w:r>
      <w:tab/>
      <w:t>Issue 2</w:t>
    </w:r>
  </w:p>
  <w:p w:rsidR="00C07180" w:rsidRDefault="00C07180">
    <w:pPr>
      <w:pStyle w:val="Header"/>
    </w:pPr>
    <w:r>
      <w:t xml:space="preserve">Date: </w:t>
    </w:r>
    <w:r w:rsidR="00B03842">
      <w:fldChar w:fldCharType="begin"/>
    </w:r>
    <w:r w:rsidR="00B03842">
      <w:instrText xml:space="preserve"> REF FilingDate </w:instrText>
    </w:r>
    <w:r w:rsidR="00B03842">
      <w:fldChar w:fldCharType="separate"/>
    </w:r>
    <w:r w:rsidR="006A77A1">
      <w:t>November 26, 2019</w:t>
    </w:r>
    <w:r w:rsidR="00B0384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80" w:rsidRDefault="00C07180" w:rsidP="00220732">
    <w:pPr>
      <w:pStyle w:val="Header"/>
      <w:tabs>
        <w:tab w:val="clear" w:pos="4320"/>
        <w:tab w:val="clear" w:pos="8640"/>
        <w:tab w:val="right" w:pos="9360"/>
      </w:tabs>
    </w:pPr>
    <w:r>
      <w:fldChar w:fldCharType="begin"/>
    </w:r>
    <w:r>
      <w:instrText xml:space="preserve"> REF DocketLabel</w:instrText>
    </w:r>
    <w:r>
      <w:fldChar w:fldCharType="separate"/>
    </w:r>
    <w:r w:rsidR="006A77A1">
      <w:t>Docket No.</w:t>
    </w:r>
    <w:r>
      <w:fldChar w:fldCharType="end"/>
    </w:r>
    <w:r>
      <w:t xml:space="preserve"> </w:t>
    </w:r>
    <w:r>
      <w:fldChar w:fldCharType="begin"/>
    </w:r>
    <w:r>
      <w:instrText xml:space="preserve"> REF DocketList</w:instrText>
    </w:r>
    <w:r>
      <w:fldChar w:fldCharType="separate"/>
    </w:r>
    <w:r w:rsidR="006A77A1">
      <w:t>20190176-EI</w:t>
    </w:r>
    <w:r>
      <w:fldChar w:fldCharType="end"/>
    </w:r>
    <w:r>
      <w:tab/>
      <w:t>Issue 3</w:t>
    </w:r>
  </w:p>
  <w:p w:rsidR="00C07180" w:rsidRDefault="00C07180">
    <w:pPr>
      <w:pStyle w:val="Header"/>
    </w:pPr>
    <w:r>
      <w:t xml:space="preserve">Date: </w:t>
    </w:r>
    <w:r w:rsidR="00B03842">
      <w:fldChar w:fldCharType="begin"/>
    </w:r>
    <w:r w:rsidR="00B03842">
      <w:instrText xml:space="preserve"> REF FilingDate </w:instrText>
    </w:r>
    <w:r w:rsidR="00B03842">
      <w:fldChar w:fldCharType="separate"/>
    </w:r>
    <w:r w:rsidR="006A77A1">
      <w:t>November 26, 2019</w:t>
    </w:r>
    <w:r w:rsidR="00B0384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A544E"/>
    <w:rsid w:val="000043D5"/>
    <w:rsid w:val="00006170"/>
    <w:rsid w:val="00010E37"/>
    <w:rsid w:val="0001478E"/>
    <w:rsid w:val="000172DA"/>
    <w:rsid w:val="000247C5"/>
    <w:rsid w:val="000277C2"/>
    <w:rsid w:val="00035B48"/>
    <w:rsid w:val="00036699"/>
    <w:rsid w:val="00036CE2"/>
    <w:rsid w:val="000437FE"/>
    <w:rsid w:val="000513BE"/>
    <w:rsid w:val="0005359E"/>
    <w:rsid w:val="00065A06"/>
    <w:rsid w:val="000666F3"/>
    <w:rsid w:val="00070DCB"/>
    <w:rsid w:val="00072CCA"/>
    <w:rsid w:val="00073120"/>
    <w:rsid w:val="000764D0"/>
    <w:rsid w:val="0007794F"/>
    <w:rsid w:val="000828D3"/>
    <w:rsid w:val="000A2B57"/>
    <w:rsid w:val="000A418B"/>
    <w:rsid w:val="000C4431"/>
    <w:rsid w:val="000D1C06"/>
    <w:rsid w:val="000D4319"/>
    <w:rsid w:val="000F374A"/>
    <w:rsid w:val="001076AF"/>
    <w:rsid w:val="0011403C"/>
    <w:rsid w:val="00117C8C"/>
    <w:rsid w:val="00124C38"/>
    <w:rsid w:val="00124E2E"/>
    <w:rsid w:val="00125ED4"/>
    <w:rsid w:val="001305E9"/>
    <w:rsid w:val="001307AF"/>
    <w:rsid w:val="00135687"/>
    <w:rsid w:val="00153A8B"/>
    <w:rsid w:val="0015506E"/>
    <w:rsid w:val="00163031"/>
    <w:rsid w:val="00164B66"/>
    <w:rsid w:val="00171A90"/>
    <w:rsid w:val="00177CDC"/>
    <w:rsid w:val="00180254"/>
    <w:rsid w:val="00191D0E"/>
    <w:rsid w:val="00191E1F"/>
    <w:rsid w:val="00192943"/>
    <w:rsid w:val="001A7406"/>
    <w:rsid w:val="001B2657"/>
    <w:rsid w:val="001B4FEE"/>
    <w:rsid w:val="001B51C5"/>
    <w:rsid w:val="001B6892"/>
    <w:rsid w:val="001B6F3F"/>
    <w:rsid w:val="001C52B5"/>
    <w:rsid w:val="001C6857"/>
    <w:rsid w:val="001D0D3E"/>
    <w:rsid w:val="001E5296"/>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2353"/>
    <w:rsid w:val="00292D82"/>
    <w:rsid w:val="002963CB"/>
    <w:rsid w:val="002B4A01"/>
    <w:rsid w:val="002D226D"/>
    <w:rsid w:val="002D644F"/>
    <w:rsid w:val="002F6030"/>
    <w:rsid w:val="003037E1"/>
    <w:rsid w:val="00307E51"/>
    <w:rsid w:val="003103EC"/>
    <w:rsid w:val="003144EF"/>
    <w:rsid w:val="00322F74"/>
    <w:rsid w:val="003248EF"/>
    <w:rsid w:val="00340073"/>
    <w:rsid w:val="003632FD"/>
    <w:rsid w:val="00372805"/>
    <w:rsid w:val="00373180"/>
    <w:rsid w:val="00375AB9"/>
    <w:rsid w:val="003821A0"/>
    <w:rsid w:val="00385B04"/>
    <w:rsid w:val="003864CF"/>
    <w:rsid w:val="003948AE"/>
    <w:rsid w:val="00395305"/>
    <w:rsid w:val="003A22A6"/>
    <w:rsid w:val="003A5494"/>
    <w:rsid w:val="003B2510"/>
    <w:rsid w:val="003C07AC"/>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0705"/>
    <w:rsid w:val="004426B8"/>
    <w:rsid w:val="00444432"/>
    <w:rsid w:val="00462E27"/>
    <w:rsid w:val="00471860"/>
    <w:rsid w:val="00477026"/>
    <w:rsid w:val="00484F45"/>
    <w:rsid w:val="004907A0"/>
    <w:rsid w:val="004955B7"/>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1706B"/>
    <w:rsid w:val="00523B11"/>
    <w:rsid w:val="0052445C"/>
    <w:rsid w:val="0052572A"/>
    <w:rsid w:val="00532DFB"/>
    <w:rsid w:val="005360A8"/>
    <w:rsid w:val="00543CB3"/>
    <w:rsid w:val="005442E4"/>
    <w:rsid w:val="0055529B"/>
    <w:rsid w:val="00560FF0"/>
    <w:rsid w:val="005614BD"/>
    <w:rsid w:val="0057154F"/>
    <w:rsid w:val="00580F69"/>
    <w:rsid w:val="00581CA3"/>
    <w:rsid w:val="00587A44"/>
    <w:rsid w:val="00597730"/>
    <w:rsid w:val="005977EC"/>
    <w:rsid w:val="00597DE7"/>
    <w:rsid w:val="005A3B1E"/>
    <w:rsid w:val="005A4AA2"/>
    <w:rsid w:val="005B34B6"/>
    <w:rsid w:val="005B6C8F"/>
    <w:rsid w:val="005B6EC3"/>
    <w:rsid w:val="005D0F74"/>
    <w:rsid w:val="005D2E7D"/>
    <w:rsid w:val="005D4A8F"/>
    <w:rsid w:val="005D561B"/>
    <w:rsid w:val="005D5ECF"/>
    <w:rsid w:val="005E05B8"/>
    <w:rsid w:val="005F468D"/>
    <w:rsid w:val="005F69A3"/>
    <w:rsid w:val="00604CC7"/>
    <w:rsid w:val="00615423"/>
    <w:rsid w:val="006165B2"/>
    <w:rsid w:val="00617276"/>
    <w:rsid w:val="0062527B"/>
    <w:rsid w:val="00625D97"/>
    <w:rsid w:val="00625F1C"/>
    <w:rsid w:val="006279E1"/>
    <w:rsid w:val="00630CEB"/>
    <w:rsid w:val="00632264"/>
    <w:rsid w:val="00635695"/>
    <w:rsid w:val="006470BC"/>
    <w:rsid w:val="006554D3"/>
    <w:rsid w:val="00667036"/>
    <w:rsid w:val="0067145D"/>
    <w:rsid w:val="00673BDB"/>
    <w:rsid w:val="00674341"/>
    <w:rsid w:val="006771B8"/>
    <w:rsid w:val="006843B6"/>
    <w:rsid w:val="0068481F"/>
    <w:rsid w:val="0069676F"/>
    <w:rsid w:val="00696F5D"/>
    <w:rsid w:val="00697249"/>
    <w:rsid w:val="006A20D7"/>
    <w:rsid w:val="006A77A1"/>
    <w:rsid w:val="006B3947"/>
    <w:rsid w:val="006B4293"/>
    <w:rsid w:val="006B624F"/>
    <w:rsid w:val="006C0C95"/>
    <w:rsid w:val="006C18F2"/>
    <w:rsid w:val="006C31E3"/>
    <w:rsid w:val="006D18D3"/>
    <w:rsid w:val="006D2BF6"/>
    <w:rsid w:val="006E08CB"/>
    <w:rsid w:val="006E598D"/>
    <w:rsid w:val="006F3ADA"/>
    <w:rsid w:val="0070437D"/>
    <w:rsid w:val="00704CF1"/>
    <w:rsid w:val="00705B04"/>
    <w:rsid w:val="00724992"/>
    <w:rsid w:val="00734820"/>
    <w:rsid w:val="007349DC"/>
    <w:rsid w:val="0074365E"/>
    <w:rsid w:val="007442DE"/>
    <w:rsid w:val="00744B55"/>
    <w:rsid w:val="00746B43"/>
    <w:rsid w:val="007515FD"/>
    <w:rsid w:val="0075295A"/>
    <w:rsid w:val="0076003B"/>
    <w:rsid w:val="00760D80"/>
    <w:rsid w:val="00780C09"/>
    <w:rsid w:val="00780DDF"/>
    <w:rsid w:val="007834E9"/>
    <w:rsid w:val="00787DBC"/>
    <w:rsid w:val="0079019A"/>
    <w:rsid w:val="00792935"/>
    <w:rsid w:val="007A04A1"/>
    <w:rsid w:val="007A1840"/>
    <w:rsid w:val="007A57DB"/>
    <w:rsid w:val="007B075C"/>
    <w:rsid w:val="007C0528"/>
    <w:rsid w:val="007C3D38"/>
    <w:rsid w:val="007C630C"/>
    <w:rsid w:val="007D0F35"/>
    <w:rsid w:val="007D4FEB"/>
    <w:rsid w:val="007D6146"/>
    <w:rsid w:val="007E0CE7"/>
    <w:rsid w:val="007F1193"/>
    <w:rsid w:val="007F417F"/>
    <w:rsid w:val="007F7644"/>
    <w:rsid w:val="008042BD"/>
    <w:rsid w:val="00811E8E"/>
    <w:rsid w:val="00816624"/>
    <w:rsid w:val="00822427"/>
    <w:rsid w:val="00822562"/>
    <w:rsid w:val="00823663"/>
    <w:rsid w:val="00827726"/>
    <w:rsid w:val="00832DDC"/>
    <w:rsid w:val="00847DBF"/>
    <w:rsid w:val="00850BAC"/>
    <w:rsid w:val="00854A3E"/>
    <w:rsid w:val="00855D08"/>
    <w:rsid w:val="00874344"/>
    <w:rsid w:val="00881442"/>
    <w:rsid w:val="00882155"/>
    <w:rsid w:val="0088233B"/>
    <w:rsid w:val="0088599E"/>
    <w:rsid w:val="00886C37"/>
    <w:rsid w:val="00892D99"/>
    <w:rsid w:val="00893315"/>
    <w:rsid w:val="008938C2"/>
    <w:rsid w:val="008B62AE"/>
    <w:rsid w:val="008C04B5"/>
    <w:rsid w:val="008C14FA"/>
    <w:rsid w:val="008C7B0B"/>
    <w:rsid w:val="008D4057"/>
    <w:rsid w:val="008E1F19"/>
    <w:rsid w:val="008F0600"/>
    <w:rsid w:val="008F2262"/>
    <w:rsid w:val="008F4D2B"/>
    <w:rsid w:val="008F7736"/>
    <w:rsid w:val="0090019E"/>
    <w:rsid w:val="00901086"/>
    <w:rsid w:val="00901C8A"/>
    <w:rsid w:val="0090401F"/>
    <w:rsid w:val="00905886"/>
    <w:rsid w:val="009070D6"/>
    <w:rsid w:val="009076C6"/>
    <w:rsid w:val="0091019E"/>
    <w:rsid w:val="009106F1"/>
    <w:rsid w:val="00911936"/>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1284"/>
    <w:rsid w:val="0098181B"/>
    <w:rsid w:val="009863B0"/>
    <w:rsid w:val="00987DE1"/>
    <w:rsid w:val="00990571"/>
    <w:rsid w:val="0099673A"/>
    <w:rsid w:val="009A3330"/>
    <w:rsid w:val="009A7C96"/>
    <w:rsid w:val="009B658F"/>
    <w:rsid w:val="009C3DB9"/>
    <w:rsid w:val="009D46E5"/>
    <w:rsid w:val="009D4BD1"/>
    <w:rsid w:val="009D568A"/>
    <w:rsid w:val="009E6358"/>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2878"/>
    <w:rsid w:val="00A47927"/>
    <w:rsid w:val="00A47FFC"/>
    <w:rsid w:val="00A5442F"/>
    <w:rsid w:val="00A54FF9"/>
    <w:rsid w:val="00A56765"/>
    <w:rsid w:val="00A66A90"/>
    <w:rsid w:val="00A675AC"/>
    <w:rsid w:val="00A7581F"/>
    <w:rsid w:val="00A92FB1"/>
    <w:rsid w:val="00A95A0C"/>
    <w:rsid w:val="00AA2765"/>
    <w:rsid w:val="00AA77B5"/>
    <w:rsid w:val="00AB6C5D"/>
    <w:rsid w:val="00AC3401"/>
    <w:rsid w:val="00AC51A7"/>
    <w:rsid w:val="00AC5335"/>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4D2"/>
    <w:rsid w:val="00B516ED"/>
    <w:rsid w:val="00B57A6A"/>
    <w:rsid w:val="00B760F1"/>
    <w:rsid w:val="00B7669E"/>
    <w:rsid w:val="00B77DA1"/>
    <w:rsid w:val="00B822A0"/>
    <w:rsid w:val="00B858AE"/>
    <w:rsid w:val="00B85964"/>
    <w:rsid w:val="00B90C53"/>
    <w:rsid w:val="00B96250"/>
    <w:rsid w:val="00BA0D55"/>
    <w:rsid w:val="00BA37B3"/>
    <w:rsid w:val="00BA4CC6"/>
    <w:rsid w:val="00BB3493"/>
    <w:rsid w:val="00BB7468"/>
    <w:rsid w:val="00BC02AD"/>
    <w:rsid w:val="00BC188A"/>
    <w:rsid w:val="00BC3E16"/>
    <w:rsid w:val="00BC402E"/>
    <w:rsid w:val="00BD0F48"/>
    <w:rsid w:val="00BD7456"/>
    <w:rsid w:val="00BE6DDB"/>
    <w:rsid w:val="00BE7B58"/>
    <w:rsid w:val="00BF5010"/>
    <w:rsid w:val="00C03D5F"/>
    <w:rsid w:val="00C07180"/>
    <w:rsid w:val="00C13791"/>
    <w:rsid w:val="00C142EB"/>
    <w:rsid w:val="00C31BB3"/>
    <w:rsid w:val="00C36977"/>
    <w:rsid w:val="00C467DA"/>
    <w:rsid w:val="00C477D9"/>
    <w:rsid w:val="00C60BA3"/>
    <w:rsid w:val="00C623F7"/>
    <w:rsid w:val="00C62A81"/>
    <w:rsid w:val="00C70185"/>
    <w:rsid w:val="00C7346E"/>
    <w:rsid w:val="00C75BC5"/>
    <w:rsid w:val="00C81670"/>
    <w:rsid w:val="00C81773"/>
    <w:rsid w:val="00C82861"/>
    <w:rsid w:val="00C86896"/>
    <w:rsid w:val="00C907A8"/>
    <w:rsid w:val="00C93211"/>
    <w:rsid w:val="00C93ECF"/>
    <w:rsid w:val="00C942EC"/>
    <w:rsid w:val="00C96047"/>
    <w:rsid w:val="00C979D0"/>
    <w:rsid w:val="00CA0818"/>
    <w:rsid w:val="00CA15C8"/>
    <w:rsid w:val="00CA2C8F"/>
    <w:rsid w:val="00CA30DA"/>
    <w:rsid w:val="00CA3A24"/>
    <w:rsid w:val="00CA5F25"/>
    <w:rsid w:val="00CB1777"/>
    <w:rsid w:val="00CB33E9"/>
    <w:rsid w:val="00CC10A9"/>
    <w:rsid w:val="00CE187D"/>
    <w:rsid w:val="00CE2BF8"/>
    <w:rsid w:val="00CE484E"/>
    <w:rsid w:val="00CE656F"/>
    <w:rsid w:val="00CE6F00"/>
    <w:rsid w:val="00CF0DA8"/>
    <w:rsid w:val="00CF2E25"/>
    <w:rsid w:val="00CF4453"/>
    <w:rsid w:val="00CF5AC3"/>
    <w:rsid w:val="00CF5D94"/>
    <w:rsid w:val="00CF7E0F"/>
    <w:rsid w:val="00D01DD0"/>
    <w:rsid w:val="00D034D7"/>
    <w:rsid w:val="00D04BE4"/>
    <w:rsid w:val="00D06FC7"/>
    <w:rsid w:val="00D12565"/>
    <w:rsid w:val="00D14127"/>
    <w:rsid w:val="00D20575"/>
    <w:rsid w:val="00D348CC"/>
    <w:rsid w:val="00D60B16"/>
    <w:rsid w:val="00D60F02"/>
    <w:rsid w:val="00D66E49"/>
    <w:rsid w:val="00D70D71"/>
    <w:rsid w:val="00D72F74"/>
    <w:rsid w:val="00D75F33"/>
    <w:rsid w:val="00D81563"/>
    <w:rsid w:val="00D85907"/>
    <w:rsid w:val="00D9073E"/>
    <w:rsid w:val="00D9221D"/>
    <w:rsid w:val="00D958DF"/>
    <w:rsid w:val="00D96DA1"/>
    <w:rsid w:val="00DA51E7"/>
    <w:rsid w:val="00DB0260"/>
    <w:rsid w:val="00DB1C78"/>
    <w:rsid w:val="00DB7D96"/>
    <w:rsid w:val="00DC23FE"/>
    <w:rsid w:val="00DC59E6"/>
    <w:rsid w:val="00DD04A3"/>
    <w:rsid w:val="00DD150B"/>
    <w:rsid w:val="00DD5025"/>
    <w:rsid w:val="00DE092E"/>
    <w:rsid w:val="00DE1D9A"/>
    <w:rsid w:val="00DF1510"/>
    <w:rsid w:val="00E02F1F"/>
    <w:rsid w:val="00E06484"/>
    <w:rsid w:val="00E20A7D"/>
    <w:rsid w:val="00E275D8"/>
    <w:rsid w:val="00E30F6A"/>
    <w:rsid w:val="00E3117C"/>
    <w:rsid w:val="00E375CA"/>
    <w:rsid w:val="00E5364F"/>
    <w:rsid w:val="00E567E8"/>
    <w:rsid w:val="00E61EA5"/>
    <w:rsid w:val="00E630B3"/>
    <w:rsid w:val="00E64679"/>
    <w:rsid w:val="00E65EBC"/>
    <w:rsid w:val="00E677FE"/>
    <w:rsid w:val="00E73432"/>
    <w:rsid w:val="00E772EC"/>
    <w:rsid w:val="00E77B0C"/>
    <w:rsid w:val="00E77FB8"/>
    <w:rsid w:val="00E800A3"/>
    <w:rsid w:val="00E838B0"/>
    <w:rsid w:val="00E86A7C"/>
    <w:rsid w:val="00E878E1"/>
    <w:rsid w:val="00E87F2C"/>
    <w:rsid w:val="00E95278"/>
    <w:rsid w:val="00EA2273"/>
    <w:rsid w:val="00EA7C3C"/>
    <w:rsid w:val="00EB2DB3"/>
    <w:rsid w:val="00EC3FBB"/>
    <w:rsid w:val="00EC6B7A"/>
    <w:rsid w:val="00ED0FFC"/>
    <w:rsid w:val="00ED3A87"/>
    <w:rsid w:val="00ED5B67"/>
    <w:rsid w:val="00EF264C"/>
    <w:rsid w:val="00EF3B37"/>
    <w:rsid w:val="00EF3FEE"/>
    <w:rsid w:val="00F04B59"/>
    <w:rsid w:val="00F11741"/>
    <w:rsid w:val="00F12B1C"/>
    <w:rsid w:val="00F13CF8"/>
    <w:rsid w:val="00F15855"/>
    <w:rsid w:val="00F200B2"/>
    <w:rsid w:val="00F227DC"/>
    <w:rsid w:val="00F24F47"/>
    <w:rsid w:val="00F32978"/>
    <w:rsid w:val="00F42F36"/>
    <w:rsid w:val="00F45CB2"/>
    <w:rsid w:val="00F544C0"/>
    <w:rsid w:val="00F55332"/>
    <w:rsid w:val="00F6504A"/>
    <w:rsid w:val="00F65519"/>
    <w:rsid w:val="00F713C0"/>
    <w:rsid w:val="00F75DDC"/>
    <w:rsid w:val="00F7792F"/>
    <w:rsid w:val="00F842AA"/>
    <w:rsid w:val="00F8476F"/>
    <w:rsid w:val="00F853E1"/>
    <w:rsid w:val="00F85604"/>
    <w:rsid w:val="00F94B7A"/>
    <w:rsid w:val="00FA0CFF"/>
    <w:rsid w:val="00FA17AC"/>
    <w:rsid w:val="00FA32DE"/>
    <w:rsid w:val="00FA3382"/>
    <w:rsid w:val="00FA48A9"/>
    <w:rsid w:val="00FA544E"/>
    <w:rsid w:val="00FA59CD"/>
    <w:rsid w:val="00FB1740"/>
    <w:rsid w:val="00FC5469"/>
    <w:rsid w:val="00FC6D7D"/>
    <w:rsid w:val="00FD16B0"/>
    <w:rsid w:val="00FD4FED"/>
    <w:rsid w:val="00FD53D2"/>
    <w:rsid w:val="00FE0577"/>
    <w:rsid w:val="00FE59EC"/>
    <w:rsid w:val="00FE5B67"/>
    <w:rsid w:val="00FE60D6"/>
    <w:rsid w:val="00FF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DE1D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DE1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F1B2-F12B-4AE0-BC1A-F0813D59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2001</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2019-11-25T18:00:00Z</cp:lastPrinted>
  <dcterms:created xsi:type="dcterms:W3CDTF">2019-11-26T15:51:00Z</dcterms:created>
  <dcterms:modified xsi:type="dcterms:W3CDTF">2019-11-26T15:51:00Z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20190176-EI</vt:lpwstr>
  </property>
  <property fmtid="{D5CDD505-2E9C-101B-9397-08002B2CF9AE}" pid="3" name="MasterDocument">
    <vt:bool>false</vt:bool>
  </property>
</Properties>
</file>