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3.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4.xml" ContentType="application/vnd.openxmlformats-officedocument.wordprocessingml.foot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96474D">
            <w:pPr>
              <w:pStyle w:val="MemoHeading"/>
            </w:pPr>
            <w:r>
              <w:t>January 2, 2020</w:t>
            </w:r>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703A2C" w:rsidRDefault="00703A2C">
            <w:pPr>
              <w:pStyle w:val="MemoHeading"/>
            </w:pPr>
            <w:bookmarkStart w:id="1" w:name="From"/>
            <w:r>
              <w:t xml:space="preserve">Division of Economics (Galloway, Coston, Draper, Guffey, Hampson, McNulty, Rogers, </w:t>
            </w:r>
            <w:r w:rsidR="0081594F">
              <w:t>Smith</w:t>
            </w:r>
            <w:r w:rsidR="00FF77A4">
              <w:t xml:space="preserve">, </w:t>
            </w:r>
            <w:r>
              <w:t>Ward, Wu)</w:t>
            </w:r>
          </w:p>
          <w:p w:rsidR="00703A2C" w:rsidRDefault="00703A2C">
            <w:pPr>
              <w:pStyle w:val="MemoHeading"/>
            </w:pPr>
            <w:r>
              <w:t>Division of Accounting and Finance (</w:t>
            </w:r>
            <w:r w:rsidR="00C272E7">
              <w:t xml:space="preserve">D. </w:t>
            </w:r>
            <w:r>
              <w:t xml:space="preserve">Andrews, </w:t>
            </w:r>
            <w:r w:rsidR="00C272E7">
              <w:t xml:space="preserve">M. </w:t>
            </w:r>
            <w:r>
              <w:t xml:space="preserve">Andrews, Brown, </w:t>
            </w:r>
            <w:r w:rsidR="00AB7CC8">
              <w:t xml:space="preserve">D. </w:t>
            </w:r>
            <w:r>
              <w:t xml:space="preserve">Buys, Cicchetti, </w:t>
            </w:r>
            <w:r w:rsidR="00FF77A4">
              <w:t xml:space="preserve">Higgins, </w:t>
            </w:r>
            <w:r>
              <w:t>Mour</w:t>
            </w:r>
            <w:r w:rsidR="00C272E7">
              <w:t>ing, Norris, Richards, Sewards,</w:t>
            </w:r>
            <w:r>
              <w:t xml:space="preserve"> Snyder)</w:t>
            </w:r>
          </w:p>
          <w:p w:rsidR="00703A2C" w:rsidRDefault="00703A2C">
            <w:pPr>
              <w:pStyle w:val="MemoHeading"/>
            </w:pPr>
            <w:r>
              <w:t>Division of Engineering (Graves, King, Knoblauch, Lewis)</w:t>
            </w:r>
          </w:p>
          <w:p w:rsidR="007C0528" w:rsidRDefault="00703A2C">
            <w:pPr>
              <w:pStyle w:val="MemoHeading"/>
            </w:pPr>
            <w:r>
              <w:t>Office of the General Counsel (DuVal, Dziechciarz)</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703A2C">
            <w:pPr>
              <w:pStyle w:val="MemoHeadingRe"/>
            </w:pPr>
            <w:bookmarkStart w:id="2" w:name="Re"/>
            <w:r>
              <w:t>Docket No. 20190083-GU – Application for rate increase in Highlands, Hardee, and Desoto Counties, by Sebring Gas System, Inc.</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2D6AF6" w:rsidRDefault="00E3072A" w:rsidP="0096474D">
            <w:pPr>
              <w:pStyle w:val="MemoHeading"/>
            </w:pPr>
            <w:r>
              <w:t>01/</w:t>
            </w:r>
            <w:r w:rsidR="0096474D">
              <w:t>14</w:t>
            </w:r>
            <w:r>
              <w:t>/20</w:t>
            </w:r>
            <w:r w:rsidR="007C0528">
              <w:t xml:space="preserve"> – </w:t>
            </w:r>
            <w:bookmarkStart w:id="3" w:name="PermittedStatus"/>
            <w:r w:rsidR="00703A2C">
              <w:t xml:space="preserve">Regular Agenda – </w:t>
            </w:r>
            <w:r w:rsidR="002D6AF6">
              <w:t>Proposed Agency Action</w:t>
            </w:r>
            <w:r w:rsidR="002B63E3">
              <w:t xml:space="preserve"> </w:t>
            </w:r>
            <w:r w:rsidR="00880BA6">
              <w:t xml:space="preserve">(Except for Issue 29) </w:t>
            </w:r>
            <w:r w:rsidR="002B63E3">
              <w:t xml:space="preserve">– </w:t>
            </w:r>
          </w:p>
          <w:p w:rsidR="007C0528" w:rsidRDefault="00703A2C" w:rsidP="00880BA6">
            <w:pPr>
              <w:pStyle w:val="MemoHeading"/>
            </w:pPr>
            <w:r>
              <w:t>Interested Persons May Participate</w:t>
            </w:r>
            <w:bookmarkEnd w:id="3"/>
            <w:r w:rsidR="002D6AF6">
              <w:t xml:space="preserve"> </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703A2C">
            <w:pPr>
              <w:pStyle w:val="MemoHeading"/>
            </w:pPr>
            <w:bookmarkStart w:id="4" w:name="CommissionersAssigned"/>
            <w:r>
              <w:t>All Commissioners</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703A2C">
            <w:pPr>
              <w:pStyle w:val="MemoHeading"/>
            </w:pPr>
            <w:bookmarkStart w:id="5" w:name="PrehearingOfficer"/>
            <w:r>
              <w:t>Fay</w:t>
            </w:r>
            <w:bookmarkEnd w:id="5"/>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6" w:name="CriticalDatesLabel"/>
            <w:r>
              <w:t>CRITICAL DATES:</w:t>
            </w:r>
            <w:bookmarkEnd w:id="6"/>
          </w:p>
        </w:tc>
        <w:tc>
          <w:tcPr>
            <w:tcW w:w="5785" w:type="dxa"/>
            <w:tcBorders>
              <w:top w:val="nil"/>
              <w:left w:val="nil"/>
              <w:bottom w:val="nil"/>
              <w:right w:val="nil"/>
            </w:tcBorders>
            <w:shd w:val="clear" w:color="auto" w:fill="auto"/>
          </w:tcPr>
          <w:p w:rsidR="007C0528" w:rsidRDefault="00431587" w:rsidP="0096474D">
            <w:pPr>
              <w:pStyle w:val="MemoHeading"/>
            </w:pPr>
            <w:r w:rsidRPr="00431587">
              <w:t>01/</w:t>
            </w:r>
            <w:r w:rsidR="0096474D">
              <w:t>14</w:t>
            </w:r>
            <w:r w:rsidRPr="00431587">
              <w:t xml:space="preserve">/20 (5-Month Effective Date Waived Through January </w:t>
            </w:r>
            <w:r w:rsidR="0096474D">
              <w:t>14</w:t>
            </w:r>
            <w:r w:rsidRPr="00431587">
              <w:t>, 2020)</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703A2C">
            <w:pPr>
              <w:pStyle w:val="MemoHeading"/>
            </w:pPr>
            <w:bookmarkStart w:id="7" w:name="SpecialInstructions"/>
            <w:r>
              <w:t>None</w:t>
            </w:r>
            <w:bookmarkEnd w:id="7"/>
          </w:p>
        </w:tc>
      </w:tr>
    </w:tbl>
    <w:p w:rsidR="007C0528" w:rsidRDefault="007C0528">
      <w:pPr>
        <w:pStyle w:val="BodyText"/>
      </w:pPr>
    </w:p>
    <w:p w:rsidR="00703A2C" w:rsidRDefault="00703A2C" w:rsidP="00703A2C">
      <w:pPr>
        <w:pStyle w:val="RecommendationMajorSectionHeading"/>
      </w:pPr>
      <w:bookmarkStart w:id="8" w:name="RecToC"/>
      <w:bookmarkEnd w:id="8"/>
      <w:r>
        <w:br w:type="page"/>
      </w:r>
      <w:r>
        <w:lastRenderedPageBreak/>
        <w:t>Table of Contents</w:t>
      </w:r>
    </w:p>
    <w:p w:rsidR="00703A2C" w:rsidRDefault="00703A2C">
      <w:pPr>
        <w:pStyle w:val="TOCColumnHeadings"/>
      </w:pPr>
      <w:r>
        <w:t>Issue</w:t>
      </w:r>
      <w:r>
        <w:tab/>
        <w:t>Description</w:t>
      </w:r>
      <w:r>
        <w:tab/>
        <w:t>Page</w:t>
      </w:r>
    </w:p>
    <w:p w:rsidR="00527C29" w:rsidRDefault="00703A2C">
      <w:pPr>
        <w:pStyle w:val="TOC1"/>
        <w:rPr>
          <w:rFonts w:asciiTheme="minorHAnsi" w:eastAsiaTheme="minorEastAsia" w:hAnsiTheme="minorHAnsi" w:cstheme="minorBidi"/>
          <w:noProof/>
          <w:sz w:val="22"/>
          <w:szCs w:val="22"/>
        </w:rPr>
      </w:pPr>
      <w:r>
        <w:fldChar w:fldCharType="begin"/>
      </w:r>
      <w:r>
        <w:instrText xml:space="preserve"> TOC \f \h \w \z </w:instrText>
      </w:r>
      <w:r>
        <w:fldChar w:fldCharType="separate"/>
      </w:r>
      <w:hyperlink w:anchor="_Toc28007709" w:history="1">
        <w:r w:rsidR="00527C29" w:rsidRPr="00235EF7">
          <w:rPr>
            <w:rStyle w:val="Hyperlink"/>
            <w:noProof/>
          </w:rPr>
          <w:tab/>
          <w:t>Case Background</w:t>
        </w:r>
        <w:r w:rsidR="00527C29">
          <w:rPr>
            <w:noProof/>
            <w:webHidden/>
          </w:rPr>
          <w:tab/>
        </w:r>
        <w:r w:rsidR="00527C29">
          <w:rPr>
            <w:noProof/>
            <w:webHidden/>
          </w:rPr>
          <w:fldChar w:fldCharType="begin"/>
        </w:r>
        <w:r w:rsidR="00527C29">
          <w:rPr>
            <w:noProof/>
            <w:webHidden/>
          </w:rPr>
          <w:instrText xml:space="preserve"> PAGEREF _Toc28007709 \h </w:instrText>
        </w:r>
        <w:r w:rsidR="00527C29">
          <w:rPr>
            <w:noProof/>
            <w:webHidden/>
          </w:rPr>
        </w:r>
        <w:r w:rsidR="00527C29">
          <w:rPr>
            <w:noProof/>
            <w:webHidden/>
          </w:rPr>
          <w:fldChar w:fldCharType="separate"/>
        </w:r>
        <w:r w:rsidR="005A792F">
          <w:rPr>
            <w:noProof/>
            <w:webHidden/>
          </w:rPr>
          <w:t>3</w:t>
        </w:r>
        <w:r w:rsidR="00527C29">
          <w:rPr>
            <w:noProof/>
            <w:webHidden/>
          </w:rPr>
          <w:fldChar w:fldCharType="end"/>
        </w:r>
      </w:hyperlink>
    </w:p>
    <w:p w:rsidR="00527C29" w:rsidRDefault="003444B0">
      <w:pPr>
        <w:pStyle w:val="TOC1"/>
        <w:rPr>
          <w:rFonts w:asciiTheme="minorHAnsi" w:eastAsiaTheme="minorEastAsia" w:hAnsiTheme="minorHAnsi" w:cstheme="minorBidi"/>
          <w:noProof/>
          <w:sz w:val="22"/>
          <w:szCs w:val="22"/>
        </w:rPr>
      </w:pPr>
      <w:hyperlink w:anchor="_Toc28007710" w:history="1">
        <w:r w:rsidR="00527C29" w:rsidRPr="00235EF7">
          <w:rPr>
            <w:rStyle w:val="Hyperlink"/>
            <w:noProof/>
          </w:rPr>
          <w:t>1</w:t>
        </w:r>
        <w:r w:rsidR="00527C29" w:rsidRPr="00235EF7">
          <w:rPr>
            <w:rStyle w:val="Hyperlink"/>
            <w:noProof/>
          </w:rPr>
          <w:tab/>
          <w:t>Test Year (Wu)</w:t>
        </w:r>
        <w:r w:rsidR="00527C29">
          <w:rPr>
            <w:noProof/>
            <w:webHidden/>
          </w:rPr>
          <w:tab/>
        </w:r>
        <w:r w:rsidR="00527C29">
          <w:rPr>
            <w:noProof/>
            <w:webHidden/>
          </w:rPr>
          <w:fldChar w:fldCharType="begin"/>
        </w:r>
        <w:r w:rsidR="00527C29">
          <w:rPr>
            <w:noProof/>
            <w:webHidden/>
          </w:rPr>
          <w:instrText xml:space="preserve"> PAGEREF _Toc28007710 \h </w:instrText>
        </w:r>
        <w:r w:rsidR="00527C29">
          <w:rPr>
            <w:noProof/>
            <w:webHidden/>
          </w:rPr>
        </w:r>
        <w:r w:rsidR="00527C29">
          <w:rPr>
            <w:noProof/>
            <w:webHidden/>
          </w:rPr>
          <w:fldChar w:fldCharType="separate"/>
        </w:r>
        <w:r w:rsidR="005A792F">
          <w:rPr>
            <w:noProof/>
            <w:webHidden/>
          </w:rPr>
          <w:t>5</w:t>
        </w:r>
        <w:r w:rsidR="00527C29">
          <w:rPr>
            <w:noProof/>
            <w:webHidden/>
          </w:rPr>
          <w:fldChar w:fldCharType="end"/>
        </w:r>
      </w:hyperlink>
    </w:p>
    <w:p w:rsidR="00527C29" w:rsidRDefault="003444B0">
      <w:pPr>
        <w:pStyle w:val="TOC1"/>
        <w:rPr>
          <w:rFonts w:asciiTheme="minorHAnsi" w:eastAsiaTheme="minorEastAsia" w:hAnsiTheme="minorHAnsi" w:cstheme="minorBidi"/>
          <w:noProof/>
          <w:sz w:val="22"/>
          <w:szCs w:val="22"/>
        </w:rPr>
      </w:pPr>
      <w:hyperlink w:anchor="_Toc28007711" w:history="1">
        <w:r w:rsidR="00527C29" w:rsidRPr="00235EF7">
          <w:rPr>
            <w:rStyle w:val="Hyperlink"/>
            <w:noProof/>
          </w:rPr>
          <w:t>2</w:t>
        </w:r>
        <w:r w:rsidR="00527C29" w:rsidRPr="00235EF7">
          <w:rPr>
            <w:rStyle w:val="Hyperlink"/>
            <w:noProof/>
          </w:rPr>
          <w:tab/>
          <w:t>Customer Growth and Therms (Wu)</w:t>
        </w:r>
        <w:r w:rsidR="00527C29">
          <w:rPr>
            <w:noProof/>
            <w:webHidden/>
          </w:rPr>
          <w:tab/>
        </w:r>
        <w:r w:rsidR="00527C29">
          <w:rPr>
            <w:noProof/>
            <w:webHidden/>
          </w:rPr>
          <w:fldChar w:fldCharType="begin"/>
        </w:r>
        <w:r w:rsidR="00527C29">
          <w:rPr>
            <w:noProof/>
            <w:webHidden/>
          </w:rPr>
          <w:instrText xml:space="preserve"> PAGEREF _Toc28007711 \h </w:instrText>
        </w:r>
        <w:r w:rsidR="00527C29">
          <w:rPr>
            <w:noProof/>
            <w:webHidden/>
          </w:rPr>
        </w:r>
        <w:r w:rsidR="00527C29">
          <w:rPr>
            <w:noProof/>
            <w:webHidden/>
          </w:rPr>
          <w:fldChar w:fldCharType="separate"/>
        </w:r>
        <w:r w:rsidR="005A792F">
          <w:rPr>
            <w:noProof/>
            <w:webHidden/>
          </w:rPr>
          <w:t>6</w:t>
        </w:r>
        <w:r w:rsidR="00527C29">
          <w:rPr>
            <w:noProof/>
            <w:webHidden/>
          </w:rPr>
          <w:fldChar w:fldCharType="end"/>
        </w:r>
      </w:hyperlink>
    </w:p>
    <w:p w:rsidR="00527C29" w:rsidRDefault="003444B0">
      <w:pPr>
        <w:pStyle w:val="TOC1"/>
        <w:rPr>
          <w:rFonts w:asciiTheme="minorHAnsi" w:eastAsiaTheme="minorEastAsia" w:hAnsiTheme="minorHAnsi" w:cstheme="minorBidi"/>
          <w:noProof/>
          <w:sz w:val="22"/>
          <w:szCs w:val="22"/>
        </w:rPr>
      </w:pPr>
      <w:hyperlink w:anchor="_Toc28007712" w:history="1">
        <w:r w:rsidR="00527C29" w:rsidRPr="00235EF7">
          <w:rPr>
            <w:rStyle w:val="Hyperlink"/>
            <w:noProof/>
          </w:rPr>
          <w:t>3</w:t>
        </w:r>
        <w:r w:rsidR="00527C29" w:rsidRPr="00235EF7">
          <w:rPr>
            <w:rStyle w:val="Hyperlink"/>
            <w:noProof/>
          </w:rPr>
          <w:tab/>
          <w:t>Estimated Revenues From Sales of Gas (Wu)</w:t>
        </w:r>
        <w:r w:rsidR="00527C29">
          <w:rPr>
            <w:noProof/>
            <w:webHidden/>
          </w:rPr>
          <w:tab/>
        </w:r>
        <w:r w:rsidR="00527C29">
          <w:rPr>
            <w:noProof/>
            <w:webHidden/>
          </w:rPr>
          <w:fldChar w:fldCharType="begin"/>
        </w:r>
        <w:r w:rsidR="00527C29">
          <w:rPr>
            <w:noProof/>
            <w:webHidden/>
          </w:rPr>
          <w:instrText xml:space="preserve"> PAGEREF _Toc28007712 \h </w:instrText>
        </w:r>
        <w:r w:rsidR="00527C29">
          <w:rPr>
            <w:noProof/>
            <w:webHidden/>
          </w:rPr>
        </w:r>
        <w:r w:rsidR="00527C29">
          <w:rPr>
            <w:noProof/>
            <w:webHidden/>
          </w:rPr>
          <w:fldChar w:fldCharType="separate"/>
        </w:r>
        <w:r w:rsidR="005A792F">
          <w:rPr>
            <w:noProof/>
            <w:webHidden/>
          </w:rPr>
          <w:t>8</w:t>
        </w:r>
        <w:r w:rsidR="00527C29">
          <w:rPr>
            <w:noProof/>
            <w:webHidden/>
          </w:rPr>
          <w:fldChar w:fldCharType="end"/>
        </w:r>
      </w:hyperlink>
    </w:p>
    <w:p w:rsidR="00527C29" w:rsidRDefault="003444B0">
      <w:pPr>
        <w:pStyle w:val="TOC1"/>
        <w:rPr>
          <w:rFonts w:asciiTheme="minorHAnsi" w:eastAsiaTheme="minorEastAsia" w:hAnsiTheme="minorHAnsi" w:cstheme="minorBidi"/>
          <w:noProof/>
          <w:sz w:val="22"/>
          <w:szCs w:val="22"/>
        </w:rPr>
      </w:pPr>
      <w:hyperlink w:anchor="_Toc28007713" w:history="1">
        <w:r w:rsidR="00527C29" w:rsidRPr="00235EF7">
          <w:rPr>
            <w:rStyle w:val="Hyperlink"/>
            <w:noProof/>
          </w:rPr>
          <w:t>4</w:t>
        </w:r>
        <w:r w:rsidR="00527C29" w:rsidRPr="00235EF7">
          <w:rPr>
            <w:rStyle w:val="Hyperlink"/>
            <w:noProof/>
          </w:rPr>
          <w:tab/>
          <w:t>Quality of Service (Knoblauch, Lewis)</w:t>
        </w:r>
        <w:r w:rsidR="00527C29">
          <w:rPr>
            <w:noProof/>
            <w:webHidden/>
          </w:rPr>
          <w:tab/>
        </w:r>
        <w:r w:rsidR="00527C29">
          <w:rPr>
            <w:noProof/>
            <w:webHidden/>
          </w:rPr>
          <w:fldChar w:fldCharType="begin"/>
        </w:r>
        <w:r w:rsidR="00527C29">
          <w:rPr>
            <w:noProof/>
            <w:webHidden/>
          </w:rPr>
          <w:instrText xml:space="preserve"> PAGEREF _Toc28007713 \h </w:instrText>
        </w:r>
        <w:r w:rsidR="00527C29">
          <w:rPr>
            <w:noProof/>
            <w:webHidden/>
          </w:rPr>
        </w:r>
        <w:r w:rsidR="00527C29">
          <w:rPr>
            <w:noProof/>
            <w:webHidden/>
          </w:rPr>
          <w:fldChar w:fldCharType="separate"/>
        </w:r>
        <w:r w:rsidR="005A792F">
          <w:rPr>
            <w:noProof/>
            <w:webHidden/>
          </w:rPr>
          <w:t>9</w:t>
        </w:r>
        <w:r w:rsidR="00527C29">
          <w:rPr>
            <w:noProof/>
            <w:webHidden/>
          </w:rPr>
          <w:fldChar w:fldCharType="end"/>
        </w:r>
      </w:hyperlink>
    </w:p>
    <w:p w:rsidR="00527C29" w:rsidRDefault="003444B0">
      <w:pPr>
        <w:pStyle w:val="TOC1"/>
        <w:rPr>
          <w:rFonts w:asciiTheme="minorHAnsi" w:eastAsiaTheme="minorEastAsia" w:hAnsiTheme="minorHAnsi" w:cstheme="minorBidi"/>
          <w:noProof/>
          <w:sz w:val="22"/>
          <w:szCs w:val="22"/>
        </w:rPr>
      </w:pPr>
      <w:hyperlink w:anchor="_Toc28007714" w:history="1">
        <w:r w:rsidR="00527C29" w:rsidRPr="00235EF7">
          <w:rPr>
            <w:rStyle w:val="Hyperlink"/>
            <w:noProof/>
          </w:rPr>
          <w:t>5</w:t>
        </w:r>
        <w:r w:rsidR="00527C29" w:rsidRPr="00235EF7">
          <w:rPr>
            <w:rStyle w:val="Hyperlink"/>
            <w:noProof/>
          </w:rPr>
          <w:tab/>
          <w:t>Plant Additions (Graves, Knoblauch, Lewis)</w:t>
        </w:r>
        <w:r w:rsidR="00527C29">
          <w:rPr>
            <w:noProof/>
            <w:webHidden/>
          </w:rPr>
          <w:tab/>
        </w:r>
        <w:r w:rsidR="00527C29">
          <w:rPr>
            <w:noProof/>
            <w:webHidden/>
          </w:rPr>
          <w:fldChar w:fldCharType="begin"/>
        </w:r>
        <w:r w:rsidR="00527C29">
          <w:rPr>
            <w:noProof/>
            <w:webHidden/>
          </w:rPr>
          <w:instrText xml:space="preserve"> PAGEREF _Toc28007714 \h </w:instrText>
        </w:r>
        <w:r w:rsidR="00527C29">
          <w:rPr>
            <w:noProof/>
            <w:webHidden/>
          </w:rPr>
        </w:r>
        <w:r w:rsidR="00527C29">
          <w:rPr>
            <w:noProof/>
            <w:webHidden/>
          </w:rPr>
          <w:fldChar w:fldCharType="separate"/>
        </w:r>
        <w:r w:rsidR="005A792F">
          <w:rPr>
            <w:noProof/>
            <w:webHidden/>
          </w:rPr>
          <w:t>10</w:t>
        </w:r>
        <w:r w:rsidR="00527C29">
          <w:rPr>
            <w:noProof/>
            <w:webHidden/>
          </w:rPr>
          <w:fldChar w:fldCharType="end"/>
        </w:r>
      </w:hyperlink>
    </w:p>
    <w:p w:rsidR="00527C29" w:rsidRDefault="003444B0">
      <w:pPr>
        <w:pStyle w:val="TOC1"/>
        <w:rPr>
          <w:rFonts w:asciiTheme="minorHAnsi" w:eastAsiaTheme="minorEastAsia" w:hAnsiTheme="minorHAnsi" w:cstheme="minorBidi"/>
          <w:noProof/>
          <w:sz w:val="22"/>
          <w:szCs w:val="22"/>
        </w:rPr>
      </w:pPr>
      <w:hyperlink w:anchor="_Toc28007715" w:history="1">
        <w:r w:rsidR="00527C29" w:rsidRPr="00235EF7">
          <w:rPr>
            <w:rStyle w:val="Hyperlink"/>
            <w:noProof/>
          </w:rPr>
          <w:t>6</w:t>
        </w:r>
        <w:r w:rsidR="00527C29" w:rsidRPr="00235EF7">
          <w:rPr>
            <w:rStyle w:val="Hyperlink"/>
            <w:noProof/>
          </w:rPr>
          <w:tab/>
          <w:t>Plant in Service for Projected Test year (Higgins)</w:t>
        </w:r>
        <w:r w:rsidR="00527C29">
          <w:rPr>
            <w:noProof/>
            <w:webHidden/>
          </w:rPr>
          <w:tab/>
        </w:r>
        <w:r w:rsidR="00527C29">
          <w:rPr>
            <w:noProof/>
            <w:webHidden/>
          </w:rPr>
          <w:fldChar w:fldCharType="begin"/>
        </w:r>
        <w:r w:rsidR="00527C29">
          <w:rPr>
            <w:noProof/>
            <w:webHidden/>
          </w:rPr>
          <w:instrText xml:space="preserve"> PAGEREF _Toc28007715 \h </w:instrText>
        </w:r>
        <w:r w:rsidR="00527C29">
          <w:rPr>
            <w:noProof/>
            <w:webHidden/>
          </w:rPr>
        </w:r>
        <w:r w:rsidR="00527C29">
          <w:rPr>
            <w:noProof/>
            <w:webHidden/>
          </w:rPr>
          <w:fldChar w:fldCharType="separate"/>
        </w:r>
        <w:r w:rsidR="005A792F">
          <w:rPr>
            <w:noProof/>
            <w:webHidden/>
          </w:rPr>
          <w:t>12</w:t>
        </w:r>
        <w:r w:rsidR="00527C29">
          <w:rPr>
            <w:noProof/>
            <w:webHidden/>
          </w:rPr>
          <w:fldChar w:fldCharType="end"/>
        </w:r>
      </w:hyperlink>
    </w:p>
    <w:p w:rsidR="00527C29" w:rsidRDefault="003444B0">
      <w:pPr>
        <w:pStyle w:val="TOC1"/>
        <w:rPr>
          <w:rFonts w:asciiTheme="minorHAnsi" w:eastAsiaTheme="minorEastAsia" w:hAnsiTheme="minorHAnsi" w:cstheme="minorBidi"/>
          <w:noProof/>
          <w:sz w:val="22"/>
          <w:szCs w:val="22"/>
        </w:rPr>
      </w:pPr>
      <w:hyperlink w:anchor="_Toc28007716" w:history="1">
        <w:r w:rsidR="00527C29" w:rsidRPr="00235EF7">
          <w:rPr>
            <w:rStyle w:val="Hyperlink"/>
            <w:noProof/>
          </w:rPr>
          <w:t>7</w:t>
        </w:r>
        <w:r w:rsidR="00527C29" w:rsidRPr="00235EF7">
          <w:rPr>
            <w:rStyle w:val="Hyperlink"/>
            <w:noProof/>
          </w:rPr>
          <w:tab/>
          <w:t>Test Year Accumulated Depreciation (Higgins)</w:t>
        </w:r>
        <w:r w:rsidR="00527C29">
          <w:rPr>
            <w:noProof/>
            <w:webHidden/>
          </w:rPr>
          <w:tab/>
        </w:r>
        <w:r w:rsidR="00527C29">
          <w:rPr>
            <w:noProof/>
            <w:webHidden/>
          </w:rPr>
          <w:fldChar w:fldCharType="begin"/>
        </w:r>
        <w:r w:rsidR="00527C29">
          <w:rPr>
            <w:noProof/>
            <w:webHidden/>
          </w:rPr>
          <w:instrText xml:space="preserve"> PAGEREF _Toc28007716 \h </w:instrText>
        </w:r>
        <w:r w:rsidR="00527C29">
          <w:rPr>
            <w:noProof/>
            <w:webHidden/>
          </w:rPr>
        </w:r>
        <w:r w:rsidR="00527C29">
          <w:rPr>
            <w:noProof/>
            <w:webHidden/>
          </w:rPr>
          <w:fldChar w:fldCharType="separate"/>
        </w:r>
        <w:r w:rsidR="005A792F">
          <w:rPr>
            <w:noProof/>
            <w:webHidden/>
          </w:rPr>
          <w:t>14</w:t>
        </w:r>
        <w:r w:rsidR="00527C29">
          <w:rPr>
            <w:noProof/>
            <w:webHidden/>
          </w:rPr>
          <w:fldChar w:fldCharType="end"/>
        </w:r>
      </w:hyperlink>
    </w:p>
    <w:p w:rsidR="00527C29" w:rsidRDefault="003444B0">
      <w:pPr>
        <w:pStyle w:val="TOC1"/>
        <w:rPr>
          <w:rFonts w:asciiTheme="minorHAnsi" w:eastAsiaTheme="minorEastAsia" w:hAnsiTheme="minorHAnsi" w:cstheme="minorBidi"/>
          <w:noProof/>
          <w:sz w:val="22"/>
          <w:szCs w:val="22"/>
        </w:rPr>
      </w:pPr>
      <w:hyperlink w:anchor="_Toc28007717" w:history="1">
        <w:r w:rsidR="00527C29" w:rsidRPr="00235EF7">
          <w:rPr>
            <w:rStyle w:val="Hyperlink"/>
            <w:noProof/>
          </w:rPr>
          <w:t>8</w:t>
        </w:r>
        <w:r w:rsidR="00527C29" w:rsidRPr="00235EF7">
          <w:rPr>
            <w:rStyle w:val="Hyperlink"/>
            <w:noProof/>
          </w:rPr>
          <w:tab/>
          <w:t>Test Year Working Capital Allowance (Snyder)</w:t>
        </w:r>
        <w:r w:rsidR="00527C29">
          <w:rPr>
            <w:noProof/>
            <w:webHidden/>
          </w:rPr>
          <w:tab/>
        </w:r>
        <w:r w:rsidR="00527C29">
          <w:rPr>
            <w:noProof/>
            <w:webHidden/>
          </w:rPr>
          <w:fldChar w:fldCharType="begin"/>
        </w:r>
        <w:r w:rsidR="00527C29">
          <w:rPr>
            <w:noProof/>
            <w:webHidden/>
          </w:rPr>
          <w:instrText xml:space="preserve"> PAGEREF _Toc28007717 \h </w:instrText>
        </w:r>
        <w:r w:rsidR="00527C29">
          <w:rPr>
            <w:noProof/>
            <w:webHidden/>
          </w:rPr>
        </w:r>
        <w:r w:rsidR="00527C29">
          <w:rPr>
            <w:noProof/>
            <w:webHidden/>
          </w:rPr>
          <w:fldChar w:fldCharType="separate"/>
        </w:r>
        <w:r w:rsidR="005A792F">
          <w:rPr>
            <w:noProof/>
            <w:webHidden/>
          </w:rPr>
          <w:t>16</w:t>
        </w:r>
        <w:r w:rsidR="00527C29">
          <w:rPr>
            <w:noProof/>
            <w:webHidden/>
          </w:rPr>
          <w:fldChar w:fldCharType="end"/>
        </w:r>
      </w:hyperlink>
    </w:p>
    <w:p w:rsidR="00527C29" w:rsidRDefault="003444B0">
      <w:pPr>
        <w:pStyle w:val="TOC1"/>
        <w:rPr>
          <w:rFonts w:asciiTheme="minorHAnsi" w:eastAsiaTheme="minorEastAsia" w:hAnsiTheme="minorHAnsi" w:cstheme="minorBidi"/>
          <w:noProof/>
          <w:sz w:val="22"/>
          <w:szCs w:val="22"/>
        </w:rPr>
      </w:pPr>
      <w:hyperlink w:anchor="_Toc28007718" w:history="1">
        <w:r w:rsidR="00527C29" w:rsidRPr="00235EF7">
          <w:rPr>
            <w:rStyle w:val="Hyperlink"/>
            <w:noProof/>
          </w:rPr>
          <w:t>9</w:t>
        </w:r>
        <w:r w:rsidR="00527C29" w:rsidRPr="00235EF7">
          <w:rPr>
            <w:rStyle w:val="Hyperlink"/>
            <w:noProof/>
          </w:rPr>
          <w:tab/>
          <w:t>Test Year Rate Base (Snyder)</w:t>
        </w:r>
        <w:r w:rsidR="00527C29">
          <w:rPr>
            <w:noProof/>
            <w:webHidden/>
          </w:rPr>
          <w:tab/>
        </w:r>
        <w:r w:rsidR="00527C29">
          <w:rPr>
            <w:noProof/>
            <w:webHidden/>
          </w:rPr>
          <w:fldChar w:fldCharType="begin"/>
        </w:r>
        <w:r w:rsidR="00527C29">
          <w:rPr>
            <w:noProof/>
            <w:webHidden/>
          </w:rPr>
          <w:instrText xml:space="preserve"> PAGEREF _Toc28007718 \h </w:instrText>
        </w:r>
        <w:r w:rsidR="00527C29">
          <w:rPr>
            <w:noProof/>
            <w:webHidden/>
          </w:rPr>
        </w:r>
        <w:r w:rsidR="00527C29">
          <w:rPr>
            <w:noProof/>
            <w:webHidden/>
          </w:rPr>
          <w:fldChar w:fldCharType="separate"/>
        </w:r>
        <w:r w:rsidR="005A792F">
          <w:rPr>
            <w:noProof/>
            <w:webHidden/>
          </w:rPr>
          <w:t>17</w:t>
        </w:r>
        <w:r w:rsidR="00527C29">
          <w:rPr>
            <w:noProof/>
            <w:webHidden/>
          </w:rPr>
          <w:fldChar w:fldCharType="end"/>
        </w:r>
      </w:hyperlink>
    </w:p>
    <w:p w:rsidR="00527C29" w:rsidRDefault="003444B0">
      <w:pPr>
        <w:pStyle w:val="TOC1"/>
        <w:rPr>
          <w:rFonts w:asciiTheme="minorHAnsi" w:eastAsiaTheme="minorEastAsia" w:hAnsiTheme="minorHAnsi" w:cstheme="minorBidi"/>
          <w:noProof/>
          <w:sz w:val="22"/>
          <w:szCs w:val="22"/>
        </w:rPr>
      </w:pPr>
      <w:hyperlink w:anchor="_Toc28007719" w:history="1">
        <w:r w:rsidR="00527C29" w:rsidRPr="00235EF7">
          <w:rPr>
            <w:rStyle w:val="Hyperlink"/>
            <w:noProof/>
          </w:rPr>
          <w:t>10</w:t>
        </w:r>
        <w:r w:rsidR="00527C29" w:rsidRPr="00235EF7">
          <w:rPr>
            <w:rStyle w:val="Hyperlink"/>
            <w:noProof/>
          </w:rPr>
          <w:tab/>
          <w:t>Capital Structure (Richards, D. Buys)</w:t>
        </w:r>
        <w:r w:rsidR="00527C29">
          <w:rPr>
            <w:noProof/>
            <w:webHidden/>
          </w:rPr>
          <w:tab/>
        </w:r>
        <w:r w:rsidR="00527C29">
          <w:rPr>
            <w:noProof/>
            <w:webHidden/>
          </w:rPr>
          <w:fldChar w:fldCharType="begin"/>
        </w:r>
        <w:r w:rsidR="00527C29">
          <w:rPr>
            <w:noProof/>
            <w:webHidden/>
          </w:rPr>
          <w:instrText xml:space="preserve"> PAGEREF _Toc28007719 \h </w:instrText>
        </w:r>
        <w:r w:rsidR="00527C29">
          <w:rPr>
            <w:noProof/>
            <w:webHidden/>
          </w:rPr>
        </w:r>
        <w:r w:rsidR="00527C29">
          <w:rPr>
            <w:noProof/>
            <w:webHidden/>
          </w:rPr>
          <w:fldChar w:fldCharType="separate"/>
        </w:r>
        <w:r w:rsidR="005A792F">
          <w:rPr>
            <w:noProof/>
            <w:webHidden/>
          </w:rPr>
          <w:t>18</w:t>
        </w:r>
        <w:r w:rsidR="00527C29">
          <w:rPr>
            <w:noProof/>
            <w:webHidden/>
          </w:rPr>
          <w:fldChar w:fldCharType="end"/>
        </w:r>
      </w:hyperlink>
    </w:p>
    <w:p w:rsidR="00527C29" w:rsidRDefault="003444B0">
      <w:pPr>
        <w:pStyle w:val="TOC1"/>
        <w:rPr>
          <w:rFonts w:asciiTheme="minorHAnsi" w:eastAsiaTheme="minorEastAsia" w:hAnsiTheme="minorHAnsi" w:cstheme="minorBidi"/>
          <w:noProof/>
          <w:sz w:val="22"/>
          <w:szCs w:val="22"/>
        </w:rPr>
      </w:pPr>
      <w:hyperlink w:anchor="_Toc28007720" w:history="1">
        <w:r w:rsidR="00527C29" w:rsidRPr="00235EF7">
          <w:rPr>
            <w:rStyle w:val="Hyperlink"/>
            <w:noProof/>
          </w:rPr>
          <w:t>11</w:t>
        </w:r>
        <w:r w:rsidR="00527C29" w:rsidRPr="00235EF7">
          <w:rPr>
            <w:rStyle w:val="Hyperlink"/>
            <w:noProof/>
          </w:rPr>
          <w:tab/>
          <w:t>Return on Common Equity (Cicchetti, D. Buys)</w:t>
        </w:r>
        <w:r w:rsidR="00527C29">
          <w:rPr>
            <w:noProof/>
            <w:webHidden/>
          </w:rPr>
          <w:tab/>
        </w:r>
        <w:r w:rsidR="00527C29">
          <w:rPr>
            <w:noProof/>
            <w:webHidden/>
          </w:rPr>
          <w:fldChar w:fldCharType="begin"/>
        </w:r>
        <w:r w:rsidR="00527C29">
          <w:rPr>
            <w:noProof/>
            <w:webHidden/>
          </w:rPr>
          <w:instrText xml:space="preserve"> PAGEREF _Toc28007720 \h </w:instrText>
        </w:r>
        <w:r w:rsidR="00527C29">
          <w:rPr>
            <w:noProof/>
            <w:webHidden/>
          </w:rPr>
        </w:r>
        <w:r w:rsidR="00527C29">
          <w:rPr>
            <w:noProof/>
            <w:webHidden/>
          </w:rPr>
          <w:fldChar w:fldCharType="separate"/>
        </w:r>
        <w:r w:rsidR="005A792F">
          <w:rPr>
            <w:noProof/>
            <w:webHidden/>
          </w:rPr>
          <w:t>19</w:t>
        </w:r>
        <w:r w:rsidR="00527C29">
          <w:rPr>
            <w:noProof/>
            <w:webHidden/>
          </w:rPr>
          <w:fldChar w:fldCharType="end"/>
        </w:r>
      </w:hyperlink>
    </w:p>
    <w:p w:rsidR="00527C29" w:rsidRDefault="003444B0">
      <w:pPr>
        <w:pStyle w:val="TOC1"/>
        <w:rPr>
          <w:rFonts w:asciiTheme="minorHAnsi" w:eastAsiaTheme="minorEastAsia" w:hAnsiTheme="minorHAnsi" w:cstheme="minorBidi"/>
          <w:noProof/>
          <w:sz w:val="22"/>
          <w:szCs w:val="22"/>
        </w:rPr>
      </w:pPr>
      <w:hyperlink w:anchor="_Toc28007721" w:history="1">
        <w:r w:rsidR="00527C29" w:rsidRPr="00235EF7">
          <w:rPr>
            <w:rStyle w:val="Hyperlink"/>
            <w:noProof/>
          </w:rPr>
          <w:t>12</w:t>
        </w:r>
        <w:r w:rsidR="00527C29" w:rsidRPr="00235EF7">
          <w:rPr>
            <w:rStyle w:val="Hyperlink"/>
            <w:noProof/>
          </w:rPr>
          <w:tab/>
          <w:t>Weighted Average Cost of Capital (Richards, D. Buys)</w:t>
        </w:r>
        <w:r w:rsidR="00527C29">
          <w:rPr>
            <w:noProof/>
            <w:webHidden/>
          </w:rPr>
          <w:tab/>
        </w:r>
        <w:r w:rsidR="00527C29">
          <w:rPr>
            <w:noProof/>
            <w:webHidden/>
          </w:rPr>
          <w:fldChar w:fldCharType="begin"/>
        </w:r>
        <w:r w:rsidR="00527C29">
          <w:rPr>
            <w:noProof/>
            <w:webHidden/>
          </w:rPr>
          <w:instrText xml:space="preserve"> PAGEREF _Toc28007721 \h </w:instrText>
        </w:r>
        <w:r w:rsidR="00527C29">
          <w:rPr>
            <w:noProof/>
            <w:webHidden/>
          </w:rPr>
        </w:r>
        <w:r w:rsidR="00527C29">
          <w:rPr>
            <w:noProof/>
            <w:webHidden/>
          </w:rPr>
          <w:fldChar w:fldCharType="separate"/>
        </w:r>
        <w:r w:rsidR="005A792F">
          <w:rPr>
            <w:noProof/>
            <w:webHidden/>
          </w:rPr>
          <w:t>22</w:t>
        </w:r>
        <w:r w:rsidR="00527C29">
          <w:rPr>
            <w:noProof/>
            <w:webHidden/>
          </w:rPr>
          <w:fldChar w:fldCharType="end"/>
        </w:r>
      </w:hyperlink>
    </w:p>
    <w:p w:rsidR="00527C29" w:rsidRDefault="003444B0">
      <w:pPr>
        <w:pStyle w:val="TOC1"/>
        <w:rPr>
          <w:rFonts w:asciiTheme="minorHAnsi" w:eastAsiaTheme="minorEastAsia" w:hAnsiTheme="minorHAnsi" w:cstheme="minorBidi"/>
          <w:noProof/>
          <w:sz w:val="22"/>
          <w:szCs w:val="22"/>
        </w:rPr>
      </w:pPr>
      <w:hyperlink w:anchor="_Toc28007722" w:history="1">
        <w:r w:rsidR="00527C29" w:rsidRPr="00235EF7">
          <w:rPr>
            <w:rStyle w:val="Hyperlink"/>
            <w:noProof/>
          </w:rPr>
          <w:t>13</w:t>
        </w:r>
        <w:r w:rsidR="00527C29" w:rsidRPr="00235EF7">
          <w:rPr>
            <w:rStyle w:val="Hyperlink"/>
            <w:noProof/>
          </w:rPr>
          <w:tab/>
          <w:t>Projected Operating Revenues (Wu)</w:t>
        </w:r>
        <w:r w:rsidR="00527C29">
          <w:rPr>
            <w:noProof/>
            <w:webHidden/>
          </w:rPr>
          <w:tab/>
        </w:r>
        <w:r w:rsidR="00527C29">
          <w:rPr>
            <w:noProof/>
            <w:webHidden/>
          </w:rPr>
          <w:fldChar w:fldCharType="begin"/>
        </w:r>
        <w:r w:rsidR="00527C29">
          <w:rPr>
            <w:noProof/>
            <w:webHidden/>
          </w:rPr>
          <w:instrText xml:space="preserve"> PAGEREF _Toc28007722 \h </w:instrText>
        </w:r>
        <w:r w:rsidR="00527C29">
          <w:rPr>
            <w:noProof/>
            <w:webHidden/>
          </w:rPr>
        </w:r>
        <w:r w:rsidR="00527C29">
          <w:rPr>
            <w:noProof/>
            <w:webHidden/>
          </w:rPr>
          <w:fldChar w:fldCharType="separate"/>
        </w:r>
        <w:r w:rsidR="005A792F">
          <w:rPr>
            <w:noProof/>
            <w:webHidden/>
          </w:rPr>
          <w:t>25</w:t>
        </w:r>
        <w:r w:rsidR="00527C29">
          <w:rPr>
            <w:noProof/>
            <w:webHidden/>
          </w:rPr>
          <w:fldChar w:fldCharType="end"/>
        </w:r>
      </w:hyperlink>
    </w:p>
    <w:p w:rsidR="00527C29" w:rsidRDefault="003444B0">
      <w:pPr>
        <w:pStyle w:val="TOC1"/>
        <w:rPr>
          <w:rFonts w:asciiTheme="minorHAnsi" w:eastAsiaTheme="minorEastAsia" w:hAnsiTheme="minorHAnsi" w:cstheme="minorBidi"/>
          <w:noProof/>
          <w:sz w:val="22"/>
          <w:szCs w:val="22"/>
        </w:rPr>
      </w:pPr>
      <w:hyperlink w:anchor="_Toc28007723" w:history="1">
        <w:r w:rsidR="00527C29" w:rsidRPr="00235EF7">
          <w:rPr>
            <w:rStyle w:val="Hyperlink"/>
            <w:noProof/>
          </w:rPr>
          <w:t>14</w:t>
        </w:r>
        <w:r w:rsidR="00527C29" w:rsidRPr="00235EF7">
          <w:rPr>
            <w:rStyle w:val="Hyperlink"/>
            <w:noProof/>
          </w:rPr>
          <w:tab/>
          <w:t>Number of Employees (Knoblauch, Lewis, M. Andrews)</w:t>
        </w:r>
        <w:r w:rsidR="00527C29">
          <w:rPr>
            <w:noProof/>
            <w:webHidden/>
          </w:rPr>
          <w:tab/>
        </w:r>
        <w:r w:rsidR="00527C29">
          <w:rPr>
            <w:noProof/>
            <w:webHidden/>
          </w:rPr>
          <w:fldChar w:fldCharType="begin"/>
        </w:r>
        <w:r w:rsidR="00527C29">
          <w:rPr>
            <w:noProof/>
            <w:webHidden/>
          </w:rPr>
          <w:instrText xml:space="preserve"> PAGEREF _Toc28007723 \h </w:instrText>
        </w:r>
        <w:r w:rsidR="00527C29">
          <w:rPr>
            <w:noProof/>
            <w:webHidden/>
          </w:rPr>
        </w:r>
        <w:r w:rsidR="00527C29">
          <w:rPr>
            <w:noProof/>
            <w:webHidden/>
          </w:rPr>
          <w:fldChar w:fldCharType="separate"/>
        </w:r>
        <w:r w:rsidR="005A792F">
          <w:rPr>
            <w:noProof/>
            <w:webHidden/>
          </w:rPr>
          <w:t>26</w:t>
        </w:r>
        <w:r w:rsidR="00527C29">
          <w:rPr>
            <w:noProof/>
            <w:webHidden/>
          </w:rPr>
          <w:fldChar w:fldCharType="end"/>
        </w:r>
      </w:hyperlink>
    </w:p>
    <w:p w:rsidR="00527C29" w:rsidRDefault="003444B0">
      <w:pPr>
        <w:pStyle w:val="TOC1"/>
        <w:rPr>
          <w:rFonts w:asciiTheme="minorHAnsi" w:eastAsiaTheme="minorEastAsia" w:hAnsiTheme="minorHAnsi" w:cstheme="minorBidi"/>
          <w:noProof/>
          <w:sz w:val="22"/>
          <w:szCs w:val="22"/>
        </w:rPr>
      </w:pPr>
      <w:hyperlink w:anchor="_Toc28007724" w:history="1">
        <w:r w:rsidR="00527C29" w:rsidRPr="00235EF7">
          <w:rPr>
            <w:rStyle w:val="Hyperlink"/>
            <w:noProof/>
          </w:rPr>
          <w:t>15</w:t>
        </w:r>
        <w:r w:rsidR="00527C29" w:rsidRPr="00235EF7">
          <w:rPr>
            <w:rStyle w:val="Hyperlink"/>
            <w:noProof/>
          </w:rPr>
          <w:tab/>
          <w:t>Salaries and Benefits (M. Andrews)</w:t>
        </w:r>
        <w:r w:rsidR="00527C29">
          <w:rPr>
            <w:noProof/>
            <w:webHidden/>
          </w:rPr>
          <w:tab/>
        </w:r>
        <w:r w:rsidR="00527C29">
          <w:rPr>
            <w:noProof/>
            <w:webHidden/>
          </w:rPr>
          <w:fldChar w:fldCharType="begin"/>
        </w:r>
        <w:r w:rsidR="00527C29">
          <w:rPr>
            <w:noProof/>
            <w:webHidden/>
          </w:rPr>
          <w:instrText xml:space="preserve"> PAGEREF _Toc28007724 \h </w:instrText>
        </w:r>
        <w:r w:rsidR="00527C29">
          <w:rPr>
            <w:noProof/>
            <w:webHidden/>
          </w:rPr>
        </w:r>
        <w:r w:rsidR="00527C29">
          <w:rPr>
            <w:noProof/>
            <w:webHidden/>
          </w:rPr>
          <w:fldChar w:fldCharType="separate"/>
        </w:r>
        <w:r w:rsidR="005A792F">
          <w:rPr>
            <w:noProof/>
            <w:webHidden/>
          </w:rPr>
          <w:t>27</w:t>
        </w:r>
        <w:r w:rsidR="00527C29">
          <w:rPr>
            <w:noProof/>
            <w:webHidden/>
          </w:rPr>
          <w:fldChar w:fldCharType="end"/>
        </w:r>
      </w:hyperlink>
    </w:p>
    <w:p w:rsidR="00527C29" w:rsidRDefault="003444B0">
      <w:pPr>
        <w:pStyle w:val="TOC1"/>
        <w:rPr>
          <w:rFonts w:asciiTheme="minorHAnsi" w:eastAsiaTheme="minorEastAsia" w:hAnsiTheme="minorHAnsi" w:cstheme="minorBidi"/>
          <w:noProof/>
          <w:sz w:val="22"/>
          <w:szCs w:val="22"/>
        </w:rPr>
      </w:pPr>
      <w:hyperlink w:anchor="_Toc28007725" w:history="1">
        <w:r w:rsidR="00527C29" w:rsidRPr="00235EF7">
          <w:rPr>
            <w:rStyle w:val="Hyperlink"/>
            <w:noProof/>
          </w:rPr>
          <w:t>16</w:t>
        </w:r>
        <w:r w:rsidR="00527C29" w:rsidRPr="00235EF7">
          <w:rPr>
            <w:rStyle w:val="Hyperlink"/>
            <w:noProof/>
          </w:rPr>
          <w:tab/>
          <w:t>Rate Case Expense and Amortization Period (D. Andrews)</w:t>
        </w:r>
        <w:r w:rsidR="00527C29">
          <w:rPr>
            <w:noProof/>
            <w:webHidden/>
          </w:rPr>
          <w:tab/>
        </w:r>
        <w:r w:rsidR="00527C29">
          <w:rPr>
            <w:noProof/>
            <w:webHidden/>
          </w:rPr>
          <w:fldChar w:fldCharType="begin"/>
        </w:r>
        <w:r w:rsidR="00527C29">
          <w:rPr>
            <w:noProof/>
            <w:webHidden/>
          </w:rPr>
          <w:instrText xml:space="preserve"> PAGEREF _Toc28007725 \h </w:instrText>
        </w:r>
        <w:r w:rsidR="00527C29">
          <w:rPr>
            <w:noProof/>
            <w:webHidden/>
          </w:rPr>
        </w:r>
        <w:r w:rsidR="00527C29">
          <w:rPr>
            <w:noProof/>
            <w:webHidden/>
          </w:rPr>
          <w:fldChar w:fldCharType="separate"/>
        </w:r>
        <w:r w:rsidR="005A792F">
          <w:rPr>
            <w:noProof/>
            <w:webHidden/>
          </w:rPr>
          <w:t>28</w:t>
        </w:r>
        <w:r w:rsidR="00527C29">
          <w:rPr>
            <w:noProof/>
            <w:webHidden/>
          </w:rPr>
          <w:fldChar w:fldCharType="end"/>
        </w:r>
      </w:hyperlink>
    </w:p>
    <w:p w:rsidR="00527C29" w:rsidRDefault="003444B0">
      <w:pPr>
        <w:pStyle w:val="TOC1"/>
        <w:rPr>
          <w:rFonts w:asciiTheme="minorHAnsi" w:eastAsiaTheme="minorEastAsia" w:hAnsiTheme="minorHAnsi" w:cstheme="minorBidi"/>
          <w:noProof/>
          <w:sz w:val="22"/>
          <w:szCs w:val="22"/>
        </w:rPr>
      </w:pPr>
      <w:hyperlink w:anchor="_Toc28007726" w:history="1">
        <w:r w:rsidR="00527C29" w:rsidRPr="00235EF7">
          <w:rPr>
            <w:rStyle w:val="Hyperlink"/>
            <w:noProof/>
          </w:rPr>
          <w:t>17</w:t>
        </w:r>
        <w:r w:rsidR="00527C29" w:rsidRPr="00235EF7">
          <w:rPr>
            <w:rStyle w:val="Hyperlink"/>
            <w:noProof/>
          </w:rPr>
          <w:tab/>
          <w:t>Test Year O&amp;M Expense (M. Andrews)</w:t>
        </w:r>
        <w:r w:rsidR="00527C29">
          <w:rPr>
            <w:noProof/>
            <w:webHidden/>
          </w:rPr>
          <w:tab/>
        </w:r>
        <w:r w:rsidR="00527C29">
          <w:rPr>
            <w:noProof/>
            <w:webHidden/>
          </w:rPr>
          <w:fldChar w:fldCharType="begin"/>
        </w:r>
        <w:r w:rsidR="00527C29">
          <w:rPr>
            <w:noProof/>
            <w:webHidden/>
          </w:rPr>
          <w:instrText xml:space="preserve"> PAGEREF _Toc28007726 \h </w:instrText>
        </w:r>
        <w:r w:rsidR="00527C29">
          <w:rPr>
            <w:noProof/>
            <w:webHidden/>
          </w:rPr>
        </w:r>
        <w:r w:rsidR="00527C29">
          <w:rPr>
            <w:noProof/>
            <w:webHidden/>
          </w:rPr>
          <w:fldChar w:fldCharType="separate"/>
        </w:r>
        <w:r w:rsidR="005A792F">
          <w:rPr>
            <w:noProof/>
            <w:webHidden/>
          </w:rPr>
          <w:t>29</w:t>
        </w:r>
        <w:r w:rsidR="00527C29">
          <w:rPr>
            <w:noProof/>
            <w:webHidden/>
          </w:rPr>
          <w:fldChar w:fldCharType="end"/>
        </w:r>
      </w:hyperlink>
    </w:p>
    <w:p w:rsidR="00527C29" w:rsidRDefault="003444B0">
      <w:pPr>
        <w:pStyle w:val="TOC1"/>
        <w:rPr>
          <w:rFonts w:asciiTheme="minorHAnsi" w:eastAsiaTheme="minorEastAsia" w:hAnsiTheme="minorHAnsi" w:cstheme="minorBidi"/>
          <w:noProof/>
          <w:sz w:val="22"/>
          <w:szCs w:val="22"/>
        </w:rPr>
      </w:pPr>
      <w:hyperlink w:anchor="_Toc28007727" w:history="1">
        <w:r w:rsidR="00527C29" w:rsidRPr="00235EF7">
          <w:rPr>
            <w:rStyle w:val="Hyperlink"/>
            <w:noProof/>
          </w:rPr>
          <w:t>18</w:t>
        </w:r>
        <w:r w:rsidR="00527C29" w:rsidRPr="00235EF7">
          <w:rPr>
            <w:rStyle w:val="Hyperlink"/>
            <w:noProof/>
          </w:rPr>
          <w:tab/>
          <w:t>Depreciation and Amortization Expense (Higgins)</w:t>
        </w:r>
        <w:r w:rsidR="00527C29">
          <w:rPr>
            <w:noProof/>
            <w:webHidden/>
          </w:rPr>
          <w:tab/>
        </w:r>
        <w:r w:rsidR="00527C29">
          <w:rPr>
            <w:noProof/>
            <w:webHidden/>
          </w:rPr>
          <w:fldChar w:fldCharType="begin"/>
        </w:r>
        <w:r w:rsidR="00527C29">
          <w:rPr>
            <w:noProof/>
            <w:webHidden/>
          </w:rPr>
          <w:instrText xml:space="preserve"> PAGEREF _Toc28007727 \h </w:instrText>
        </w:r>
        <w:r w:rsidR="00527C29">
          <w:rPr>
            <w:noProof/>
            <w:webHidden/>
          </w:rPr>
        </w:r>
        <w:r w:rsidR="00527C29">
          <w:rPr>
            <w:noProof/>
            <w:webHidden/>
          </w:rPr>
          <w:fldChar w:fldCharType="separate"/>
        </w:r>
        <w:r w:rsidR="005A792F">
          <w:rPr>
            <w:noProof/>
            <w:webHidden/>
          </w:rPr>
          <w:t>31</w:t>
        </w:r>
        <w:r w:rsidR="00527C29">
          <w:rPr>
            <w:noProof/>
            <w:webHidden/>
          </w:rPr>
          <w:fldChar w:fldCharType="end"/>
        </w:r>
      </w:hyperlink>
    </w:p>
    <w:p w:rsidR="00527C29" w:rsidRDefault="003444B0">
      <w:pPr>
        <w:pStyle w:val="TOC1"/>
        <w:rPr>
          <w:rFonts w:asciiTheme="minorHAnsi" w:eastAsiaTheme="minorEastAsia" w:hAnsiTheme="minorHAnsi" w:cstheme="minorBidi"/>
          <w:noProof/>
          <w:sz w:val="22"/>
          <w:szCs w:val="22"/>
        </w:rPr>
      </w:pPr>
      <w:hyperlink w:anchor="_Toc28007728" w:history="1">
        <w:r w:rsidR="00527C29" w:rsidRPr="00235EF7">
          <w:rPr>
            <w:rStyle w:val="Hyperlink"/>
            <w:noProof/>
          </w:rPr>
          <w:t>19</w:t>
        </w:r>
        <w:r w:rsidR="00527C29" w:rsidRPr="00235EF7">
          <w:rPr>
            <w:rStyle w:val="Hyperlink"/>
            <w:noProof/>
          </w:rPr>
          <w:tab/>
          <w:t>Test Year Taxes Other Than Income (M. Andrews)</w:t>
        </w:r>
        <w:r w:rsidR="00527C29">
          <w:rPr>
            <w:noProof/>
            <w:webHidden/>
          </w:rPr>
          <w:tab/>
        </w:r>
        <w:r w:rsidR="00527C29">
          <w:rPr>
            <w:noProof/>
            <w:webHidden/>
          </w:rPr>
          <w:fldChar w:fldCharType="begin"/>
        </w:r>
        <w:r w:rsidR="00527C29">
          <w:rPr>
            <w:noProof/>
            <w:webHidden/>
          </w:rPr>
          <w:instrText xml:space="preserve"> PAGEREF _Toc28007728 \h </w:instrText>
        </w:r>
        <w:r w:rsidR="00527C29">
          <w:rPr>
            <w:noProof/>
            <w:webHidden/>
          </w:rPr>
        </w:r>
        <w:r w:rsidR="00527C29">
          <w:rPr>
            <w:noProof/>
            <w:webHidden/>
          </w:rPr>
          <w:fldChar w:fldCharType="separate"/>
        </w:r>
        <w:r w:rsidR="005A792F">
          <w:rPr>
            <w:noProof/>
            <w:webHidden/>
          </w:rPr>
          <w:t>32</w:t>
        </w:r>
        <w:r w:rsidR="00527C29">
          <w:rPr>
            <w:noProof/>
            <w:webHidden/>
          </w:rPr>
          <w:fldChar w:fldCharType="end"/>
        </w:r>
      </w:hyperlink>
    </w:p>
    <w:p w:rsidR="00527C29" w:rsidRDefault="003444B0">
      <w:pPr>
        <w:pStyle w:val="TOC1"/>
        <w:rPr>
          <w:rFonts w:asciiTheme="minorHAnsi" w:eastAsiaTheme="minorEastAsia" w:hAnsiTheme="minorHAnsi" w:cstheme="minorBidi"/>
          <w:noProof/>
          <w:sz w:val="22"/>
          <w:szCs w:val="22"/>
        </w:rPr>
      </w:pPr>
      <w:hyperlink w:anchor="_Toc28007729" w:history="1">
        <w:r w:rsidR="00527C29" w:rsidRPr="00235EF7">
          <w:rPr>
            <w:rStyle w:val="Hyperlink"/>
            <w:noProof/>
          </w:rPr>
          <w:t>20</w:t>
        </w:r>
        <w:r w:rsidR="00527C29" w:rsidRPr="00235EF7">
          <w:rPr>
            <w:rStyle w:val="Hyperlink"/>
            <w:noProof/>
          </w:rPr>
          <w:tab/>
          <w:t>Deferred Income Tax Expense (Smith, D. Buys)</w:t>
        </w:r>
        <w:r w:rsidR="00527C29">
          <w:rPr>
            <w:noProof/>
            <w:webHidden/>
          </w:rPr>
          <w:tab/>
        </w:r>
        <w:r w:rsidR="00527C29">
          <w:rPr>
            <w:noProof/>
            <w:webHidden/>
          </w:rPr>
          <w:fldChar w:fldCharType="begin"/>
        </w:r>
        <w:r w:rsidR="00527C29">
          <w:rPr>
            <w:noProof/>
            <w:webHidden/>
          </w:rPr>
          <w:instrText xml:space="preserve"> PAGEREF _Toc28007729 \h </w:instrText>
        </w:r>
        <w:r w:rsidR="00527C29">
          <w:rPr>
            <w:noProof/>
            <w:webHidden/>
          </w:rPr>
        </w:r>
        <w:r w:rsidR="00527C29">
          <w:rPr>
            <w:noProof/>
            <w:webHidden/>
          </w:rPr>
          <w:fldChar w:fldCharType="separate"/>
        </w:r>
        <w:r w:rsidR="005A792F">
          <w:rPr>
            <w:noProof/>
            <w:webHidden/>
          </w:rPr>
          <w:t>33</w:t>
        </w:r>
        <w:r w:rsidR="00527C29">
          <w:rPr>
            <w:noProof/>
            <w:webHidden/>
          </w:rPr>
          <w:fldChar w:fldCharType="end"/>
        </w:r>
      </w:hyperlink>
    </w:p>
    <w:p w:rsidR="00527C29" w:rsidRDefault="003444B0">
      <w:pPr>
        <w:pStyle w:val="TOC1"/>
        <w:rPr>
          <w:rFonts w:asciiTheme="minorHAnsi" w:eastAsiaTheme="minorEastAsia" w:hAnsiTheme="minorHAnsi" w:cstheme="minorBidi"/>
          <w:noProof/>
          <w:sz w:val="22"/>
          <w:szCs w:val="22"/>
        </w:rPr>
      </w:pPr>
      <w:hyperlink w:anchor="_Toc28007730" w:history="1">
        <w:r w:rsidR="00527C29" w:rsidRPr="00235EF7">
          <w:rPr>
            <w:rStyle w:val="Hyperlink"/>
            <w:noProof/>
          </w:rPr>
          <w:t>21</w:t>
        </w:r>
        <w:r w:rsidR="00527C29" w:rsidRPr="00235EF7">
          <w:rPr>
            <w:rStyle w:val="Hyperlink"/>
            <w:noProof/>
          </w:rPr>
          <w:tab/>
          <w:t>Total Operating Expense (M. Andrews)</w:t>
        </w:r>
        <w:r w:rsidR="00527C29">
          <w:rPr>
            <w:noProof/>
            <w:webHidden/>
          </w:rPr>
          <w:tab/>
        </w:r>
        <w:r w:rsidR="00527C29">
          <w:rPr>
            <w:noProof/>
            <w:webHidden/>
          </w:rPr>
          <w:fldChar w:fldCharType="begin"/>
        </w:r>
        <w:r w:rsidR="00527C29">
          <w:rPr>
            <w:noProof/>
            <w:webHidden/>
          </w:rPr>
          <w:instrText xml:space="preserve"> PAGEREF _Toc28007730 \h </w:instrText>
        </w:r>
        <w:r w:rsidR="00527C29">
          <w:rPr>
            <w:noProof/>
            <w:webHidden/>
          </w:rPr>
        </w:r>
        <w:r w:rsidR="00527C29">
          <w:rPr>
            <w:noProof/>
            <w:webHidden/>
          </w:rPr>
          <w:fldChar w:fldCharType="separate"/>
        </w:r>
        <w:r w:rsidR="005A792F">
          <w:rPr>
            <w:noProof/>
            <w:webHidden/>
          </w:rPr>
          <w:t>34</w:t>
        </w:r>
        <w:r w:rsidR="00527C29">
          <w:rPr>
            <w:noProof/>
            <w:webHidden/>
          </w:rPr>
          <w:fldChar w:fldCharType="end"/>
        </w:r>
      </w:hyperlink>
    </w:p>
    <w:p w:rsidR="00527C29" w:rsidRDefault="003444B0">
      <w:pPr>
        <w:pStyle w:val="TOC1"/>
        <w:rPr>
          <w:rFonts w:asciiTheme="minorHAnsi" w:eastAsiaTheme="minorEastAsia" w:hAnsiTheme="minorHAnsi" w:cstheme="minorBidi"/>
          <w:noProof/>
          <w:sz w:val="22"/>
          <w:szCs w:val="22"/>
        </w:rPr>
      </w:pPr>
      <w:hyperlink w:anchor="_Toc28007731" w:history="1">
        <w:r w:rsidR="00527C29" w:rsidRPr="00235EF7">
          <w:rPr>
            <w:rStyle w:val="Hyperlink"/>
            <w:noProof/>
          </w:rPr>
          <w:t>22</w:t>
        </w:r>
        <w:r w:rsidR="00527C29" w:rsidRPr="00235EF7">
          <w:rPr>
            <w:rStyle w:val="Hyperlink"/>
            <w:noProof/>
          </w:rPr>
          <w:tab/>
          <w:t>Net Operating Income (M. Andrews)</w:t>
        </w:r>
        <w:r w:rsidR="00527C29">
          <w:rPr>
            <w:noProof/>
            <w:webHidden/>
          </w:rPr>
          <w:tab/>
        </w:r>
        <w:r w:rsidR="00527C29">
          <w:rPr>
            <w:noProof/>
            <w:webHidden/>
          </w:rPr>
          <w:fldChar w:fldCharType="begin"/>
        </w:r>
        <w:r w:rsidR="00527C29">
          <w:rPr>
            <w:noProof/>
            <w:webHidden/>
          </w:rPr>
          <w:instrText xml:space="preserve"> PAGEREF _Toc28007731 \h </w:instrText>
        </w:r>
        <w:r w:rsidR="00527C29">
          <w:rPr>
            <w:noProof/>
            <w:webHidden/>
          </w:rPr>
        </w:r>
        <w:r w:rsidR="00527C29">
          <w:rPr>
            <w:noProof/>
            <w:webHidden/>
          </w:rPr>
          <w:fldChar w:fldCharType="separate"/>
        </w:r>
        <w:r w:rsidR="005A792F">
          <w:rPr>
            <w:noProof/>
            <w:webHidden/>
          </w:rPr>
          <w:t>35</w:t>
        </w:r>
        <w:r w:rsidR="00527C29">
          <w:rPr>
            <w:noProof/>
            <w:webHidden/>
          </w:rPr>
          <w:fldChar w:fldCharType="end"/>
        </w:r>
      </w:hyperlink>
    </w:p>
    <w:p w:rsidR="00527C29" w:rsidRDefault="003444B0">
      <w:pPr>
        <w:pStyle w:val="TOC1"/>
        <w:rPr>
          <w:rFonts w:asciiTheme="minorHAnsi" w:eastAsiaTheme="minorEastAsia" w:hAnsiTheme="minorHAnsi" w:cstheme="minorBidi"/>
          <w:noProof/>
          <w:sz w:val="22"/>
          <w:szCs w:val="22"/>
        </w:rPr>
      </w:pPr>
      <w:hyperlink w:anchor="_Toc28007732" w:history="1">
        <w:r w:rsidR="00527C29" w:rsidRPr="00235EF7">
          <w:rPr>
            <w:rStyle w:val="Hyperlink"/>
            <w:noProof/>
          </w:rPr>
          <w:t>23</w:t>
        </w:r>
        <w:r w:rsidR="00527C29" w:rsidRPr="00235EF7">
          <w:rPr>
            <w:rStyle w:val="Hyperlink"/>
            <w:noProof/>
          </w:rPr>
          <w:tab/>
          <w:t>Net Operating Income Multiplier (Sewards, Norris)</w:t>
        </w:r>
        <w:r w:rsidR="00527C29">
          <w:rPr>
            <w:noProof/>
            <w:webHidden/>
          </w:rPr>
          <w:tab/>
        </w:r>
        <w:r w:rsidR="00527C29">
          <w:rPr>
            <w:noProof/>
            <w:webHidden/>
          </w:rPr>
          <w:fldChar w:fldCharType="begin"/>
        </w:r>
        <w:r w:rsidR="00527C29">
          <w:rPr>
            <w:noProof/>
            <w:webHidden/>
          </w:rPr>
          <w:instrText xml:space="preserve"> PAGEREF _Toc28007732 \h </w:instrText>
        </w:r>
        <w:r w:rsidR="00527C29">
          <w:rPr>
            <w:noProof/>
            <w:webHidden/>
          </w:rPr>
        </w:r>
        <w:r w:rsidR="00527C29">
          <w:rPr>
            <w:noProof/>
            <w:webHidden/>
          </w:rPr>
          <w:fldChar w:fldCharType="separate"/>
        </w:r>
        <w:r w:rsidR="005A792F">
          <w:rPr>
            <w:noProof/>
            <w:webHidden/>
          </w:rPr>
          <w:t>36</w:t>
        </w:r>
        <w:r w:rsidR="00527C29">
          <w:rPr>
            <w:noProof/>
            <w:webHidden/>
          </w:rPr>
          <w:fldChar w:fldCharType="end"/>
        </w:r>
      </w:hyperlink>
    </w:p>
    <w:p w:rsidR="00527C29" w:rsidRDefault="003444B0">
      <w:pPr>
        <w:pStyle w:val="TOC1"/>
        <w:rPr>
          <w:rFonts w:asciiTheme="minorHAnsi" w:eastAsiaTheme="minorEastAsia" w:hAnsiTheme="minorHAnsi" w:cstheme="minorBidi"/>
          <w:noProof/>
          <w:sz w:val="22"/>
          <w:szCs w:val="22"/>
        </w:rPr>
      </w:pPr>
      <w:hyperlink w:anchor="_Toc28007733" w:history="1">
        <w:r w:rsidR="00527C29" w:rsidRPr="00235EF7">
          <w:rPr>
            <w:rStyle w:val="Hyperlink"/>
            <w:noProof/>
          </w:rPr>
          <w:t>24</w:t>
        </w:r>
        <w:r w:rsidR="00527C29" w:rsidRPr="00235EF7">
          <w:rPr>
            <w:rStyle w:val="Hyperlink"/>
            <w:noProof/>
          </w:rPr>
          <w:tab/>
          <w:t>Annual Operating Revenue Increase (M. Andrews)</w:t>
        </w:r>
        <w:r w:rsidR="00527C29">
          <w:rPr>
            <w:noProof/>
            <w:webHidden/>
          </w:rPr>
          <w:tab/>
        </w:r>
        <w:r w:rsidR="00527C29">
          <w:rPr>
            <w:noProof/>
            <w:webHidden/>
          </w:rPr>
          <w:fldChar w:fldCharType="begin"/>
        </w:r>
        <w:r w:rsidR="00527C29">
          <w:rPr>
            <w:noProof/>
            <w:webHidden/>
          </w:rPr>
          <w:instrText xml:space="preserve"> PAGEREF _Toc28007733 \h </w:instrText>
        </w:r>
        <w:r w:rsidR="00527C29">
          <w:rPr>
            <w:noProof/>
            <w:webHidden/>
          </w:rPr>
        </w:r>
        <w:r w:rsidR="00527C29">
          <w:rPr>
            <w:noProof/>
            <w:webHidden/>
          </w:rPr>
          <w:fldChar w:fldCharType="separate"/>
        </w:r>
        <w:r w:rsidR="005A792F">
          <w:rPr>
            <w:noProof/>
            <w:webHidden/>
          </w:rPr>
          <w:t>37</w:t>
        </w:r>
        <w:r w:rsidR="00527C29">
          <w:rPr>
            <w:noProof/>
            <w:webHidden/>
          </w:rPr>
          <w:fldChar w:fldCharType="end"/>
        </w:r>
      </w:hyperlink>
    </w:p>
    <w:p w:rsidR="00527C29" w:rsidRDefault="003444B0">
      <w:pPr>
        <w:pStyle w:val="TOC1"/>
        <w:rPr>
          <w:rFonts w:asciiTheme="minorHAnsi" w:eastAsiaTheme="minorEastAsia" w:hAnsiTheme="minorHAnsi" w:cstheme="minorBidi"/>
          <w:noProof/>
          <w:sz w:val="22"/>
          <w:szCs w:val="22"/>
        </w:rPr>
      </w:pPr>
      <w:hyperlink w:anchor="_Toc28007734" w:history="1">
        <w:r w:rsidR="00527C29" w:rsidRPr="00235EF7">
          <w:rPr>
            <w:rStyle w:val="Hyperlink"/>
            <w:noProof/>
          </w:rPr>
          <w:t>25</w:t>
        </w:r>
        <w:r w:rsidR="00527C29" w:rsidRPr="00235EF7">
          <w:rPr>
            <w:rStyle w:val="Hyperlink"/>
            <w:noProof/>
          </w:rPr>
          <w:tab/>
          <w:t>Cost of Service Methodology (Hampson, Coston)</w:t>
        </w:r>
        <w:r w:rsidR="00527C29">
          <w:rPr>
            <w:noProof/>
            <w:webHidden/>
          </w:rPr>
          <w:tab/>
        </w:r>
        <w:r w:rsidR="00527C29">
          <w:rPr>
            <w:noProof/>
            <w:webHidden/>
          </w:rPr>
          <w:fldChar w:fldCharType="begin"/>
        </w:r>
        <w:r w:rsidR="00527C29">
          <w:rPr>
            <w:noProof/>
            <w:webHidden/>
          </w:rPr>
          <w:instrText xml:space="preserve"> PAGEREF _Toc28007734 \h </w:instrText>
        </w:r>
        <w:r w:rsidR="00527C29">
          <w:rPr>
            <w:noProof/>
            <w:webHidden/>
          </w:rPr>
        </w:r>
        <w:r w:rsidR="00527C29">
          <w:rPr>
            <w:noProof/>
            <w:webHidden/>
          </w:rPr>
          <w:fldChar w:fldCharType="separate"/>
        </w:r>
        <w:r w:rsidR="005A792F">
          <w:rPr>
            <w:noProof/>
            <w:webHidden/>
          </w:rPr>
          <w:t>38</w:t>
        </w:r>
        <w:r w:rsidR="00527C29">
          <w:rPr>
            <w:noProof/>
            <w:webHidden/>
          </w:rPr>
          <w:fldChar w:fldCharType="end"/>
        </w:r>
      </w:hyperlink>
    </w:p>
    <w:p w:rsidR="00527C29" w:rsidRDefault="003444B0">
      <w:pPr>
        <w:pStyle w:val="TOC1"/>
        <w:rPr>
          <w:rFonts w:asciiTheme="minorHAnsi" w:eastAsiaTheme="minorEastAsia" w:hAnsiTheme="minorHAnsi" w:cstheme="minorBidi"/>
          <w:noProof/>
          <w:sz w:val="22"/>
          <w:szCs w:val="22"/>
        </w:rPr>
      </w:pPr>
      <w:hyperlink w:anchor="_Toc28007735" w:history="1">
        <w:r w:rsidR="00527C29" w:rsidRPr="00235EF7">
          <w:rPr>
            <w:rStyle w:val="Hyperlink"/>
            <w:noProof/>
          </w:rPr>
          <w:t>26</w:t>
        </w:r>
        <w:r w:rsidR="00527C29" w:rsidRPr="00235EF7">
          <w:rPr>
            <w:rStyle w:val="Hyperlink"/>
            <w:noProof/>
          </w:rPr>
          <w:tab/>
          <w:t>Customer Charges (Hampson, Coston)</w:t>
        </w:r>
        <w:r w:rsidR="00527C29">
          <w:rPr>
            <w:noProof/>
            <w:webHidden/>
          </w:rPr>
          <w:tab/>
        </w:r>
        <w:r w:rsidR="00527C29">
          <w:rPr>
            <w:noProof/>
            <w:webHidden/>
          </w:rPr>
          <w:fldChar w:fldCharType="begin"/>
        </w:r>
        <w:r w:rsidR="00527C29">
          <w:rPr>
            <w:noProof/>
            <w:webHidden/>
          </w:rPr>
          <w:instrText xml:space="preserve"> PAGEREF _Toc28007735 \h </w:instrText>
        </w:r>
        <w:r w:rsidR="00527C29">
          <w:rPr>
            <w:noProof/>
            <w:webHidden/>
          </w:rPr>
        </w:r>
        <w:r w:rsidR="00527C29">
          <w:rPr>
            <w:noProof/>
            <w:webHidden/>
          </w:rPr>
          <w:fldChar w:fldCharType="separate"/>
        </w:r>
        <w:r w:rsidR="005A792F">
          <w:rPr>
            <w:noProof/>
            <w:webHidden/>
          </w:rPr>
          <w:t>39</w:t>
        </w:r>
        <w:r w:rsidR="00527C29">
          <w:rPr>
            <w:noProof/>
            <w:webHidden/>
          </w:rPr>
          <w:fldChar w:fldCharType="end"/>
        </w:r>
      </w:hyperlink>
    </w:p>
    <w:p w:rsidR="00527C29" w:rsidRDefault="003444B0">
      <w:pPr>
        <w:pStyle w:val="TOC1"/>
        <w:rPr>
          <w:rFonts w:asciiTheme="minorHAnsi" w:eastAsiaTheme="minorEastAsia" w:hAnsiTheme="minorHAnsi" w:cstheme="minorBidi"/>
          <w:noProof/>
          <w:sz w:val="22"/>
          <w:szCs w:val="22"/>
        </w:rPr>
      </w:pPr>
      <w:hyperlink w:anchor="_Toc28007736" w:history="1">
        <w:r w:rsidR="00527C29" w:rsidRPr="00235EF7">
          <w:rPr>
            <w:rStyle w:val="Hyperlink"/>
            <w:noProof/>
          </w:rPr>
          <w:t>27</w:t>
        </w:r>
        <w:r w:rsidR="00527C29" w:rsidRPr="00235EF7">
          <w:rPr>
            <w:rStyle w:val="Hyperlink"/>
            <w:noProof/>
          </w:rPr>
          <w:tab/>
          <w:t>Transportation Charges (Ward)</w:t>
        </w:r>
        <w:r w:rsidR="00527C29">
          <w:rPr>
            <w:noProof/>
            <w:webHidden/>
          </w:rPr>
          <w:tab/>
        </w:r>
        <w:r w:rsidR="00527C29">
          <w:rPr>
            <w:noProof/>
            <w:webHidden/>
          </w:rPr>
          <w:fldChar w:fldCharType="begin"/>
        </w:r>
        <w:r w:rsidR="00527C29">
          <w:rPr>
            <w:noProof/>
            <w:webHidden/>
          </w:rPr>
          <w:instrText xml:space="preserve"> PAGEREF _Toc28007736 \h </w:instrText>
        </w:r>
        <w:r w:rsidR="00527C29">
          <w:rPr>
            <w:noProof/>
            <w:webHidden/>
          </w:rPr>
        </w:r>
        <w:r w:rsidR="00527C29">
          <w:rPr>
            <w:noProof/>
            <w:webHidden/>
          </w:rPr>
          <w:fldChar w:fldCharType="separate"/>
        </w:r>
        <w:r w:rsidR="005A792F">
          <w:rPr>
            <w:noProof/>
            <w:webHidden/>
          </w:rPr>
          <w:t>42</w:t>
        </w:r>
        <w:r w:rsidR="00527C29">
          <w:rPr>
            <w:noProof/>
            <w:webHidden/>
          </w:rPr>
          <w:fldChar w:fldCharType="end"/>
        </w:r>
      </w:hyperlink>
    </w:p>
    <w:p w:rsidR="00527C29" w:rsidRDefault="003444B0">
      <w:pPr>
        <w:pStyle w:val="TOC1"/>
        <w:rPr>
          <w:rFonts w:asciiTheme="minorHAnsi" w:eastAsiaTheme="minorEastAsia" w:hAnsiTheme="minorHAnsi" w:cstheme="minorBidi"/>
          <w:noProof/>
          <w:sz w:val="22"/>
          <w:szCs w:val="22"/>
        </w:rPr>
      </w:pPr>
      <w:hyperlink w:anchor="_Toc28007737" w:history="1">
        <w:r w:rsidR="00527C29" w:rsidRPr="00235EF7">
          <w:rPr>
            <w:rStyle w:val="Hyperlink"/>
            <w:noProof/>
          </w:rPr>
          <w:t>28</w:t>
        </w:r>
        <w:r w:rsidR="00527C29" w:rsidRPr="00235EF7">
          <w:rPr>
            <w:rStyle w:val="Hyperlink"/>
            <w:noProof/>
          </w:rPr>
          <w:tab/>
          <w:t>Effective Date of Revised Rates and Charges (Ward)</w:t>
        </w:r>
        <w:r w:rsidR="00527C29">
          <w:rPr>
            <w:noProof/>
            <w:webHidden/>
          </w:rPr>
          <w:tab/>
        </w:r>
        <w:r w:rsidR="00527C29">
          <w:rPr>
            <w:noProof/>
            <w:webHidden/>
          </w:rPr>
          <w:fldChar w:fldCharType="begin"/>
        </w:r>
        <w:r w:rsidR="00527C29">
          <w:rPr>
            <w:noProof/>
            <w:webHidden/>
          </w:rPr>
          <w:instrText xml:space="preserve"> PAGEREF _Toc28007737 \h </w:instrText>
        </w:r>
        <w:r w:rsidR="00527C29">
          <w:rPr>
            <w:noProof/>
            <w:webHidden/>
          </w:rPr>
        </w:r>
        <w:r w:rsidR="00527C29">
          <w:rPr>
            <w:noProof/>
            <w:webHidden/>
          </w:rPr>
          <w:fldChar w:fldCharType="separate"/>
        </w:r>
        <w:r w:rsidR="005A792F">
          <w:rPr>
            <w:noProof/>
            <w:webHidden/>
          </w:rPr>
          <w:t>43</w:t>
        </w:r>
        <w:r w:rsidR="00527C29">
          <w:rPr>
            <w:noProof/>
            <w:webHidden/>
          </w:rPr>
          <w:fldChar w:fldCharType="end"/>
        </w:r>
      </w:hyperlink>
    </w:p>
    <w:p w:rsidR="00527C29" w:rsidRDefault="003444B0">
      <w:pPr>
        <w:pStyle w:val="TOC1"/>
        <w:rPr>
          <w:rFonts w:asciiTheme="minorHAnsi" w:eastAsiaTheme="minorEastAsia" w:hAnsiTheme="minorHAnsi" w:cstheme="minorBidi"/>
          <w:noProof/>
          <w:sz w:val="22"/>
          <w:szCs w:val="22"/>
        </w:rPr>
      </w:pPr>
      <w:hyperlink w:anchor="_Toc28007738" w:history="1">
        <w:r w:rsidR="00527C29" w:rsidRPr="00235EF7">
          <w:rPr>
            <w:rStyle w:val="Hyperlink"/>
            <w:noProof/>
          </w:rPr>
          <w:t>29</w:t>
        </w:r>
        <w:r w:rsidR="00527C29" w:rsidRPr="00235EF7">
          <w:rPr>
            <w:rStyle w:val="Hyperlink"/>
            <w:noProof/>
          </w:rPr>
          <w:tab/>
          <w:t>Confirmation of Compliance (M. Andrews)</w:t>
        </w:r>
        <w:r w:rsidR="00527C29">
          <w:rPr>
            <w:noProof/>
            <w:webHidden/>
          </w:rPr>
          <w:tab/>
        </w:r>
        <w:r w:rsidR="00527C29">
          <w:rPr>
            <w:noProof/>
            <w:webHidden/>
          </w:rPr>
          <w:fldChar w:fldCharType="begin"/>
        </w:r>
        <w:r w:rsidR="00527C29">
          <w:rPr>
            <w:noProof/>
            <w:webHidden/>
          </w:rPr>
          <w:instrText xml:space="preserve"> PAGEREF _Toc28007738 \h </w:instrText>
        </w:r>
        <w:r w:rsidR="00527C29">
          <w:rPr>
            <w:noProof/>
            <w:webHidden/>
          </w:rPr>
        </w:r>
        <w:r w:rsidR="00527C29">
          <w:rPr>
            <w:noProof/>
            <w:webHidden/>
          </w:rPr>
          <w:fldChar w:fldCharType="separate"/>
        </w:r>
        <w:r w:rsidR="005A792F">
          <w:rPr>
            <w:noProof/>
            <w:webHidden/>
          </w:rPr>
          <w:t>44</w:t>
        </w:r>
        <w:r w:rsidR="00527C29">
          <w:rPr>
            <w:noProof/>
            <w:webHidden/>
          </w:rPr>
          <w:fldChar w:fldCharType="end"/>
        </w:r>
      </w:hyperlink>
    </w:p>
    <w:p w:rsidR="00527C29" w:rsidRDefault="003444B0">
      <w:pPr>
        <w:pStyle w:val="TOC1"/>
        <w:rPr>
          <w:rFonts w:asciiTheme="minorHAnsi" w:eastAsiaTheme="minorEastAsia" w:hAnsiTheme="minorHAnsi" w:cstheme="minorBidi"/>
          <w:noProof/>
          <w:sz w:val="22"/>
          <w:szCs w:val="22"/>
        </w:rPr>
      </w:pPr>
      <w:hyperlink w:anchor="_Toc28007739" w:history="1">
        <w:r w:rsidR="00527C29" w:rsidRPr="00235EF7">
          <w:rPr>
            <w:rStyle w:val="Hyperlink"/>
            <w:noProof/>
          </w:rPr>
          <w:t>30</w:t>
        </w:r>
        <w:r w:rsidR="00527C29" w:rsidRPr="00235EF7">
          <w:rPr>
            <w:rStyle w:val="Hyperlink"/>
            <w:noProof/>
          </w:rPr>
          <w:tab/>
          <w:t>Close Docket (DuVal, Dziechciarz)</w:t>
        </w:r>
        <w:r w:rsidR="00527C29">
          <w:rPr>
            <w:noProof/>
            <w:webHidden/>
          </w:rPr>
          <w:tab/>
        </w:r>
        <w:r w:rsidR="00527C29">
          <w:rPr>
            <w:noProof/>
            <w:webHidden/>
          </w:rPr>
          <w:fldChar w:fldCharType="begin"/>
        </w:r>
        <w:r w:rsidR="00527C29">
          <w:rPr>
            <w:noProof/>
            <w:webHidden/>
          </w:rPr>
          <w:instrText xml:space="preserve"> PAGEREF _Toc28007739 \h </w:instrText>
        </w:r>
        <w:r w:rsidR="00527C29">
          <w:rPr>
            <w:noProof/>
            <w:webHidden/>
          </w:rPr>
        </w:r>
        <w:r w:rsidR="00527C29">
          <w:rPr>
            <w:noProof/>
            <w:webHidden/>
          </w:rPr>
          <w:fldChar w:fldCharType="separate"/>
        </w:r>
        <w:r w:rsidR="005A792F">
          <w:rPr>
            <w:noProof/>
            <w:webHidden/>
          </w:rPr>
          <w:t>45</w:t>
        </w:r>
        <w:r w:rsidR="00527C29">
          <w:rPr>
            <w:noProof/>
            <w:webHidden/>
          </w:rPr>
          <w:fldChar w:fldCharType="end"/>
        </w:r>
      </w:hyperlink>
    </w:p>
    <w:p w:rsidR="00527C29" w:rsidRDefault="003444B0">
      <w:pPr>
        <w:pStyle w:val="TOC1"/>
        <w:rPr>
          <w:rFonts w:asciiTheme="minorHAnsi" w:eastAsiaTheme="minorEastAsia" w:hAnsiTheme="minorHAnsi" w:cstheme="minorBidi"/>
          <w:noProof/>
          <w:sz w:val="22"/>
          <w:szCs w:val="22"/>
        </w:rPr>
      </w:pPr>
      <w:hyperlink w:anchor="_Toc28007740" w:history="1">
        <w:r w:rsidR="00527C29" w:rsidRPr="00235EF7">
          <w:rPr>
            <w:rStyle w:val="Hyperlink"/>
            <w:noProof/>
          </w:rPr>
          <w:tab/>
          <w:t>Schedule No. 1A</w:t>
        </w:r>
        <w:r w:rsidR="00527C29" w:rsidRPr="00235EF7">
          <w:rPr>
            <w:rStyle w:val="Hyperlink"/>
            <w:noProof/>
          </w:rPr>
          <w:tab/>
          <w:t>46</w:t>
        </w:r>
      </w:hyperlink>
    </w:p>
    <w:p w:rsidR="00527C29" w:rsidRDefault="003444B0">
      <w:pPr>
        <w:pStyle w:val="TOC1"/>
        <w:rPr>
          <w:rFonts w:asciiTheme="minorHAnsi" w:eastAsiaTheme="minorEastAsia" w:hAnsiTheme="minorHAnsi" w:cstheme="minorBidi"/>
          <w:noProof/>
          <w:sz w:val="22"/>
          <w:szCs w:val="22"/>
        </w:rPr>
      </w:pPr>
      <w:hyperlink w:anchor="_Toc28007741" w:history="1">
        <w:r w:rsidR="00527C29" w:rsidRPr="00235EF7">
          <w:rPr>
            <w:rStyle w:val="Hyperlink"/>
            <w:noProof/>
          </w:rPr>
          <w:tab/>
          <w:t>Schedule No. 1B</w:t>
        </w:r>
        <w:r w:rsidR="00527C29" w:rsidRPr="00235EF7">
          <w:rPr>
            <w:rStyle w:val="Hyperlink"/>
            <w:noProof/>
          </w:rPr>
          <w:tab/>
          <w:t>47</w:t>
        </w:r>
      </w:hyperlink>
    </w:p>
    <w:p w:rsidR="00527C29" w:rsidRDefault="003444B0">
      <w:pPr>
        <w:pStyle w:val="TOC1"/>
        <w:rPr>
          <w:rFonts w:asciiTheme="minorHAnsi" w:eastAsiaTheme="minorEastAsia" w:hAnsiTheme="minorHAnsi" w:cstheme="minorBidi"/>
          <w:noProof/>
          <w:sz w:val="22"/>
          <w:szCs w:val="22"/>
        </w:rPr>
      </w:pPr>
      <w:hyperlink w:anchor="_Toc28007742" w:history="1">
        <w:r w:rsidR="00527C29" w:rsidRPr="00235EF7">
          <w:rPr>
            <w:rStyle w:val="Hyperlink"/>
            <w:noProof/>
          </w:rPr>
          <w:tab/>
          <w:t>Schedule No. 2</w:t>
        </w:r>
        <w:r w:rsidR="00527C29" w:rsidRPr="00235EF7">
          <w:rPr>
            <w:rStyle w:val="Hyperlink"/>
            <w:noProof/>
          </w:rPr>
          <w:tab/>
          <w:t>48</w:t>
        </w:r>
      </w:hyperlink>
    </w:p>
    <w:p w:rsidR="00527C29" w:rsidRDefault="003444B0">
      <w:pPr>
        <w:pStyle w:val="TOC1"/>
        <w:rPr>
          <w:rFonts w:asciiTheme="minorHAnsi" w:eastAsiaTheme="minorEastAsia" w:hAnsiTheme="minorHAnsi" w:cstheme="minorBidi"/>
          <w:noProof/>
          <w:sz w:val="22"/>
          <w:szCs w:val="22"/>
        </w:rPr>
      </w:pPr>
      <w:hyperlink w:anchor="_Toc28007743" w:history="1">
        <w:r w:rsidR="00527C29" w:rsidRPr="00235EF7">
          <w:rPr>
            <w:rStyle w:val="Hyperlink"/>
            <w:noProof/>
          </w:rPr>
          <w:tab/>
          <w:t>Schedule No. 3</w:t>
        </w:r>
        <w:r w:rsidR="00527C29" w:rsidRPr="00235EF7">
          <w:rPr>
            <w:rStyle w:val="Hyperlink"/>
            <w:noProof/>
          </w:rPr>
          <w:tab/>
          <w:t>49</w:t>
        </w:r>
      </w:hyperlink>
    </w:p>
    <w:p w:rsidR="00527C29" w:rsidRDefault="003444B0">
      <w:pPr>
        <w:pStyle w:val="TOC1"/>
        <w:rPr>
          <w:rFonts w:asciiTheme="minorHAnsi" w:eastAsiaTheme="minorEastAsia" w:hAnsiTheme="minorHAnsi" w:cstheme="minorBidi"/>
          <w:noProof/>
          <w:sz w:val="22"/>
          <w:szCs w:val="22"/>
        </w:rPr>
      </w:pPr>
      <w:hyperlink w:anchor="_Toc28007744" w:history="1">
        <w:r w:rsidR="00527C29" w:rsidRPr="00235EF7">
          <w:rPr>
            <w:rStyle w:val="Hyperlink"/>
            <w:noProof/>
          </w:rPr>
          <w:tab/>
          <w:t>Schedule No. 4</w:t>
        </w:r>
        <w:r w:rsidR="00527C29" w:rsidRPr="00235EF7">
          <w:rPr>
            <w:rStyle w:val="Hyperlink"/>
            <w:noProof/>
          </w:rPr>
          <w:tab/>
          <w:t>50</w:t>
        </w:r>
      </w:hyperlink>
    </w:p>
    <w:p w:rsidR="00527C29" w:rsidRDefault="003444B0">
      <w:pPr>
        <w:pStyle w:val="TOC1"/>
        <w:rPr>
          <w:rFonts w:asciiTheme="minorHAnsi" w:eastAsiaTheme="minorEastAsia" w:hAnsiTheme="minorHAnsi" w:cstheme="minorBidi"/>
          <w:noProof/>
          <w:sz w:val="22"/>
          <w:szCs w:val="22"/>
        </w:rPr>
      </w:pPr>
      <w:hyperlink w:anchor="_Toc28007745" w:history="1">
        <w:r w:rsidR="00527C29" w:rsidRPr="00235EF7">
          <w:rPr>
            <w:rStyle w:val="Hyperlink"/>
            <w:noProof/>
          </w:rPr>
          <w:tab/>
          <w:t>Schedule No. 5</w:t>
        </w:r>
        <w:r w:rsidR="00527C29" w:rsidRPr="00235EF7">
          <w:rPr>
            <w:rStyle w:val="Hyperlink"/>
            <w:noProof/>
          </w:rPr>
          <w:tab/>
          <w:t>51</w:t>
        </w:r>
      </w:hyperlink>
    </w:p>
    <w:p w:rsidR="00527C29" w:rsidRDefault="003444B0">
      <w:pPr>
        <w:pStyle w:val="TOC1"/>
        <w:rPr>
          <w:rFonts w:asciiTheme="minorHAnsi" w:eastAsiaTheme="minorEastAsia" w:hAnsiTheme="minorHAnsi" w:cstheme="minorBidi"/>
          <w:noProof/>
          <w:sz w:val="22"/>
          <w:szCs w:val="22"/>
        </w:rPr>
      </w:pPr>
      <w:hyperlink w:anchor="_Toc28007746" w:history="1">
        <w:r w:rsidR="00527C29" w:rsidRPr="00235EF7">
          <w:rPr>
            <w:rStyle w:val="Hyperlink"/>
            <w:noProof/>
          </w:rPr>
          <w:tab/>
          <w:t>Schedule No. 6</w:t>
        </w:r>
        <w:r w:rsidR="00527C29" w:rsidRPr="00235EF7">
          <w:rPr>
            <w:rStyle w:val="Hyperlink"/>
            <w:noProof/>
          </w:rPr>
          <w:tab/>
          <w:t>52</w:t>
        </w:r>
      </w:hyperlink>
    </w:p>
    <w:p w:rsidR="00527C29" w:rsidRDefault="003444B0">
      <w:pPr>
        <w:pStyle w:val="TOC1"/>
        <w:rPr>
          <w:rFonts w:asciiTheme="minorHAnsi" w:eastAsiaTheme="minorEastAsia" w:hAnsiTheme="minorHAnsi" w:cstheme="minorBidi"/>
          <w:noProof/>
          <w:sz w:val="22"/>
          <w:szCs w:val="22"/>
        </w:rPr>
      </w:pPr>
      <w:hyperlink w:anchor="_Toc28007747" w:history="1">
        <w:r w:rsidR="00527C29" w:rsidRPr="00235EF7">
          <w:rPr>
            <w:rStyle w:val="Hyperlink"/>
            <w:noProof/>
          </w:rPr>
          <w:tab/>
          <w:t>Attachment A</w:t>
        </w:r>
        <w:r w:rsidR="00527C29" w:rsidRPr="00235EF7">
          <w:rPr>
            <w:rStyle w:val="Hyperlink"/>
            <w:noProof/>
          </w:rPr>
          <w:tab/>
          <w:t>53</w:t>
        </w:r>
      </w:hyperlink>
    </w:p>
    <w:p w:rsidR="00527C29" w:rsidRDefault="003444B0">
      <w:pPr>
        <w:pStyle w:val="TOC1"/>
        <w:rPr>
          <w:rFonts w:asciiTheme="minorHAnsi" w:eastAsiaTheme="minorEastAsia" w:hAnsiTheme="minorHAnsi" w:cstheme="minorBidi"/>
          <w:noProof/>
          <w:sz w:val="22"/>
          <w:szCs w:val="22"/>
        </w:rPr>
      </w:pPr>
      <w:hyperlink w:anchor="_Toc28007748" w:history="1">
        <w:r w:rsidR="00527C29" w:rsidRPr="00235EF7">
          <w:rPr>
            <w:rStyle w:val="Hyperlink"/>
            <w:noProof/>
          </w:rPr>
          <w:tab/>
          <w:t>Attachment B</w:t>
        </w:r>
        <w:r w:rsidR="00527C29" w:rsidRPr="00235EF7">
          <w:rPr>
            <w:rStyle w:val="Hyperlink"/>
            <w:noProof/>
          </w:rPr>
          <w:tab/>
          <w:t>66</w:t>
        </w:r>
      </w:hyperlink>
    </w:p>
    <w:p w:rsidR="00703A2C" w:rsidRDefault="00703A2C">
      <w:pPr>
        <w:pStyle w:val="TOCColumnHeadings"/>
      </w:pPr>
      <w:r>
        <w:fldChar w:fldCharType="end"/>
      </w:r>
    </w:p>
    <w:p w:rsidR="007C0528" w:rsidRDefault="00703A2C">
      <w:pPr>
        <w:pStyle w:val="RecommendationMajorSectionHeading"/>
      </w:pPr>
      <w:r>
        <w:br w:type="page"/>
      </w:r>
      <w:r w:rsidR="007C0528">
        <w:lastRenderedPageBreak/>
        <w:t xml:space="preserve"> </w:t>
      </w:r>
      <w:bookmarkStart w:id="9" w:name="CaseBackground"/>
      <w:r w:rsidR="007C0528">
        <w:t>Case Background</w:t>
      </w:r>
      <w:r w:rsidR="007C0528">
        <w:fldChar w:fldCharType="begin"/>
      </w:r>
      <w:r w:rsidR="007C0528">
        <w:instrText xml:space="preserve"> TC  "</w:instrText>
      </w:r>
      <w:bookmarkStart w:id="10" w:name="_Toc28007709"/>
      <w:r w:rsidR="007C0528">
        <w:tab/>
        <w:instrText>Case Background</w:instrText>
      </w:r>
      <w:bookmarkEnd w:id="10"/>
      <w:r w:rsidR="007C0528">
        <w:instrText xml:space="preserve">" \l 1 </w:instrText>
      </w:r>
      <w:r w:rsidR="007C0528">
        <w:fldChar w:fldCharType="end"/>
      </w:r>
    </w:p>
    <w:p w:rsidR="004B71A1" w:rsidRDefault="004B71A1" w:rsidP="004B71A1">
      <w:pPr>
        <w:pStyle w:val="BodyText"/>
      </w:pPr>
      <w:r>
        <w:t>On April 1, 2019, Sebring Gas System, Inc. (Sebring or the Company) filed a</w:t>
      </w:r>
      <w:r w:rsidR="00DD73CC">
        <w:t xml:space="preserve"> test year</w:t>
      </w:r>
      <w:r>
        <w:t xml:space="preserve"> notification letter with the Florida Public Service Commission (Commission)</w:t>
      </w:r>
      <w:r w:rsidR="00B759B0">
        <w:t>, pursuant to Rule 25-7.140, Florida Administrative Code (F.A.C.),</w:t>
      </w:r>
      <w:r>
        <w:t xml:space="preserve"> in which it stated its intent to use the calendar year 2020 as the projected test year for a proposed rate increase. The Company serves approximately 662 gas customers in Highlands, Hardee</w:t>
      </w:r>
      <w:r w:rsidR="00167CCE">
        <w:t>,</w:t>
      </w:r>
      <w:r>
        <w:t xml:space="preserve"> and DeSoto counties.</w:t>
      </w:r>
    </w:p>
    <w:p w:rsidR="001A1996" w:rsidRDefault="0067039B" w:rsidP="001A1996">
      <w:pPr>
        <w:pStyle w:val="BodyText"/>
      </w:pPr>
      <w:r>
        <w:t xml:space="preserve">By Order No. 24761, issued July 5, 1991, the Commission found Sebring to be a public utility subject to Commission jurisdiction. </w:t>
      </w:r>
      <w:r w:rsidR="001A1996">
        <w:t>The Commission set initial rates for Sebring by Order No. PSC-92-0229-FOF-GU, issued April 20, 1992.</w:t>
      </w:r>
      <w:r w:rsidR="001A1996">
        <w:rPr>
          <w:rStyle w:val="FootnoteReference"/>
        </w:rPr>
        <w:footnoteReference w:id="1"/>
      </w:r>
      <w:r w:rsidR="004817B8">
        <w:t xml:space="preserve"> </w:t>
      </w:r>
      <w:r w:rsidR="001A1996">
        <w:t>Since 1992, the Company petitioned the Commission for a rate increase in 2004 with rates effective in 2005. In that docket, the Commission approved a jurisdictional rate base of $1,100,766 for the projected year ended December 31, 2005. The Commission also approved a weighted average overall rate of return of 8.64 percent, including a cost rate for common equity of 11.5 percent, with an authorized return on equity of plus or minus 100 basis points.</w:t>
      </w:r>
      <w:r w:rsidR="001A1996">
        <w:rPr>
          <w:rStyle w:val="FootnoteReference"/>
        </w:rPr>
        <w:footnoteReference w:id="2"/>
      </w:r>
      <w:r w:rsidR="001A1996">
        <w:t xml:space="preserve">  </w:t>
      </w:r>
    </w:p>
    <w:p w:rsidR="004B71A1" w:rsidRDefault="004B71A1" w:rsidP="004B71A1">
      <w:pPr>
        <w:pStyle w:val="BodyText"/>
      </w:pPr>
      <w:r>
        <w:t>On June 5, 2019, Sebring filed its petition for a permanent rate increase with the Commission. The Company requested the Commission process its request as a Proposed Agency Action (PAA). In it</w:t>
      </w:r>
      <w:r w:rsidRPr="00E07F2D">
        <w:t>s p</w:t>
      </w:r>
      <w:r>
        <w:t>etition</w:t>
      </w:r>
      <w:r w:rsidR="009A421C">
        <w:t xml:space="preserve"> filed on June 5, 2019</w:t>
      </w:r>
      <w:r>
        <w:t xml:space="preserve">, Sebring </w:t>
      </w:r>
      <w:r w:rsidR="00D153CB">
        <w:t>request</w:t>
      </w:r>
      <w:r w:rsidR="00721400">
        <w:t>e</w:t>
      </w:r>
      <w:r w:rsidR="00D153CB">
        <w:t>d</w:t>
      </w:r>
      <w:r>
        <w:t xml:space="preserve"> an increase of </w:t>
      </w:r>
      <w:r w:rsidRPr="007F4608">
        <w:t>$309,847</w:t>
      </w:r>
      <w:r>
        <w:t xml:space="preserve"> in additional annual revenues. Its request </w:t>
      </w:r>
      <w:r w:rsidR="00721400">
        <w:t>was</w:t>
      </w:r>
      <w:r>
        <w:t xml:space="preserve"> based on a 13-month average rate base of </w:t>
      </w:r>
      <w:r w:rsidRPr="00E07F2D">
        <w:t>$5,0</w:t>
      </w:r>
      <w:r w:rsidR="00C63312">
        <w:t>85</w:t>
      </w:r>
      <w:r w:rsidRPr="00E07F2D">
        <w:t>,</w:t>
      </w:r>
      <w:r w:rsidR="00C63312">
        <w:t>214</w:t>
      </w:r>
      <w:r>
        <w:t xml:space="preserve"> for the projected test year ending December 31, 2020. Sebring’s requested overall rate of return is 7.70 percent, including a 12.5 percent mid-point return on common equity.</w:t>
      </w:r>
    </w:p>
    <w:p w:rsidR="004B71A1" w:rsidRDefault="004B71A1" w:rsidP="004B71A1">
      <w:pPr>
        <w:pStyle w:val="BodyText"/>
      </w:pPr>
      <w:r>
        <w:t xml:space="preserve">In its instant petition, the Company states that there are three key drivers for its request for a rate increase. According to the Company, the three key drivers include: 1) increases to rate base associated with extensions to serve new customers and additional personnel consistent with the expansion; 2) increases in regulatory costs, particularly those associated with federal pipeline safety, as well as increases in overall operating costs, including almost 15 years’ worth of inflation; and 3) income </w:t>
      </w:r>
      <w:r w:rsidR="00821736">
        <w:t xml:space="preserve">tax </w:t>
      </w:r>
      <w:r w:rsidR="00FE191A">
        <w:t>not currently included in customer rates and deferred income tax expense accumulated since the Company’s last rate case</w:t>
      </w:r>
      <w:r>
        <w:t>.</w:t>
      </w:r>
      <w:r w:rsidR="000847A7">
        <w:rPr>
          <w:rStyle w:val="FootnoteReference"/>
        </w:rPr>
        <w:footnoteReference w:id="3"/>
      </w:r>
      <w:r>
        <w:t xml:space="preserve">  The Company also states that it has managed to avoid seeking a base rate in</w:t>
      </w:r>
      <w:r w:rsidR="007B18E5">
        <w:t>crease for over 15 years, but “[w]</w:t>
      </w:r>
      <w:r>
        <w:t>ithout the requested revenue increase</w:t>
      </w:r>
      <w:r w:rsidR="007B18E5">
        <w:t>...</w:t>
      </w:r>
      <w:r>
        <w:t>its overall rate of return will fall to 3.17%, well below it</w:t>
      </w:r>
      <w:r w:rsidR="007B18E5">
        <w:t>s</w:t>
      </w:r>
      <w:r>
        <w:t xml:space="preserve"> currently authorized rate of return of 8.64%.”</w:t>
      </w:r>
      <w:r w:rsidR="000847A7">
        <w:rPr>
          <w:rStyle w:val="FootnoteReference"/>
        </w:rPr>
        <w:footnoteReference w:id="4"/>
      </w:r>
      <w:r>
        <w:t xml:space="preserve"> </w:t>
      </w:r>
    </w:p>
    <w:p w:rsidR="004B71A1" w:rsidRDefault="004B71A1" w:rsidP="004B71A1">
      <w:pPr>
        <w:pStyle w:val="BodyText"/>
      </w:pPr>
      <w:r>
        <w:t>On April 3, 2019, the Office of Public Counsel (OPC) filed its Notice of Intervention in this proceeding, pursuant to Section 350.0611, Florida Statutes</w:t>
      </w:r>
      <w:r w:rsidR="00337DBB">
        <w:t xml:space="preserve"> </w:t>
      </w:r>
      <w:r w:rsidR="00167CCE">
        <w:t>(F.S.)</w:t>
      </w:r>
      <w:r>
        <w:t xml:space="preserve">.  </w:t>
      </w:r>
      <w:r w:rsidR="00961EB7">
        <w:t xml:space="preserve">By </w:t>
      </w:r>
      <w:r w:rsidR="00A97B3A">
        <w:t xml:space="preserve">Order No. </w:t>
      </w:r>
      <w:r w:rsidR="00961EB7">
        <w:t>PSC-2019-0226-PCO-GU</w:t>
      </w:r>
      <w:r>
        <w:t>,</w:t>
      </w:r>
      <w:r w:rsidR="00961EB7">
        <w:t xml:space="preserve"> issued on June 12, 2019,</w:t>
      </w:r>
      <w:r>
        <w:t xml:space="preserve"> the Commission acknowledged OPC’s intervention.</w:t>
      </w:r>
      <w:r w:rsidR="000847A7">
        <w:rPr>
          <w:rStyle w:val="FootnoteReference"/>
        </w:rPr>
        <w:footnoteReference w:id="5"/>
      </w:r>
      <w:r>
        <w:t xml:space="preserve">  A </w:t>
      </w:r>
      <w:r>
        <w:lastRenderedPageBreak/>
        <w:t>customer meeting was held on August 8, 2019. No customers attended the meeting and staff has not received any customer complaints.</w:t>
      </w:r>
    </w:p>
    <w:p w:rsidR="0068481F" w:rsidRDefault="00027803" w:rsidP="004B71A1">
      <w:pPr>
        <w:pStyle w:val="BodyText"/>
      </w:pPr>
      <w:r>
        <w:t>In response to staff’s data requests, o</w:t>
      </w:r>
      <w:r w:rsidR="00ED5F04">
        <w:t>n November 12, 2019, Sebring submitted revised MFR G-Schedules, and on November 21, 2019, Sebring submitted revised MFR H-Schedules.</w:t>
      </w:r>
      <w:r>
        <w:t xml:space="preserve"> </w:t>
      </w:r>
      <w:r w:rsidR="00EC42C6">
        <w:t>In its revised MFR schedules, Sebring’s requested increase of $309,847 decreased to $302,041</w:t>
      </w:r>
      <w:r w:rsidR="007A18DB">
        <w:t>, and its requested rate base of $5,085,214 decreased to $5,044,363</w:t>
      </w:r>
      <w:r w:rsidR="00EC42C6">
        <w:t xml:space="preserve">. </w:t>
      </w:r>
      <w:r w:rsidR="00ED5F04">
        <w:t xml:space="preserve">By email dated August 22, 2019, Sebring waived the 5-month effective date through the December Agenda Conference. Sebring extended this waiver through the January 7, 2020 Agenda Conference by email dated November 18, 2019. After the January Agenda Conference’s rescheduling, Sebring extended its waiver through January 14, 2020, by email dated December 12, 2019. </w:t>
      </w:r>
      <w:r w:rsidR="004B71A1">
        <w:t xml:space="preserve"> </w:t>
      </w:r>
      <w:r w:rsidR="006B3B63">
        <w:t>The Commission has</w:t>
      </w:r>
      <w:r w:rsidR="004B71A1">
        <w:t xml:space="preserve"> jurisdiction over this request fo</w:t>
      </w:r>
      <w:r w:rsidR="00ED5F04">
        <w:t>r a rate increase under Section</w:t>
      </w:r>
      <w:r w:rsidR="004B71A1">
        <w:t xml:space="preserve"> 366.06, F.S.</w:t>
      </w:r>
    </w:p>
    <w:p w:rsidR="007C0528" w:rsidRDefault="007C0528" w:rsidP="0068481F"/>
    <w:bookmarkEnd w:id="9"/>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3" w:name="DiscussionOfIssues"/>
      <w:r>
        <w:lastRenderedPageBreak/>
        <w:t>Discussion of Issues</w:t>
      </w:r>
    </w:p>
    <w:bookmarkEnd w:id="13"/>
    <w:p w:rsidR="00044765" w:rsidRDefault="00044765">
      <w:pPr>
        <w:rPr>
          <w:rFonts w:ascii="Arial" w:hAnsi="Arial" w:cs="Arial"/>
          <w:b/>
          <w:bCs/>
          <w:i/>
          <w:kern w:val="32"/>
          <w:szCs w:val="32"/>
        </w:rPr>
      </w:pPr>
    </w:p>
    <w:p w:rsidR="00703A2C" w:rsidRDefault="00703A2C">
      <w:pPr>
        <w:pStyle w:val="IssueHeading"/>
        <w:rPr>
          <w:vanish/>
          <w:specVanish/>
        </w:rPr>
      </w:pPr>
      <w:r w:rsidRPr="004C3641">
        <w:t xml:space="preserve">Issue </w:t>
      </w:r>
      <w:fldSimple w:instr=" SEQ Issue \* MERGEFORMAT ">
        <w:r w:rsidR="005A792F">
          <w:rPr>
            <w:noProof/>
          </w:rPr>
          <w:t>1</w:t>
        </w:r>
      </w:fldSimple>
      <w:r w:rsidRPr="004C3641">
        <w:t>:</w:t>
      </w:r>
      <w:r>
        <w:fldChar w:fldCharType="begin"/>
      </w:r>
      <w:r>
        <w:instrText xml:space="preserve"> TC "</w:instrText>
      </w:r>
      <w:r>
        <w:fldChar w:fldCharType="begin"/>
      </w:r>
      <w:r>
        <w:instrText xml:space="preserve"> SEQ issue \c </w:instrText>
      </w:r>
      <w:r>
        <w:fldChar w:fldCharType="separate"/>
      </w:r>
      <w:bookmarkStart w:id="14" w:name="_Toc28007710"/>
      <w:r w:rsidR="005A792F">
        <w:rPr>
          <w:noProof/>
        </w:rPr>
        <w:instrText>1</w:instrText>
      </w:r>
      <w:r>
        <w:fldChar w:fldCharType="end"/>
      </w:r>
      <w:r>
        <w:tab/>
        <w:instrText>Test Year (Wu)</w:instrText>
      </w:r>
      <w:bookmarkEnd w:id="14"/>
      <w:r>
        <w:instrText xml:space="preserve">" \l 1 </w:instrText>
      </w:r>
      <w:r>
        <w:fldChar w:fldCharType="end"/>
      </w:r>
      <w:r>
        <w:t> </w:t>
      </w:r>
    </w:p>
    <w:p w:rsidR="00703A2C" w:rsidRDefault="00703A2C">
      <w:pPr>
        <w:pStyle w:val="BodyText"/>
      </w:pPr>
      <w:r>
        <w:t xml:space="preserve"> Is Sebring's projected test period for the </w:t>
      </w:r>
      <w:r w:rsidR="002404D1">
        <w:t>12</w:t>
      </w:r>
      <w:r w:rsidR="009B5408">
        <w:t>-</w:t>
      </w:r>
      <w:r>
        <w:t>months ending December 31, 2020 appropriate?</w:t>
      </w:r>
    </w:p>
    <w:p w:rsidR="00703A2C" w:rsidRPr="004C3641" w:rsidRDefault="00703A2C">
      <w:pPr>
        <w:pStyle w:val="IssueSubsectionHeading"/>
        <w:rPr>
          <w:vanish/>
          <w:specVanish/>
        </w:rPr>
      </w:pPr>
      <w:r w:rsidRPr="004C3641">
        <w:t>Recommendation: </w:t>
      </w:r>
    </w:p>
    <w:p w:rsidR="00703A2C" w:rsidRDefault="00703A2C">
      <w:pPr>
        <w:pStyle w:val="BodyText"/>
      </w:pPr>
      <w:r>
        <w:t> </w:t>
      </w:r>
      <w:r w:rsidR="00E34EBD" w:rsidRPr="00E34EBD">
        <w:t>Yes. With the adjustments recommended by staff in the following issues, the 2020 test year is appropriate</w:t>
      </w:r>
      <w:r w:rsidR="00E34EBD">
        <w:t>.</w:t>
      </w:r>
      <w:r>
        <w:t xml:space="preserve"> (Wu)</w:t>
      </w:r>
    </w:p>
    <w:p w:rsidR="00703A2C" w:rsidRPr="004C3641" w:rsidRDefault="00703A2C">
      <w:pPr>
        <w:pStyle w:val="IssueSubsectionHeading"/>
        <w:rPr>
          <w:vanish/>
          <w:specVanish/>
        </w:rPr>
      </w:pPr>
      <w:r w:rsidRPr="004C3641">
        <w:t>Staff Analysis: </w:t>
      </w:r>
    </w:p>
    <w:p w:rsidR="00703A2C" w:rsidRDefault="00703A2C">
      <w:pPr>
        <w:pStyle w:val="BodyText"/>
      </w:pPr>
      <w:r>
        <w:t> </w:t>
      </w:r>
      <w:r w:rsidR="00E34EBD" w:rsidRPr="00E34EBD">
        <w:t xml:space="preserve">Sebring proposed to use the projected test period ending December 31, 2020, as the projected test year, with the historic base year being the 12-month period </w:t>
      </w:r>
      <w:r w:rsidR="00E34EBD" w:rsidRPr="00AC6BB1">
        <w:t>end</w:t>
      </w:r>
      <w:r w:rsidR="000D4665" w:rsidRPr="00AC6BB1">
        <w:t>ed</w:t>
      </w:r>
      <w:r w:rsidR="00E34EBD" w:rsidRPr="00AC6BB1">
        <w:t xml:space="preserve"> Dec</w:t>
      </w:r>
      <w:r w:rsidR="00E34EBD" w:rsidRPr="00E34EBD">
        <w:t>ember 31, 2018. S</w:t>
      </w:r>
      <w:r w:rsidR="000D1E4A">
        <w:t>ebring</w:t>
      </w:r>
      <w:r w:rsidR="00E34EBD" w:rsidRPr="00E34EBD">
        <w:t xml:space="preserve"> used actual data for the 2018 base year rate base, net operating income, and capital structure.</w:t>
      </w:r>
      <w:r w:rsidR="00E34EBD">
        <w:rPr>
          <w:rStyle w:val="FootnoteReference"/>
        </w:rPr>
        <w:footnoteReference w:id="6"/>
      </w:r>
      <w:r w:rsidR="00E34EBD" w:rsidRPr="00E34EBD">
        <w:t xml:space="preserve">  The 2020 projected test year data was determined based upon the combination of 2018 data trended for customer growth, inflation, and payroll growth using the Commission-prescribed trending methodology, as well as a forecast of the Company’s growth.</w:t>
      </w:r>
      <w:r w:rsidR="00E34EBD">
        <w:rPr>
          <w:rStyle w:val="FootnoteReference"/>
        </w:rPr>
        <w:footnoteReference w:id="7"/>
      </w:r>
      <w:r w:rsidR="00E34EBD" w:rsidRPr="00E34EBD">
        <w:t xml:space="preserve">  This growth includes the new service territories in the Cities of Wauchula and Arcadia</w:t>
      </w:r>
      <w:r w:rsidR="00BD1882">
        <w:t xml:space="preserve"> </w:t>
      </w:r>
      <w:r w:rsidR="00E34EBD" w:rsidRPr="00E34EBD">
        <w:t>as indicated in the Direct Testimony of Mr. Russell Melendy of S</w:t>
      </w:r>
      <w:r w:rsidR="00576599">
        <w:t>ebring</w:t>
      </w:r>
      <w:r w:rsidR="00E34EBD" w:rsidRPr="00E34EBD">
        <w:t>.</w:t>
      </w:r>
      <w:r w:rsidR="00E34EBD">
        <w:rPr>
          <w:rStyle w:val="FootnoteReference"/>
        </w:rPr>
        <w:footnoteReference w:id="8"/>
      </w:r>
    </w:p>
    <w:p w:rsidR="00E34EBD" w:rsidRDefault="00E34EBD">
      <w:pPr>
        <w:pStyle w:val="BodyText"/>
      </w:pPr>
      <w:r w:rsidRPr="00E34EBD">
        <w:t>The purpose of the test year is to represent the financial operations of a company during the period in which the new rates will be effective. S</w:t>
      </w:r>
      <w:r w:rsidR="00576599">
        <w:t>ebring</w:t>
      </w:r>
      <w:r w:rsidRPr="00E34EBD">
        <w:t xml:space="preserve"> petitioned the Commission to approve the Company’s proposed new tariff sheets with an effective date of January 1, 2020. The projected test year ending December 31, 2020 represents a relevant period upon which </w:t>
      </w:r>
      <w:r w:rsidR="00576599">
        <w:t>the Company</w:t>
      </w:r>
      <w:r w:rsidRPr="00E34EBD">
        <w:t>’</w:t>
      </w:r>
      <w:r w:rsidR="00576599">
        <w:t>s</w:t>
      </w:r>
      <w:r w:rsidRPr="00E34EBD">
        <w:t xml:space="preserve"> operations should be analyzed for the purpose of establishing new base rates. This test period will reflect actual conditions and be indicative of the actual investments, expenses, a</w:t>
      </w:r>
      <w:r w:rsidR="00307D31">
        <w:t xml:space="preserve">nd revenues during the first 12 </w:t>
      </w:r>
      <w:r w:rsidRPr="00E34EBD">
        <w:t>months that new rates will be in effect. Therefore, S</w:t>
      </w:r>
      <w:r w:rsidR="00576599">
        <w:t>ebring</w:t>
      </w:r>
      <w:r w:rsidRPr="00E34EBD">
        <w:t>’</w:t>
      </w:r>
      <w:r w:rsidR="00576599">
        <w:t>s</w:t>
      </w:r>
      <w:r w:rsidRPr="00E34EBD">
        <w:t xml:space="preserve"> proposed projected test year matches the timing of the Company’s projected investments and expenses with its projected revenues for the period following the date on which the new base rates become effective</w:t>
      </w:r>
      <w:r>
        <w:t>.</w:t>
      </w:r>
    </w:p>
    <w:p w:rsidR="00E34EBD" w:rsidRDefault="00E34EBD">
      <w:pPr>
        <w:pStyle w:val="BodyText"/>
      </w:pPr>
      <w:r w:rsidRPr="00E34EBD">
        <w:t>In the following issues, staff is recommending that certain adjustments be made to S</w:t>
      </w:r>
      <w:r w:rsidR="00576599">
        <w:t>ebring</w:t>
      </w:r>
      <w:r w:rsidRPr="00E34EBD">
        <w:t>’</w:t>
      </w:r>
      <w:r w:rsidR="00576599">
        <w:t>s</w:t>
      </w:r>
      <w:r w:rsidRPr="00E34EBD">
        <w:t xml:space="preserve"> test year data. With the inclusion of these adjustments, staff believes that the 2020 projections of S</w:t>
      </w:r>
      <w:r w:rsidR="000D1E4A">
        <w:t>ebring</w:t>
      </w:r>
      <w:r w:rsidRPr="00E34EBD">
        <w:t>’</w:t>
      </w:r>
      <w:r w:rsidR="000D1E4A">
        <w:t>s</w:t>
      </w:r>
      <w:r w:rsidRPr="00E34EBD">
        <w:t xml:space="preserve"> financial operations are appropriate to use as the basis for setting new rates</w:t>
      </w:r>
      <w:r>
        <w:t>.</w:t>
      </w:r>
    </w:p>
    <w:p w:rsidR="00703A2C" w:rsidRDefault="00703A2C">
      <w:pPr>
        <w:pStyle w:val="IssueHeading"/>
        <w:rPr>
          <w:vanish/>
          <w:specVanish/>
        </w:rPr>
      </w:pPr>
      <w:r w:rsidRPr="004C3641">
        <w:rPr>
          <w:b w:val="0"/>
          <w:i w:val="0"/>
        </w:rPr>
        <w:br w:type="page"/>
      </w:r>
      <w:r w:rsidRPr="004C3641">
        <w:lastRenderedPageBreak/>
        <w:t xml:space="preserve">Issue </w:t>
      </w:r>
      <w:fldSimple w:instr=" SEQ Issue \* MERGEFORMAT ">
        <w:r w:rsidR="005A792F">
          <w:rPr>
            <w:noProof/>
          </w:rPr>
          <w:t>2</w:t>
        </w:r>
      </w:fldSimple>
      <w:r w:rsidRPr="004C3641">
        <w:t>:</w:t>
      </w:r>
      <w:r>
        <w:fldChar w:fldCharType="begin"/>
      </w:r>
      <w:r>
        <w:instrText xml:space="preserve"> TC "</w:instrText>
      </w:r>
      <w:r>
        <w:fldChar w:fldCharType="begin"/>
      </w:r>
      <w:r>
        <w:instrText xml:space="preserve"> SEQ issue \c </w:instrText>
      </w:r>
      <w:r>
        <w:fldChar w:fldCharType="separate"/>
      </w:r>
      <w:bookmarkStart w:id="15" w:name="_Toc28007711"/>
      <w:r w:rsidR="005A792F">
        <w:rPr>
          <w:noProof/>
        </w:rPr>
        <w:instrText>2</w:instrText>
      </w:r>
      <w:r>
        <w:fldChar w:fldCharType="end"/>
      </w:r>
      <w:r>
        <w:tab/>
      </w:r>
      <w:r w:rsidR="00A1551E">
        <w:instrText>Customer Growth and Therms (Wu)</w:instrText>
      </w:r>
      <w:bookmarkEnd w:id="15"/>
      <w:r>
        <w:instrText xml:space="preserve">" \l 1 </w:instrText>
      </w:r>
      <w:r>
        <w:fldChar w:fldCharType="end"/>
      </w:r>
      <w:r>
        <w:t> </w:t>
      </w:r>
    </w:p>
    <w:p w:rsidR="00703A2C" w:rsidRDefault="00703A2C">
      <w:pPr>
        <w:pStyle w:val="BodyText"/>
      </w:pPr>
      <w:r>
        <w:t> Are Sebring's forecasts of customer growth and therms by rate class appropriate?</w:t>
      </w:r>
    </w:p>
    <w:p w:rsidR="00703A2C" w:rsidRPr="004C3641" w:rsidRDefault="00703A2C">
      <w:pPr>
        <w:pStyle w:val="IssueSubsectionHeading"/>
        <w:rPr>
          <w:vanish/>
          <w:specVanish/>
        </w:rPr>
      </w:pPr>
      <w:r w:rsidRPr="004C3641">
        <w:t>Recommendation: </w:t>
      </w:r>
    </w:p>
    <w:p w:rsidR="00703A2C" w:rsidRDefault="00703A2C">
      <w:pPr>
        <w:pStyle w:val="BodyText"/>
      </w:pPr>
      <w:r>
        <w:t> </w:t>
      </w:r>
      <w:r w:rsidR="00BB5258" w:rsidRPr="00BB5258">
        <w:t xml:space="preserve">Yes. Staff recommends that Sebring’s forecasts of customer growth and therms by rate class for the 2020 projected test year, as contained in </w:t>
      </w:r>
      <w:r w:rsidR="00BF6CBB">
        <w:t xml:space="preserve">Document No. 10856-2019, revised </w:t>
      </w:r>
      <w:r w:rsidR="00BB5258" w:rsidRPr="00BB5258">
        <w:t>Minimum Filing Requirements (MFR</w:t>
      </w:r>
      <w:r w:rsidR="003B2C98">
        <w:t>s</w:t>
      </w:r>
      <w:r w:rsidR="00BB5258" w:rsidRPr="00BB5258">
        <w:t xml:space="preserve">) Schedule G-2, </w:t>
      </w:r>
      <w:r w:rsidR="003B2C98">
        <w:t xml:space="preserve">as revised on November 12, 2019, </w:t>
      </w:r>
      <w:r w:rsidR="00BB5258" w:rsidRPr="00BB5258">
        <w:t>Pages 8 and 8.5 of 31, are appropriate</w:t>
      </w:r>
      <w:r w:rsidR="00BB5258">
        <w:t>.</w:t>
      </w:r>
      <w:r>
        <w:t xml:space="preserve"> (Wu)</w:t>
      </w:r>
    </w:p>
    <w:p w:rsidR="00703A2C" w:rsidRPr="004C3641" w:rsidRDefault="00703A2C">
      <w:pPr>
        <w:pStyle w:val="IssueSubsectionHeading"/>
        <w:rPr>
          <w:vanish/>
          <w:specVanish/>
        </w:rPr>
      </w:pPr>
      <w:r w:rsidRPr="004C3641">
        <w:t>Staff Analysis: </w:t>
      </w:r>
    </w:p>
    <w:p w:rsidR="00703A2C" w:rsidRDefault="00703A2C">
      <w:pPr>
        <w:pStyle w:val="BodyText"/>
      </w:pPr>
      <w:r>
        <w:t> </w:t>
      </w:r>
      <w:r w:rsidR="00BB5258" w:rsidRPr="00BB5258">
        <w:t>For the instant rate case, S</w:t>
      </w:r>
      <w:r w:rsidR="00647A86">
        <w:t>ebring</w:t>
      </w:r>
      <w:r w:rsidR="00BB5258" w:rsidRPr="00BB5258">
        <w:t xml:space="preserve"> utilized the historical base year (HBY) 2018 data as a basis to develop the forecasts of customer growth and therms growth by rate class for </w:t>
      </w:r>
      <w:r w:rsidR="003B2C98">
        <w:t xml:space="preserve">2019, which is </w:t>
      </w:r>
      <w:r w:rsidR="00BB5258" w:rsidRPr="00BB5258">
        <w:t>the historical base year plus one (HBY+1) and the 2020 projected test year (PTY)</w:t>
      </w:r>
      <w:r w:rsidR="00BB5258">
        <w:t>.</w:t>
      </w:r>
    </w:p>
    <w:p w:rsidR="00BB5258" w:rsidRDefault="00BB5258">
      <w:pPr>
        <w:pStyle w:val="BodyText"/>
      </w:pPr>
      <w:r w:rsidRPr="00BB5258">
        <w:t>To achieve its forecast of customer growth, S</w:t>
      </w:r>
      <w:r w:rsidR="00647A86">
        <w:t>ebring</w:t>
      </w:r>
      <w:r w:rsidRPr="00BB5258">
        <w:t xml:space="preserve"> identified the potential new service areas, including the Cities of Wauchula and Arcadia. It then determined the potential customer additions related to the new service areas</w:t>
      </w:r>
      <w:r w:rsidR="003B2C98">
        <w:t>,</w:t>
      </w:r>
      <w:r w:rsidRPr="00BB5258">
        <w:t xml:space="preserve"> as well as for the Company’s existing service territory</w:t>
      </w:r>
      <w:r>
        <w:t>.</w:t>
      </w:r>
    </w:p>
    <w:p w:rsidR="00BB5258" w:rsidRDefault="00BB5258">
      <w:pPr>
        <w:pStyle w:val="BodyText"/>
      </w:pPr>
      <w:r w:rsidRPr="00BB5258">
        <w:t>S</w:t>
      </w:r>
      <w:r w:rsidR="00647A86">
        <w:t>ebring</w:t>
      </w:r>
      <w:r w:rsidRPr="00BB5258">
        <w:t xml:space="preserve"> primarily relied upon its management’s local knowledge to determine its projections of customer additions related to the new service areas.</w:t>
      </w:r>
      <w:r w:rsidR="00D5623F">
        <w:rPr>
          <w:rStyle w:val="FootnoteReference"/>
        </w:rPr>
        <w:footnoteReference w:id="9"/>
      </w:r>
      <w:r w:rsidRPr="00BB5258">
        <w:t xml:space="preserve">  In his testimony, Mr. Russell Melendy, Project Manager of S</w:t>
      </w:r>
      <w:r w:rsidR="00647A86">
        <w:t>ebring</w:t>
      </w:r>
      <w:r w:rsidRPr="00BB5258">
        <w:t>, testified that “[t]he Company is well aware of construction and building activities in the area,” and that he is very familiar with the proposed new service areas in the Cities of Wauchula and Arcadia.</w:t>
      </w:r>
      <w:r w:rsidR="000B67D8">
        <w:rPr>
          <w:rStyle w:val="FootnoteReference"/>
        </w:rPr>
        <w:footnoteReference w:id="10"/>
      </w:r>
      <w:r w:rsidRPr="00BB5258">
        <w:t xml:space="preserve"> Mr. Russell Melendy asserted that Coker Fuel,</w:t>
      </w:r>
      <w:r w:rsidR="00AE5921">
        <w:t xml:space="preserve"> which is also owned by the Melendy family,</w:t>
      </w:r>
      <w:r w:rsidRPr="00BB5258">
        <w:t xml:space="preserve"> provided propane service in these areas, and many of S</w:t>
      </w:r>
      <w:r w:rsidR="00647A86">
        <w:t>ebring</w:t>
      </w:r>
      <w:r w:rsidRPr="00BB5258">
        <w:t>’s projected new commercial and industrial customers for this rate case currently use propane provided by Coker Fuel or other competing propane companies. Mr. Russell Melendy claimed that as a local business-owner/operator and a two-term Hardee County Commissioner, his professional and public service experiences further expanded his involvement and understanding of these communities. Additionally, he indicated that Mr. Jerry Melendy, “in his capacity as [S</w:t>
      </w:r>
      <w:r w:rsidR="00647A86">
        <w:t>ebring</w:t>
      </w:r>
      <w:r w:rsidRPr="00BB5258">
        <w:t>’</w:t>
      </w:r>
      <w:r w:rsidR="00647A86">
        <w:t>s</w:t>
      </w:r>
      <w:r w:rsidRPr="00BB5258">
        <w:t>] President, is active in the Sebring community, participating in numerous community and civic events.”</w:t>
      </w:r>
      <w:r w:rsidR="00D5623F">
        <w:rPr>
          <w:rStyle w:val="FootnoteReference"/>
        </w:rPr>
        <w:footnoteReference w:id="11"/>
      </w:r>
      <w:r w:rsidRPr="00BB5258">
        <w:t xml:space="preserve">  Mr. Russell Melendy averred that these activities, coupled with the Company management’s knowledge of the areas served through the ownership and participation in Coker Fuel, allow them the insight into the potential for customer growth in these areas.</w:t>
      </w:r>
      <w:r w:rsidR="00D5623F">
        <w:rPr>
          <w:rStyle w:val="FootnoteReference"/>
        </w:rPr>
        <w:footnoteReference w:id="12"/>
      </w:r>
      <w:r w:rsidRPr="00BB5258">
        <w:t xml:space="preserve">  S</w:t>
      </w:r>
      <w:r w:rsidR="00647A86">
        <w:t>ebring</w:t>
      </w:r>
      <w:r w:rsidRPr="00BB5258">
        <w:t>’</w:t>
      </w:r>
      <w:r w:rsidR="00647A86">
        <w:t>s</w:t>
      </w:r>
      <w:r w:rsidRPr="00BB5258">
        <w:t xml:space="preserve"> personnel also </w:t>
      </w:r>
      <w:r w:rsidR="00B021E4">
        <w:t>examined</w:t>
      </w:r>
      <w:r w:rsidRPr="00BB5258">
        <w:t xml:space="preserve"> each community to </w:t>
      </w:r>
      <w:r w:rsidR="00AE5921">
        <w:t>identify growth potential</w:t>
      </w:r>
      <w:r w:rsidRPr="00BB5258">
        <w:t>.</w:t>
      </w:r>
      <w:r w:rsidR="00D5623F">
        <w:rPr>
          <w:rStyle w:val="FootnoteReference"/>
        </w:rPr>
        <w:footnoteReference w:id="13"/>
      </w:r>
      <w:r w:rsidRPr="00BB5258">
        <w:t xml:space="preserve">  In its response to staff’s data requests, S</w:t>
      </w:r>
      <w:r w:rsidR="00647A86">
        <w:t>ebring</w:t>
      </w:r>
      <w:r w:rsidRPr="00BB5258">
        <w:t xml:space="preserve"> indicated that the majority of the new commercial and industrial customers in Wauchula and Arcadia projected by the Company have either requested S</w:t>
      </w:r>
      <w:r w:rsidR="00647A86">
        <w:t>ebring</w:t>
      </w:r>
      <w:r w:rsidRPr="00BB5258">
        <w:t xml:space="preserve"> for service, or have already paid their deposits to S</w:t>
      </w:r>
      <w:r w:rsidR="00647A86">
        <w:t>ebring</w:t>
      </w:r>
      <w:r w:rsidRPr="00BB5258">
        <w:t>; and one large industrial customer has recently become an active customer of S</w:t>
      </w:r>
      <w:r w:rsidR="00647A86">
        <w:t>ebring</w:t>
      </w:r>
      <w:r>
        <w:t>.</w:t>
      </w:r>
      <w:r w:rsidR="00D5623F">
        <w:rPr>
          <w:rStyle w:val="FootnoteReference"/>
        </w:rPr>
        <w:footnoteReference w:id="14"/>
      </w:r>
    </w:p>
    <w:p w:rsidR="00BB5258" w:rsidRDefault="00BB5258">
      <w:pPr>
        <w:pStyle w:val="BodyText"/>
      </w:pPr>
      <w:r w:rsidRPr="00BB5258">
        <w:t>Using its forecast of customer growth, S</w:t>
      </w:r>
      <w:r w:rsidR="00647A86">
        <w:t>ebring</w:t>
      </w:r>
      <w:r w:rsidRPr="00BB5258">
        <w:t xml:space="preserve"> calculated the number of customers billed each month and by rate class for HBY+1 and PTY. It then multiplied that number by the average usage per customer each month to determine the projected therm usage. S</w:t>
      </w:r>
      <w:r w:rsidR="00647A86">
        <w:t>ebring</w:t>
      </w:r>
      <w:r w:rsidRPr="00BB5258">
        <w:t xml:space="preserve"> assumed that the average usage per customer, by month, for each rate class, for the HBY, HBY+1 and PTY is </w:t>
      </w:r>
      <w:r w:rsidRPr="00BB5258">
        <w:lastRenderedPageBreak/>
        <w:t>unchanged from the corresponding HBY month and rate class. The Company believes that this assumption is appropriate, and is not aware of any alternate methodology that would result in a more accurate projection of therm usage.</w:t>
      </w:r>
      <w:r w:rsidR="00D34F28">
        <w:rPr>
          <w:rStyle w:val="FootnoteReference"/>
        </w:rPr>
        <w:footnoteReference w:id="15"/>
      </w:r>
      <w:r w:rsidRPr="00BB5258">
        <w:t xml:space="preserve">  S</w:t>
      </w:r>
      <w:r w:rsidR="00647A86">
        <w:t>ebring</w:t>
      </w:r>
      <w:r w:rsidR="00C83BD9">
        <w:t xml:space="preserve"> explained that 2018</w:t>
      </w:r>
      <w:r w:rsidRPr="00BB5258">
        <w:t xml:space="preserve"> is a representative year, because weather is not a primary driver of usage for the Company’s customers, and there were no unusual circums</w:t>
      </w:r>
      <w:r w:rsidR="00097217">
        <w:t>tances affecting customer usage;</w:t>
      </w:r>
      <w:r w:rsidRPr="00BB5258">
        <w:t xml:space="preserve"> thus, year-over-year consumption patterns are consistent.</w:t>
      </w:r>
      <w:r w:rsidR="00D34F28">
        <w:rPr>
          <w:rStyle w:val="FootnoteReference"/>
        </w:rPr>
        <w:footnoteReference w:id="16"/>
      </w:r>
      <w:r w:rsidR="00554394">
        <w:t xml:space="preserve"> </w:t>
      </w:r>
      <w:r w:rsidRPr="00BB5258">
        <w:t>The Company further explained that a typical driver of therm usage for residential customers in many locations in the U.S. is cold weather. However, this is not so for S</w:t>
      </w:r>
      <w:r w:rsidR="00647A86">
        <w:t>ebring</w:t>
      </w:r>
      <w:r w:rsidRPr="00BB5258">
        <w:t xml:space="preserve"> due to the geographical location of the Company’s service territories and the competitiveness of the electric heat pump. S</w:t>
      </w:r>
      <w:r w:rsidR="00647A86">
        <w:t>ebring</w:t>
      </w:r>
      <w:r w:rsidRPr="00BB5258">
        <w:t xml:space="preserve"> has very few residential customers with furnaces. Commercial usage is usually more stable as it is rare for commercial accounts to utilize natural gas for traditional space heating purposes. As a result, the driver of the therm usage, by rate class, is simply the historical average usage per customer, by month</w:t>
      </w:r>
      <w:r>
        <w:t>.</w:t>
      </w:r>
      <w:r w:rsidR="00D34F28">
        <w:rPr>
          <w:rStyle w:val="FootnoteReference"/>
        </w:rPr>
        <w:footnoteReference w:id="17"/>
      </w:r>
    </w:p>
    <w:p w:rsidR="00BB5258" w:rsidRDefault="00BB5258">
      <w:pPr>
        <w:pStyle w:val="BodyText"/>
      </w:pPr>
      <w:r w:rsidRPr="00BB5258">
        <w:t>Based on the information provided by the Company and staff’s analyses, staff recommends that S</w:t>
      </w:r>
      <w:r w:rsidR="00647A86">
        <w:t>ebring</w:t>
      </w:r>
      <w:r w:rsidRPr="00BB5258">
        <w:t>’</w:t>
      </w:r>
      <w:r w:rsidR="00647A86">
        <w:t>s</w:t>
      </w:r>
      <w:r w:rsidRPr="00BB5258">
        <w:t xml:space="preserve"> forecasts of customer growth and therms by rate class</w:t>
      </w:r>
      <w:r w:rsidR="008452A5">
        <w:t xml:space="preserve"> as contained in MFRs Schedule G-2, as revised on November 12, 2019, pages 8 and 8.5 of 31,</w:t>
      </w:r>
      <w:r w:rsidRPr="00BB5258">
        <w:t xml:space="preserve"> are appropriate for the instant rate case</w:t>
      </w:r>
      <w:r>
        <w:t>.</w:t>
      </w:r>
    </w:p>
    <w:p w:rsidR="00703A2C" w:rsidRDefault="00703A2C">
      <w:pPr>
        <w:pStyle w:val="IssueHeading"/>
        <w:rPr>
          <w:vanish/>
          <w:specVanish/>
        </w:rPr>
      </w:pPr>
      <w:r w:rsidRPr="004C3641">
        <w:rPr>
          <w:b w:val="0"/>
          <w:i w:val="0"/>
        </w:rPr>
        <w:br w:type="page"/>
      </w:r>
      <w:r w:rsidRPr="004C3641">
        <w:lastRenderedPageBreak/>
        <w:t xml:space="preserve">Issue </w:t>
      </w:r>
      <w:fldSimple w:instr=" SEQ Issue \* MERGEFORMAT ">
        <w:r w:rsidR="005A792F">
          <w:rPr>
            <w:noProof/>
          </w:rPr>
          <w:t>3</w:t>
        </w:r>
      </w:fldSimple>
      <w:r w:rsidRPr="004C3641">
        <w:t>:</w:t>
      </w:r>
      <w:r>
        <w:fldChar w:fldCharType="begin"/>
      </w:r>
      <w:r>
        <w:instrText xml:space="preserve"> TC "</w:instrText>
      </w:r>
      <w:r>
        <w:fldChar w:fldCharType="begin"/>
      </w:r>
      <w:r>
        <w:instrText xml:space="preserve"> SEQ issue \c </w:instrText>
      </w:r>
      <w:r>
        <w:fldChar w:fldCharType="separate"/>
      </w:r>
      <w:bookmarkStart w:id="16" w:name="_Toc28007712"/>
      <w:r w:rsidR="005A792F">
        <w:rPr>
          <w:noProof/>
        </w:rPr>
        <w:instrText>3</w:instrText>
      </w:r>
      <w:r>
        <w:fldChar w:fldCharType="end"/>
      </w:r>
      <w:r>
        <w:tab/>
      </w:r>
      <w:r w:rsidR="00D06CCB">
        <w:instrText>Estimated Revenues From Sales of Gas (Wu)</w:instrText>
      </w:r>
      <w:bookmarkEnd w:id="16"/>
      <w:r>
        <w:instrText xml:space="preserve">" \l 1 </w:instrText>
      </w:r>
      <w:r>
        <w:fldChar w:fldCharType="end"/>
      </w:r>
      <w:r>
        <w:t> </w:t>
      </w:r>
    </w:p>
    <w:p w:rsidR="00703A2C" w:rsidRDefault="00703A2C">
      <w:pPr>
        <w:pStyle w:val="BodyText"/>
      </w:pPr>
      <w:r>
        <w:t> Are Sebring's estimated revenues from sales of gas by rate class at present rates for the projected test year appropriate?</w:t>
      </w:r>
    </w:p>
    <w:p w:rsidR="00703A2C" w:rsidRPr="004C3641" w:rsidRDefault="00703A2C">
      <w:pPr>
        <w:pStyle w:val="IssueSubsectionHeading"/>
        <w:rPr>
          <w:vanish/>
          <w:specVanish/>
        </w:rPr>
      </w:pPr>
      <w:r w:rsidRPr="004C3641">
        <w:t>Recommendation: </w:t>
      </w:r>
    </w:p>
    <w:p w:rsidR="00703A2C" w:rsidRDefault="00703A2C">
      <w:pPr>
        <w:pStyle w:val="BodyText"/>
      </w:pPr>
      <w:r>
        <w:t> </w:t>
      </w:r>
      <w:r w:rsidR="00BC0690" w:rsidRPr="00BC0690">
        <w:t>Yes. Sebring’s estimated revenues from sales of gas by rate class at present rates for the projected test year are appropriate</w:t>
      </w:r>
      <w:r w:rsidR="00BC0690">
        <w:t>.</w:t>
      </w:r>
      <w:r>
        <w:t xml:space="preserve"> (Wu)</w:t>
      </w:r>
    </w:p>
    <w:p w:rsidR="00703A2C" w:rsidRPr="004C3641" w:rsidRDefault="00703A2C">
      <w:pPr>
        <w:pStyle w:val="IssueSubsectionHeading"/>
        <w:rPr>
          <w:vanish/>
          <w:specVanish/>
        </w:rPr>
      </w:pPr>
      <w:r w:rsidRPr="004C3641">
        <w:t>Staff Analysis: </w:t>
      </w:r>
    </w:p>
    <w:p w:rsidR="00703A2C" w:rsidRDefault="00703A2C">
      <w:pPr>
        <w:pStyle w:val="BodyText"/>
      </w:pPr>
      <w:r>
        <w:t> </w:t>
      </w:r>
      <w:r w:rsidR="00BC0690" w:rsidRPr="00BC0690">
        <w:t>Staff has reviewed MFR Schedule E-2, Page 1, where S</w:t>
      </w:r>
      <w:r w:rsidR="00647A86">
        <w:t>ebring</w:t>
      </w:r>
      <w:r w:rsidR="00BC0690" w:rsidRPr="00BC0690">
        <w:t xml:space="preserve"> calculated present revenues from sales of gas</w:t>
      </w:r>
      <w:r w:rsidR="0065109E">
        <w:t xml:space="preserve"> at present rates for the projected test year</w:t>
      </w:r>
      <w:r w:rsidR="00BC0690" w:rsidRPr="00BC0690">
        <w:t>, in the amount of $1,171,865, based upon its proposed billing determinants. The proposed billing determinants are derived from the forecasts of the number of customers and the therm usage per customer</w:t>
      </w:r>
      <w:r w:rsidR="0065109E">
        <w:t>, consistent with staff’s recommendation in Issue 2</w:t>
      </w:r>
      <w:r w:rsidR="00BC0690" w:rsidRPr="00BC0690">
        <w:t>. Staff believes that the Company’s estimation of revenues, in the amount of $1,171,865, from sales of gas, by rate class, at present rates for the 2020 projected test year is appropriate</w:t>
      </w:r>
      <w:r w:rsidR="00BC0690">
        <w:t>.</w:t>
      </w:r>
      <w:r w:rsidR="00E51C2F">
        <w:t xml:space="preserve"> As addressed separately in Issue 13, this revenue amount, plus the amount identified as Miscellaneous Service revenue ($14,335), equals staff’s recommended projected test year total operating revenue ($1,186,200) for Sebring.</w:t>
      </w:r>
    </w:p>
    <w:p w:rsidR="00703A2C" w:rsidRDefault="00703A2C">
      <w:pPr>
        <w:pStyle w:val="IssueHeading"/>
        <w:rPr>
          <w:vanish/>
          <w:specVanish/>
        </w:rPr>
      </w:pPr>
      <w:r w:rsidRPr="004C3641">
        <w:rPr>
          <w:b w:val="0"/>
          <w:i w:val="0"/>
        </w:rPr>
        <w:br w:type="page"/>
      </w:r>
      <w:r w:rsidRPr="004C3641">
        <w:lastRenderedPageBreak/>
        <w:t xml:space="preserve">Issue </w:t>
      </w:r>
      <w:fldSimple w:instr=" SEQ Issue \* MERGEFORMAT ">
        <w:r w:rsidR="005A792F">
          <w:rPr>
            <w:noProof/>
          </w:rPr>
          <w:t>4</w:t>
        </w:r>
      </w:fldSimple>
      <w:r w:rsidRPr="004C3641">
        <w:t>:</w:t>
      </w:r>
      <w:r>
        <w:fldChar w:fldCharType="begin"/>
      </w:r>
      <w:r>
        <w:instrText xml:space="preserve"> TC "</w:instrText>
      </w:r>
      <w:r>
        <w:fldChar w:fldCharType="begin"/>
      </w:r>
      <w:r>
        <w:instrText xml:space="preserve"> SEQ issue \c </w:instrText>
      </w:r>
      <w:r>
        <w:fldChar w:fldCharType="separate"/>
      </w:r>
      <w:bookmarkStart w:id="17" w:name="_Toc28007713"/>
      <w:r w:rsidR="005A792F">
        <w:rPr>
          <w:noProof/>
        </w:rPr>
        <w:instrText>4</w:instrText>
      </w:r>
      <w:r>
        <w:fldChar w:fldCharType="end"/>
      </w:r>
      <w:r>
        <w:tab/>
      </w:r>
      <w:r w:rsidR="000F73A9">
        <w:instrText>Quality of Service (Knoblauch, Lewis)</w:instrText>
      </w:r>
      <w:bookmarkEnd w:id="17"/>
      <w:r>
        <w:instrText xml:space="preserve">" \l 1 </w:instrText>
      </w:r>
      <w:r>
        <w:fldChar w:fldCharType="end"/>
      </w:r>
      <w:r>
        <w:t> </w:t>
      </w:r>
    </w:p>
    <w:p w:rsidR="00703A2C" w:rsidRDefault="00703A2C">
      <w:pPr>
        <w:pStyle w:val="BodyText"/>
      </w:pPr>
      <w:r>
        <w:t xml:space="preserve"> Is the quality of service provided by Sebring </w:t>
      </w:r>
      <w:r w:rsidR="00D04617">
        <w:t>a</w:t>
      </w:r>
      <w:r>
        <w:t>dequate?</w:t>
      </w:r>
    </w:p>
    <w:p w:rsidR="00703A2C" w:rsidRPr="004C3641" w:rsidRDefault="00703A2C">
      <w:pPr>
        <w:pStyle w:val="IssueSubsectionHeading"/>
        <w:rPr>
          <w:vanish/>
          <w:specVanish/>
        </w:rPr>
      </w:pPr>
      <w:r w:rsidRPr="004C3641">
        <w:t>Recommendation: </w:t>
      </w:r>
    </w:p>
    <w:p w:rsidR="00703A2C" w:rsidRDefault="00703A2C">
      <w:pPr>
        <w:pStyle w:val="BodyText"/>
      </w:pPr>
      <w:r>
        <w:t> </w:t>
      </w:r>
      <w:r w:rsidR="00C21810" w:rsidRPr="00C21810">
        <w:t>Yes.  Sebring’s quality of service is adequate</w:t>
      </w:r>
      <w:r w:rsidR="00C21810">
        <w:t>.</w:t>
      </w:r>
      <w:r>
        <w:t xml:space="preserve"> (Knoblauch, Lewis)</w:t>
      </w:r>
    </w:p>
    <w:p w:rsidR="00703A2C" w:rsidRPr="004C3641" w:rsidRDefault="00703A2C">
      <w:pPr>
        <w:pStyle w:val="IssueSubsectionHeading"/>
        <w:rPr>
          <w:vanish/>
          <w:specVanish/>
        </w:rPr>
      </w:pPr>
      <w:r w:rsidRPr="004C3641">
        <w:t>Staff Analysis: </w:t>
      </w:r>
    </w:p>
    <w:p w:rsidR="00C21810" w:rsidRDefault="00703A2C" w:rsidP="00C21810">
      <w:pPr>
        <w:pStyle w:val="BodyText"/>
      </w:pPr>
      <w:r>
        <w:t> </w:t>
      </w:r>
      <w:r w:rsidR="00C21810">
        <w:t>Pursuant to Section 366.041</w:t>
      </w:r>
      <w:r w:rsidR="00E33421">
        <w:t>,</w:t>
      </w:r>
      <w:r w:rsidR="00D51D53">
        <w:t xml:space="preserve"> </w:t>
      </w:r>
      <w:r w:rsidR="00C21810">
        <w:t xml:space="preserve">F.S., in fixing rates the Commission is authorized to give consideration, among other things, to the efficiency, sufficiency, and adequacy of the facilities provided and the services rendered. As part of its review, Commission staff held a publicly noticed meeting in Sebring, Florida on August 8, 2019. The meeting was scheduled to gather information regarding customer concerns about Sebring’s quality of service and its request for a rate increase. No customers attended the meeting. The </w:t>
      </w:r>
      <w:r w:rsidR="00DA1A22">
        <w:t>Company</w:t>
      </w:r>
      <w:r w:rsidR="00C21810">
        <w:t xml:space="preserve"> also indicated that it received no customer complaints during the years 2017 and 2018. Staff additionally searched the Commission’s Consumer Complaint Tracking System, which showed no customer complaints filed against Sebring since January 1, 2014. </w:t>
      </w:r>
    </w:p>
    <w:p w:rsidR="00C21810" w:rsidRDefault="000037F6" w:rsidP="00C21810">
      <w:pPr>
        <w:pStyle w:val="BodyText"/>
      </w:pPr>
      <w:r>
        <w:t xml:space="preserve">Pursuant to Rule 25-7.018, F.A.C., each utility shall keep a complete record of all interruptions affecting the lesser of 10 percent or 500 or more of its division meters. </w:t>
      </w:r>
      <w:r w:rsidR="00C21810">
        <w:t xml:space="preserve">Based on the </w:t>
      </w:r>
      <w:r w:rsidR="00E33421">
        <w:t>C</w:t>
      </w:r>
      <w:r w:rsidR="006C4B03">
        <w:t>ompany</w:t>
      </w:r>
      <w:r w:rsidR="00C21810">
        <w:t xml:space="preserve">’s filing, there were no customer interruptions affecting either 10 percent or 500 meters during the historic test </w:t>
      </w:r>
      <w:r w:rsidR="00C21810" w:rsidRPr="00AC6BB1">
        <w:t>year end</w:t>
      </w:r>
      <w:r w:rsidR="002E4026" w:rsidRPr="00AC6BB1">
        <w:t>ed</w:t>
      </w:r>
      <w:r w:rsidR="00C21810" w:rsidRPr="00AC6BB1">
        <w:t xml:space="preserve"> 2018. </w:t>
      </w:r>
      <w:r>
        <w:t>Pursuant to Rule 25-7.064, F.A.C.</w:t>
      </w:r>
      <w:r w:rsidR="00C21810">
        <w:t xml:space="preserve">, the </w:t>
      </w:r>
      <w:r w:rsidR="00C62827">
        <w:t>C</w:t>
      </w:r>
      <w:r w:rsidR="006C4B03">
        <w:t>ompany</w:t>
      </w:r>
      <w:r w:rsidR="00C21810">
        <w:t xml:space="preserve"> has tested all of its meters within 120 months of the test year</w:t>
      </w:r>
      <w:r w:rsidR="00E33421">
        <w:t>,</w:t>
      </w:r>
      <w:r w:rsidR="00C21810">
        <w:t xml:space="preserve"> and all have been determined to be in compliance with testing requirements. </w:t>
      </w:r>
    </w:p>
    <w:p w:rsidR="00703A2C" w:rsidRDefault="00C21810" w:rsidP="00C21810">
      <w:pPr>
        <w:pStyle w:val="BodyText"/>
      </w:pPr>
      <w:r>
        <w:t xml:space="preserve">A review of Commission staff’s annual safety inspections of the </w:t>
      </w:r>
      <w:r w:rsidR="00DA1A22">
        <w:t>C</w:t>
      </w:r>
      <w:r w:rsidR="006C4B03">
        <w:t>ompany</w:t>
      </w:r>
      <w:r>
        <w:t xml:space="preserve">’s facilities was also conducted. There were a total of 29 safety violations logged against Sebring from 2014 through 2018. The </w:t>
      </w:r>
      <w:r w:rsidR="00DA1A22">
        <w:t>C</w:t>
      </w:r>
      <w:r w:rsidR="006C4B03">
        <w:t>ompany</w:t>
      </w:r>
      <w:r>
        <w:t xml:space="preserve"> responded to the identified violations </w:t>
      </w:r>
      <w:r w:rsidR="00E33421">
        <w:t>(</w:t>
      </w:r>
      <w:r>
        <w:t>which were varying in nature</w:t>
      </w:r>
      <w:r w:rsidR="00E33421">
        <w:t>)</w:t>
      </w:r>
      <w:r>
        <w:t xml:space="preserve"> and all were corrected. There were no violations logged during the 2019 safety inspection</w:t>
      </w:r>
      <w:r w:rsidR="0047647B">
        <w:t>,</w:t>
      </w:r>
      <w:r>
        <w:t xml:space="preserve"> and on October 29, 2019, the system was found in satisfactory compliance with state and federal natural gas safety rules.</w:t>
      </w:r>
    </w:p>
    <w:p w:rsidR="00C21810" w:rsidRDefault="00C21810" w:rsidP="00C21810">
      <w:pPr>
        <w:pStyle w:val="First-LevelSubheading"/>
      </w:pPr>
      <w:r>
        <w:t>Conclusion</w:t>
      </w:r>
    </w:p>
    <w:p w:rsidR="00C21810" w:rsidRDefault="00C21810" w:rsidP="00C21810">
      <w:pPr>
        <w:pStyle w:val="BodyText"/>
      </w:pPr>
      <w:r w:rsidRPr="00C21810">
        <w:t>Based on a review of information discussed above, staff recommends that Sebring’s quality of service is adequate</w:t>
      </w:r>
      <w:r>
        <w:t>.</w:t>
      </w:r>
    </w:p>
    <w:p w:rsidR="00044765" w:rsidRDefault="00044765">
      <w:pPr>
        <w:pStyle w:val="IssueHeading"/>
        <w:rPr>
          <w:vanish/>
          <w:specVanish/>
        </w:rPr>
      </w:pPr>
      <w:r w:rsidRPr="004C3641">
        <w:rPr>
          <w:b w:val="0"/>
          <w:i w:val="0"/>
        </w:rPr>
        <w:br w:type="page"/>
      </w:r>
      <w:r w:rsidRPr="004C3641">
        <w:lastRenderedPageBreak/>
        <w:t xml:space="preserve">Issue </w:t>
      </w:r>
      <w:fldSimple w:instr=" SEQ Issue \* MERGEFORMAT ">
        <w:r w:rsidR="005A792F">
          <w:rPr>
            <w:noProof/>
          </w:rPr>
          <w:t>5</w:t>
        </w:r>
      </w:fldSimple>
      <w:r w:rsidRPr="004C3641">
        <w:t>:</w:t>
      </w:r>
      <w:r>
        <w:fldChar w:fldCharType="begin"/>
      </w:r>
      <w:r>
        <w:instrText xml:space="preserve"> TC "</w:instrText>
      </w:r>
      <w:r>
        <w:fldChar w:fldCharType="begin"/>
      </w:r>
      <w:r>
        <w:instrText xml:space="preserve"> SEQ issue \c </w:instrText>
      </w:r>
      <w:r>
        <w:fldChar w:fldCharType="separate"/>
      </w:r>
      <w:bookmarkStart w:id="18" w:name="_Toc28007714"/>
      <w:r w:rsidR="005A792F">
        <w:rPr>
          <w:noProof/>
        </w:rPr>
        <w:instrText>5</w:instrText>
      </w:r>
      <w:r>
        <w:fldChar w:fldCharType="end"/>
      </w:r>
      <w:r>
        <w:tab/>
      </w:r>
      <w:r w:rsidR="0012624D">
        <w:instrText>Plant Additions (Graves, Knoblauch, Lewis)</w:instrText>
      </w:r>
      <w:bookmarkEnd w:id="18"/>
      <w:r>
        <w:instrText xml:space="preserve">" \l 1 </w:instrText>
      </w:r>
      <w:r>
        <w:fldChar w:fldCharType="end"/>
      </w:r>
      <w:r>
        <w:t> </w:t>
      </w:r>
    </w:p>
    <w:p w:rsidR="00044765" w:rsidRDefault="00044765">
      <w:pPr>
        <w:pStyle w:val="BodyText"/>
      </w:pPr>
      <w:r>
        <w:t> </w:t>
      </w:r>
      <w:r w:rsidR="00E94485" w:rsidRPr="00F93FDA">
        <w:t xml:space="preserve">What is the appropriate amount of capital additions to be included in base rates as utility </w:t>
      </w:r>
      <w:r w:rsidR="002E4026">
        <w:t>P</w:t>
      </w:r>
      <w:r w:rsidR="00E94485" w:rsidRPr="00F93FDA">
        <w:t xml:space="preserve">lant in </w:t>
      </w:r>
      <w:r w:rsidR="002E4026">
        <w:t>S</w:t>
      </w:r>
      <w:r w:rsidR="00E94485" w:rsidRPr="00F93FDA">
        <w:t>ervice</w:t>
      </w:r>
      <w:r w:rsidRPr="00F93FDA">
        <w:t>?</w:t>
      </w:r>
    </w:p>
    <w:p w:rsidR="00044765" w:rsidRPr="004C3641" w:rsidRDefault="00044765">
      <w:pPr>
        <w:pStyle w:val="IssueSubsectionHeading"/>
        <w:rPr>
          <w:vanish/>
          <w:specVanish/>
        </w:rPr>
      </w:pPr>
      <w:r w:rsidRPr="004C3641">
        <w:t>Recommendation: </w:t>
      </w:r>
    </w:p>
    <w:p w:rsidR="00044765" w:rsidRDefault="00044765">
      <w:pPr>
        <w:pStyle w:val="BodyText"/>
      </w:pPr>
      <w:r>
        <w:t> </w:t>
      </w:r>
      <w:r w:rsidR="000F6FA3" w:rsidRPr="000F6FA3">
        <w:t xml:space="preserve">Staff recommends capital additions totaling $1,960,692 be included in </w:t>
      </w:r>
      <w:r w:rsidR="00104C23">
        <w:t>rate base</w:t>
      </w:r>
      <w:r w:rsidR="000F6FA3">
        <w:t>.</w:t>
      </w:r>
      <w:r>
        <w:t xml:space="preserve"> (</w:t>
      </w:r>
      <w:r w:rsidR="000F6FA3">
        <w:t xml:space="preserve">Graves, </w:t>
      </w:r>
      <w:r>
        <w:t>Knoblauch, Lewis)</w:t>
      </w:r>
    </w:p>
    <w:p w:rsidR="00044765" w:rsidRPr="004C3641" w:rsidRDefault="00044765">
      <w:pPr>
        <w:pStyle w:val="IssueSubsectionHeading"/>
        <w:rPr>
          <w:vanish/>
          <w:specVanish/>
        </w:rPr>
      </w:pPr>
      <w:r w:rsidRPr="004C3641">
        <w:t>Staff Analysis: </w:t>
      </w:r>
    </w:p>
    <w:p w:rsidR="00044765" w:rsidRDefault="00044765">
      <w:pPr>
        <w:pStyle w:val="BodyText"/>
      </w:pPr>
      <w:r>
        <w:t> </w:t>
      </w:r>
      <w:r w:rsidR="000F6FA3" w:rsidRPr="000F6FA3">
        <w:t xml:space="preserve">Sebring’s filing included capital additions of approximately $1,960,692. Staff reviewed the </w:t>
      </w:r>
      <w:r w:rsidR="00BC11B1">
        <w:t>C</w:t>
      </w:r>
      <w:r w:rsidR="006C4B03">
        <w:t>ompany</w:t>
      </w:r>
      <w:r w:rsidR="000F6FA3" w:rsidRPr="000F6FA3">
        <w:t xml:space="preserve">’s filings as well as responses to data requests and recommends that the costs associated with the capital additions be included in </w:t>
      </w:r>
      <w:r w:rsidR="00104C23">
        <w:t>rate base</w:t>
      </w:r>
      <w:r w:rsidR="000F6FA3" w:rsidRPr="000F6FA3">
        <w:t xml:space="preserve">. Staff’s review of the </w:t>
      </w:r>
      <w:r w:rsidR="00BC11B1">
        <w:t>C</w:t>
      </w:r>
      <w:r w:rsidR="006C4B03">
        <w:t>ompany</w:t>
      </w:r>
      <w:r w:rsidR="000F6FA3" w:rsidRPr="000F6FA3">
        <w:t>’s requests is discussed in greater detail below</w:t>
      </w:r>
      <w:r w:rsidR="000F6FA3">
        <w:t>.</w:t>
      </w:r>
    </w:p>
    <w:p w:rsidR="000F6FA3" w:rsidRDefault="000F6FA3" w:rsidP="000F6FA3">
      <w:pPr>
        <w:pStyle w:val="First-LevelSubheading"/>
      </w:pPr>
      <w:r>
        <w:t>Expansion Projects</w:t>
      </w:r>
    </w:p>
    <w:p w:rsidR="000F6FA3" w:rsidRDefault="000F6FA3" w:rsidP="000F6FA3">
      <w:pPr>
        <w:spacing w:after="240"/>
        <w:jc w:val="both"/>
      </w:pPr>
      <w:r>
        <w:t xml:space="preserve">The </w:t>
      </w:r>
      <w:r w:rsidR="002B1EED">
        <w:t>C</w:t>
      </w:r>
      <w:r w:rsidR="006C4B03">
        <w:t>ompany</w:t>
      </w:r>
      <w:r>
        <w:t>’s</w:t>
      </w:r>
      <w:r w:rsidRPr="00136D75">
        <w:t xml:space="preserve"> traditional service territory has been the greater</w:t>
      </w:r>
      <w:r>
        <w:t xml:space="preserve"> </w:t>
      </w:r>
      <w:r w:rsidRPr="00136D75">
        <w:t>surroundings of the City of Sebring.</w:t>
      </w:r>
      <w:r>
        <w:t xml:space="preserve"> In 2008, the </w:t>
      </w:r>
      <w:r w:rsidR="00BC11B1">
        <w:t>C</w:t>
      </w:r>
      <w:r w:rsidR="006C4B03">
        <w:t>ompany</w:t>
      </w:r>
      <w:r>
        <w:t xml:space="preserve"> </w:t>
      </w:r>
      <w:r w:rsidRPr="00B31453">
        <w:t xml:space="preserve">developed a growth strategy that initially targeted two </w:t>
      </w:r>
      <w:r w:rsidR="002B1EED">
        <w:t>s</w:t>
      </w:r>
      <w:r>
        <w:t>tate prisons</w:t>
      </w:r>
      <w:r w:rsidRPr="00B31453">
        <w:t>.</w:t>
      </w:r>
      <w:r>
        <w:t xml:space="preserve"> </w:t>
      </w:r>
      <w:r w:rsidRPr="00136D75">
        <w:t>The Commission approved</w:t>
      </w:r>
      <w:r>
        <w:t xml:space="preserve"> Sebring’</w:t>
      </w:r>
      <w:r w:rsidRPr="00136D75">
        <w:t xml:space="preserve">s petitions </w:t>
      </w:r>
      <w:r>
        <w:t xml:space="preserve">for </w:t>
      </w:r>
      <w:r w:rsidR="002B1EED">
        <w:t>s</w:t>
      </w:r>
      <w:r w:rsidRPr="00136D75">
        <w:t xml:space="preserve">pecial </w:t>
      </w:r>
      <w:r w:rsidR="002B1EED">
        <w:t>c</w:t>
      </w:r>
      <w:r w:rsidRPr="00136D75">
        <w:t>ontracts with</w:t>
      </w:r>
      <w:r>
        <w:t xml:space="preserve"> these two prisons</w:t>
      </w:r>
      <w:r w:rsidRPr="00136D75">
        <w:t>.</w:t>
      </w:r>
      <w:r>
        <w:rPr>
          <w:rStyle w:val="FootnoteReference"/>
        </w:rPr>
        <w:footnoteReference w:id="18"/>
      </w:r>
      <w:r>
        <w:t xml:space="preserve"> As part of the </w:t>
      </w:r>
      <w:r w:rsidR="002B1EED">
        <w:t>C</w:t>
      </w:r>
      <w:r w:rsidR="006C4B03">
        <w:t>ompany</w:t>
      </w:r>
      <w:r>
        <w:t>’s MFRs, Sebring included costs related to plant additions to serve growth in its traditional service territory as well as growth in the City of Wauchula and the City of Arcadia.</w:t>
      </w:r>
      <w:r>
        <w:rPr>
          <w:rStyle w:val="FootnoteReference"/>
        </w:rPr>
        <w:footnoteReference w:id="19"/>
      </w:r>
      <w:r>
        <w:t xml:space="preserve"> The total estimated cost of these additions is $1,920,692.</w:t>
      </w:r>
    </w:p>
    <w:p w:rsidR="000F6FA3" w:rsidRDefault="000F6FA3" w:rsidP="000F6FA3">
      <w:pPr>
        <w:autoSpaceDE w:val="0"/>
        <w:autoSpaceDN w:val="0"/>
        <w:adjustRightInd w:val="0"/>
        <w:spacing w:after="240"/>
        <w:jc w:val="both"/>
      </w:pPr>
      <w:r>
        <w:t xml:space="preserve">The </w:t>
      </w:r>
      <w:r w:rsidR="00BC11B1">
        <w:t>C</w:t>
      </w:r>
      <w:r w:rsidR="006C4B03">
        <w:t>ompany</w:t>
      </w:r>
      <w:r>
        <w:t xml:space="preserve"> stated that the </w:t>
      </w:r>
      <w:r w:rsidR="001F432F">
        <w:t>C</w:t>
      </w:r>
      <w:r>
        <w:t>ities of Wauchula and Arcadia are experiencing growth in the residential, commercial, and small industrial sectors. Specifically, the</w:t>
      </w:r>
      <w:r w:rsidR="00BC11B1">
        <w:t xml:space="preserve"> C</w:t>
      </w:r>
      <w:r w:rsidR="006C4B03">
        <w:t>ompany</w:t>
      </w:r>
      <w:r>
        <w:t xml:space="preserve"> is anticipating the addition of 55 new customers, many of which are </w:t>
      </w:r>
      <w:r w:rsidRPr="00042B0C">
        <w:t>larger commercia</w:t>
      </w:r>
      <w:r>
        <w:t xml:space="preserve">l accounts and small industrial </w:t>
      </w:r>
      <w:r w:rsidRPr="00042B0C">
        <w:t>accounts (rate classes TS-4 and TS-5).</w:t>
      </w:r>
      <w:r w:rsidR="00D525CA">
        <w:rPr>
          <w:rStyle w:val="FootnoteReference"/>
        </w:rPr>
        <w:footnoteReference w:id="20"/>
      </w:r>
      <w:r>
        <w:t xml:space="preserve"> Considering the growth potential in those areas, the </w:t>
      </w:r>
      <w:r w:rsidR="00BC11B1">
        <w:t>C</w:t>
      </w:r>
      <w:r w:rsidR="006C4B03">
        <w:t>ompany</w:t>
      </w:r>
      <w:r>
        <w:t xml:space="preserve"> stated that it believes it is making a prudent investment in the initial distribution networks in those cities. </w:t>
      </w:r>
    </w:p>
    <w:p w:rsidR="000F6FA3" w:rsidRDefault="000346F3" w:rsidP="000F6FA3">
      <w:pPr>
        <w:pStyle w:val="BodyText"/>
      </w:pPr>
      <w:r>
        <w:t>As discussed in Issue 2, s</w:t>
      </w:r>
      <w:r w:rsidR="000F6FA3">
        <w:t xml:space="preserve">taff has reviewed the </w:t>
      </w:r>
      <w:r w:rsidR="00BC11B1">
        <w:t>C</w:t>
      </w:r>
      <w:r w:rsidR="006C4B03">
        <w:t>ompany</w:t>
      </w:r>
      <w:r w:rsidR="000F6FA3">
        <w:t xml:space="preserve">’s projected customer additions and believes that they are </w:t>
      </w:r>
      <w:r>
        <w:t>appropriate for the instant case</w:t>
      </w:r>
      <w:r w:rsidR="000F6FA3">
        <w:t xml:space="preserve">. In previous decisions addressing natural gas expansion, the </w:t>
      </w:r>
      <w:r w:rsidR="000F6FA3" w:rsidRPr="00042B0C">
        <w:t>Commission has rec</w:t>
      </w:r>
      <w:r w:rsidR="000F6FA3">
        <w:t xml:space="preserve">ognized that all customers benefit </w:t>
      </w:r>
      <w:r w:rsidR="000F6FA3" w:rsidRPr="00A8562F">
        <w:t>from spr</w:t>
      </w:r>
      <w:r w:rsidR="000F6FA3">
        <w:t>ead</w:t>
      </w:r>
      <w:r w:rsidR="002B1EED">
        <w:t>ing</w:t>
      </w:r>
      <w:r w:rsidR="000F6FA3">
        <w:t xml:space="preserve"> fixed costs over</w:t>
      </w:r>
      <w:r w:rsidR="002B1EED">
        <w:t xml:space="preserve"> a larger base of therm sales</w:t>
      </w:r>
      <w:r w:rsidR="000F6FA3">
        <w:t xml:space="preserve"> in future</w:t>
      </w:r>
      <w:r w:rsidR="000F6FA3" w:rsidRPr="00A8562F">
        <w:t xml:space="preserve"> rate case</w:t>
      </w:r>
      <w:r w:rsidR="000F6FA3">
        <w:t>s.</w:t>
      </w:r>
      <w:r w:rsidR="000F6FA3">
        <w:rPr>
          <w:rStyle w:val="FootnoteReference"/>
        </w:rPr>
        <w:footnoteReference w:id="21"/>
      </w:r>
      <w:r w:rsidR="000F6FA3">
        <w:t xml:space="preserve"> Additionally, the</w:t>
      </w:r>
      <w:r w:rsidR="000F6FA3" w:rsidRPr="00042B0C">
        <w:t xml:space="preserve"> </w:t>
      </w:r>
      <w:r w:rsidR="000F6FA3">
        <w:t>Commission has recognized that a</w:t>
      </w:r>
      <w:r w:rsidR="000F6FA3" w:rsidRPr="00FE4F3C">
        <w:t xml:space="preserve">ll customers benefit </w:t>
      </w:r>
      <w:r w:rsidR="000F6FA3">
        <w:t>from</w:t>
      </w:r>
      <w:r w:rsidR="000F6FA3" w:rsidRPr="00FE4F3C">
        <w:t xml:space="preserve"> large load users</w:t>
      </w:r>
      <w:r w:rsidR="000F6FA3">
        <w:t xml:space="preserve">, such as the aforementioned large commercial and small industrial accounts, because they </w:t>
      </w:r>
      <w:r w:rsidR="000F6FA3" w:rsidRPr="00FE4F3C">
        <w:t>are able to absorb a greater portion of fixed cost</w:t>
      </w:r>
      <w:r w:rsidR="00B2266A">
        <w:t>s</w:t>
      </w:r>
      <w:r w:rsidR="000F6FA3" w:rsidRPr="00FE4F3C">
        <w:t xml:space="preserve"> necessary to provide service.</w:t>
      </w:r>
      <w:r w:rsidR="000F6FA3">
        <w:rPr>
          <w:rStyle w:val="FootnoteReference"/>
        </w:rPr>
        <w:footnoteReference w:id="22"/>
      </w:r>
      <w:r w:rsidR="000F6FA3">
        <w:t xml:space="preserve"> Giving consideration to the discussion above, it is reasonable to believe that the Arcadia and Wauchula expansion projects will benefit all customers.</w:t>
      </w:r>
    </w:p>
    <w:p w:rsidR="000F6FA3" w:rsidRDefault="007A5194" w:rsidP="000F6FA3">
      <w:pPr>
        <w:pStyle w:val="BodyText"/>
      </w:pPr>
      <w:r>
        <w:lastRenderedPageBreak/>
        <w:t xml:space="preserve">In response to a staff data request, </w:t>
      </w:r>
      <w:r w:rsidR="00BE2627">
        <w:t>Sebring</w:t>
      </w:r>
      <w:r w:rsidR="000F6FA3" w:rsidRPr="000F6FA3">
        <w:t xml:space="preserve"> explained that the costs associated with the requested additions are based on </w:t>
      </w:r>
      <w:r w:rsidR="00D83DDD">
        <w:t>its</w:t>
      </w:r>
      <w:r w:rsidR="000F6FA3" w:rsidRPr="000F6FA3">
        <w:t xml:space="preserve"> recent experience with similar installation</w:t>
      </w:r>
      <w:r>
        <w:t>s</w:t>
      </w:r>
      <w:r w:rsidR="000F6FA3" w:rsidRPr="000F6FA3">
        <w:t>, as well as conversations with contractors and material vendors.</w:t>
      </w:r>
      <w:r w:rsidR="00D83DDD">
        <w:rPr>
          <w:rStyle w:val="FootnoteReference"/>
        </w:rPr>
        <w:footnoteReference w:id="23"/>
      </w:r>
      <w:r w:rsidR="000F6FA3" w:rsidRPr="000F6FA3">
        <w:t xml:space="preserve"> Staff recommends that Sebring’s reliance on recent projects</w:t>
      </w:r>
      <w:r w:rsidR="00BE2627">
        <w:t>,</w:t>
      </w:r>
      <w:r w:rsidR="000F6FA3" w:rsidRPr="000F6FA3">
        <w:t xml:space="preserve"> as well as input from contractors and vendors</w:t>
      </w:r>
      <w:r w:rsidR="00BE2627">
        <w:t>,</w:t>
      </w:r>
      <w:r w:rsidR="000F6FA3" w:rsidRPr="000F6FA3">
        <w:t xml:space="preserve"> is a reasonable means for projecting these costs. Therefore, staff recommends that $1,920,692 for the discussed plant additions is appropriate for inclusion in </w:t>
      </w:r>
      <w:r>
        <w:t>rate base</w:t>
      </w:r>
      <w:r w:rsidR="000F6FA3">
        <w:t>.</w:t>
      </w:r>
    </w:p>
    <w:p w:rsidR="000F6FA3" w:rsidRDefault="000F6FA3" w:rsidP="000F6FA3">
      <w:pPr>
        <w:pStyle w:val="First-LevelSubheading"/>
      </w:pPr>
      <w:r>
        <w:t>Bypass Re-build</w:t>
      </w:r>
    </w:p>
    <w:p w:rsidR="000F6FA3" w:rsidRDefault="000F6FA3" w:rsidP="000F6FA3">
      <w:pPr>
        <w:pStyle w:val="BodyText"/>
      </w:pPr>
      <w:r w:rsidRPr="000F6FA3">
        <w:t>In its MFRs, Sebring included $40,000 for a re-build of a regulated bypass with Peoples Gas System. Additionally, through its Distribution Integrity Management Program (DIMP) plan, Sebring has determined that the safety risk of maintaining the existing equipment is greater than the cost of replacing the equipment. Therefore, based on its DIMP plan, Sebring is required to complete the replacement as soon as is reasonable.</w:t>
      </w:r>
      <w:r w:rsidR="00BC4295">
        <w:rPr>
          <w:rStyle w:val="FootnoteReference"/>
        </w:rPr>
        <w:footnoteReference w:id="24"/>
      </w:r>
      <w:r w:rsidRPr="000F6FA3">
        <w:t xml:space="preserve"> </w:t>
      </w:r>
      <w:r w:rsidR="00C43820">
        <w:t xml:space="preserve">Mr. </w:t>
      </w:r>
      <w:r w:rsidRPr="000F6FA3">
        <w:t xml:space="preserve">Bruce Christmas, a consultant for the </w:t>
      </w:r>
      <w:r w:rsidR="0090569D">
        <w:t>C</w:t>
      </w:r>
      <w:r w:rsidR="006C4B03">
        <w:t>ompany</w:t>
      </w:r>
      <w:r w:rsidRPr="000F6FA3">
        <w:t xml:space="preserve"> indicated that the bypass re-build would incorporate over-pressure protection at the interconnection, and estimated that the re-build would occur in July of the projected test year</w:t>
      </w:r>
      <w:r>
        <w:t>.</w:t>
      </w:r>
      <w:r w:rsidR="00BC4295">
        <w:rPr>
          <w:rStyle w:val="FootnoteReference"/>
        </w:rPr>
        <w:footnoteReference w:id="25"/>
      </w:r>
    </w:p>
    <w:p w:rsidR="000F6FA3" w:rsidRDefault="000F6FA3" w:rsidP="000F6FA3">
      <w:pPr>
        <w:pStyle w:val="First-LevelSubheading"/>
      </w:pPr>
      <w:r>
        <w:t>Conclusion</w:t>
      </w:r>
    </w:p>
    <w:p w:rsidR="000F6FA3" w:rsidRDefault="000F6FA3" w:rsidP="000F6FA3">
      <w:pPr>
        <w:pStyle w:val="BodyText"/>
      </w:pPr>
      <w:r w:rsidRPr="000F6FA3">
        <w:t xml:space="preserve">Based on staff’s analysis of the </w:t>
      </w:r>
      <w:r w:rsidR="0090569D">
        <w:t>C</w:t>
      </w:r>
      <w:r w:rsidR="006C4B03">
        <w:t>ompany</w:t>
      </w:r>
      <w:r w:rsidRPr="000F6FA3">
        <w:t xml:space="preserve">’s expansion projects into the City of Wauchula and the City of Arcadia, staff believes the </w:t>
      </w:r>
      <w:r w:rsidR="00BE2627">
        <w:t>C</w:t>
      </w:r>
      <w:r w:rsidR="006C4B03">
        <w:t>ompany</w:t>
      </w:r>
      <w:r w:rsidRPr="000F6FA3">
        <w:t xml:space="preserve">’s projected customer additions and costs are </w:t>
      </w:r>
      <w:r w:rsidR="00244F78">
        <w:t>appropriate for the instant case</w:t>
      </w:r>
      <w:r w:rsidRPr="000F6FA3">
        <w:t xml:space="preserve">. Therefore, staff recommends that $1,920,692 for the Wauchula and Arcadia plant additions is appropriate for inclusion in </w:t>
      </w:r>
      <w:r w:rsidR="00244F78">
        <w:t>rate base</w:t>
      </w:r>
      <w:r w:rsidRPr="000F6FA3">
        <w:t xml:space="preserve">. Additionally, staff recommends that the cost of the regulated bypass re-build also be included, resulting </w:t>
      </w:r>
      <w:r w:rsidR="00244F78">
        <w:t>in capital additions totaling</w:t>
      </w:r>
      <w:r w:rsidRPr="000F6FA3">
        <w:t xml:space="preserve"> $1,960,692 ($1,920,692 + $40,000)</w:t>
      </w:r>
      <w:r>
        <w:t>.</w:t>
      </w:r>
    </w:p>
    <w:p w:rsidR="00703A2C" w:rsidRDefault="00703A2C">
      <w:pPr>
        <w:pStyle w:val="IssueHeading"/>
        <w:rPr>
          <w:vanish/>
          <w:specVanish/>
        </w:rPr>
      </w:pPr>
      <w:r w:rsidRPr="004C3641">
        <w:rPr>
          <w:b w:val="0"/>
          <w:i w:val="0"/>
        </w:rPr>
        <w:br w:type="page"/>
      </w:r>
      <w:r w:rsidRPr="004C3641">
        <w:lastRenderedPageBreak/>
        <w:t xml:space="preserve">Issue </w:t>
      </w:r>
      <w:fldSimple w:instr=" SEQ Issue \* MERGEFORMAT ">
        <w:r w:rsidR="005A792F">
          <w:rPr>
            <w:noProof/>
          </w:rPr>
          <w:t>6</w:t>
        </w:r>
      </w:fldSimple>
      <w:r w:rsidRPr="004C3641">
        <w:t>:</w:t>
      </w:r>
      <w:r>
        <w:fldChar w:fldCharType="begin"/>
      </w:r>
      <w:r>
        <w:instrText xml:space="preserve"> TC "</w:instrText>
      </w:r>
      <w:r>
        <w:fldChar w:fldCharType="begin"/>
      </w:r>
      <w:r>
        <w:instrText xml:space="preserve"> SEQ issue \c </w:instrText>
      </w:r>
      <w:r>
        <w:fldChar w:fldCharType="separate"/>
      </w:r>
      <w:bookmarkStart w:id="19" w:name="_Toc28007715"/>
      <w:r w:rsidR="005A792F">
        <w:rPr>
          <w:noProof/>
        </w:rPr>
        <w:instrText>6</w:instrText>
      </w:r>
      <w:r>
        <w:fldChar w:fldCharType="end"/>
      </w:r>
      <w:r>
        <w:tab/>
      </w:r>
      <w:r w:rsidR="00F9101C">
        <w:instrText>Plant in Service for Projected Test year (Higgins)</w:instrText>
      </w:r>
      <w:bookmarkEnd w:id="19"/>
      <w:r>
        <w:instrText xml:space="preserve">" \l 1 </w:instrText>
      </w:r>
      <w:r>
        <w:fldChar w:fldCharType="end"/>
      </w:r>
      <w:r>
        <w:t> </w:t>
      </w:r>
    </w:p>
    <w:p w:rsidR="00703A2C" w:rsidRDefault="00703A2C">
      <w:pPr>
        <w:pStyle w:val="BodyText"/>
      </w:pPr>
      <w:r>
        <w:t> What is the appropriate amount of Plant</w:t>
      </w:r>
      <w:r w:rsidR="007F3AD6">
        <w:t xml:space="preserve"> </w:t>
      </w:r>
      <w:r>
        <w:t>in</w:t>
      </w:r>
      <w:r w:rsidR="007F3AD6">
        <w:t xml:space="preserve"> </w:t>
      </w:r>
      <w:r>
        <w:t>Service for the projected test year?</w:t>
      </w:r>
    </w:p>
    <w:p w:rsidR="00703A2C" w:rsidRPr="004C3641" w:rsidRDefault="00703A2C">
      <w:pPr>
        <w:pStyle w:val="IssueSubsectionHeading"/>
        <w:rPr>
          <w:vanish/>
          <w:specVanish/>
        </w:rPr>
      </w:pPr>
      <w:r w:rsidRPr="004C3641">
        <w:t>Recommendation: </w:t>
      </w:r>
    </w:p>
    <w:p w:rsidR="00703A2C" w:rsidRDefault="00703A2C">
      <w:pPr>
        <w:pStyle w:val="BodyText"/>
      </w:pPr>
      <w:r>
        <w:t> </w:t>
      </w:r>
      <w:r w:rsidR="00586C82" w:rsidRPr="00586C82">
        <w:t xml:space="preserve">Based upon analysis of the information filed in this proceeding, staff recommends $7,928,320 (13-month average) as the </w:t>
      </w:r>
      <w:r w:rsidR="001A3F54">
        <w:t>appropriate amount of Plant</w:t>
      </w:r>
      <w:r w:rsidR="007F3AD6">
        <w:t xml:space="preserve"> </w:t>
      </w:r>
      <w:r w:rsidR="001A3F54">
        <w:t>in</w:t>
      </w:r>
      <w:r w:rsidR="007F3AD6">
        <w:t xml:space="preserve"> </w:t>
      </w:r>
      <w:r w:rsidR="00586C82" w:rsidRPr="00586C82">
        <w:t>Service for the projected test year</w:t>
      </w:r>
      <w:r w:rsidR="00586C82">
        <w:t>.</w:t>
      </w:r>
      <w:r>
        <w:t xml:space="preserve"> (</w:t>
      </w:r>
      <w:r w:rsidR="00586C82">
        <w:t>Higgins</w:t>
      </w:r>
      <w:r>
        <w:t>)</w:t>
      </w:r>
    </w:p>
    <w:p w:rsidR="00703A2C" w:rsidRPr="004C3641" w:rsidRDefault="00703A2C">
      <w:pPr>
        <w:pStyle w:val="IssueSubsectionHeading"/>
        <w:rPr>
          <w:vanish/>
          <w:specVanish/>
        </w:rPr>
      </w:pPr>
      <w:r w:rsidRPr="004C3641">
        <w:t>Staff Analysis: </w:t>
      </w:r>
    </w:p>
    <w:p w:rsidR="00586C82" w:rsidRDefault="00703A2C" w:rsidP="00586C82">
      <w:pPr>
        <w:pStyle w:val="BodyText"/>
      </w:pPr>
      <w:r>
        <w:t> </w:t>
      </w:r>
      <w:r w:rsidR="00586C82">
        <w:t xml:space="preserve">This issue addresses Sebring’s forecasted amount of Plant in Service for the projected test year. In this case, Plant in Service can generally be described as the total installed cost of utility property that is projected to be used and useful in providing natural gas distribution service during the projected test year. </w:t>
      </w:r>
    </w:p>
    <w:p w:rsidR="00586C82" w:rsidRDefault="00586C82" w:rsidP="00586C82">
      <w:pPr>
        <w:pStyle w:val="BodyText"/>
      </w:pPr>
      <w:r>
        <w:t>The Company’s requested total amount of Plant in Service for the 2020 projected test year is $7,946,544 (13-month average).</w:t>
      </w:r>
      <w:r w:rsidR="00F44764">
        <w:rPr>
          <w:rStyle w:val="FootnoteReference"/>
        </w:rPr>
        <w:footnoteReference w:id="26"/>
      </w:r>
      <w:r>
        <w:t xml:space="preserve">  Staff is recommending the Commission find $7,928,320 (13-month average), for a difference of ($18,226), as the appropriate amount of Plant in Service for the projected test year. The difference between the two figures equals staff’s recommended adjustments to Account 376.1 - Mains – Plastic and Account 380.1 - Services – Plastic.</w:t>
      </w:r>
      <w:r w:rsidR="00F44764">
        <w:rPr>
          <w:rStyle w:val="FootnoteReference"/>
        </w:rPr>
        <w:footnoteReference w:id="27"/>
      </w:r>
      <w:r>
        <w:t xml:space="preserve">  The adjustments relate to plant items/amounts for which sufficient supporting documentation was not identified (Audit Control No. 2019-170-1-1).</w:t>
      </w:r>
      <w:r w:rsidR="00F44764">
        <w:rPr>
          <w:rStyle w:val="FootnoteReference"/>
        </w:rPr>
        <w:footnoteReference w:id="28"/>
      </w:r>
      <w:r>
        <w:t xml:space="preserve">  The corresponding proposed adjustments to Accumulated Depreciation are shown and discussed in Issue 7.</w:t>
      </w:r>
    </w:p>
    <w:p w:rsidR="00703A2C" w:rsidRDefault="00660EED" w:rsidP="00586C82">
      <w:pPr>
        <w:pStyle w:val="BodyText"/>
      </w:pPr>
      <w:r>
        <w:t>Shown i</w:t>
      </w:r>
      <w:r w:rsidR="00586C82">
        <w:t>n Table 6-1 below are the Company proposed and staff recommended projected test year plant amounts by function</w:t>
      </w:r>
      <w:r w:rsidR="00CD536C">
        <w:t>.</w:t>
      </w:r>
    </w:p>
    <w:tbl>
      <w:tblPr>
        <w:tblStyle w:val="TableGrid1"/>
        <w:tblW w:w="0" w:type="auto"/>
        <w:jc w:val="center"/>
        <w:tblLook w:val="04A0" w:firstRow="1" w:lastRow="0" w:firstColumn="1" w:lastColumn="0" w:noHBand="0" w:noVBand="1"/>
      </w:tblPr>
      <w:tblGrid>
        <w:gridCol w:w="1346"/>
        <w:gridCol w:w="2983"/>
        <w:gridCol w:w="1623"/>
        <w:gridCol w:w="1553"/>
        <w:gridCol w:w="2071"/>
      </w:tblGrid>
      <w:tr w:rsidR="00CA4789" w:rsidRPr="00CA4789" w:rsidTr="00481D16">
        <w:trPr>
          <w:tblHeader/>
          <w:jc w:val="center"/>
        </w:trPr>
        <w:tc>
          <w:tcPr>
            <w:tcW w:w="9576" w:type="dxa"/>
            <w:gridSpan w:val="5"/>
            <w:tcBorders>
              <w:top w:val="nil"/>
              <w:left w:val="nil"/>
              <w:bottom w:val="nil"/>
              <w:right w:val="nil"/>
            </w:tcBorders>
          </w:tcPr>
          <w:p w:rsidR="00CA4789" w:rsidRPr="00CA4789" w:rsidRDefault="00CA4789" w:rsidP="009F3BBC">
            <w:pPr>
              <w:pStyle w:val="TableNumber"/>
            </w:pPr>
            <w:r w:rsidRPr="00CA4789">
              <w:t>Table 6-1</w:t>
            </w:r>
          </w:p>
        </w:tc>
      </w:tr>
      <w:tr w:rsidR="00CA4789" w:rsidRPr="00CA4789" w:rsidTr="00481D16">
        <w:trPr>
          <w:tblHeader/>
          <w:jc w:val="center"/>
        </w:trPr>
        <w:tc>
          <w:tcPr>
            <w:tcW w:w="9576" w:type="dxa"/>
            <w:gridSpan w:val="5"/>
            <w:tcBorders>
              <w:top w:val="nil"/>
              <w:left w:val="nil"/>
              <w:right w:val="nil"/>
            </w:tcBorders>
          </w:tcPr>
          <w:p w:rsidR="00CA4789" w:rsidRPr="00CA4789" w:rsidRDefault="00CA4789" w:rsidP="009F3BBC">
            <w:pPr>
              <w:pStyle w:val="TableTitle"/>
            </w:pPr>
            <w:r w:rsidRPr="00CA4789">
              <w:t>Proposed Projected Test Year (PTY) Plant in Service Amounts</w:t>
            </w:r>
          </w:p>
        </w:tc>
      </w:tr>
      <w:tr w:rsidR="00CA4789" w:rsidRPr="00CA4789" w:rsidTr="00481D16">
        <w:trPr>
          <w:tblHeader/>
          <w:jc w:val="center"/>
        </w:trPr>
        <w:tc>
          <w:tcPr>
            <w:tcW w:w="1346" w:type="dxa"/>
            <w:vAlign w:val="center"/>
          </w:tcPr>
          <w:p w:rsidR="00CA4789" w:rsidRPr="00CA4789" w:rsidRDefault="00CA4789" w:rsidP="00CA4789">
            <w:pPr>
              <w:jc w:val="center"/>
              <w:rPr>
                <w:color w:val="000000"/>
                <w:sz w:val="22"/>
                <w:szCs w:val="22"/>
              </w:rPr>
            </w:pPr>
            <w:r w:rsidRPr="00CA4789">
              <w:rPr>
                <w:b/>
              </w:rPr>
              <w:t>Plant Accounts</w:t>
            </w:r>
          </w:p>
        </w:tc>
        <w:tc>
          <w:tcPr>
            <w:tcW w:w="2983" w:type="dxa"/>
            <w:vAlign w:val="center"/>
          </w:tcPr>
          <w:p w:rsidR="00CA4789" w:rsidRPr="00CA4789" w:rsidRDefault="00CA4789" w:rsidP="00CA4789">
            <w:pPr>
              <w:jc w:val="center"/>
              <w:rPr>
                <w:b/>
                <w:color w:val="000000"/>
              </w:rPr>
            </w:pPr>
            <w:r w:rsidRPr="00CA4789">
              <w:rPr>
                <w:b/>
                <w:color w:val="000000"/>
              </w:rPr>
              <w:t>Plant Group Classification</w:t>
            </w:r>
          </w:p>
        </w:tc>
        <w:tc>
          <w:tcPr>
            <w:tcW w:w="1623" w:type="dxa"/>
            <w:vAlign w:val="center"/>
          </w:tcPr>
          <w:p w:rsidR="00CA4789" w:rsidRPr="00CA4789" w:rsidRDefault="00CA4789" w:rsidP="00CA4789">
            <w:pPr>
              <w:jc w:val="center"/>
              <w:rPr>
                <w:b/>
              </w:rPr>
            </w:pPr>
            <w:r w:rsidRPr="00CA4789">
              <w:rPr>
                <w:b/>
              </w:rPr>
              <w:t>Sebring</w:t>
            </w:r>
          </w:p>
          <w:p w:rsidR="00CA4789" w:rsidRPr="00CA4789" w:rsidRDefault="00CA4789" w:rsidP="00CA4789">
            <w:pPr>
              <w:jc w:val="center"/>
              <w:rPr>
                <w:b/>
              </w:rPr>
            </w:pPr>
            <w:r w:rsidRPr="00CA4789">
              <w:rPr>
                <w:b/>
              </w:rPr>
              <w:t>PTY</w:t>
            </w:r>
          </w:p>
          <w:p w:rsidR="00CA4789" w:rsidRPr="00CA4789" w:rsidRDefault="00CA4789" w:rsidP="00CA4789">
            <w:pPr>
              <w:jc w:val="center"/>
              <w:rPr>
                <w:color w:val="000000"/>
                <w:sz w:val="22"/>
                <w:szCs w:val="22"/>
              </w:rPr>
            </w:pPr>
            <w:r w:rsidRPr="00CA4789">
              <w:rPr>
                <w:b/>
              </w:rPr>
              <w:t>13-Month Average</w:t>
            </w:r>
          </w:p>
        </w:tc>
        <w:tc>
          <w:tcPr>
            <w:tcW w:w="1553" w:type="dxa"/>
            <w:vAlign w:val="center"/>
          </w:tcPr>
          <w:p w:rsidR="00CA4789" w:rsidRPr="00CA4789" w:rsidRDefault="00CA4789" w:rsidP="00CA4789">
            <w:pPr>
              <w:jc w:val="center"/>
              <w:rPr>
                <w:color w:val="000000"/>
                <w:sz w:val="22"/>
                <w:szCs w:val="22"/>
              </w:rPr>
            </w:pPr>
            <w:r w:rsidRPr="00CA4789">
              <w:rPr>
                <w:b/>
              </w:rPr>
              <w:t>Proposed Staff Adjustment</w:t>
            </w:r>
          </w:p>
        </w:tc>
        <w:tc>
          <w:tcPr>
            <w:tcW w:w="2071" w:type="dxa"/>
            <w:vAlign w:val="center"/>
          </w:tcPr>
          <w:p w:rsidR="00CA4789" w:rsidRPr="00CA4789" w:rsidRDefault="00CA4789" w:rsidP="00CA4789">
            <w:pPr>
              <w:jc w:val="center"/>
              <w:rPr>
                <w:b/>
              </w:rPr>
            </w:pPr>
            <w:r w:rsidRPr="00CA4789">
              <w:rPr>
                <w:b/>
              </w:rPr>
              <w:t>Staff Recommended</w:t>
            </w:r>
          </w:p>
          <w:p w:rsidR="00CA4789" w:rsidRPr="00CA4789" w:rsidRDefault="00CA4789" w:rsidP="00CA4789">
            <w:pPr>
              <w:jc w:val="center"/>
              <w:rPr>
                <w:b/>
              </w:rPr>
            </w:pPr>
            <w:r w:rsidRPr="00CA4789">
              <w:rPr>
                <w:b/>
              </w:rPr>
              <w:t>PTY</w:t>
            </w:r>
          </w:p>
          <w:p w:rsidR="00CA4789" w:rsidRPr="00CA4789" w:rsidRDefault="00CA4789" w:rsidP="00CA4789">
            <w:pPr>
              <w:jc w:val="center"/>
              <w:rPr>
                <w:color w:val="000000"/>
                <w:sz w:val="22"/>
                <w:szCs w:val="22"/>
              </w:rPr>
            </w:pPr>
            <w:r w:rsidRPr="00CA4789">
              <w:rPr>
                <w:b/>
              </w:rPr>
              <w:t>13-Month Average</w:t>
            </w:r>
          </w:p>
        </w:tc>
      </w:tr>
      <w:tr w:rsidR="00CA4789" w:rsidRPr="00CA4789" w:rsidTr="00481D16">
        <w:trPr>
          <w:jc w:val="center"/>
        </w:trPr>
        <w:tc>
          <w:tcPr>
            <w:tcW w:w="1346" w:type="dxa"/>
            <w:vAlign w:val="bottom"/>
          </w:tcPr>
          <w:p w:rsidR="00CA4789" w:rsidRPr="00CA4789" w:rsidRDefault="00CA4789" w:rsidP="00CA4789">
            <w:pPr>
              <w:rPr>
                <w:color w:val="000000"/>
              </w:rPr>
            </w:pPr>
            <w:r w:rsidRPr="00CA4789">
              <w:rPr>
                <w:color w:val="000000"/>
              </w:rPr>
              <w:t>301-302</w:t>
            </w:r>
          </w:p>
        </w:tc>
        <w:tc>
          <w:tcPr>
            <w:tcW w:w="2983" w:type="dxa"/>
            <w:vAlign w:val="bottom"/>
          </w:tcPr>
          <w:p w:rsidR="00CA4789" w:rsidRPr="00CA4789" w:rsidRDefault="00CA4789" w:rsidP="00CA4789">
            <w:pPr>
              <w:rPr>
                <w:color w:val="000000"/>
              </w:rPr>
            </w:pPr>
            <w:r w:rsidRPr="00CA4789">
              <w:rPr>
                <w:color w:val="000000"/>
              </w:rPr>
              <w:t>Intangible Plant</w:t>
            </w:r>
          </w:p>
        </w:tc>
        <w:tc>
          <w:tcPr>
            <w:tcW w:w="1623" w:type="dxa"/>
          </w:tcPr>
          <w:p w:rsidR="00CA4789" w:rsidRPr="00CA4789" w:rsidRDefault="00CA4789" w:rsidP="00CA4789">
            <w:pPr>
              <w:jc w:val="right"/>
            </w:pPr>
            <w:r w:rsidRPr="00CA4789">
              <w:t xml:space="preserve">$131,409 </w:t>
            </w:r>
          </w:p>
        </w:tc>
        <w:tc>
          <w:tcPr>
            <w:tcW w:w="1553" w:type="dxa"/>
          </w:tcPr>
          <w:p w:rsidR="00CA4789" w:rsidRPr="00CA4789" w:rsidRDefault="00CA4789" w:rsidP="00CA4789">
            <w:pPr>
              <w:jc w:val="right"/>
            </w:pPr>
            <w:r w:rsidRPr="00CA4789">
              <w:t xml:space="preserve">$0 </w:t>
            </w:r>
          </w:p>
        </w:tc>
        <w:tc>
          <w:tcPr>
            <w:tcW w:w="2071" w:type="dxa"/>
          </w:tcPr>
          <w:p w:rsidR="00CA4789" w:rsidRPr="00CA4789" w:rsidRDefault="00CA4789" w:rsidP="00CA4789">
            <w:pPr>
              <w:jc w:val="right"/>
            </w:pPr>
            <w:r w:rsidRPr="00CA4789">
              <w:t xml:space="preserve">$131,409 </w:t>
            </w:r>
          </w:p>
        </w:tc>
      </w:tr>
      <w:tr w:rsidR="00CA4789" w:rsidRPr="00CA4789" w:rsidTr="00481D16">
        <w:trPr>
          <w:jc w:val="center"/>
        </w:trPr>
        <w:tc>
          <w:tcPr>
            <w:tcW w:w="1346" w:type="dxa"/>
            <w:vAlign w:val="bottom"/>
          </w:tcPr>
          <w:p w:rsidR="00CA4789" w:rsidRPr="00CA4789" w:rsidRDefault="00CA4789" w:rsidP="00CA4789">
            <w:pPr>
              <w:rPr>
                <w:color w:val="000000"/>
              </w:rPr>
            </w:pPr>
            <w:r w:rsidRPr="00CA4789">
              <w:rPr>
                <w:color w:val="000000"/>
              </w:rPr>
              <w:t>374-387</w:t>
            </w:r>
          </w:p>
        </w:tc>
        <w:tc>
          <w:tcPr>
            <w:tcW w:w="2983" w:type="dxa"/>
            <w:vAlign w:val="bottom"/>
          </w:tcPr>
          <w:p w:rsidR="00CA4789" w:rsidRPr="00CA4789" w:rsidRDefault="00CA4789" w:rsidP="00CA4789">
            <w:pPr>
              <w:rPr>
                <w:color w:val="000000"/>
              </w:rPr>
            </w:pPr>
            <w:r w:rsidRPr="00CA4789">
              <w:rPr>
                <w:color w:val="000000"/>
              </w:rPr>
              <w:t>Distribution Plant</w:t>
            </w:r>
          </w:p>
        </w:tc>
        <w:tc>
          <w:tcPr>
            <w:tcW w:w="1623" w:type="dxa"/>
          </w:tcPr>
          <w:p w:rsidR="00CA4789" w:rsidRPr="00CA4789" w:rsidRDefault="00CA4789" w:rsidP="00CA4789">
            <w:pPr>
              <w:jc w:val="right"/>
            </w:pPr>
            <w:r w:rsidRPr="00CA4789">
              <w:t xml:space="preserve">7,306,846 </w:t>
            </w:r>
          </w:p>
        </w:tc>
        <w:tc>
          <w:tcPr>
            <w:tcW w:w="1553" w:type="dxa"/>
          </w:tcPr>
          <w:p w:rsidR="00CA4789" w:rsidRPr="00CA4789" w:rsidRDefault="00CA4789" w:rsidP="00CA4789">
            <w:pPr>
              <w:jc w:val="right"/>
            </w:pPr>
            <w:r w:rsidRPr="00CA4789">
              <w:t>(18,226)</w:t>
            </w:r>
          </w:p>
        </w:tc>
        <w:tc>
          <w:tcPr>
            <w:tcW w:w="2071" w:type="dxa"/>
          </w:tcPr>
          <w:p w:rsidR="00CA4789" w:rsidRPr="00CA4789" w:rsidRDefault="00CA4789" w:rsidP="00CA4789">
            <w:pPr>
              <w:jc w:val="right"/>
            </w:pPr>
            <w:r w:rsidRPr="00CA4789">
              <w:t xml:space="preserve">7,288,620 </w:t>
            </w:r>
          </w:p>
        </w:tc>
      </w:tr>
      <w:tr w:rsidR="00CA4789" w:rsidRPr="00CA4789" w:rsidTr="00481D16">
        <w:trPr>
          <w:jc w:val="center"/>
        </w:trPr>
        <w:tc>
          <w:tcPr>
            <w:tcW w:w="1346" w:type="dxa"/>
            <w:vAlign w:val="bottom"/>
          </w:tcPr>
          <w:p w:rsidR="00CA4789" w:rsidRPr="00CA4789" w:rsidRDefault="00CA4789" w:rsidP="00CA4789">
            <w:pPr>
              <w:rPr>
                <w:color w:val="000000"/>
              </w:rPr>
            </w:pPr>
            <w:r w:rsidRPr="00CA4789">
              <w:rPr>
                <w:color w:val="000000"/>
              </w:rPr>
              <w:t>390-397</w:t>
            </w:r>
          </w:p>
        </w:tc>
        <w:tc>
          <w:tcPr>
            <w:tcW w:w="2983" w:type="dxa"/>
            <w:vAlign w:val="bottom"/>
          </w:tcPr>
          <w:p w:rsidR="00CA4789" w:rsidRPr="00CA4789" w:rsidRDefault="00CA4789" w:rsidP="00CA4789">
            <w:pPr>
              <w:rPr>
                <w:color w:val="000000"/>
              </w:rPr>
            </w:pPr>
            <w:r w:rsidRPr="00CA4789">
              <w:rPr>
                <w:color w:val="000000"/>
              </w:rPr>
              <w:t xml:space="preserve">General Plant </w:t>
            </w:r>
          </w:p>
        </w:tc>
        <w:tc>
          <w:tcPr>
            <w:tcW w:w="1623" w:type="dxa"/>
          </w:tcPr>
          <w:p w:rsidR="00CA4789" w:rsidRPr="00CA4789" w:rsidRDefault="00CA4789" w:rsidP="00CA4789">
            <w:pPr>
              <w:jc w:val="right"/>
              <w:rPr>
                <w:u w:val="single"/>
              </w:rPr>
            </w:pPr>
            <w:r w:rsidRPr="00CA4789">
              <w:rPr>
                <w:u w:val="single"/>
              </w:rPr>
              <w:t xml:space="preserve">508,289 </w:t>
            </w:r>
          </w:p>
        </w:tc>
        <w:tc>
          <w:tcPr>
            <w:tcW w:w="1553" w:type="dxa"/>
          </w:tcPr>
          <w:p w:rsidR="00CA4789" w:rsidRPr="00CA4789" w:rsidRDefault="00CA4789" w:rsidP="00CA4789">
            <w:pPr>
              <w:jc w:val="right"/>
              <w:rPr>
                <w:u w:val="single"/>
              </w:rPr>
            </w:pPr>
            <w:r w:rsidRPr="00CA4789">
              <w:rPr>
                <w:u w:val="single"/>
              </w:rPr>
              <w:t xml:space="preserve">0 </w:t>
            </w:r>
          </w:p>
        </w:tc>
        <w:tc>
          <w:tcPr>
            <w:tcW w:w="2071" w:type="dxa"/>
          </w:tcPr>
          <w:p w:rsidR="00CA4789" w:rsidRPr="00CA4789" w:rsidRDefault="00CA4789" w:rsidP="00CA4789">
            <w:pPr>
              <w:jc w:val="right"/>
              <w:rPr>
                <w:u w:val="single"/>
              </w:rPr>
            </w:pPr>
            <w:r w:rsidRPr="00CA4789">
              <w:rPr>
                <w:u w:val="single"/>
              </w:rPr>
              <w:t xml:space="preserve">508,289 </w:t>
            </w:r>
          </w:p>
        </w:tc>
      </w:tr>
      <w:tr w:rsidR="00CA4789" w:rsidRPr="00CA4789" w:rsidTr="00481D16">
        <w:trPr>
          <w:jc w:val="center"/>
        </w:trPr>
        <w:tc>
          <w:tcPr>
            <w:tcW w:w="4329" w:type="dxa"/>
            <w:gridSpan w:val="2"/>
            <w:vAlign w:val="bottom"/>
          </w:tcPr>
          <w:p w:rsidR="00CA4789" w:rsidRPr="00CA4789" w:rsidRDefault="00CA4789" w:rsidP="00CA4789">
            <w:pPr>
              <w:jc w:val="right"/>
              <w:rPr>
                <w:b/>
                <w:color w:val="000000"/>
                <w:sz w:val="22"/>
                <w:szCs w:val="22"/>
              </w:rPr>
            </w:pPr>
            <w:r w:rsidRPr="00CA4789">
              <w:rPr>
                <w:b/>
                <w:color w:val="000000"/>
                <w:sz w:val="22"/>
                <w:szCs w:val="22"/>
              </w:rPr>
              <w:t>Total*</w:t>
            </w:r>
          </w:p>
        </w:tc>
        <w:tc>
          <w:tcPr>
            <w:tcW w:w="1623" w:type="dxa"/>
          </w:tcPr>
          <w:p w:rsidR="00CA4789" w:rsidRPr="00CA4789" w:rsidRDefault="00CA4789" w:rsidP="00CA4789">
            <w:pPr>
              <w:jc w:val="right"/>
              <w:rPr>
                <w:color w:val="000000"/>
                <w:u w:val="double"/>
              </w:rPr>
            </w:pPr>
            <w:r w:rsidRPr="00CA4789">
              <w:rPr>
                <w:color w:val="000000"/>
                <w:u w:val="double"/>
              </w:rPr>
              <w:t xml:space="preserve">$7,946,544 </w:t>
            </w:r>
          </w:p>
        </w:tc>
        <w:tc>
          <w:tcPr>
            <w:tcW w:w="1553" w:type="dxa"/>
          </w:tcPr>
          <w:p w:rsidR="00CA4789" w:rsidRPr="00CA4789" w:rsidRDefault="00CA4789" w:rsidP="00CA4789">
            <w:pPr>
              <w:jc w:val="right"/>
              <w:rPr>
                <w:u w:val="double"/>
              </w:rPr>
            </w:pPr>
            <w:r w:rsidRPr="00CA4789">
              <w:rPr>
                <w:u w:val="double"/>
              </w:rPr>
              <w:t>($18,226)</w:t>
            </w:r>
          </w:p>
        </w:tc>
        <w:tc>
          <w:tcPr>
            <w:tcW w:w="2071" w:type="dxa"/>
          </w:tcPr>
          <w:p w:rsidR="00CA4789" w:rsidRPr="00CA4789" w:rsidRDefault="00CA4789" w:rsidP="00CA4789">
            <w:pPr>
              <w:jc w:val="right"/>
              <w:rPr>
                <w:u w:val="double"/>
              </w:rPr>
            </w:pPr>
            <w:r w:rsidRPr="00CA4789">
              <w:rPr>
                <w:u w:val="double"/>
              </w:rPr>
              <w:t xml:space="preserve">$7,928,320 </w:t>
            </w:r>
          </w:p>
        </w:tc>
      </w:tr>
    </w:tbl>
    <w:p w:rsidR="00A1196F" w:rsidRDefault="00A1196F" w:rsidP="00A1196F">
      <w:pPr>
        <w:pStyle w:val="TableSource"/>
        <w:spacing w:after="0"/>
      </w:pPr>
      <w:r>
        <w:t xml:space="preserve">Source: </w:t>
      </w:r>
      <w:r w:rsidRPr="00A1196F">
        <w:t xml:space="preserve">Sebring’s proposed PTY </w:t>
      </w:r>
      <w:r w:rsidR="00A31F65">
        <w:t>Plant in Service</w:t>
      </w:r>
      <w:r w:rsidRPr="00A1196F">
        <w:t xml:space="preserve"> amounts as shown on MFR Schedule G1-1</w:t>
      </w:r>
      <w:r w:rsidR="00A31F65">
        <w:t>0</w:t>
      </w:r>
      <w:r w:rsidRPr="00A1196F">
        <w:t xml:space="preserve"> (revised)</w:t>
      </w:r>
      <w:r>
        <w:t>.</w:t>
      </w:r>
    </w:p>
    <w:p w:rsidR="00A1196F" w:rsidRDefault="00A1196F" w:rsidP="00A1196F">
      <w:pPr>
        <w:pStyle w:val="BodyText"/>
      </w:pPr>
      <w:r>
        <w:t>*May not sum due to rounding</w:t>
      </w:r>
      <w:r w:rsidR="00B31CAD">
        <w:t>.</w:t>
      </w:r>
    </w:p>
    <w:p w:rsidR="009F3BBC" w:rsidRPr="00A1196F" w:rsidRDefault="009F3BBC" w:rsidP="00A1196F">
      <w:pPr>
        <w:pStyle w:val="BodyText"/>
      </w:pPr>
    </w:p>
    <w:p w:rsidR="00481D16" w:rsidRDefault="00481D16" w:rsidP="00481D16">
      <w:pPr>
        <w:pStyle w:val="First-LevelSubheading"/>
      </w:pPr>
      <w:r>
        <w:lastRenderedPageBreak/>
        <w:t>Conclusion</w:t>
      </w:r>
    </w:p>
    <w:p w:rsidR="00481D16" w:rsidRPr="00481D16" w:rsidRDefault="00481D16" w:rsidP="00481D16">
      <w:pPr>
        <w:pStyle w:val="BodyText"/>
      </w:pPr>
      <w:r w:rsidRPr="00481D16">
        <w:t>Based upon analysis of the information filed in this proceeding, staff recommends $7,928,320 (13-month average) as the appropriate amount of Plant in Service for the projected test year</w:t>
      </w:r>
      <w:r>
        <w:t>.</w:t>
      </w:r>
    </w:p>
    <w:p w:rsidR="00703A2C" w:rsidRDefault="00703A2C">
      <w:pPr>
        <w:pStyle w:val="IssueHeading"/>
        <w:rPr>
          <w:vanish/>
          <w:specVanish/>
        </w:rPr>
      </w:pPr>
      <w:r w:rsidRPr="004C3641">
        <w:rPr>
          <w:b w:val="0"/>
          <w:i w:val="0"/>
        </w:rPr>
        <w:br w:type="page"/>
      </w:r>
      <w:r w:rsidRPr="004C3641">
        <w:lastRenderedPageBreak/>
        <w:t xml:space="preserve">Issue </w:t>
      </w:r>
      <w:fldSimple w:instr=" SEQ Issue \* MERGEFORMAT ">
        <w:r w:rsidR="005A792F">
          <w:rPr>
            <w:noProof/>
          </w:rPr>
          <w:t>7</w:t>
        </w:r>
      </w:fldSimple>
      <w:r w:rsidRPr="004C3641">
        <w:t>:</w:t>
      </w:r>
      <w:r>
        <w:fldChar w:fldCharType="begin"/>
      </w:r>
      <w:r>
        <w:instrText xml:space="preserve"> TC "</w:instrText>
      </w:r>
      <w:r>
        <w:fldChar w:fldCharType="begin"/>
      </w:r>
      <w:r>
        <w:instrText xml:space="preserve"> SEQ issue \c </w:instrText>
      </w:r>
      <w:r>
        <w:fldChar w:fldCharType="separate"/>
      </w:r>
      <w:bookmarkStart w:id="20" w:name="_Toc28007716"/>
      <w:r w:rsidR="005A792F">
        <w:rPr>
          <w:noProof/>
        </w:rPr>
        <w:instrText>7</w:instrText>
      </w:r>
      <w:r>
        <w:fldChar w:fldCharType="end"/>
      </w:r>
      <w:r>
        <w:tab/>
      </w:r>
      <w:r w:rsidR="000F73A9">
        <w:instrText>Test Year Accumulated Depreciation (Higgins)</w:instrText>
      </w:r>
      <w:bookmarkEnd w:id="20"/>
      <w:r>
        <w:instrText xml:space="preserve">" \l 1 </w:instrText>
      </w:r>
      <w:r>
        <w:fldChar w:fldCharType="end"/>
      </w:r>
      <w:r>
        <w:t> </w:t>
      </w:r>
    </w:p>
    <w:p w:rsidR="00703A2C" w:rsidRDefault="00703A2C">
      <w:pPr>
        <w:pStyle w:val="BodyText"/>
      </w:pPr>
      <w:r>
        <w:t> What is the appropriate amount of Accumulated Depreciation for the projected test year?</w:t>
      </w:r>
    </w:p>
    <w:p w:rsidR="00703A2C" w:rsidRPr="004C3641" w:rsidRDefault="00703A2C">
      <w:pPr>
        <w:pStyle w:val="IssueSubsectionHeading"/>
        <w:rPr>
          <w:vanish/>
          <w:specVanish/>
        </w:rPr>
      </w:pPr>
      <w:r w:rsidRPr="004C3641">
        <w:t>Recommendation: </w:t>
      </w:r>
    </w:p>
    <w:p w:rsidR="00703A2C" w:rsidRDefault="00703A2C">
      <w:pPr>
        <w:pStyle w:val="BodyText"/>
      </w:pPr>
      <w:r>
        <w:t> </w:t>
      </w:r>
      <w:r w:rsidR="00252424" w:rsidRPr="00252424">
        <w:t>Based upon analysis of the information filed in this proceeding, staff recommends $3,041,557 (13-month average) as the appropriate amount of Accumulated Depreciation for the projected test year</w:t>
      </w:r>
      <w:r w:rsidR="00252424">
        <w:t>.</w:t>
      </w:r>
      <w:r>
        <w:t xml:space="preserve"> (Higgins)</w:t>
      </w:r>
    </w:p>
    <w:p w:rsidR="00703A2C" w:rsidRPr="004C3641" w:rsidRDefault="00703A2C">
      <w:pPr>
        <w:pStyle w:val="IssueSubsectionHeading"/>
        <w:rPr>
          <w:vanish/>
          <w:specVanish/>
        </w:rPr>
      </w:pPr>
      <w:r w:rsidRPr="004C3641">
        <w:t>Staff Analysis: </w:t>
      </w:r>
    </w:p>
    <w:p w:rsidR="00A21216" w:rsidRDefault="00703A2C" w:rsidP="00A21216">
      <w:pPr>
        <w:pStyle w:val="BodyText"/>
      </w:pPr>
      <w:r>
        <w:t> </w:t>
      </w:r>
      <w:r w:rsidR="00A21216">
        <w:t xml:space="preserve">This issue addresses Sebring’s forecasted amount of Accumulated Depreciation for the projected test year. Accumulated Depreciation can generally be described as the amount of capital recovered through depreciation expense. Accumulated </w:t>
      </w:r>
      <w:r w:rsidR="00124C53">
        <w:t>D</w:t>
      </w:r>
      <w:r w:rsidR="00A21216">
        <w:t>epreciation represents the measure/degree of capital recovery and is subtracted from gross plant (</w:t>
      </w:r>
      <w:r w:rsidR="00124C53">
        <w:t xml:space="preserve">the </w:t>
      </w:r>
      <w:r w:rsidR="00A21216">
        <w:t xml:space="preserve">difference of which represents net plant). </w:t>
      </w:r>
    </w:p>
    <w:p w:rsidR="00A21216" w:rsidRDefault="00A21216" w:rsidP="00A21216">
      <w:pPr>
        <w:pStyle w:val="BodyText"/>
      </w:pPr>
      <w:r>
        <w:t>The Company’s requested total amount of Accumulated Depreciation for the Projected Test Year is $3,036,771 (13-month average).</w:t>
      </w:r>
      <w:r>
        <w:rPr>
          <w:rStyle w:val="FootnoteReference"/>
        </w:rPr>
        <w:footnoteReference w:id="29"/>
      </w:r>
      <w:r>
        <w:t xml:space="preserve">  Staff is recommending the Commission find $3,041,557 (13-month average), for a difference of $4,787, as the appropriate amount. The difference between the two figures equals staff’s recommended adjustments to Account 376.1 - Mains – Plastic, Account 380.1 - Services – Plastic, and Account 392 - Transportation Equipment – Light Trucks. The adjustments relate to plant </w:t>
      </w:r>
      <w:r w:rsidR="008326CE">
        <w:t xml:space="preserve">and reserve </w:t>
      </w:r>
      <w:r>
        <w:t>amounts for which sufficient supporting documentation was not identified (Audit Control No. 2019-170-1-1).</w:t>
      </w:r>
      <w:r>
        <w:rPr>
          <w:rStyle w:val="FootnoteReference"/>
        </w:rPr>
        <w:footnoteReference w:id="30"/>
      </w:r>
      <w:r>
        <w:t xml:space="preserve">  </w:t>
      </w:r>
    </w:p>
    <w:p w:rsidR="00A21216" w:rsidRDefault="00A21216" w:rsidP="00A21216">
      <w:pPr>
        <w:pStyle w:val="BodyText"/>
      </w:pPr>
      <w:r>
        <w:t xml:space="preserve">Further, Sebring, through Document No. 10856-2019, adjusted (from its </w:t>
      </w:r>
      <w:r w:rsidR="00B226E9">
        <w:t>petition</w:t>
      </w:r>
      <w:r>
        <w:t xml:space="preserve"> as originally filed) Account 301 - Organizational Costs by ($4,400) due to an over-accrual which occurred in December 2019. The December 2019 accrual should have been $400, rather than the $4,800 that was booked. The adjustment results in a beginning 13-month average (December 2019) amount of Accumulated Depreciation and Amortization for Account 301 - Organizational Costs of $108,602. </w:t>
      </w:r>
    </w:p>
    <w:p w:rsidR="00703A2C" w:rsidRDefault="00A21216" w:rsidP="00A21216">
      <w:pPr>
        <w:pStyle w:val="BodyText"/>
      </w:pPr>
      <w:r>
        <w:t xml:space="preserve">Shown </w:t>
      </w:r>
      <w:r w:rsidR="00E61E85">
        <w:t>i</w:t>
      </w:r>
      <w:r>
        <w:t>n Table 7-1 below are the Company</w:t>
      </w:r>
      <w:r w:rsidR="00E61E85">
        <w:t>’s</w:t>
      </w:r>
      <w:r>
        <w:t xml:space="preserve"> proposed and staff</w:t>
      </w:r>
      <w:r w:rsidR="00E61E85">
        <w:t>’s</w:t>
      </w:r>
      <w:r>
        <w:t xml:space="preserve"> recommended projected test year Accumulated Depreciation amounts by function.</w:t>
      </w:r>
    </w:p>
    <w:p w:rsidR="009F3BBC" w:rsidRDefault="009F3BBC" w:rsidP="00A21216">
      <w:pPr>
        <w:pStyle w:val="BodyText"/>
      </w:pPr>
    </w:p>
    <w:p w:rsidR="009F3BBC" w:rsidRDefault="009F3BBC" w:rsidP="00A21216">
      <w:pPr>
        <w:pStyle w:val="BodyText"/>
      </w:pPr>
    </w:p>
    <w:p w:rsidR="009F3BBC" w:rsidRDefault="009F3BBC" w:rsidP="00A21216">
      <w:pPr>
        <w:pStyle w:val="BodyText"/>
      </w:pPr>
    </w:p>
    <w:p w:rsidR="009F3BBC" w:rsidRDefault="009F3BBC" w:rsidP="00A21216">
      <w:pPr>
        <w:pStyle w:val="BodyText"/>
      </w:pPr>
    </w:p>
    <w:p w:rsidR="009F3BBC" w:rsidRDefault="009F3BBC" w:rsidP="00A21216">
      <w:pPr>
        <w:pStyle w:val="BodyText"/>
      </w:pPr>
    </w:p>
    <w:p w:rsidR="009F3BBC" w:rsidRDefault="009F3BBC" w:rsidP="00A21216">
      <w:pPr>
        <w:pStyle w:val="BodyText"/>
      </w:pPr>
    </w:p>
    <w:tbl>
      <w:tblPr>
        <w:tblStyle w:val="TableGrid2"/>
        <w:tblW w:w="0" w:type="auto"/>
        <w:jc w:val="center"/>
        <w:tblLook w:val="04A0" w:firstRow="1" w:lastRow="0" w:firstColumn="1" w:lastColumn="0" w:noHBand="0" w:noVBand="1"/>
      </w:tblPr>
      <w:tblGrid>
        <w:gridCol w:w="1353"/>
        <w:gridCol w:w="3061"/>
        <w:gridCol w:w="1641"/>
        <w:gridCol w:w="1560"/>
        <w:gridCol w:w="1961"/>
      </w:tblGrid>
      <w:tr w:rsidR="00A31F65" w:rsidRPr="00A31F65" w:rsidTr="009F3BBC">
        <w:trPr>
          <w:trHeight w:hRule="exact" w:val="747"/>
          <w:tblHeader/>
          <w:jc w:val="center"/>
        </w:trPr>
        <w:tc>
          <w:tcPr>
            <w:tcW w:w="9681" w:type="dxa"/>
            <w:gridSpan w:val="5"/>
            <w:tcBorders>
              <w:top w:val="nil"/>
              <w:left w:val="nil"/>
              <w:bottom w:val="nil"/>
              <w:right w:val="nil"/>
            </w:tcBorders>
            <w:vAlign w:val="center"/>
          </w:tcPr>
          <w:p w:rsidR="00A31F65" w:rsidRPr="00A31F65" w:rsidRDefault="00A31F65" w:rsidP="009F3BBC">
            <w:pPr>
              <w:pStyle w:val="TableNumber"/>
            </w:pPr>
            <w:r w:rsidRPr="00A31F65">
              <w:lastRenderedPageBreak/>
              <w:t>Table 7-1</w:t>
            </w:r>
          </w:p>
        </w:tc>
      </w:tr>
      <w:tr w:rsidR="00A31F65" w:rsidRPr="00A31F65" w:rsidTr="00A31F65">
        <w:trPr>
          <w:trHeight w:hRule="exact" w:val="288"/>
          <w:tblHeader/>
          <w:jc w:val="center"/>
        </w:trPr>
        <w:tc>
          <w:tcPr>
            <w:tcW w:w="9681" w:type="dxa"/>
            <w:gridSpan w:val="5"/>
            <w:tcBorders>
              <w:top w:val="nil"/>
              <w:left w:val="nil"/>
              <w:right w:val="nil"/>
            </w:tcBorders>
            <w:vAlign w:val="center"/>
          </w:tcPr>
          <w:p w:rsidR="00A31F65" w:rsidRPr="00A31F65" w:rsidRDefault="00A31F65" w:rsidP="009F3BBC">
            <w:pPr>
              <w:pStyle w:val="TableTitle"/>
            </w:pPr>
            <w:r w:rsidRPr="00A31F65">
              <w:t>Proposed Projected Test Year (PTY) Accumulated Depreciation Amounts</w:t>
            </w:r>
          </w:p>
        </w:tc>
      </w:tr>
      <w:tr w:rsidR="00A31F65" w:rsidRPr="00A31F65" w:rsidTr="00A31F65">
        <w:trPr>
          <w:tblHeader/>
          <w:jc w:val="center"/>
        </w:trPr>
        <w:tc>
          <w:tcPr>
            <w:tcW w:w="1362" w:type="dxa"/>
            <w:vAlign w:val="center"/>
          </w:tcPr>
          <w:p w:rsidR="00A31F65" w:rsidRPr="00A31F65" w:rsidRDefault="00A31F65" w:rsidP="00A31F65">
            <w:pPr>
              <w:jc w:val="center"/>
              <w:rPr>
                <w:color w:val="000000"/>
                <w:sz w:val="22"/>
                <w:szCs w:val="22"/>
              </w:rPr>
            </w:pPr>
            <w:r w:rsidRPr="00A31F65">
              <w:rPr>
                <w:b/>
              </w:rPr>
              <w:t>Plant Accounts</w:t>
            </w:r>
          </w:p>
        </w:tc>
        <w:tc>
          <w:tcPr>
            <w:tcW w:w="3126" w:type="dxa"/>
            <w:vAlign w:val="center"/>
          </w:tcPr>
          <w:p w:rsidR="00A31F65" w:rsidRPr="00A31F65" w:rsidRDefault="00A31F65" w:rsidP="00A31F65">
            <w:pPr>
              <w:jc w:val="center"/>
              <w:rPr>
                <w:b/>
                <w:color w:val="000000"/>
              </w:rPr>
            </w:pPr>
            <w:r w:rsidRPr="00A31F65">
              <w:rPr>
                <w:b/>
                <w:color w:val="000000"/>
              </w:rPr>
              <w:t>Plant Group Classification</w:t>
            </w:r>
          </w:p>
        </w:tc>
        <w:tc>
          <w:tcPr>
            <w:tcW w:w="1656" w:type="dxa"/>
            <w:vAlign w:val="center"/>
          </w:tcPr>
          <w:p w:rsidR="00A31F65" w:rsidRPr="00A31F65" w:rsidRDefault="00A31F65" w:rsidP="00A31F65">
            <w:pPr>
              <w:jc w:val="center"/>
              <w:rPr>
                <w:b/>
              </w:rPr>
            </w:pPr>
            <w:r w:rsidRPr="00A31F65">
              <w:rPr>
                <w:b/>
              </w:rPr>
              <w:t>Sebring</w:t>
            </w:r>
          </w:p>
          <w:p w:rsidR="00A31F65" w:rsidRPr="00A31F65" w:rsidRDefault="00A31F65" w:rsidP="00A31F65">
            <w:pPr>
              <w:jc w:val="center"/>
              <w:rPr>
                <w:b/>
              </w:rPr>
            </w:pPr>
            <w:r w:rsidRPr="00A31F65">
              <w:rPr>
                <w:b/>
              </w:rPr>
              <w:t>PTY</w:t>
            </w:r>
          </w:p>
          <w:p w:rsidR="00A31F65" w:rsidRPr="00A31F65" w:rsidRDefault="00A31F65" w:rsidP="00A31F65">
            <w:pPr>
              <w:jc w:val="center"/>
              <w:rPr>
                <w:color w:val="000000"/>
                <w:sz w:val="22"/>
                <w:szCs w:val="22"/>
              </w:rPr>
            </w:pPr>
            <w:r w:rsidRPr="00A31F65">
              <w:rPr>
                <w:b/>
              </w:rPr>
              <w:t>13-Month Average</w:t>
            </w:r>
          </w:p>
        </w:tc>
        <w:tc>
          <w:tcPr>
            <w:tcW w:w="1566" w:type="dxa"/>
            <w:vAlign w:val="center"/>
          </w:tcPr>
          <w:p w:rsidR="00A31F65" w:rsidRPr="00A31F65" w:rsidRDefault="00A31F65" w:rsidP="00A31F65">
            <w:pPr>
              <w:jc w:val="center"/>
              <w:rPr>
                <w:color w:val="000000"/>
                <w:sz w:val="22"/>
                <w:szCs w:val="22"/>
              </w:rPr>
            </w:pPr>
            <w:r w:rsidRPr="00A31F65">
              <w:rPr>
                <w:b/>
              </w:rPr>
              <w:t>Proposed Staff Adjustment</w:t>
            </w:r>
          </w:p>
        </w:tc>
        <w:tc>
          <w:tcPr>
            <w:tcW w:w="1971" w:type="dxa"/>
            <w:vAlign w:val="center"/>
          </w:tcPr>
          <w:p w:rsidR="00A31F65" w:rsidRPr="00A31F65" w:rsidRDefault="00A31F65" w:rsidP="00A31F65">
            <w:pPr>
              <w:jc w:val="center"/>
              <w:rPr>
                <w:b/>
              </w:rPr>
            </w:pPr>
            <w:r w:rsidRPr="00A31F65">
              <w:rPr>
                <w:b/>
              </w:rPr>
              <w:t>Staff Recommended</w:t>
            </w:r>
          </w:p>
          <w:p w:rsidR="00A31F65" w:rsidRPr="00A31F65" w:rsidRDefault="00A31F65" w:rsidP="00A31F65">
            <w:pPr>
              <w:jc w:val="center"/>
              <w:rPr>
                <w:b/>
              </w:rPr>
            </w:pPr>
            <w:r w:rsidRPr="00A31F65">
              <w:rPr>
                <w:b/>
              </w:rPr>
              <w:t>PTY</w:t>
            </w:r>
          </w:p>
          <w:p w:rsidR="00A31F65" w:rsidRPr="00A31F65" w:rsidRDefault="00A31F65" w:rsidP="00A31F65">
            <w:pPr>
              <w:jc w:val="center"/>
              <w:rPr>
                <w:color w:val="000000"/>
                <w:sz w:val="22"/>
                <w:szCs w:val="22"/>
              </w:rPr>
            </w:pPr>
            <w:r w:rsidRPr="00A31F65">
              <w:rPr>
                <w:b/>
              </w:rPr>
              <w:t>13-Month Average</w:t>
            </w:r>
          </w:p>
        </w:tc>
      </w:tr>
      <w:tr w:rsidR="00A31F65" w:rsidRPr="00A31F65" w:rsidTr="00A31F65">
        <w:trPr>
          <w:jc w:val="center"/>
        </w:trPr>
        <w:tc>
          <w:tcPr>
            <w:tcW w:w="1362" w:type="dxa"/>
            <w:vAlign w:val="bottom"/>
          </w:tcPr>
          <w:p w:rsidR="00A31F65" w:rsidRPr="00A31F65" w:rsidRDefault="00A31F65" w:rsidP="00A31F65">
            <w:pPr>
              <w:rPr>
                <w:color w:val="000000"/>
              </w:rPr>
            </w:pPr>
            <w:r w:rsidRPr="00A31F65">
              <w:rPr>
                <w:color w:val="000000"/>
              </w:rPr>
              <w:t>301-302</w:t>
            </w:r>
          </w:p>
        </w:tc>
        <w:tc>
          <w:tcPr>
            <w:tcW w:w="3126" w:type="dxa"/>
            <w:vAlign w:val="bottom"/>
          </w:tcPr>
          <w:p w:rsidR="00A31F65" w:rsidRPr="00A31F65" w:rsidRDefault="00A31F65" w:rsidP="00A31F65">
            <w:pPr>
              <w:rPr>
                <w:color w:val="000000"/>
              </w:rPr>
            </w:pPr>
            <w:r w:rsidRPr="00A31F65">
              <w:rPr>
                <w:color w:val="000000"/>
              </w:rPr>
              <w:t>Intangible Plant</w:t>
            </w:r>
          </w:p>
        </w:tc>
        <w:tc>
          <w:tcPr>
            <w:tcW w:w="1656" w:type="dxa"/>
          </w:tcPr>
          <w:p w:rsidR="00A31F65" w:rsidRPr="00A31F65" w:rsidRDefault="00A31F65" w:rsidP="00A31F65">
            <w:pPr>
              <w:jc w:val="right"/>
            </w:pPr>
            <w:r w:rsidRPr="00A31F65">
              <w:t xml:space="preserve">$111,002 </w:t>
            </w:r>
          </w:p>
        </w:tc>
        <w:tc>
          <w:tcPr>
            <w:tcW w:w="1566" w:type="dxa"/>
            <w:vAlign w:val="bottom"/>
          </w:tcPr>
          <w:p w:rsidR="00A31F65" w:rsidRPr="00A31F65" w:rsidRDefault="00A31F65" w:rsidP="00A31F65">
            <w:pPr>
              <w:jc w:val="right"/>
              <w:rPr>
                <w:color w:val="000000"/>
              </w:rPr>
            </w:pPr>
            <w:r w:rsidRPr="00A31F65">
              <w:rPr>
                <w:color w:val="000000"/>
              </w:rPr>
              <w:t>$0</w:t>
            </w:r>
          </w:p>
        </w:tc>
        <w:tc>
          <w:tcPr>
            <w:tcW w:w="1971" w:type="dxa"/>
            <w:vAlign w:val="bottom"/>
          </w:tcPr>
          <w:p w:rsidR="00A31F65" w:rsidRPr="00A31F65" w:rsidRDefault="00A31F65" w:rsidP="00A31F65">
            <w:pPr>
              <w:jc w:val="right"/>
              <w:rPr>
                <w:color w:val="000000"/>
              </w:rPr>
            </w:pPr>
            <w:r w:rsidRPr="00A31F65">
              <w:rPr>
                <w:color w:val="000000"/>
              </w:rPr>
              <w:t>$111,002</w:t>
            </w:r>
          </w:p>
        </w:tc>
      </w:tr>
      <w:tr w:rsidR="00A31F65" w:rsidRPr="00A31F65" w:rsidTr="00A31F65">
        <w:trPr>
          <w:jc w:val="center"/>
        </w:trPr>
        <w:tc>
          <w:tcPr>
            <w:tcW w:w="1362" w:type="dxa"/>
            <w:vAlign w:val="bottom"/>
          </w:tcPr>
          <w:p w:rsidR="00A31F65" w:rsidRPr="00A31F65" w:rsidRDefault="00A31F65" w:rsidP="00A31F65">
            <w:pPr>
              <w:rPr>
                <w:color w:val="000000"/>
              </w:rPr>
            </w:pPr>
            <w:r w:rsidRPr="00A31F65">
              <w:rPr>
                <w:color w:val="000000"/>
              </w:rPr>
              <w:t>374-387</w:t>
            </w:r>
          </w:p>
        </w:tc>
        <w:tc>
          <w:tcPr>
            <w:tcW w:w="3126" w:type="dxa"/>
            <w:vAlign w:val="bottom"/>
          </w:tcPr>
          <w:p w:rsidR="00A31F65" w:rsidRPr="00A31F65" w:rsidRDefault="00A31F65" w:rsidP="00A31F65">
            <w:pPr>
              <w:rPr>
                <w:color w:val="000000"/>
              </w:rPr>
            </w:pPr>
            <w:r w:rsidRPr="00A31F65">
              <w:rPr>
                <w:color w:val="000000"/>
              </w:rPr>
              <w:t>Distribution Plant</w:t>
            </w:r>
          </w:p>
        </w:tc>
        <w:tc>
          <w:tcPr>
            <w:tcW w:w="1656" w:type="dxa"/>
          </w:tcPr>
          <w:p w:rsidR="00A31F65" w:rsidRPr="00A31F65" w:rsidRDefault="00A31F65" w:rsidP="00A31F65">
            <w:pPr>
              <w:jc w:val="right"/>
            </w:pPr>
            <w:r w:rsidRPr="00A31F65">
              <w:t xml:space="preserve">2,645,685 </w:t>
            </w:r>
          </w:p>
        </w:tc>
        <w:tc>
          <w:tcPr>
            <w:tcW w:w="1566" w:type="dxa"/>
            <w:vAlign w:val="bottom"/>
          </w:tcPr>
          <w:p w:rsidR="00A31F65" w:rsidRPr="00A31F65" w:rsidRDefault="00A31F65" w:rsidP="00A31F65">
            <w:pPr>
              <w:jc w:val="right"/>
              <w:rPr>
                <w:color w:val="000000"/>
              </w:rPr>
            </w:pPr>
            <w:r w:rsidRPr="00A31F65">
              <w:rPr>
                <w:color w:val="000000"/>
              </w:rPr>
              <w:t>(4,543)</w:t>
            </w:r>
          </w:p>
        </w:tc>
        <w:tc>
          <w:tcPr>
            <w:tcW w:w="1971" w:type="dxa"/>
            <w:vAlign w:val="bottom"/>
          </w:tcPr>
          <w:p w:rsidR="00A31F65" w:rsidRPr="00A31F65" w:rsidRDefault="00A31F65" w:rsidP="00A31F65">
            <w:pPr>
              <w:jc w:val="right"/>
              <w:rPr>
                <w:color w:val="000000"/>
              </w:rPr>
            </w:pPr>
            <w:r w:rsidRPr="00A31F65">
              <w:rPr>
                <w:color w:val="000000"/>
              </w:rPr>
              <w:t>2,641,142</w:t>
            </w:r>
          </w:p>
        </w:tc>
      </w:tr>
      <w:tr w:rsidR="00A31F65" w:rsidRPr="00A31F65" w:rsidTr="00A31F65">
        <w:trPr>
          <w:jc w:val="center"/>
        </w:trPr>
        <w:tc>
          <w:tcPr>
            <w:tcW w:w="1362" w:type="dxa"/>
            <w:vAlign w:val="bottom"/>
          </w:tcPr>
          <w:p w:rsidR="00A31F65" w:rsidRPr="00A31F65" w:rsidRDefault="00A31F65" w:rsidP="00A31F65">
            <w:pPr>
              <w:rPr>
                <w:color w:val="000000"/>
              </w:rPr>
            </w:pPr>
            <w:r w:rsidRPr="00A31F65">
              <w:rPr>
                <w:color w:val="000000"/>
              </w:rPr>
              <w:t>390-397</w:t>
            </w:r>
          </w:p>
        </w:tc>
        <w:tc>
          <w:tcPr>
            <w:tcW w:w="3126" w:type="dxa"/>
            <w:vAlign w:val="bottom"/>
          </w:tcPr>
          <w:p w:rsidR="00A31F65" w:rsidRPr="00A31F65" w:rsidRDefault="00A31F65" w:rsidP="00A31F65">
            <w:pPr>
              <w:rPr>
                <w:color w:val="000000"/>
              </w:rPr>
            </w:pPr>
            <w:r w:rsidRPr="00A31F65">
              <w:rPr>
                <w:color w:val="000000"/>
              </w:rPr>
              <w:t xml:space="preserve">General Plant </w:t>
            </w:r>
          </w:p>
        </w:tc>
        <w:tc>
          <w:tcPr>
            <w:tcW w:w="1656" w:type="dxa"/>
          </w:tcPr>
          <w:p w:rsidR="00A31F65" w:rsidRPr="00A31F65" w:rsidRDefault="00A31F65" w:rsidP="00A31F65">
            <w:pPr>
              <w:jc w:val="right"/>
              <w:rPr>
                <w:u w:val="single"/>
              </w:rPr>
            </w:pPr>
            <w:r w:rsidRPr="00A31F65">
              <w:rPr>
                <w:u w:val="single"/>
              </w:rPr>
              <w:t xml:space="preserve">280,083 </w:t>
            </w:r>
          </w:p>
        </w:tc>
        <w:tc>
          <w:tcPr>
            <w:tcW w:w="1566" w:type="dxa"/>
            <w:vAlign w:val="bottom"/>
          </w:tcPr>
          <w:p w:rsidR="00A31F65" w:rsidRPr="00A31F65" w:rsidRDefault="00A31F65" w:rsidP="00A31F65">
            <w:pPr>
              <w:jc w:val="right"/>
              <w:rPr>
                <w:color w:val="000000"/>
                <w:u w:val="single"/>
              </w:rPr>
            </w:pPr>
            <w:r w:rsidRPr="00A31F65">
              <w:rPr>
                <w:color w:val="000000"/>
                <w:u w:val="single"/>
              </w:rPr>
              <w:t>9,330</w:t>
            </w:r>
          </w:p>
        </w:tc>
        <w:tc>
          <w:tcPr>
            <w:tcW w:w="1971" w:type="dxa"/>
            <w:vAlign w:val="bottom"/>
          </w:tcPr>
          <w:p w:rsidR="00A31F65" w:rsidRPr="00A31F65" w:rsidRDefault="00A31F65" w:rsidP="00A31F65">
            <w:pPr>
              <w:jc w:val="right"/>
              <w:rPr>
                <w:color w:val="000000"/>
                <w:u w:val="single"/>
              </w:rPr>
            </w:pPr>
            <w:r w:rsidRPr="00A31F65">
              <w:rPr>
                <w:color w:val="000000"/>
                <w:u w:val="single"/>
              </w:rPr>
              <w:t>289,413</w:t>
            </w:r>
          </w:p>
        </w:tc>
      </w:tr>
      <w:tr w:rsidR="00A31F65" w:rsidRPr="00A31F65" w:rsidTr="00A31F65">
        <w:trPr>
          <w:jc w:val="center"/>
        </w:trPr>
        <w:tc>
          <w:tcPr>
            <w:tcW w:w="4488" w:type="dxa"/>
            <w:gridSpan w:val="2"/>
            <w:vAlign w:val="bottom"/>
          </w:tcPr>
          <w:p w:rsidR="00A31F65" w:rsidRPr="00A31F65" w:rsidRDefault="00A31F65" w:rsidP="00A31F65">
            <w:pPr>
              <w:jc w:val="right"/>
              <w:rPr>
                <w:b/>
                <w:color w:val="000000"/>
                <w:sz w:val="22"/>
                <w:szCs w:val="22"/>
              </w:rPr>
            </w:pPr>
            <w:r w:rsidRPr="00A31F65">
              <w:rPr>
                <w:b/>
                <w:color w:val="000000"/>
                <w:sz w:val="22"/>
                <w:szCs w:val="22"/>
              </w:rPr>
              <w:t>Total*</w:t>
            </w:r>
          </w:p>
        </w:tc>
        <w:tc>
          <w:tcPr>
            <w:tcW w:w="1656" w:type="dxa"/>
          </w:tcPr>
          <w:p w:rsidR="00A31F65" w:rsidRPr="00A31F65" w:rsidRDefault="00A31F65" w:rsidP="00A31F65">
            <w:pPr>
              <w:jc w:val="right"/>
              <w:rPr>
                <w:u w:val="double"/>
              </w:rPr>
            </w:pPr>
            <w:r w:rsidRPr="00A31F65">
              <w:rPr>
                <w:u w:val="double"/>
              </w:rPr>
              <w:t>$3,036,771</w:t>
            </w:r>
          </w:p>
        </w:tc>
        <w:tc>
          <w:tcPr>
            <w:tcW w:w="1566" w:type="dxa"/>
          </w:tcPr>
          <w:p w:rsidR="00A31F65" w:rsidRPr="00A31F65" w:rsidRDefault="00A31F65" w:rsidP="00A31F65">
            <w:pPr>
              <w:jc w:val="right"/>
            </w:pPr>
            <w:r w:rsidRPr="00A31F65">
              <w:rPr>
                <w:u w:val="double"/>
              </w:rPr>
              <w:t>$4,787</w:t>
            </w:r>
          </w:p>
        </w:tc>
        <w:tc>
          <w:tcPr>
            <w:tcW w:w="1971" w:type="dxa"/>
          </w:tcPr>
          <w:p w:rsidR="00A31F65" w:rsidRPr="00A31F65" w:rsidRDefault="00A31F65" w:rsidP="00A31F65">
            <w:pPr>
              <w:jc w:val="right"/>
            </w:pPr>
            <w:r w:rsidRPr="00A31F65">
              <w:rPr>
                <w:u w:val="double"/>
              </w:rPr>
              <w:t>$3,041,557</w:t>
            </w:r>
          </w:p>
        </w:tc>
      </w:tr>
    </w:tbl>
    <w:p w:rsidR="00C0257A" w:rsidRDefault="00A1196F" w:rsidP="00B31CAD">
      <w:pPr>
        <w:pStyle w:val="TableSource"/>
        <w:spacing w:after="0"/>
      </w:pPr>
      <w:r w:rsidRPr="00A31F65">
        <w:t xml:space="preserve">Source: </w:t>
      </w:r>
      <w:r w:rsidR="00A31F65" w:rsidRPr="00A31F65">
        <w:t>Sebring’s proposed PTY Accumulated Depreciation amounts as shown on MFR Schedule G1-12 (revised)</w:t>
      </w:r>
      <w:r w:rsidR="00C0257A">
        <w:t>.</w:t>
      </w:r>
    </w:p>
    <w:p w:rsidR="00B31CAD" w:rsidRPr="00B31CAD" w:rsidRDefault="00B31CAD" w:rsidP="00B31CAD">
      <w:pPr>
        <w:pStyle w:val="BodyText"/>
      </w:pPr>
      <w:r w:rsidRPr="00B31CAD">
        <w:t>*May not sum due to rounding</w:t>
      </w:r>
      <w:r>
        <w:t>.</w:t>
      </w:r>
    </w:p>
    <w:p w:rsidR="00C0257A" w:rsidRDefault="00C0257A" w:rsidP="00C0257A">
      <w:pPr>
        <w:pStyle w:val="First-LevelSubheading"/>
      </w:pPr>
      <w:r>
        <w:t>Conclusion</w:t>
      </w:r>
    </w:p>
    <w:p w:rsidR="00C0257A" w:rsidRPr="00C0257A" w:rsidRDefault="00C0257A" w:rsidP="00C0257A">
      <w:pPr>
        <w:pStyle w:val="BodyText"/>
      </w:pPr>
      <w:r w:rsidRPr="00C0257A">
        <w:t>Based upon analysis of the information filed in this proceeding, staff recommends the Commission find $3,041,557 (13-month average) as the appropriate amount of Accumulated Depreciation for the projected test year</w:t>
      </w:r>
      <w:r>
        <w:t>.</w:t>
      </w:r>
    </w:p>
    <w:p w:rsidR="00703A2C" w:rsidRDefault="00703A2C" w:rsidP="00A31F65">
      <w:pPr>
        <w:pStyle w:val="TableSource"/>
        <w:rPr>
          <w:vanish/>
          <w:specVanish/>
        </w:rPr>
      </w:pPr>
      <w:r w:rsidRPr="004C3641">
        <w:br w:type="page"/>
      </w:r>
      <w:r w:rsidRPr="00510B90">
        <w:rPr>
          <w:rStyle w:val="IssueHeadingChar"/>
        </w:rPr>
        <w:lastRenderedPageBreak/>
        <w:t xml:space="preserve">Issue </w:t>
      </w:r>
      <w:r w:rsidR="00A31F65" w:rsidRPr="00510B90">
        <w:rPr>
          <w:rStyle w:val="IssueHeadingChar"/>
        </w:rPr>
        <w:fldChar w:fldCharType="begin"/>
      </w:r>
      <w:r w:rsidR="00A31F65" w:rsidRPr="00510B90">
        <w:rPr>
          <w:rStyle w:val="IssueHeadingChar"/>
        </w:rPr>
        <w:instrText xml:space="preserve"> SEQ Issue \* MERGEFORMAT </w:instrText>
      </w:r>
      <w:r w:rsidR="00A31F65" w:rsidRPr="00510B90">
        <w:rPr>
          <w:rStyle w:val="IssueHeadingChar"/>
        </w:rPr>
        <w:fldChar w:fldCharType="separate"/>
      </w:r>
      <w:r w:rsidR="005A792F">
        <w:rPr>
          <w:rStyle w:val="IssueHeadingChar"/>
          <w:noProof/>
        </w:rPr>
        <w:t>8</w:t>
      </w:r>
      <w:r w:rsidR="00A31F65" w:rsidRPr="00510B90">
        <w:rPr>
          <w:rStyle w:val="IssueHeadingChar"/>
        </w:rPr>
        <w:fldChar w:fldCharType="end"/>
      </w:r>
      <w:r w:rsidRPr="00510B90">
        <w:rPr>
          <w:rStyle w:val="IssueHeadingChar"/>
        </w:rPr>
        <w:t>:</w:t>
      </w:r>
      <w:r>
        <w:fldChar w:fldCharType="begin"/>
      </w:r>
      <w:r>
        <w:instrText xml:space="preserve"> TC "</w:instrText>
      </w:r>
      <w:r>
        <w:fldChar w:fldCharType="begin"/>
      </w:r>
      <w:r>
        <w:instrText xml:space="preserve"> SEQ issue \c </w:instrText>
      </w:r>
      <w:r>
        <w:fldChar w:fldCharType="separate"/>
      </w:r>
      <w:bookmarkStart w:id="21" w:name="_Toc28007717"/>
      <w:r w:rsidR="005A792F">
        <w:rPr>
          <w:noProof/>
        </w:rPr>
        <w:instrText>8</w:instrText>
      </w:r>
      <w:r>
        <w:fldChar w:fldCharType="end"/>
      </w:r>
      <w:r>
        <w:tab/>
      </w:r>
      <w:r w:rsidR="000F73A9">
        <w:instrText>Test Year Working Capital Allowance (Snyder)</w:instrText>
      </w:r>
      <w:bookmarkEnd w:id="21"/>
      <w:r>
        <w:instrText xml:space="preserve">" \l 1 </w:instrText>
      </w:r>
      <w:r>
        <w:fldChar w:fldCharType="end"/>
      </w:r>
      <w:r>
        <w:t> </w:t>
      </w:r>
    </w:p>
    <w:p w:rsidR="00703A2C" w:rsidRDefault="00703A2C">
      <w:pPr>
        <w:pStyle w:val="BodyText"/>
      </w:pPr>
      <w:r>
        <w:t> What is the appropriate amount of Working Capital Allowance for the projected test year</w:t>
      </w:r>
      <w:r w:rsidR="000F73A9">
        <w:t>?</w:t>
      </w:r>
    </w:p>
    <w:p w:rsidR="00703A2C" w:rsidRPr="004C3641" w:rsidRDefault="00703A2C">
      <w:pPr>
        <w:pStyle w:val="IssueSubsectionHeading"/>
        <w:rPr>
          <w:vanish/>
          <w:specVanish/>
        </w:rPr>
      </w:pPr>
      <w:r w:rsidRPr="004C3641">
        <w:t>Recommendation: </w:t>
      </w:r>
    </w:p>
    <w:p w:rsidR="00703A2C" w:rsidRDefault="00703A2C">
      <w:pPr>
        <w:pStyle w:val="BodyText"/>
      </w:pPr>
      <w:r>
        <w:t> </w:t>
      </w:r>
      <w:r w:rsidR="004726B9" w:rsidRPr="004726B9">
        <w:t>The appropriate amount of Working Capital Allowance for the projected test year is $147,518</w:t>
      </w:r>
      <w:r w:rsidR="004726B9">
        <w:t>.</w:t>
      </w:r>
      <w:r>
        <w:t xml:space="preserve"> (Snyder)</w:t>
      </w:r>
    </w:p>
    <w:p w:rsidR="00703A2C" w:rsidRPr="004C3641" w:rsidRDefault="00703A2C">
      <w:pPr>
        <w:pStyle w:val="IssueSubsectionHeading"/>
        <w:rPr>
          <w:vanish/>
          <w:specVanish/>
        </w:rPr>
      </w:pPr>
      <w:r w:rsidRPr="004C3641">
        <w:t>Staff Analysis: </w:t>
      </w:r>
    </w:p>
    <w:p w:rsidR="00703A2C" w:rsidRDefault="00703A2C">
      <w:pPr>
        <w:pStyle w:val="BodyText"/>
      </w:pPr>
      <w:r>
        <w:t> </w:t>
      </w:r>
      <w:r w:rsidR="004726B9" w:rsidRPr="004726B9">
        <w:t>Sebring recorded Working Capital Allowance for the projected test year of $147,518.</w:t>
      </w:r>
      <w:r w:rsidR="004434D8">
        <w:rPr>
          <w:rStyle w:val="FootnoteReference"/>
        </w:rPr>
        <w:footnoteReference w:id="31"/>
      </w:r>
      <w:r w:rsidR="004726B9" w:rsidRPr="004726B9">
        <w:t xml:space="preserve"> Sebring used the balance sheet method to calculate the Working Capital Allowance which is determined by subtracting projected Current Liabilities from projected Current Assets. </w:t>
      </w:r>
      <w:r w:rsidR="00572EA4">
        <w:t>Current assets of $351,851, less current liabilities of $204,333, results in a Working Capital Allowance of $14</w:t>
      </w:r>
      <w:r w:rsidR="00164821">
        <w:t>7</w:t>
      </w:r>
      <w:r w:rsidR="00572EA4">
        <w:t>,518.</w:t>
      </w:r>
      <w:r w:rsidR="004726B9" w:rsidRPr="004726B9">
        <w:t xml:space="preserve"> The Working Capital Allowance has been reviewed by staff. Staff believes that no adjustments were necessary. Schedule</w:t>
      </w:r>
      <w:r w:rsidR="00426087">
        <w:t xml:space="preserve"> No.</w:t>
      </w:r>
      <w:r w:rsidR="004726B9" w:rsidRPr="004726B9">
        <w:t xml:space="preserve"> 1A reflects the working capital for the projected test year</w:t>
      </w:r>
      <w:r w:rsidR="004726B9">
        <w:t>.</w:t>
      </w:r>
      <w:r w:rsidR="00572EA4">
        <w:t xml:space="preserve"> Schedule</w:t>
      </w:r>
      <w:r w:rsidR="00426087">
        <w:t xml:space="preserve"> No. </w:t>
      </w:r>
      <w:r w:rsidR="00572EA4">
        <w:t>1B reflects staff’s recommended Working Capital Allowance</w:t>
      </w:r>
      <w:r w:rsidR="00AB6B62">
        <w:t xml:space="preserve"> Calculation</w:t>
      </w:r>
      <w:r w:rsidR="00572EA4">
        <w:t>.</w:t>
      </w:r>
    </w:p>
    <w:p w:rsidR="00703A2C" w:rsidRDefault="00703A2C">
      <w:pPr>
        <w:pStyle w:val="IssueHeading"/>
        <w:rPr>
          <w:vanish/>
          <w:specVanish/>
        </w:rPr>
      </w:pPr>
      <w:r w:rsidRPr="004C3641">
        <w:rPr>
          <w:b w:val="0"/>
          <w:i w:val="0"/>
        </w:rPr>
        <w:br w:type="page"/>
      </w:r>
      <w:r w:rsidRPr="004C3641">
        <w:lastRenderedPageBreak/>
        <w:t xml:space="preserve">Issue </w:t>
      </w:r>
      <w:fldSimple w:instr=" SEQ Issue \* MERGEFORMAT ">
        <w:r w:rsidR="005A792F">
          <w:rPr>
            <w:noProof/>
          </w:rPr>
          <w:t>9</w:t>
        </w:r>
      </w:fldSimple>
      <w:r w:rsidRPr="004C3641">
        <w:t>:</w:t>
      </w:r>
      <w:r>
        <w:fldChar w:fldCharType="begin"/>
      </w:r>
      <w:r>
        <w:instrText xml:space="preserve"> TC "</w:instrText>
      </w:r>
      <w:r>
        <w:fldChar w:fldCharType="begin"/>
      </w:r>
      <w:r>
        <w:instrText xml:space="preserve"> SEQ issue \c </w:instrText>
      </w:r>
      <w:r>
        <w:fldChar w:fldCharType="separate"/>
      </w:r>
      <w:bookmarkStart w:id="22" w:name="_Toc28007718"/>
      <w:r w:rsidR="005A792F">
        <w:rPr>
          <w:noProof/>
        </w:rPr>
        <w:instrText>9</w:instrText>
      </w:r>
      <w:r>
        <w:fldChar w:fldCharType="end"/>
      </w:r>
      <w:r>
        <w:tab/>
      </w:r>
      <w:r w:rsidR="000F73A9">
        <w:instrText>Test Year Rate Base (Snyder)</w:instrText>
      </w:r>
      <w:bookmarkEnd w:id="22"/>
      <w:r>
        <w:instrText xml:space="preserve">" \l 1 </w:instrText>
      </w:r>
      <w:r>
        <w:fldChar w:fldCharType="end"/>
      </w:r>
      <w:r>
        <w:t> </w:t>
      </w:r>
    </w:p>
    <w:p w:rsidR="00703A2C" w:rsidRDefault="00703A2C">
      <w:pPr>
        <w:pStyle w:val="BodyText"/>
      </w:pPr>
      <w:r>
        <w:t> What is the appropriate amount of Rate Base for the projected test year?</w:t>
      </w:r>
    </w:p>
    <w:p w:rsidR="00703A2C" w:rsidRPr="004C3641" w:rsidRDefault="00703A2C">
      <w:pPr>
        <w:pStyle w:val="IssueSubsectionHeading"/>
        <w:rPr>
          <w:vanish/>
          <w:specVanish/>
        </w:rPr>
      </w:pPr>
      <w:r w:rsidRPr="004C3641">
        <w:t>Recommendation: </w:t>
      </w:r>
    </w:p>
    <w:p w:rsidR="00703A2C" w:rsidRDefault="00703A2C">
      <w:pPr>
        <w:pStyle w:val="BodyText"/>
      </w:pPr>
      <w:r>
        <w:t> </w:t>
      </w:r>
      <w:r w:rsidR="00E47CA9" w:rsidRPr="00E47CA9">
        <w:t>The appropriate amount of Rate Base for the projected test year is $5,021,353</w:t>
      </w:r>
      <w:r w:rsidR="00E47CA9">
        <w:t>.</w:t>
      </w:r>
      <w:r>
        <w:t xml:space="preserve"> (Snyder)</w:t>
      </w:r>
    </w:p>
    <w:p w:rsidR="00703A2C" w:rsidRPr="004C3641" w:rsidRDefault="00703A2C">
      <w:pPr>
        <w:pStyle w:val="IssueSubsectionHeading"/>
        <w:rPr>
          <w:vanish/>
          <w:specVanish/>
        </w:rPr>
      </w:pPr>
      <w:r w:rsidRPr="004C3641">
        <w:t>Staff Analysis: </w:t>
      </w:r>
    </w:p>
    <w:p w:rsidR="00703A2C" w:rsidRDefault="00703A2C">
      <w:pPr>
        <w:pStyle w:val="BodyText"/>
      </w:pPr>
      <w:r>
        <w:t> </w:t>
      </w:r>
      <w:r w:rsidR="00E47CA9" w:rsidRPr="00E47CA9">
        <w:t>Sebring recorded Rate Base of $5,044,363 for the projected test year.</w:t>
      </w:r>
      <w:r w:rsidR="00AD45F8">
        <w:rPr>
          <w:rStyle w:val="FootnoteReference"/>
        </w:rPr>
        <w:footnoteReference w:id="32"/>
      </w:r>
      <w:r w:rsidR="00E47CA9" w:rsidRPr="00E47CA9">
        <w:t xml:space="preserve"> Based upon staff’s recommended adjustments in the preceding issues, Rate Base should be reduced by $23,010, resulting in a total Rate Base of $5,021,353. Schedule</w:t>
      </w:r>
      <w:r w:rsidR="007304A4">
        <w:t xml:space="preserve"> No.</w:t>
      </w:r>
      <w:r w:rsidR="00E47CA9" w:rsidRPr="00E47CA9">
        <w:t xml:space="preserve"> 1</w:t>
      </w:r>
      <w:r w:rsidR="00F83D78">
        <w:t>A</w:t>
      </w:r>
      <w:r w:rsidR="00E47CA9" w:rsidRPr="00E47CA9">
        <w:t xml:space="preserve"> reflects staff’s recommended Rate Base for the projected year</w:t>
      </w:r>
      <w:r w:rsidR="00E47CA9">
        <w:t>.</w:t>
      </w:r>
    </w:p>
    <w:p w:rsidR="00703A2C" w:rsidRPr="00D00C0E" w:rsidRDefault="00703A2C">
      <w:pPr>
        <w:pStyle w:val="IssueHeading"/>
        <w:rPr>
          <w:vanish/>
          <w:specVanish/>
        </w:rPr>
      </w:pPr>
      <w:r w:rsidRPr="004C3641">
        <w:rPr>
          <w:b w:val="0"/>
          <w:i w:val="0"/>
        </w:rPr>
        <w:br w:type="page"/>
      </w:r>
      <w:r w:rsidRPr="004C3641">
        <w:lastRenderedPageBreak/>
        <w:t xml:space="preserve">Issue </w:t>
      </w:r>
      <w:fldSimple w:instr=" SEQ Issue \* MERGEFORMAT ">
        <w:r w:rsidR="005A792F">
          <w:rPr>
            <w:noProof/>
          </w:rPr>
          <w:t>10</w:t>
        </w:r>
      </w:fldSimple>
      <w:r w:rsidRPr="00D00C0E">
        <w:t>:</w:t>
      </w:r>
      <w:r w:rsidRPr="00D00C0E">
        <w:fldChar w:fldCharType="begin"/>
      </w:r>
      <w:r w:rsidRPr="00D00C0E">
        <w:instrText xml:space="preserve"> TC "</w:instrText>
      </w:r>
      <w:r w:rsidRPr="00D00C0E">
        <w:fldChar w:fldCharType="begin"/>
      </w:r>
      <w:r w:rsidRPr="00D00C0E">
        <w:instrText xml:space="preserve"> SEQ issue \c </w:instrText>
      </w:r>
      <w:r w:rsidRPr="00D00C0E">
        <w:fldChar w:fldCharType="separate"/>
      </w:r>
      <w:bookmarkStart w:id="23" w:name="_Toc28007719"/>
      <w:r w:rsidR="005A792F">
        <w:rPr>
          <w:noProof/>
        </w:rPr>
        <w:instrText>10</w:instrText>
      </w:r>
      <w:r w:rsidRPr="00D00C0E">
        <w:fldChar w:fldCharType="end"/>
      </w:r>
      <w:r w:rsidRPr="00D00C0E">
        <w:tab/>
      </w:r>
      <w:r w:rsidR="00AB7CC8" w:rsidRPr="00D00C0E">
        <w:instrText>Capital Structure (Richards, D. Buys)</w:instrText>
      </w:r>
      <w:bookmarkEnd w:id="23"/>
      <w:r w:rsidRPr="00D00C0E">
        <w:instrText xml:space="preserve">" \l 1 </w:instrText>
      </w:r>
      <w:r w:rsidRPr="00D00C0E">
        <w:fldChar w:fldCharType="end"/>
      </w:r>
      <w:r w:rsidRPr="00D00C0E">
        <w:t> </w:t>
      </w:r>
    </w:p>
    <w:p w:rsidR="00703A2C" w:rsidRDefault="00703A2C">
      <w:pPr>
        <w:pStyle w:val="BodyText"/>
      </w:pPr>
      <w:r w:rsidRPr="00D00C0E">
        <w:t> What is the appropriate capital structure</w:t>
      </w:r>
      <w:r w:rsidR="0024612B" w:rsidRPr="00D00C0E">
        <w:t xml:space="preserve"> for the projected test year ending December 31, 2020</w:t>
      </w:r>
      <w:r w:rsidRPr="00D00C0E">
        <w:t>?</w:t>
      </w:r>
    </w:p>
    <w:p w:rsidR="00703A2C" w:rsidRPr="004C3641" w:rsidRDefault="00703A2C">
      <w:pPr>
        <w:pStyle w:val="IssueSubsectionHeading"/>
        <w:rPr>
          <w:vanish/>
          <w:specVanish/>
        </w:rPr>
      </w:pPr>
      <w:r w:rsidRPr="004C3641">
        <w:t>Recommendation: </w:t>
      </w:r>
    </w:p>
    <w:p w:rsidR="00703A2C" w:rsidRDefault="00703A2C">
      <w:pPr>
        <w:pStyle w:val="BodyText"/>
      </w:pPr>
      <w:r>
        <w:t> </w:t>
      </w:r>
      <w:r w:rsidR="00514BFB">
        <w:t>T</w:t>
      </w:r>
      <w:r w:rsidR="00514BFB" w:rsidRPr="00514BFB">
        <w:t>he appropriate projected test year capital structure consists of 34.64 percent common equity, 54.73 percent long-term debt, 0.75 percent short-term debt, 3.10 percent customer deposits, and 6.78 percent deferred income taxes. Regarding investor capital, this recommended capital structure consists of 38.43 percent common equity and 61.57 percent debt (60.73 percent long-term debt and 0.84 percent short-term debt)</w:t>
      </w:r>
      <w:r w:rsidR="0024612B">
        <w:t>.</w:t>
      </w:r>
      <w:r>
        <w:t xml:space="preserve"> (Richards, </w:t>
      </w:r>
      <w:r w:rsidR="00AB7CC8">
        <w:t xml:space="preserve">D. </w:t>
      </w:r>
      <w:r>
        <w:t>Buys)</w:t>
      </w:r>
    </w:p>
    <w:p w:rsidR="00703A2C" w:rsidRPr="004C3641" w:rsidRDefault="00703A2C">
      <w:pPr>
        <w:pStyle w:val="IssueSubsectionHeading"/>
        <w:rPr>
          <w:vanish/>
          <w:specVanish/>
        </w:rPr>
      </w:pPr>
      <w:r w:rsidRPr="004C3641">
        <w:t>Staff Analysis: </w:t>
      </w:r>
    </w:p>
    <w:p w:rsidR="0024612B" w:rsidRDefault="00703A2C" w:rsidP="0024612B">
      <w:pPr>
        <w:pStyle w:val="BodyText"/>
      </w:pPr>
      <w:r>
        <w:t> </w:t>
      </w:r>
      <w:r w:rsidR="0024612B">
        <w:t xml:space="preserve">For the projected test year ending December 31, 2020, Sebring filed a revised capital structure consisting of 34.63 percent common equity, 54.72 percent long-term debt and 0.75 percent short-term debt. In addition to the investor sources of capital, the </w:t>
      </w:r>
      <w:r w:rsidR="00474C6A">
        <w:t>Company</w:t>
      </w:r>
      <w:r w:rsidR="0024612B">
        <w:t>’s cap</w:t>
      </w:r>
      <w:r w:rsidR="003D7A53">
        <w:t xml:space="preserve">ital structure also includes </w:t>
      </w:r>
      <w:r w:rsidR="0024612B">
        <w:t xml:space="preserve">3.10 percent customer deposits and 6.79 percent accumulated deferred income taxes. </w:t>
      </w:r>
    </w:p>
    <w:p w:rsidR="0024612B" w:rsidRDefault="0024612B" w:rsidP="0024612B">
      <w:pPr>
        <w:pStyle w:val="BodyText"/>
      </w:pPr>
      <w:r>
        <w:t xml:space="preserve">Staff made two adjustments to the </w:t>
      </w:r>
      <w:r w:rsidR="00474C6A">
        <w:t>Company</w:t>
      </w:r>
      <w:r>
        <w:t>’s capital structure. First, staff made a specific adjustment to reduce the accumulated deferred income tax balance by $470 to recognize a decrease in the State of Florida corporate income tax rate from 5.50 percent to 4.458 percent for three taxable years beginning on or after January 1, 2019. This adjustment is explained in Issue 12. Second, staff made a pro rata adjustment to remove $2</w:t>
      </w:r>
      <w:r w:rsidR="003D7A53">
        <w:t>2</w:t>
      </w:r>
      <w:r>
        <w:t>,</w:t>
      </w:r>
      <w:r w:rsidR="003D7A53">
        <w:t>540</w:t>
      </w:r>
      <w:r>
        <w:t xml:space="preserve"> to reflect adjustments to decrease the distribution plant balance</w:t>
      </w:r>
      <w:r w:rsidR="00E92D43">
        <w:t>.</w:t>
      </w:r>
      <w:r>
        <w:t xml:space="preserve"> Staff made a corresponding pro rata adjustment to the capital structure to reconcile the capital structure balance with rate base for the projected test year ending December 31, 2020.</w:t>
      </w:r>
    </w:p>
    <w:p w:rsidR="00703A2C" w:rsidRDefault="0024612B" w:rsidP="0024612B">
      <w:pPr>
        <w:pStyle w:val="BodyText"/>
      </w:pPr>
      <w:r>
        <w:t>Accordingly, staff recommends that the appropriate projected test year capital structure consists of 34.64 percent common equity, 54.73 percent long-term debt, 0.75 percent short-term debt, 3.10 percent customer deposits, and 6.78 percent deferred income taxes. Regarding investor capital, this recommended capital structure consists of 38.43 percent common equity and 61.57 percent debt (60.73 percent long-term debt and 0.84 percent short-term debt).</w:t>
      </w:r>
    </w:p>
    <w:p w:rsidR="00FB1759" w:rsidRDefault="00FB1759">
      <w:pPr>
        <w:pStyle w:val="IssueHeading"/>
        <w:rPr>
          <w:vanish/>
          <w:specVanish/>
        </w:rPr>
      </w:pPr>
      <w:r w:rsidRPr="004C3641">
        <w:rPr>
          <w:b w:val="0"/>
          <w:i w:val="0"/>
        </w:rPr>
        <w:br w:type="page"/>
      </w:r>
      <w:r w:rsidRPr="004C3641">
        <w:lastRenderedPageBreak/>
        <w:t xml:space="preserve">Issue </w:t>
      </w:r>
      <w:fldSimple w:instr=" SEQ Issue \* MERGEFORMAT ">
        <w:r w:rsidR="005A792F">
          <w:rPr>
            <w:noProof/>
          </w:rPr>
          <w:t>11</w:t>
        </w:r>
      </w:fldSimple>
      <w:r w:rsidRPr="004C3641">
        <w:t>:</w:t>
      </w:r>
      <w:r>
        <w:fldChar w:fldCharType="begin"/>
      </w:r>
      <w:r>
        <w:instrText xml:space="preserve"> TC "</w:instrText>
      </w:r>
      <w:r>
        <w:fldChar w:fldCharType="begin"/>
      </w:r>
      <w:r>
        <w:instrText xml:space="preserve"> SEQ issue \c </w:instrText>
      </w:r>
      <w:r>
        <w:fldChar w:fldCharType="separate"/>
      </w:r>
      <w:bookmarkStart w:id="24" w:name="_Toc28007720"/>
      <w:r w:rsidR="005A792F">
        <w:rPr>
          <w:noProof/>
        </w:rPr>
        <w:instrText>11</w:instrText>
      </w:r>
      <w:r>
        <w:fldChar w:fldCharType="end"/>
      </w:r>
      <w:r>
        <w:tab/>
      </w:r>
      <w:r w:rsidR="00F93720">
        <w:instrText>Return on Common Equity (Cicchetti, D. Buys)</w:instrText>
      </w:r>
      <w:bookmarkEnd w:id="24"/>
      <w:r>
        <w:instrText xml:space="preserve">" \l 1 </w:instrText>
      </w:r>
      <w:r>
        <w:fldChar w:fldCharType="end"/>
      </w:r>
      <w:r>
        <w:t> </w:t>
      </w:r>
    </w:p>
    <w:p w:rsidR="00FB1759" w:rsidRDefault="00FB1759">
      <w:pPr>
        <w:pStyle w:val="BodyText"/>
      </w:pPr>
      <w:r>
        <w:t> What is the appropriate return on equity?</w:t>
      </w:r>
    </w:p>
    <w:p w:rsidR="00FB1759" w:rsidRPr="004C3641" w:rsidRDefault="00FB1759">
      <w:pPr>
        <w:pStyle w:val="IssueSubsectionHeading"/>
        <w:rPr>
          <w:vanish/>
          <w:specVanish/>
        </w:rPr>
      </w:pPr>
      <w:r w:rsidRPr="004C3641">
        <w:t>Recommendation: </w:t>
      </w:r>
    </w:p>
    <w:p w:rsidR="00FB1759" w:rsidRDefault="00FB1759">
      <w:pPr>
        <w:pStyle w:val="BodyText"/>
      </w:pPr>
      <w:r>
        <w:t> </w:t>
      </w:r>
      <w:r w:rsidR="000D013A" w:rsidRPr="000D013A">
        <w:t>The appropriate return on equity is 10.00 percent with a range of plus or minus 100 basis points</w:t>
      </w:r>
      <w:r w:rsidR="000D013A">
        <w:t>.</w:t>
      </w:r>
      <w:r>
        <w:t xml:space="preserve"> (Cicchetti</w:t>
      </w:r>
      <w:r w:rsidR="00EB252A">
        <w:t xml:space="preserve">, </w:t>
      </w:r>
      <w:r w:rsidR="00F93720">
        <w:t xml:space="preserve">D. </w:t>
      </w:r>
      <w:r w:rsidR="00EB252A">
        <w:t>Buys</w:t>
      </w:r>
      <w:r>
        <w:t>)</w:t>
      </w:r>
    </w:p>
    <w:p w:rsidR="00FB1759" w:rsidRPr="004C3641" w:rsidRDefault="00FB1759">
      <w:pPr>
        <w:pStyle w:val="IssueSubsectionHeading"/>
        <w:rPr>
          <w:vanish/>
          <w:specVanish/>
        </w:rPr>
      </w:pPr>
      <w:r w:rsidRPr="004C3641">
        <w:t>Staff Analysis: </w:t>
      </w:r>
    </w:p>
    <w:p w:rsidR="000D013A" w:rsidRDefault="00FB1759" w:rsidP="000D013A">
      <w:pPr>
        <w:pStyle w:val="BodyText"/>
      </w:pPr>
      <w:r>
        <w:t> </w:t>
      </w:r>
      <w:r w:rsidR="000D013A">
        <w:t>Sebring’s current authorized return on equity (ROE) is 11.50 percent with a range of plus or minus 100 basis points. In Mr. Russe</w:t>
      </w:r>
      <w:r w:rsidR="007018F9">
        <w:t>l</w:t>
      </w:r>
      <w:r w:rsidR="000D013A">
        <w:t xml:space="preserve">l Melendy’s direct testimony, the </w:t>
      </w:r>
      <w:r w:rsidR="00474C6A">
        <w:t>Comp</w:t>
      </w:r>
      <w:r w:rsidR="007018F9">
        <w:t>any</w:t>
      </w:r>
      <w:r w:rsidR="000D013A">
        <w:t xml:space="preserve"> requested to increase its ROE to 12.50 percent to generate additional annual cash flow of approximately $17,289 to recover its deferred income tax liability</w:t>
      </w:r>
      <w:r w:rsidR="000204B4">
        <w:t xml:space="preserve"> of $342,671</w:t>
      </w:r>
      <w:r w:rsidR="000D013A">
        <w:t xml:space="preserve"> over the next 19.8 years.</w:t>
      </w:r>
      <w:r w:rsidR="005B17C2">
        <w:rPr>
          <w:rStyle w:val="FootnoteReference"/>
        </w:rPr>
        <w:footnoteReference w:id="33"/>
      </w:r>
      <w:r w:rsidR="000D013A">
        <w:t xml:space="preserve"> Mr. Melendy stated that Sebring is a small utility and a small change in revenues or expenses can </w:t>
      </w:r>
      <w:r w:rsidR="000204B4">
        <w:t>affect</w:t>
      </w:r>
      <w:r w:rsidR="000D013A">
        <w:t xml:space="preserve"> the achieved ROE. Mr. Melendy also stated that in previous gas utility rate cases the Commission has recognized the riskiness of</w:t>
      </w:r>
      <w:r w:rsidR="009742C4">
        <w:t xml:space="preserve"> investing in</w:t>
      </w:r>
      <w:r w:rsidR="000D013A">
        <w:t xml:space="preserve"> small investor-owned natural gas utilities</w:t>
      </w:r>
      <w:r w:rsidR="009742C4">
        <w:t>,</w:t>
      </w:r>
      <w:r w:rsidR="000D013A">
        <w:t xml:space="preserve"> and has authorized slightly higher allowed ROEs than </w:t>
      </w:r>
      <w:r w:rsidR="0082707F">
        <w:t xml:space="preserve">for </w:t>
      </w:r>
      <w:r w:rsidR="000D013A">
        <w:t>the larger companies.</w:t>
      </w:r>
      <w:r w:rsidR="00690601">
        <w:rPr>
          <w:rStyle w:val="FootnoteReference"/>
        </w:rPr>
        <w:footnoteReference w:id="34"/>
      </w:r>
    </w:p>
    <w:p w:rsidR="000D013A" w:rsidRDefault="000D013A" w:rsidP="000D013A">
      <w:pPr>
        <w:pStyle w:val="BodyText"/>
      </w:pPr>
      <w:r>
        <w:t>To evaluate the reasonableness of Sebring’s requested ROE of 12.50 percent, staff used two widely accepted financial models to calculate the required returns on equity for a proxy group consisting of four publicly traded</w:t>
      </w:r>
      <w:r w:rsidR="000204B4">
        <w:t xml:space="preserve"> regulated</w:t>
      </w:r>
      <w:r>
        <w:t xml:space="preserve"> natural gas companies: Atmos Energy Corporation, Northwest Natural Gas Company, ONE Gas, Inc., and Spire, Inc. Staff applied the discounted cash flow model (DCF) and the capital asset pricing model (CAPM) to the proxy group. </w:t>
      </w:r>
    </w:p>
    <w:p w:rsidR="000D013A" w:rsidRDefault="000D013A" w:rsidP="000D013A">
      <w:pPr>
        <w:pStyle w:val="BodyText"/>
      </w:pPr>
      <w:r>
        <w:t>The DCF model is a valuation method used to estimate the</w:t>
      </w:r>
      <w:r w:rsidR="000204B4">
        <w:t xml:space="preserve"> required return on</w:t>
      </w:r>
      <w:r>
        <w:t xml:space="preserve"> an investment based on its future cash flows. DCF analysis </w:t>
      </w:r>
      <w:r w:rsidR="007018F9">
        <w:t>is used</w:t>
      </w:r>
      <w:r>
        <w:t xml:space="preserve"> to determine the required return on equity for a company today, based on projections of how much money it will generate in the future. The simple average result for the proxy group of companies using the DCF model was 7.12 percent. </w:t>
      </w:r>
    </w:p>
    <w:p w:rsidR="000D013A" w:rsidRDefault="000D013A" w:rsidP="000D013A">
      <w:pPr>
        <w:pStyle w:val="BodyText"/>
      </w:pPr>
      <w:r>
        <w:t xml:space="preserve">The CAPM represents the relationship between systematic risk and required ROE. The CAPM is used for pricing risky stock investments and generating required returns for </w:t>
      </w:r>
      <w:r w:rsidR="000204B4">
        <w:t>investments</w:t>
      </w:r>
      <w:r>
        <w:t xml:space="preserve"> given the risk of those </w:t>
      </w:r>
      <w:r w:rsidR="000204B4">
        <w:t>investments</w:t>
      </w:r>
      <w:r>
        <w:t xml:space="preserve"> compared to the market. The simple average result for the proxy group of companies using the CAPM method was 8.48 percent.</w:t>
      </w:r>
    </w:p>
    <w:p w:rsidR="000D013A" w:rsidRDefault="000204B4" w:rsidP="000D013A">
      <w:pPr>
        <w:pStyle w:val="BodyText"/>
      </w:pPr>
      <w:r>
        <w:t>S</w:t>
      </w:r>
      <w:r w:rsidR="000D013A">
        <w:t xml:space="preserve">taff agrees that Sebring is a very small gas utility compared to other gas utilities operating in Florida and nationwide. Sebring has just over 600 customers </w:t>
      </w:r>
      <w:r w:rsidR="007018F9">
        <w:t>whereas</w:t>
      </w:r>
      <w:r w:rsidR="000D013A">
        <w:t xml:space="preserve"> other gas utilities have thousands of customers. Staff agrees with Mr. Melendy that due to its small size, Sebring has greater relative business and financial risk than other gas utilities. Because investors require a higher return to compensate for assuming greater risk, Sebring’s greater relative business and financial risk should be reflected in the allowed return on equity.</w:t>
      </w:r>
      <w:r w:rsidRPr="000204B4">
        <w:t xml:space="preserve"> </w:t>
      </w:r>
      <w:r>
        <w:t>Based on the results of the DCF and CAPM models, staff believes Sebring’s requested ROE of 12.50 percent is well above the required returns on equity for an investment in comparable companies and is therefore unreasonable.</w:t>
      </w:r>
      <w:r w:rsidR="000D013A">
        <w:t xml:space="preserve"> </w:t>
      </w:r>
      <w:r>
        <w:t>However</w:t>
      </w:r>
      <w:r w:rsidR="000D013A">
        <w:t>, staff believes the expected returns of 7.12 percent and 8.48 percent derived from the DCF method and CAPM reflect a ROE that is too low for the investment risk associated with Sebring.</w:t>
      </w:r>
    </w:p>
    <w:p w:rsidR="00FB1759" w:rsidRDefault="000D013A" w:rsidP="000D013A">
      <w:pPr>
        <w:pStyle w:val="BodyText"/>
      </w:pPr>
      <w:r>
        <w:t xml:space="preserve">One measure of the increased risk is the variability of earnings. Earnings variability is the fluctuation of a company's net operating income over a given period. High earnings variability is </w:t>
      </w:r>
      <w:r>
        <w:lastRenderedPageBreak/>
        <w:t xml:space="preserve">generally considered undesirable because it makes investors less certain of future earnings per share and dividends. As such, a history of earnings variability is a measure of the riskiness of an investment in a particular company. The coefficient of variation (COV) is a measure of earnings variability that allows investors to compare volatility, or riskiness between investments. As shown below, staff </w:t>
      </w:r>
      <w:r w:rsidR="00690601">
        <w:t>calculated that</w:t>
      </w:r>
      <w:r>
        <w:t xml:space="preserve"> Sebring’s net operating income (NOI) COV for the ten-year period from 2009 through 2018 was 53 percent. In comparison, the average COV for the same period for the four largest regulated natural gas companies in Florida </w:t>
      </w:r>
      <w:r w:rsidR="00690601">
        <w:t>was</w:t>
      </w:r>
      <w:r>
        <w:t xml:space="preserve"> 23.27 percent. Additionally, the four national publicly traded natural gas companies collectively have an average COV of 22.37 percent. A summary of staff’s analysis is presented in Table 11-1.</w:t>
      </w:r>
    </w:p>
    <w:p w:rsidR="005240F0" w:rsidRDefault="005240F0" w:rsidP="005240F0">
      <w:pPr>
        <w:pStyle w:val="TableNumber"/>
        <w:keepNext/>
      </w:pPr>
      <w:r>
        <w:t>Table 11-1</w:t>
      </w:r>
    </w:p>
    <w:p w:rsidR="005240F0" w:rsidRDefault="005240F0" w:rsidP="005240F0">
      <w:pPr>
        <w:pStyle w:val="TableTitle"/>
        <w:keepNext/>
      </w:pPr>
      <w:r>
        <w:t>Natural Gas Utilities NOI Coefficient of Variations</w:t>
      </w:r>
    </w:p>
    <w:tbl>
      <w:tblPr>
        <w:tblStyle w:val="TableGrid"/>
        <w:tblW w:w="0" w:type="auto"/>
        <w:jc w:val="center"/>
        <w:tblLook w:val="04A0" w:firstRow="1" w:lastRow="0" w:firstColumn="1" w:lastColumn="0" w:noHBand="0" w:noVBand="1"/>
      </w:tblPr>
      <w:tblGrid>
        <w:gridCol w:w="5316"/>
        <w:gridCol w:w="996"/>
      </w:tblGrid>
      <w:tr w:rsidR="005240F0" w:rsidTr="00BB65D8">
        <w:trPr>
          <w:jc w:val="center"/>
        </w:trPr>
        <w:tc>
          <w:tcPr>
            <w:tcW w:w="0" w:type="auto"/>
          </w:tcPr>
          <w:p w:rsidR="005240F0" w:rsidRPr="00BE11BE" w:rsidRDefault="005240F0" w:rsidP="00BB65D8">
            <w:pPr>
              <w:jc w:val="center"/>
              <w:rPr>
                <w:b/>
              </w:rPr>
            </w:pPr>
            <w:r w:rsidRPr="00BE11BE">
              <w:rPr>
                <w:b/>
              </w:rPr>
              <w:t>Florida Companies</w:t>
            </w:r>
          </w:p>
        </w:tc>
        <w:tc>
          <w:tcPr>
            <w:tcW w:w="0" w:type="auto"/>
          </w:tcPr>
          <w:p w:rsidR="005240F0" w:rsidRPr="00BE11BE" w:rsidRDefault="005240F0" w:rsidP="00BB65D8">
            <w:pPr>
              <w:jc w:val="center"/>
              <w:rPr>
                <w:b/>
              </w:rPr>
            </w:pPr>
            <w:r w:rsidRPr="00BE11BE">
              <w:rPr>
                <w:b/>
              </w:rPr>
              <w:t>COV</w:t>
            </w:r>
          </w:p>
        </w:tc>
      </w:tr>
      <w:tr w:rsidR="005240F0" w:rsidTr="00BB65D8">
        <w:trPr>
          <w:jc w:val="center"/>
        </w:trPr>
        <w:tc>
          <w:tcPr>
            <w:tcW w:w="0" w:type="auto"/>
          </w:tcPr>
          <w:p w:rsidR="005240F0" w:rsidRDefault="005240F0" w:rsidP="009F7594">
            <w:r>
              <w:t>Sebring Gas System, Inc.</w:t>
            </w:r>
          </w:p>
        </w:tc>
        <w:tc>
          <w:tcPr>
            <w:tcW w:w="0" w:type="auto"/>
          </w:tcPr>
          <w:p w:rsidR="005240F0" w:rsidRDefault="005240F0" w:rsidP="00BB65D8">
            <w:pPr>
              <w:jc w:val="right"/>
            </w:pPr>
            <w:r>
              <w:t>52.99%</w:t>
            </w:r>
          </w:p>
        </w:tc>
      </w:tr>
      <w:tr w:rsidR="005240F0" w:rsidTr="00BB65D8">
        <w:trPr>
          <w:jc w:val="center"/>
        </w:trPr>
        <w:tc>
          <w:tcPr>
            <w:tcW w:w="0" w:type="auto"/>
          </w:tcPr>
          <w:p w:rsidR="005240F0" w:rsidRDefault="005240F0" w:rsidP="00BB65D8"/>
        </w:tc>
        <w:tc>
          <w:tcPr>
            <w:tcW w:w="0" w:type="auto"/>
          </w:tcPr>
          <w:p w:rsidR="005240F0" w:rsidRDefault="005240F0" w:rsidP="00BB65D8">
            <w:pPr>
              <w:jc w:val="right"/>
            </w:pPr>
          </w:p>
        </w:tc>
      </w:tr>
      <w:tr w:rsidR="005240F0" w:rsidTr="00BB65D8">
        <w:trPr>
          <w:jc w:val="center"/>
        </w:trPr>
        <w:tc>
          <w:tcPr>
            <w:tcW w:w="0" w:type="auto"/>
          </w:tcPr>
          <w:p w:rsidR="005240F0" w:rsidRDefault="005240F0" w:rsidP="00BB65D8">
            <w:r>
              <w:t>Florida Division of Chesapeake Utilities Corporation</w:t>
            </w:r>
          </w:p>
        </w:tc>
        <w:tc>
          <w:tcPr>
            <w:tcW w:w="0" w:type="auto"/>
          </w:tcPr>
          <w:p w:rsidR="005240F0" w:rsidRDefault="005240F0" w:rsidP="00BB65D8">
            <w:pPr>
              <w:jc w:val="right"/>
            </w:pPr>
            <w:r>
              <w:t>27.22%</w:t>
            </w:r>
          </w:p>
        </w:tc>
      </w:tr>
      <w:tr w:rsidR="005240F0" w:rsidTr="00BB65D8">
        <w:trPr>
          <w:jc w:val="center"/>
        </w:trPr>
        <w:tc>
          <w:tcPr>
            <w:tcW w:w="0" w:type="auto"/>
          </w:tcPr>
          <w:p w:rsidR="005240F0" w:rsidRDefault="005240F0" w:rsidP="00BB65D8">
            <w:r>
              <w:t>Florida City Gas</w:t>
            </w:r>
          </w:p>
        </w:tc>
        <w:tc>
          <w:tcPr>
            <w:tcW w:w="0" w:type="auto"/>
          </w:tcPr>
          <w:p w:rsidR="005240F0" w:rsidRDefault="005240F0" w:rsidP="00BB65D8">
            <w:pPr>
              <w:jc w:val="right"/>
            </w:pPr>
            <w:r>
              <w:t>31.83%</w:t>
            </w:r>
          </w:p>
        </w:tc>
      </w:tr>
      <w:tr w:rsidR="005240F0" w:rsidTr="00BB65D8">
        <w:trPr>
          <w:jc w:val="center"/>
        </w:trPr>
        <w:tc>
          <w:tcPr>
            <w:tcW w:w="0" w:type="auto"/>
          </w:tcPr>
          <w:p w:rsidR="005240F0" w:rsidRDefault="005240F0" w:rsidP="00BB65D8">
            <w:r>
              <w:t>Florida Public Utilities Company</w:t>
            </w:r>
          </w:p>
        </w:tc>
        <w:tc>
          <w:tcPr>
            <w:tcW w:w="0" w:type="auto"/>
          </w:tcPr>
          <w:p w:rsidR="005240F0" w:rsidRDefault="005240F0" w:rsidP="00BB65D8">
            <w:pPr>
              <w:jc w:val="right"/>
            </w:pPr>
            <w:r>
              <w:t>26.51%</w:t>
            </w:r>
          </w:p>
        </w:tc>
      </w:tr>
      <w:tr w:rsidR="005240F0" w:rsidTr="00BB65D8">
        <w:trPr>
          <w:jc w:val="center"/>
        </w:trPr>
        <w:tc>
          <w:tcPr>
            <w:tcW w:w="0" w:type="auto"/>
          </w:tcPr>
          <w:p w:rsidR="005240F0" w:rsidRDefault="005240F0" w:rsidP="00BB65D8">
            <w:r>
              <w:t>Peoples Gas System</w:t>
            </w:r>
          </w:p>
        </w:tc>
        <w:tc>
          <w:tcPr>
            <w:tcW w:w="0" w:type="auto"/>
          </w:tcPr>
          <w:p w:rsidR="005240F0" w:rsidRDefault="005240F0" w:rsidP="00BB65D8">
            <w:pPr>
              <w:jc w:val="right"/>
            </w:pPr>
            <w:r>
              <w:t>7.50%</w:t>
            </w:r>
          </w:p>
        </w:tc>
      </w:tr>
      <w:tr w:rsidR="005240F0" w:rsidTr="00BB65D8">
        <w:trPr>
          <w:jc w:val="center"/>
        </w:trPr>
        <w:tc>
          <w:tcPr>
            <w:tcW w:w="0" w:type="auto"/>
            <w:tcBorders>
              <w:bottom w:val="single" w:sz="4" w:space="0" w:color="auto"/>
            </w:tcBorders>
          </w:tcPr>
          <w:p w:rsidR="005240F0" w:rsidRDefault="005240F0" w:rsidP="00BB65D8">
            <w:r w:rsidRPr="00BE11BE">
              <w:rPr>
                <w:b/>
              </w:rPr>
              <w:t>Simple Average</w:t>
            </w:r>
            <w:r>
              <w:t xml:space="preserve"> (excluding Sebring)</w:t>
            </w:r>
          </w:p>
        </w:tc>
        <w:tc>
          <w:tcPr>
            <w:tcW w:w="0" w:type="auto"/>
            <w:tcBorders>
              <w:bottom w:val="single" w:sz="4" w:space="0" w:color="auto"/>
            </w:tcBorders>
          </w:tcPr>
          <w:p w:rsidR="005240F0" w:rsidRPr="00BE11BE" w:rsidRDefault="005240F0" w:rsidP="00BB65D8">
            <w:pPr>
              <w:jc w:val="right"/>
              <w:rPr>
                <w:b/>
              </w:rPr>
            </w:pPr>
            <w:r w:rsidRPr="00BE11BE">
              <w:rPr>
                <w:b/>
              </w:rPr>
              <w:t>23.27%</w:t>
            </w:r>
          </w:p>
        </w:tc>
      </w:tr>
      <w:tr w:rsidR="005240F0" w:rsidTr="00BB65D8">
        <w:trPr>
          <w:jc w:val="center"/>
        </w:trPr>
        <w:tc>
          <w:tcPr>
            <w:tcW w:w="0" w:type="auto"/>
            <w:tcBorders>
              <w:left w:val="nil"/>
              <w:right w:val="nil"/>
            </w:tcBorders>
          </w:tcPr>
          <w:p w:rsidR="005240F0" w:rsidRDefault="005240F0" w:rsidP="00BB65D8"/>
        </w:tc>
        <w:tc>
          <w:tcPr>
            <w:tcW w:w="0" w:type="auto"/>
            <w:tcBorders>
              <w:left w:val="nil"/>
              <w:right w:val="nil"/>
            </w:tcBorders>
          </w:tcPr>
          <w:p w:rsidR="005240F0" w:rsidRDefault="005240F0" w:rsidP="00BB65D8"/>
        </w:tc>
      </w:tr>
      <w:tr w:rsidR="005240F0" w:rsidTr="00BB65D8">
        <w:trPr>
          <w:jc w:val="center"/>
        </w:trPr>
        <w:tc>
          <w:tcPr>
            <w:tcW w:w="0" w:type="auto"/>
          </w:tcPr>
          <w:p w:rsidR="005240F0" w:rsidRPr="00BE11BE" w:rsidRDefault="005240F0" w:rsidP="00BB65D8">
            <w:pPr>
              <w:jc w:val="center"/>
              <w:rPr>
                <w:b/>
              </w:rPr>
            </w:pPr>
            <w:r w:rsidRPr="00BE11BE">
              <w:rPr>
                <w:b/>
              </w:rPr>
              <w:t>National Companies</w:t>
            </w:r>
          </w:p>
        </w:tc>
        <w:tc>
          <w:tcPr>
            <w:tcW w:w="0" w:type="auto"/>
          </w:tcPr>
          <w:p w:rsidR="005240F0" w:rsidRPr="00BE11BE" w:rsidRDefault="005240F0" w:rsidP="00BB65D8">
            <w:pPr>
              <w:jc w:val="center"/>
              <w:rPr>
                <w:b/>
              </w:rPr>
            </w:pPr>
            <w:r w:rsidRPr="00BE11BE">
              <w:rPr>
                <w:b/>
              </w:rPr>
              <w:t>COV</w:t>
            </w:r>
          </w:p>
        </w:tc>
      </w:tr>
      <w:tr w:rsidR="005240F0" w:rsidTr="00BB65D8">
        <w:trPr>
          <w:jc w:val="center"/>
        </w:trPr>
        <w:tc>
          <w:tcPr>
            <w:tcW w:w="0" w:type="auto"/>
          </w:tcPr>
          <w:p w:rsidR="005240F0" w:rsidRDefault="005240F0" w:rsidP="00BB65D8">
            <w:r>
              <w:t>Atmos Energy Corporation</w:t>
            </w:r>
          </w:p>
        </w:tc>
        <w:tc>
          <w:tcPr>
            <w:tcW w:w="0" w:type="auto"/>
          </w:tcPr>
          <w:p w:rsidR="005240F0" w:rsidRDefault="005240F0" w:rsidP="00BB65D8">
            <w:pPr>
              <w:jc w:val="right"/>
            </w:pPr>
            <w:r>
              <w:t>20.16%</w:t>
            </w:r>
          </w:p>
        </w:tc>
      </w:tr>
      <w:tr w:rsidR="005240F0" w:rsidTr="00BB65D8">
        <w:trPr>
          <w:jc w:val="center"/>
        </w:trPr>
        <w:tc>
          <w:tcPr>
            <w:tcW w:w="0" w:type="auto"/>
          </w:tcPr>
          <w:p w:rsidR="005240F0" w:rsidRDefault="005240F0" w:rsidP="00BB65D8">
            <w:r>
              <w:t>Northwest Natural Gas Company</w:t>
            </w:r>
          </w:p>
        </w:tc>
        <w:tc>
          <w:tcPr>
            <w:tcW w:w="0" w:type="auto"/>
          </w:tcPr>
          <w:p w:rsidR="005240F0" w:rsidRDefault="005240F0" w:rsidP="00BB65D8">
            <w:pPr>
              <w:jc w:val="right"/>
            </w:pPr>
            <w:r>
              <w:t>7.37%</w:t>
            </w:r>
          </w:p>
        </w:tc>
      </w:tr>
      <w:tr w:rsidR="005240F0" w:rsidTr="00BB65D8">
        <w:trPr>
          <w:jc w:val="center"/>
        </w:trPr>
        <w:tc>
          <w:tcPr>
            <w:tcW w:w="0" w:type="auto"/>
          </w:tcPr>
          <w:p w:rsidR="005240F0" w:rsidRDefault="005240F0" w:rsidP="00BB65D8">
            <w:r>
              <w:t>ONE Gas, Inc.</w:t>
            </w:r>
          </w:p>
        </w:tc>
        <w:tc>
          <w:tcPr>
            <w:tcW w:w="0" w:type="auto"/>
          </w:tcPr>
          <w:p w:rsidR="005240F0" w:rsidRDefault="005240F0" w:rsidP="00BB65D8">
            <w:pPr>
              <w:jc w:val="right"/>
            </w:pPr>
            <w:r>
              <w:t>14.04%</w:t>
            </w:r>
          </w:p>
        </w:tc>
      </w:tr>
      <w:tr w:rsidR="005240F0" w:rsidTr="00BB65D8">
        <w:trPr>
          <w:jc w:val="center"/>
        </w:trPr>
        <w:tc>
          <w:tcPr>
            <w:tcW w:w="0" w:type="auto"/>
          </w:tcPr>
          <w:p w:rsidR="005240F0" w:rsidRDefault="005240F0" w:rsidP="00BB65D8">
            <w:r>
              <w:t>Spire Inc.</w:t>
            </w:r>
          </w:p>
        </w:tc>
        <w:tc>
          <w:tcPr>
            <w:tcW w:w="0" w:type="auto"/>
          </w:tcPr>
          <w:p w:rsidR="005240F0" w:rsidRDefault="005240F0" w:rsidP="00BB65D8">
            <w:pPr>
              <w:jc w:val="right"/>
            </w:pPr>
            <w:r>
              <w:t>47.92%</w:t>
            </w:r>
          </w:p>
        </w:tc>
      </w:tr>
      <w:tr w:rsidR="005240F0" w:rsidTr="00BB65D8">
        <w:trPr>
          <w:jc w:val="center"/>
        </w:trPr>
        <w:tc>
          <w:tcPr>
            <w:tcW w:w="0" w:type="auto"/>
          </w:tcPr>
          <w:p w:rsidR="005240F0" w:rsidRPr="00BE11BE" w:rsidRDefault="005240F0" w:rsidP="00BB65D8">
            <w:pPr>
              <w:rPr>
                <w:b/>
              </w:rPr>
            </w:pPr>
            <w:r w:rsidRPr="00BE11BE">
              <w:rPr>
                <w:b/>
              </w:rPr>
              <w:t>Simple Average</w:t>
            </w:r>
          </w:p>
        </w:tc>
        <w:tc>
          <w:tcPr>
            <w:tcW w:w="0" w:type="auto"/>
          </w:tcPr>
          <w:p w:rsidR="005240F0" w:rsidRPr="00BE11BE" w:rsidRDefault="005240F0" w:rsidP="00BB65D8">
            <w:pPr>
              <w:jc w:val="right"/>
              <w:rPr>
                <w:b/>
              </w:rPr>
            </w:pPr>
            <w:r w:rsidRPr="00BE11BE">
              <w:rPr>
                <w:b/>
              </w:rPr>
              <w:t>22.37%</w:t>
            </w:r>
          </w:p>
        </w:tc>
      </w:tr>
    </w:tbl>
    <w:p w:rsidR="005240F0" w:rsidRDefault="005240F0" w:rsidP="005240F0">
      <w:pPr>
        <w:pStyle w:val="BodyText"/>
        <w:jc w:val="center"/>
      </w:pPr>
      <w:r>
        <w:t>Source: FPSC Annual Reports and S</w:t>
      </w:r>
      <w:r w:rsidR="00690601">
        <w:t xml:space="preserve">ecurities and </w:t>
      </w:r>
      <w:r>
        <w:t>E</w:t>
      </w:r>
      <w:r w:rsidR="00690601">
        <w:t xml:space="preserve">xchange </w:t>
      </w:r>
      <w:r>
        <w:t>C</w:t>
      </w:r>
      <w:r w:rsidR="00690601">
        <w:t xml:space="preserve">ommission </w:t>
      </w:r>
      <w:r>
        <w:t>10K Annual Reports</w:t>
      </w:r>
    </w:p>
    <w:p w:rsidR="005240F0" w:rsidRDefault="005240F0" w:rsidP="005240F0">
      <w:pPr>
        <w:pStyle w:val="BodyText"/>
      </w:pPr>
      <w:r>
        <w:t>Another measure of financial risk is the amount of debt in the capital structure. The greater the amount of debt</w:t>
      </w:r>
      <w:r w:rsidR="00F67532">
        <w:t>,</w:t>
      </w:r>
      <w:r>
        <w:t xml:space="preserve"> the greater </w:t>
      </w:r>
      <w:r w:rsidR="00544010">
        <w:t xml:space="preserve">the </w:t>
      </w:r>
      <w:r>
        <w:t>financial risk for equity investors because equity investors are subordinate to debt investors. Sebring expects to carry a debt ratio of 61.57 percent in the projected test year as compared to only 50.18 percent on average for the proxy group. Therefore, Sebring’s expected ROE should be greater than the average for the proxy group</w:t>
      </w:r>
      <w:r w:rsidR="00544010">
        <w:t xml:space="preserve"> to reflect the additional financial risk</w:t>
      </w:r>
      <w:r>
        <w:t xml:space="preserve">. </w:t>
      </w:r>
    </w:p>
    <w:p w:rsidR="005240F0" w:rsidRDefault="005240F0" w:rsidP="005240F0">
      <w:pPr>
        <w:pStyle w:val="BodyText"/>
      </w:pPr>
      <w:r>
        <w:t xml:space="preserve">Accordingly, staff believes a reasonable return on equity for Sebring is 10.00 percent. A ROE of 10.00 percent represents a 6.75 percent risk premium over the average forecasted 30-year U.S. Treasury Bond interest rate of 3.25 percent. The 30-year U.S. Treasury Bond is widely accepted as a risk-free rate by the financial community. The 30-year U.S. Treasury Bond interest rate as published in the October, 1, 2019 Blue Chip Financial Forecasts is forecast to be 3.00 percent in the first quarter of 2020 and increase to 3.50 percent by the first quarter of 2021 for an average of 3.25 percent. </w:t>
      </w:r>
    </w:p>
    <w:p w:rsidR="005240F0" w:rsidRDefault="005240F0" w:rsidP="005240F0">
      <w:pPr>
        <w:pStyle w:val="BodyText"/>
      </w:pPr>
      <w:r>
        <w:lastRenderedPageBreak/>
        <w:t>Additionally, Regulatory Research Associates (RRA) Regulatory Focus</w:t>
      </w:r>
      <w:r w:rsidR="00F67532">
        <w:t>,</w:t>
      </w:r>
      <w:r>
        <w:t xml:space="preserve"> issued July 22, 2019, published a summary of the major rate case decisions for gas utilities from January 2019 through June 2019. The report showed that the authorized ROEs for gas utilities range from 6.00 percent to 7.00 percent above the 30-year Treasury bond interest rate.</w:t>
      </w:r>
    </w:p>
    <w:p w:rsidR="005240F0" w:rsidRDefault="005240F0" w:rsidP="005240F0">
      <w:pPr>
        <w:pStyle w:val="BodyText"/>
      </w:pPr>
      <w:r>
        <w:t xml:space="preserve">As discussed in Issue 12, Sebring plans to add approximately $1.2 million of long-term debt to its capital structure to fund its capital projects in the projected 2020 test year. This addition of long-term debt reduces the </w:t>
      </w:r>
      <w:r w:rsidR="00474C6A">
        <w:t>Company</w:t>
      </w:r>
      <w:r>
        <w:t>’s equity ratio from 51.04 percent to 38.43 percent. The RRA Regulatory Focus</w:t>
      </w:r>
      <w:r w:rsidR="009F2442">
        <w:t>,</w:t>
      </w:r>
      <w:r>
        <w:t xml:space="preserve"> issued July 22, 2019, indicated the average allowed equity ratio nationwide was 54.60 percent for the first six months of 2019, 50.09 percent in 2018, and 49.88 percent in 2017. The average allowed ROE for gas utilities as reported by RRA during the same time period was 9.63 percent for the first half of 2019 and 9.59 percent in 2018. By comparison, Sebring has a lower equity ratio than the nationwide average gas utility and therefore is riskier than the average gas utility. Consequently, it is reasonable that an investor would require a return on equity greater than 9.63 percent to make an equity investment in Sebring.</w:t>
      </w:r>
    </w:p>
    <w:p w:rsidR="005240F0" w:rsidRDefault="005240F0" w:rsidP="005240F0">
      <w:pPr>
        <w:pStyle w:val="BodyText"/>
      </w:pPr>
      <w:r>
        <w:t xml:space="preserve">As discussed in Issue 20, staff </w:t>
      </w:r>
      <w:r w:rsidR="0098797B">
        <w:t>recommends</w:t>
      </w:r>
      <w:r>
        <w:t xml:space="preserve"> that Sebring will incur a deferred tax liability of $342,201</w:t>
      </w:r>
      <w:r w:rsidR="0098797B">
        <w:t>, which is slightly lower than the Company’s requested amount of $342,671</w:t>
      </w:r>
      <w:r>
        <w:t>. However, staff believes the deferred tax liability should be recovered as income tax expense and not through an increase in the ROE.</w:t>
      </w:r>
    </w:p>
    <w:p w:rsidR="005240F0" w:rsidRDefault="005240F0" w:rsidP="005240F0">
      <w:pPr>
        <w:pStyle w:val="BodyText"/>
      </w:pPr>
      <w:r>
        <w:t>Based on the aforementioned</w:t>
      </w:r>
      <w:r w:rsidR="00B03E89">
        <w:t xml:space="preserve"> analysis</w:t>
      </w:r>
      <w:r>
        <w:t>, staff believes 10.00 percent, with a range of plus or minus 100 basis points, is the appropriate return on equity for Sebring.</w:t>
      </w:r>
    </w:p>
    <w:p w:rsidR="00FB1759" w:rsidRDefault="00FB1759">
      <w:pPr>
        <w:pStyle w:val="IssueHeading"/>
        <w:rPr>
          <w:vanish/>
          <w:specVanish/>
        </w:rPr>
      </w:pPr>
      <w:r w:rsidRPr="004C3641">
        <w:rPr>
          <w:b w:val="0"/>
          <w:i w:val="0"/>
        </w:rPr>
        <w:br w:type="page"/>
      </w:r>
      <w:r w:rsidRPr="004C3641">
        <w:lastRenderedPageBreak/>
        <w:t xml:space="preserve">Issue </w:t>
      </w:r>
      <w:fldSimple w:instr=" SEQ Issue \* MERGEFORMAT ">
        <w:r w:rsidR="005A792F">
          <w:rPr>
            <w:noProof/>
          </w:rPr>
          <w:t>12</w:t>
        </w:r>
      </w:fldSimple>
      <w:r w:rsidRPr="004C3641">
        <w:t>:</w:t>
      </w:r>
      <w:r>
        <w:fldChar w:fldCharType="begin"/>
      </w:r>
      <w:r>
        <w:instrText xml:space="preserve"> TC "</w:instrText>
      </w:r>
      <w:r>
        <w:fldChar w:fldCharType="begin"/>
      </w:r>
      <w:r>
        <w:instrText xml:space="preserve"> SEQ issue \c </w:instrText>
      </w:r>
      <w:r>
        <w:fldChar w:fldCharType="separate"/>
      </w:r>
      <w:bookmarkStart w:id="25" w:name="_Toc28007721"/>
      <w:r w:rsidR="005A792F">
        <w:rPr>
          <w:noProof/>
        </w:rPr>
        <w:instrText>12</w:instrText>
      </w:r>
      <w:r>
        <w:fldChar w:fldCharType="end"/>
      </w:r>
      <w:r>
        <w:tab/>
      </w:r>
      <w:r w:rsidR="00F93720">
        <w:instrText>Weighted Average Cost of Capital (Richards, D. Buys)</w:instrText>
      </w:r>
      <w:bookmarkEnd w:id="25"/>
      <w:r>
        <w:instrText xml:space="preserve">" \l 1 </w:instrText>
      </w:r>
      <w:r>
        <w:fldChar w:fldCharType="end"/>
      </w:r>
      <w:r>
        <w:t> </w:t>
      </w:r>
    </w:p>
    <w:p w:rsidR="00FB1759" w:rsidRDefault="00FB1759">
      <w:pPr>
        <w:pStyle w:val="BodyText"/>
      </w:pPr>
      <w:r>
        <w:t> What is the appropriate weighted average cost of capital including the proper components, amounts and cost rates?</w:t>
      </w:r>
    </w:p>
    <w:p w:rsidR="00FB1759" w:rsidRPr="004C3641" w:rsidRDefault="00FB1759">
      <w:pPr>
        <w:pStyle w:val="IssueSubsectionHeading"/>
        <w:rPr>
          <w:vanish/>
          <w:specVanish/>
        </w:rPr>
      </w:pPr>
      <w:r w:rsidRPr="004C3641">
        <w:t>Recommendation: </w:t>
      </w:r>
    </w:p>
    <w:p w:rsidR="00FB1759" w:rsidRDefault="00FB1759">
      <w:pPr>
        <w:pStyle w:val="BodyText"/>
      </w:pPr>
      <w:r>
        <w:t> </w:t>
      </w:r>
      <w:r w:rsidR="000F7A56" w:rsidRPr="000F7A56">
        <w:t>The appropriate weighted average cost of capital is 6.46 percent for the projected test year ending December 31, 2020</w:t>
      </w:r>
      <w:r w:rsidR="000F7A56">
        <w:t>.</w:t>
      </w:r>
      <w:r>
        <w:t xml:space="preserve"> (Richards, </w:t>
      </w:r>
      <w:r w:rsidR="00F93720">
        <w:t xml:space="preserve">D. </w:t>
      </w:r>
      <w:r>
        <w:t>Buys)</w:t>
      </w:r>
    </w:p>
    <w:p w:rsidR="00FB1759" w:rsidRPr="004C3641" w:rsidRDefault="00FB1759">
      <w:pPr>
        <w:pStyle w:val="IssueSubsectionHeading"/>
        <w:rPr>
          <w:vanish/>
          <w:specVanish/>
        </w:rPr>
      </w:pPr>
      <w:r w:rsidRPr="004C3641">
        <w:t>Staff Analysis: </w:t>
      </w:r>
    </w:p>
    <w:p w:rsidR="00FB1759" w:rsidRDefault="00FB1759">
      <w:pPr>
        <w:pStyle w:val="BodyText"/>
      </w:pPr>
      <w:r>
        <w:t> </w:t>
      </w:r>
      <w:r w:rsidR="000F7A56" w:rsidRPr="000F7A56">
        <w:t>Based on the recommended capital structure in Issue 10, and the recommended cost rate for common equity in Issue 11, the appropriate weighted average cost of capital (WACC) is 6.46 percent. In Issue 10, staff is recommending an equity ratio of 38.43 percent based on investor sources. I</w:t>
      </w:r>
      <w:r w:rsidR="006D2DEF">
        <w:t>n</w:t>
      </w:r>
      <w:r w:rsidR="000F7A56" w:rsidRPr="000F7A56">
        <w:t xml:space="preserve"> its revised filing, Sebring requested a WACC of 7.72 percent for the projected test year. The </w:t>
      </w:r>
      <w:r w:rsidR="00474C6A">
        <w:t>Company</w:t>
      </w:r>
      <w:r w:rsidR="000F7A56" w:rsidRPr="000F7A56">
        <w:t xml:space="preserve"> based its request on a cost rate of 12.50 percent for common equity, 5.95 percent for long-term debt, and 6.00 percent for short-term debt. Staff recommends three adjustments to the </w:t>
      </w:r>
      <w:r w:rsidR="00474C6A">
        <w:t>Company</w:t>
      </w:r>
      <w:r w:rsidR="000F7A56" w:rsidRPr="000F7A56">
        <w:t>’s requested cost rates. In Issue 11, staff is recommending a cost rate of 10.00 percent for common equity. Additionally, the cost rates for long-term debt and short-term debt should both be reduced to 5.25 percent. In addition, staff recommends two adjustments to the cost of capital balance. One, a specific adjustment to reduce the accumulated deferred income tax balance by $470, and two, a pro rata adjustment of $23,010 to reconcile the capital structure to rate base as discussed in Issue 10</w:t>
      </w:r>
      <w:r w:rsidR="000F7A56">
        <w:t>.</w:t>
      </w:r>
    </w:p>
    <w:p w:rsidR="000F7A56" w:rsidRDefault="000F7A56" w:rsidP="000F7A56">
      <w:pPr>
        <w:pStyle w:val="First-LevelSubheading"/>
      </w:pPr>
      <w:r>
        <w:t>Common Equity</w:t>
      </w:r>
    </w:p>
    <w:p w:rsidR="000F7A56" w:rsidRDefault="000F7A56">
      <w:pPr>
        <w:pStyle w:val="BodyText"/>
      </w:pPr>
      <w:r w:rsidRPr="000F7A56">
        <w:t>Sebring requested a common equity balance of $1,746,957 at a cost rate of 12.50 percent for the revised projected test year ending December 31, 2020. In Issue 11, staff is recommending a return on equity of 10.00 percent. Staff made a pro rata adjustment to reconcile the capital structure to rate base</w:t>
      </w:r>
      <w:r w:rsidR="006D2DEF">
        <w:t>,</w:t>
      </w:r>
      <w:r w:rsidRPr="000F7A56">
        <w:t xml:space="preserve"> which decreased the amount of common equity by $7,807 to $1,739,150. Accordingly, staff recommends the appropriate amount of common equity is $1,739,150 at a cost rate of 10.00 percent</w:t>
      </w:r>
      <w:r>
        <w:t>.</w:t>
      </w:r>
    </w:p>
    <w:p w:rsidR="000F7A56" w:rsidRDefault="000F7A56" w:rsidP="000F7A56">
      <w:pPr>
        <w:pStyle w:val="First-LevelSubheading"/>
      </w:pPr>
      <w:r>
        <w:t>Long-Term Debt</w:t>
      </w:r>
    </w:p>
    <w:p w:rsidR="000F7A56" w:rsidRDefault="000F7A56">
      <w:pPr>
        <w:pStyle w:val="BodyText"/>
      </w:pPr>
      <w:r w:rsidRPr="000F7A56">
        <w:t xml:space="preserve">In its filing, the </w:t>
      </w:r>
      <w:r w:rsidR="00474C6A">
        <w:t>Company</w:t>
      </w:r>
      <w:r w:rsidRPr="000F7A56">
        <w:t xml:space="preserve"> indicated it will require additions to its long-term debt balance to fund its capital projects and construction efforts. Sebring anticipates adding approximately $1.2 million of long-term debt in the projected 2020 test year. The total amount of long-term debt in the revised projected test year ending December 31, 2020 is $2,760,453. Staff made a pro rata adjustment to reconcile the capital structure to rate base which decreased the amount of long-term debt by $12,336 to $2,748,117. In his direct testimony, </w:t>
      </w:r>
      <w:r w:rsidR="004035AB">
        <w:t xml:space="preserve">Mr. </w:t>
      </w:r>
      <w:r w:rsidRPr="000F7A56">
        <w:t>Russell Melendy stated that Sebring expects to pay 6.00 percent on its loan from Heartland National Bank and the average cost of long-term debt as reflected on MFR Schedule G-3, page 3, for the projected test year is 5.95 percent. However, the loan documents provided in the staff audit indicate the interest rate charged by the bank is a variable rate based on the Prime Rate as published in the Wall Street Journal, plus 0.50 percent.</w:t>
      </w:r>
      <w:r>
        <w:rPr>
          <w:rStyle w:val="FootnoteReference"/>
        </w:rPr>
        <w:footnoteReference w:id="35"/>
      </w:r>
      <w:r w:rsidRPr="000F7A56">
        <w:t xml:space="preserve">  As of December 3, 2019, the Prime Rate as published in the Wall Street Journal was 4.75 percent. Further, the cost rate for long-term debt in the historic base year ended December 31, 2018, was 5.45 percent. Absent any documentation to support a cost rate of 6.00 percent, staff believes a cost rate of 5.25 percent during the projected test year of 2020 is more reasonable and appropriate. Accordingly, staff recommends the appropriate amount of long-term debt is $2,748,117 at a cost rate of 5.25 percent</w:t>
      </w:r>
      <w:r>
        <w:t>.</w:t>
      </w:r>
    </w:p>
    <w:p w:rsidR="000F7A56" w:rsidRDefault="000F7A56" w:rsidP="000F7A56">
      <w:pPr>
        <w:pStyle w:val="First-LevelSubheading"/>
      </w:pPr>
      <w:r>
        <w:lastRenderedPageBreak/>
        <w:t>Short-Term Debt</w:t>
      </w:r>
    </w:p>
    <w:p w:rsidR="000F7A56" w:rsidRDefault="000F7A56">
      <w:pPr>
        <w:pStyle w:val="BodyText"/>
      </w:pPr>
      <w:r w:rsidRPr="000F7A56">
        <w:t xml:space="preserve">The </w:t>
      </w:r>
      <w:r w:rsidR="00474C6A">
        <w:t>Company</w:t>
      </w:r>
      <w:r w:rsidRPr="000F7A56">
        <w:t xml:space="preserve"> included a balance of $38,077 for short-term debt</w:t>
      </w:r>
      <w:r w:rsidR="00852904">
        <w:t xml:space="preserve"> on MFR Schedule G3-2, page 2 of 11,</w:t>
      </w:r>
      <w:r w:rsidRPr="000F7A56">
        <w:t xml:space="preserve"> in the revised projected test year ending December 31, 2020. Staff made a pro rata adjustment to reconcile capital structure to rate base which decreased the balance by $170 to $37,907. In his direct testimony, Mr. </w:t>
      </w:r>
      <w:r w:rsidR="00852904">
        <w:t xml:space="preserve">Russell </w:t>
      </w:r>
      <w:r w:rsidRPr="000F7A56">
        <w:t>Melendy stated the appropriate cost rate for short-term debt is 6.00 percent. This is based on a $250,000 line of credit attached to the long-term debt loan agreement with Heartland National Bank.</w:t>
      </w:r>
      <w:r w:rsidR="005E2C9A">
        <w:rPr>
          <w:rStyle w:val="FootnoteReference"/>
        </w:rPr>
        <w:footnoteReference w:id="36"/>
      </w:r>
      <w:r w:rsidRPr="000F7A56">
        <w:t xml:space="preserve">  The agreement is dated July 11, 2013. The agreement indicates the interest rate for a short-term line of credit is a variable rate based on Prime Rate plus 0.50 percent. However, the effective cost rate for short-term debt in the historic test year as reflected on MFR Schedule D-3 </w:t>
      </w:r>
      <w:r w:rsidR="006A4E21">
        <w:t>was</w:t>
      </w:r>
      <w:r w:rsidRPr="000F7A56">
        <w:t xml:space="preserve"> 3.33 percent. In response to staff’s eleventh data request, Sebring explained market conditions are the reason for the increase in the interest rate from 3.33 percent to an estimated 6.00 percent. Staff requested documentation supporting the </w:t>
      </w:r>
      <w:r w:rsidR="00474C6A">
        <w:t>Company</w:t>
      </w:r>
      <w:r w:rsidRPr="000F7A56">
        <w:t xml:space="preserve">’s projected interest rate of 6.00 percent. Based on documents provided with the </w:t>
      </w:r>
      <w:r w:rsidR="00474C6A">
        <w:t>Company</w:t>
      </w:r>
      <w:r w:rsidRPr="000F7A56">
        <w:t>’s response to staff’s eleventh data request, it appears Sebring was paying 5.75 percent as recently as August 1, 2019. Prime Rate was 5.25 percent in August 2019. As of December 3, 2019, the Prime Rate as published in the Wall Street Journal was 4.75 percent. It appears Sebring’s cost of short-term debt is the same as its long-term debt, Prime Rate, plus 0.50 percent. Accordingly, staff recommends the appropriate amount of short-term debt is $37,907 at a cost rate of 5.25 percent</w:t>
      </w:r>
      <w:r>
        <w:t>.</w:t>
      </w:r>
    </w:p>
    <w:p w:rsidR="000F7A56" w:rsidRDefault="00631ADB" w:rsidP="00631ADB">
      <w:pPr>
        <w:pStyle w:val="First-LevelSubheading"/>
      </w:pPr>
      <w:r>
        <w:t>Customer Deposits</w:t>
      </w:r>
    </w:p>
    <w:p w:rsidR="00631ADB" w:rsidRDefault="00631ADB">
      <w:pPr>
        <w:pStyle w:val="BodyText"/>
      </w:pPr>
      <w:r w:rsidRPr="00631ADB">
        <w:t xml:space="preserve">Sebring included a balance of $156,205 for customer deposits at a cost rate of 2.86 percent in the revised projected test year. Staff verified the </w:t>
      </w:r>
      <w:r w:rsidR="00474C6A">
        <w:t>Company</w:t>
      </w:r>
      <w:r w:rsidRPr="00631ADB">
        <w:t xml:space="preserve"> calculated the interest rate in adherence to Rule 25-7.083,</w:t>
      </w:r>
      <w:r w:rsidR="00B06C67">
        <w:t xml:space="preserve"> </w:t>
      </w:r>
      <w:r w:rsidRPr="00631ADB">
        <w:t>F.A.C., Customer Deposits</w:t>
      </w:r>
      <w:r w:rsidR="006837DD">
        <w:t>,</w:t>
      </w:r>
      <w:r w:rsidRPr="00631ADB">
        <w:t xml:space="preserve"> and agrees with the cost rate requested by the </w:t>
      </w:r>
      <w:r w:rsidR="00474C6A">
        <w:t>Company</w:t>
      </w:r>
      <w:r w:rsidRPr="00631ADB">
        <w:t>. Staff made a pro rata adjustment to reconcile capital structure to rate base which decreased the customer deposit balance by $</w:t>
      </w:r>
      <w:r w:rsidR="00415DB8">
        <w:t>698</w:t>
      </w:r>
      <w:r w:rsidRPr="00631ADB">
        <w:t xml:space="preserve"> to $155,507. Accordingly, staff recommends the appropriate amount of customer deposits is $155,507 at a cost rate of 2.86 percent</w:t>
      </w:r>
      <w:r>
        <w:t>.</w:t>
      </w:r>
    </w:p>
    <w:p w:rsidR="00631ADB" w:rsidRDefault="00631ADB" w:rsidP="00631ADB">
      <w:pPr>
        <w:pStyle w:val="First-LevelSubheading"/>
      </w:pPr>
      <w:r w:rsidRPr="00631ADB">
        <w:t>Accumulated Deferred Income Taxes</w:t>
      </w:r>
    </w:p>
    <w:p w:rsidR="00631ADB" w:rsidRDefault="00631ADB">
      <w:pPr>
        <w:pStyle w:val="BodyText"/>
      </w:pPr>
      <w:r w:rsidRPr="00631ADB">
        <w:t xml:space="preserve">The </w:t>
      </w:r>
      <w:r w:rsidR="00474C6A">
        <w:t>Company</w:t>
      </w:r>
      <w:r w:rsidRPr="00631ADB">
        <w:t xml:space="preserve"> included a balance of $342,671 for accumulated deferred income taxes (ADITs) at a zero cost rate in its capital structure for the revised projected test year ending December 31, 2020. Staff recommends a reduction of $470 to recognize a decrease in the State of Florida corporate income tax rate from 5.50 percent to 4.458 percent for three taxable years beginning on or after January 1, 2019.</w:t>
      </w:r>
      <w:r w:rsidR="005E2C9A">
        <w:rPr>
          <w:rStyle w:val="FootnoteReference"/>
        </w:rPr>
        <w:footnoteReference w:id="37"/>
      </w:r>
      <w:r w:rsidRPr="00631ADB">
        <w:t xml:space="preserve">  Staff calculated the effect of the reduced tax rate on the ADIT balance for the calendar years 2019 through 2021. The lower tax rate resulted in a decrease of $157 per year. For the three-year period the total decrease is $470. Further, in his direct testimony, Mr. </w:t>
      </w:r>
      <w:r w:rsidR="00415DB8">
        <w:t xml:space="preserve">Russell </w:t>
      </w:r>
      <w:r w:rsidRPr="00631ADB">
        <w:t xml:space="preserve">Melendy stated that the </w:t>
      </w:r>
      <w:r w:rsidR="00474C6A">
        <w:t>Company</w:t>
      </w:r>
      <w:r w:rsidRPr="00631ADB">
        <w:t xml:space="preserve"> does not anticipate an increase in the amount of ADITs during the projected test year. Staff concurs with the </w:t>
      </w:r>
      <w:r w:rsidR="00474C6A">
        <w:t>Company</w:t>
      </w:r>
      <w:r w:rsidRPr="00631ADB">
        <w:t xml:space="preserve"> that the pro forma projects requested by the </w:t>
      </w:r>
      <w:r w:rsidR="00474C6A">
        <w:t>Company</w:t>
      </w:r>
      <w:r w:rsidRPr="00631ADB">
        <w:t xml:space="preserve"> should not generate additional ADITs. The Tax Cuts and Jobs Act</w:t>
      </w:r>
      <w:r w:rsidR="006837DD">
        <w:t xml:space="preserve"> of 2017</w:t>
      </w:r>
      <w:r w:rsidRPr="00631ADB">
        <w:t xml:space="preserve"> (TCJA) eliminated gas distribution systems from qualification for accelerated depreciation for Federal income tax purposes. Under the TCJA, certain types of property are not eligible for bonus depreciation in any taxable year beginning after December 31, 2017. One such exclusion from qualified property is for property primarily used in the trade or business of the furnishing or sale of gas or steam through a local distribution system or </w:t>
      </w:r>
      <w:r w:rsidRPr="00631ADB">
        <w:lastRenderedPageBreak/>
        <w:t>transportation of gas or steam by pipeline. This exclusion applies if the rates for the furnishing or sale have to be approved by a Federal, state or local government agency, a public service or public utility commission, or an electric cooperative.</w:t>
      </w:r>
      <w:r w:rsidR="005E2C9A">
        <w:rPr>
          <w:rStyle w:val="FootnoteReference"/>
        </w:rPr>
        <w:footnoteReference w:id="38"/>
      </w:r>
      <w:r w:rsidRPr="00631ADB">
        <w:t xml:space="preserve">  Staff reduced the ADITs by an additional $1,</w:t>
      </w:r>
      <w:r w:rsidR="00415DB8">
        <w:t>52</w:t>
      </w:r>
      <w:r w:rsidRPr="00631ADB">
        <w:t>9 as a result of the pro rata adjustment to reconcile capital structure to rate base. Accordingly, staff believes the appropriate ADIT balance for the revised projected test year ending December 31, 2020 is $340,672</w:t>
      </w:r>
      <w:r>
        <w:t>.</w:t>
      </w:r>
    </w:p>
    <w:p w:rsidR="00631ADB" w:rsidRDefault="00631ADB" w:rsidP="00631ADB">
      <w:pPr>
        <w:pStyle w:val="First-LevelSubheading"/>
      </w:pPr>
      <w:r>
        <w:t>Conclusion</w:t>
      </w:r>
    </w:p>
    <w:p w:rsidR="00631ADB" w:rsidRDefault="00631ADB">
      <w:pPr>
        <w:pStyle w:val="BodyText"/>
      </w:pPr>
      <w:r w:rsidRPr="00631ADB">
        <w:t>Based on the adjustments described above, staff recommends the appropriate WACC is 6.46 percent. The recommended WACC, including the proper components, amounts and cost rates are presented in Schedule</w:t>
      </w:r>
      <w:r w:rsidR="007304A4">
        <w:t xml:space="preserve"> No.</w:t>
      </w:r>
      <w:r w:rsidRPr="00631ADB">
        <w:t xml:space="preserve"> 2</w:t>
      </w:r>
      <w:r>
        <w:t>.</w:t>
      </w:r>
    </w:p>
    <w:p w:rsidR="00FB1759" w:rsidRDefault="00FB1759">
      <w:pPr>
        <w:pStyle w:val="IssueHeading"/>
        <w:rPr>
          <w:vanish/>
          <w:specVanish/>
        </w:rPr>
      </w:pPr>
      <w:r w:rsidRPr="004C3641">
        <w:rPr>
          <w:b w:val="0"/>
          <w:i w:val="0"/>
        </w:rPr>
        <w:br w:type="page"/>
      </w:r>
      <w:r w:rsidRPr="004C3641">
        <w:lastRenderedPageBreak/>
        <w:t xml:space="preserve">Issue </w:t>
      </w:r>
      <w:fldSimple w:instr=" SEQ Issue \* MERGEFORMAT ">
        <w:r w:rsidR="005A792F">
          <w:rPr>
            <w:noProof/>
          </w:rPr>
          <w:t>13</w:t>
        </w:r>
      </w:fldSimple>
      <w:r w:rsidRPr="004C3641">
        <w:t>:</w:t>
      </w:r>
      <w:r>
        <w:fldChar w:fldCharType="begin"/>
      </w:r>
      <w:r>
        <w:instrText xml:space="preserve"> TC "</w:instrText>
      </w:r>
      <w:r>
        <w:fldChar w:fldCharType="begin"/>
      </w:r>
      <w:r>
        <w:instrText xml:space="preserve"> SEQ issue \c </w:instrText>
      </w:r>
      <w:r>
        <w:fldChar w:fldCharType="separate"/>
      </w:r>
      <w:bookmarkStart w:id="26" w:name="_Toc28007722"/>
      <w:r w:rsidR="005A792F">
        <w:rPr>
          <w:noProof/>
        </w:rPr>
        <w:instrText>13</w:instrText>
      </w:r>
      <w:r>
        <w:fldChar w:fldCharType="end"/>
      </w:r>
      <w:r>
        <w:tab/>
      </w:r>
      <w:r w:rsidR="00091C29">
        <w:instrText>Projected Operating Revenues (Wu)</w:instrText>
      </w:r>
      <w:bookmarkEnd w:id="26"/>
      <w:r>
        <w:instrText xml:space="preserve">" \l 1 </w:instrText>
      </w:r>
      <w:r>
        <w:fldChar w:fldCharType="end"/>
      </w:r>
      <w:r>
        <w:t> </w:t>
      </w:r>
    </w:p>
    <w:p w:rsidR="00FB1759" w:rsidRDefault="00FB1759">
      <w:pPr>
        <w:pStyle w:val="BodyText"/>
      </w:pPr>
      <w:r>
        <w:t> Are Sebring's projected Total Operating Revenues for the projected test year appropriate?</w:t>
      </w:r>
    </w:p>
    <w:p w:rsidR="00FB1759" w:rsidRPr="004C3641" w:rsidRDefault="00FB1759">
      <w:pPr>
        <w:pStyle w:val="IssueSubsectionHeading"/>
        <w:rPr>
          <w:vanish/>
          <w:specVanish/>
        </w:rPr>
      </w:pPr>
      <w:r w:rsidRPr="004C3641">
        <w:t>Recommendation: </w:t>
      </w:r>
    </w:p>
    <w:p w:rsidR="00FB1759" w:rsidRDefault="00FB1759">
      <w:pPr>
        <w:pStyle w:val="BodyText"/>
      </w:pPr>
      <w:r>
        <w:t> </w:t>
      </w:r>
      <w:r w:rsidR="005E0865" w:rsidRPr="005E0865">
        <w:t>Yes. Sebring’s projected Total Operating Revenues for the 2020 projected test year are appropriate</w:t>
      </w:r>
      <w:r w:rsidR="005E0865">
        <w:t>.</w:t>
      </w:r>
      <w:r>
        <w:t xml:space="preserve"> (Wu)</w:t>
      </w:r>
    </w:p>
    <w:p w:rsidR="00FB1759" w:rsidRPr="004C3641" w:rsidRDefault="00FB1759">
      <w:pPr>
        <w:pStyle w:val="IssueSubsectionHeading"/>
        <w:rPr>
          <w:vanish/>
          <w:specVanish/>
        </w:rPr>
      </w:pPr>
      <w:r w:rsidRPr="004C3641">
        <w:t>Staff Analysis: </w:t>
      </w:r>
    </w:p>
    <w:p w:rsidR="00FB1759" w:rsidRDefault="00FB1759">
      <w:pPr>
        <w:pStyle w:val="BodyText"/>
      </w:pPr>
      <w:r>
        <w:t> </w:t>
      </w:r>
      <w:r w:rsidR="005E0865" w:rsidRPr="005E0865">
        <w:t>Staff has reviewed S</w:t>
      </w:r>
      <w:r w:rsidR="00647A86">
        <w:t>ebring</w:t>
      </w:r>
      <w:r w:rsidR="005E0865" w:rsidRPr="005E0865">
        <w:t>’</w:t>
      </w:r>
      <w:r w:rsidR="00647A86">
        <w:t>s</w:t>
      </w:r>
      <w:r w:rsidR="005E0865" w:rsidRPr="005E0865">
        <w:t xml:space="preserve"> calculations presented in</w:t>
      </w:r>
      <w:r w:rsidR="006C6011">
        <w:t xml:space="preserve"> Document No. 10856-2019, revised</w:t>
      </w:r>
      <w:r w:rsidR="005E0865" w:rsidRPr="005E0865">
        <w:t xml:space="preserve"> MFR Schedules G-2, Page 1, and Schedule G-2, Pages 8 and 8.5 of 31. S</w:t>
      </w:r>
      <w:r w:rsidR="00647A86">
        <w:t>ebring</w:t>
      </w:r>
      <w:r w:rsidR="00FD6728">
        <w:t>’s</w:t>
      </w:r>
      <w:r w:rsidR="005E0865" w:rsidRPr="005E0865">
        <w:t xml:space="preserve"> projected revenues from the sales of gas, in the amount of $1,171,865, and miscellaneous service revenues, in the amount of $14,335, result in total operating revenue of $1,186,200. Staff believes that the Company’s estimation of $1,186,200 total operating revenues for the 2020 projected test year is appropriate</w:t>
      </w:r>
      <w:r w:rsidR="005E0865">
        <w:t>.</w:t>
      </w:r>
    </w:p>
    <w:p w:rsidR="00FB1759" w:rsidRDefault="00FB1759">
      <w:pPr>
        <w:pStyle w:val="IssueHeading"/>
        <w:rPr>
          <w:vanish/>
          <w:specVanish/>
        </w:rPr>
      </w:pPr>
      <w:r w:rsidRPr="004C3641">
        <w:rPr>
          <w:b w:val="0"/>
          <w:i w:val="0"/>
        </w:rPr>
        <w:br w:type="page"/>
      </w:r>
      <w:r w:rsidRPr="004C3641">
        <w:lastRenderedPageBreak/>
        <w:t xml:space="preserve">Issue </w:t>
      </w:r>
      <w:fldSimple w:instr=" SEQ Issue \* MERGEFORMAT ">
        <w:r w:rsidR="005A792F">
          <w:rPr>
            <w:noProof/>
          </w:rPr>
          <w:t>14</w:t>
        </w:r>
      </w:fldSimple>
      <w:r w:rsidRPr="004C3641">
        <w:t>:</w:t>
      </w:r>
      <w:r>
        <w:fldChar w:fldCharType="begin"/>
      </w:r>
      <w:r>
        <w:instrText xml:space="preserve"> TC "</w:instrText>
      </w:r>
      <w:r>
        <w:fldChar w:fldCharType="begin"/>
      </w:r>
      <w:r>
        <w:instrText xml:space="preserve"> SEQ issue \c </w:instrText>
      </w:r>
      <w:r>
        <w:fldChar w:fldCharType="separate"/>
      </w:r>
      <w:bookmarkStart w:id="27" w:name="_Toc28007723"/>
      <w:r w:rsidR="005A792F">
        <w:rPr>
          <w:noProof/>
        </w:rPr>
        <w:instrText>14</w:instrText>
      </w:r>
      <w:r>
        <w:fldChar w:fldCharType="end"/>
      </w:r>
      <w:r>
        <w:tab/>
      </w:r>
      <w:r w:rsidR="000F73A9">
        <w:instrText>Number of Employees (Knoblauch, Lewis, M. Andrews)</w:instrText>
      </w:r>
      <w:bookmarkEnd w:id="27"/>
      <w:r>
        <w:instrText xml:space="preserve">" \l 1 </w:instrText>
      </w:r>
      <w:r>
        <w:fldChar w:fldCharType="end"/>
      </w:r>
      <w:r>
        <w:t> </w:t>
      </w:r>
    </w:p>
    <w:p w:rsidR="00FB1759" w:rsidRDefault="00FB1759">
      <w:pPr>
        <w:pStyle w:val="BodyText"/>
      </w:pPr>
      <w:r>
        <w:t> Should an adjustment be made to the number of employees in the projected test year?</w:t>
      </w:r>
    </w:p>
    <w:p w:rsidR="00FB1759" w:rsidRPr="004C3641" w:rsidRDefault="00FB1759">
      <w:pPr>
        <w:pStyle w:val="IssueSubsectionHeading"/>
        <w:rPr>
          <w:vanish/>
          <w:specVanish/>
        </w:rPr>
      </w:pPr>
      <w:r w:rsidRPr="004C3641">
        <w:t>Recommendation: </w:t>
      </w:r>
    </w:p>
    <w:p w:rsidR="00FB1759" w:rsidRDefault="00FB1759">
      <w:pPr>
        <w:pStyle w:val="BodyText"/>
      </w:pPr>
      <w:r>
        <w:t> </w:t>
      </w:r>
      <w:r w:rsidR="00240F45">
        <w:t xml:space="preserve">Staff recommends no adjustment to the Company’s proposed number of employees. </w:t>
      </w:r>
      <w:r w:rsidR="00D40CF4" w:rsidRPr="00D40CF4">
        <w:t>Based on staff’s recommendation in Issue 5 for approval of the expansion projects in Arcadia and Wauchula, there will be a significant increase in the territory that Sebring will be serving.</w:t>
      </w:r>
      <w:r w:rsidR="00D40CF4">
        <w:t xml:space="preserve"> Therefore, s</w:t>
      </w:r>
      <w:r w:rsidR="008709D7" w:rsidRPr="008709D7">
        <w:t>taff recommends approval of one new accounting position and two new field employees</w:t>
      </w:r>
      <w:r w:rsidR="008709D7">
        <w:t>.</w:t>
      </w:r>
      <w:r>
        <w:t xml:space="preserve"> (Knoblauch, Lewis, M. Andrews)</w:t>
      </w:r>
    </w:p>
    <w:p w:rsidR="00FB1759" w:rsidRPr="004C3641" w:rsidRDefault="00FB1759">
      <w:pPr>
        <w:pStyle w:val="IssueSubsectionHeading"/>
        <w:rPr>
          <w:vanish/>
          <w:specVanish/>
        </w:rPr>
      </w:pPr>
      <w:r w:rsidRPr="004C3641">
        <w:t>Staff Analysis: </w:t>
      </w:r>
    </w:p>
    <w:p w:rsidR="008709D7" w:rsidRDefault="00FB1759" w:rsidP="008709D7">
      <w:pPr>
        <w:pStyle w:val="BodyText"/>
      </w:pPr>
      <w:r>
        <w:t> </w:t>
      </w:r>
      <w:r w:rsidR="008709D7">
        <w:t>Sebring proposed to add one new accounting</w:t>
      </w:r>
      <w:r w:rsidR="00B15ECE">
        <w:t xml:space="preserve"> position to handle an increase in</w:t>
      </w:r>
      <w:r w:rsidR="008709D7">
        <w:t xml:space="preserve"> workload and complexity</w:t>
      </w:r>
      <w:r w:rsidR="0061400D">
        <w:t xml:space="preserve"> of </w:t>
      </w:r>
      <w:r w:rsidR="00B15ECE">
        <w:t xml:space="preserve">the </w:t>
      </w:r>
      <w:r w:rsidR="0061400D">
        <w:t>workload</w:t>
      </w:r>
      <w:r w:rsidR="008709D7">
        <w:t>. As discussed in Issue 15, staff recommends approval of the new accounting position.</w:t>
      </w:r>
    </w:p>
    <w:p w:rsidR="008709D7" w:rsidRDefault="008709D7" w:rsidP="008709D7">
      <w:pPr>
        <w:pStyle w:val="BodyText"/>
      </w:pPr>
      <w:r>
        <w:t xml:space="preserve">As discussed in Issue 5, Sebring has proposed two expansion projects into the cities of Arcadia and Wauchula. Sebring is proposing the addition of 10,640 feet of steel mains and 30,000 feet of plastic mains to construct its Arcadia distribution system, and 15,500 feet of plastic mains for its Wauchula distribution system. The potential number of new customers that the </w:t>
      </w:r>
      <w:r w:rsidR="00474C6A">
        <w:t>Company</w:t>
      </w:r>
      <w:r>
        <w:t xml:space="preserve"> identified is 27 for Arcadia and 28 for Wauchula, which largely consists of commercial and industrial customers.</w:t>
      </w:r>
      <w:r w:rsidR="00030E63">
        <w:rPr>
          <w:rStyle w:val="FootnoteReference"/>
        </w:rPr>
        <w:footnoteReference w:id="39"/>
      </w:r>
      <w:r>
        <w:t xml:space="preserve"> Due to the addition of these distribution systems, the </w:t>
      </w:r>
      <w:r w:rsidR="00474C6A">
        <w:t>Company</w:t>
      </w:r>
      <w:r>
        <w:t xml:space="preserve"> has requested two new field employees. The field employees will be responsible for tasks such as line locates, leak surveys, meter turn-ons/offs, and inspections of mains and services installations that will be completed by contractors. Additionally, these employees will be responsible for two prisons that are served by Sebring near Arcadia and Wauchula.  </w:t>
      </w:r>
    </w:p>
    <w:p w:rsidR="00FB1759" w:rsidRDefault="008709D7" w:rsidP="008709D7">
      <w:pPr>
        <w:pStyle w:val="BodyText"/>
      </w:pPr>
      <w:r>
        <w:t xml:space="preserve">Based on staff’s recommendation in Issue 5 for approval of the expansion projects in Arcadia and Wauchula, there will be a significant increase in the territory that Sebring will be serving. Also, </w:t>
      </w:r>
      <w:r w:rsidR="004035AB">
        <w:t xml:space="preserve">Mr. </w:t>
      </w:r>
      <w:r>
        <w:t>Jerry Melendy indicated that the Arcadia, Sebring, and Wauchula distribution systems are not interconnected and are therefore three separate systems. Considering the expansion of service, as well as the independent nature of the three distribution systems, staff recommends approval of the two new field employees.</w:t>
      </w:r>
    </w:p>
    <w:p w:rsidR="00E5227B" w:rsidRDefault="00E5227B">
      <w:pPr>
        <w:pStyle w:val="IssueHeading"/>
        <w:rPr>
          <w:vanish/>
          <w:specVanish/>
        </w:rPr>
      </w:pPr>
      <w:r w:rsidRPr="004C3641">
        <w:rPr>
          <w:b w:val="0"/>
          <w:i w:val="0"/>
        </w:rPr>
        <w:br w:type="page"/>
      </w:r>
      <w:r w:rsidRPr="004C3641">
        <w:lastRenderedPageBreak/>
        <w:t xml:space="preserve">Issue </w:t>
      </w:r>
      <w:fldSimple w:instr=" SEQ Issue \* MERGEFORMAT ">
        <w:r w:rsidR="005A792F">
          <w:rPr>
            <w:noProof/>
          </w:rPr>
          <w:t>15</w:t>
        </w:r>
      </w:fldSimple>
      <w:r w:rsidRPr="004C3641">
        <w:t>:</w:t>
      </w:r>
      <w:r>
        <w:fldChar w:fldCharType="begin"/>
      </w:r>
      <w:r>
        <w:instrText xml:space="preserve"> TC "</w:instrText>
      </w:r>
      <w:r>
        <w:fldChar w:fldCharType="begin"/>
      </w:r>
      <w:r>
        <w:instrText xml:space="preserve"> SEQ issue \c </w:instrText>
      </w:r>
      <w:r>
        <w:fldChar w:fldCharType="separate"/>
      </w:r>
      <w:bookmarkStart w:id="28" w:name="_Toc28007724"/>
      <w:r w:rsidR="005A792F">
        <w:rPr>
          <w:noProof/>
        </w:rPr>
        <w:instrText>15</w:instrText>
      </w:r>
      <w:r>
        <w:fldChar w:fldCharType="end"/>
      </w:r>
      <w:r>
        <w:tab/>
      </w:r>
      <w:r w:rsidR="000E1F1A">
        <w:instrText>Salaries and Benefits (M. Andrews)</w:instrText>
      </w:r>
      <w:bookmarkEnd w:id="28"/>
      <w:r>
        <w:instrText xml:space="preserve">" \l 1 </w:instrText>
      </w:r>
      <w:r>
        <w:fldChar w:fldCharType="end"/>
      </w:r>
      <w:r>
        <w:t> </w:t>
      </w:r>
    </w:p>
    <w:p w:rsidR="00E5227B" w:rsidRDefault="00E5227B">
      <w:pPr>
        <w:pStyle w:val="BodyText"/>
      </w:pPr>
      <w:r>
        <w:t> What is the appropriate amount of salaries and benefits to include in the projected test year?</w:t>
      </w:r>
    </w:p>
    <w:p w:rsidR="00E5227B" w:rsidRPr="004C3641" w:rsidRDefault="00E5227B">
      <w:pPr>
        <w:pStyle w:val="IssueSubsectionHeading"/>
        <w:rPr>
          <w:vanish/>
          <w:specVanish/>
        </w:rPr>
      </w:pPr>
      <w:r w:rsidRPr="004C3641">
        <w:t>Recommendation: </w:t>
      </w:r>
    </w:p>
    <w:p w:rsidR="00E5227B" w:rsidRDefault="00E5227B">
      <w:pPr>
        <w:pStyle w:val="BodyText"/>
      </w:pPr>
      <w:r>
        <w:t> </w:t>
      </w:r>
      <w:r w:rsidR="0057799A" w:rsidRPr="0057799A">
        <w:t>The appropriate amount of salaries and benefits for the projected test year is $513,255</w:t>
      </w:r>
      <w:r w:rsidR="0057799A">
        <w:t>.</w:t>
      </w:r>
      <w:r>
        <w:t xml:space="preserve"> (M. Andrews)</w:t>
      </w:r>
    </w:p>
    <w:p w:rsidR="00E5227B" w:rsidRPr="004C3641" w:rsidRDefault="00E5227B">
      <w:pPr>
        <w:pStyle w:val="IssueSubsectionHeading"/>
        <w:rPr>
          <w:vanish/>
          <w:specVanish/>
        </w:rPr>
      </w:pPr>
      <w:r w:rsidRPr="004C3641">
        <w:t>Staff Analysis: </w:t>
      </w:r>
    </w:p>
    <w:p w:rsidR="0057799A" w:rsidRDefault="00E5227B" w:rsidP="0057799A">
      <w:pPr>
        <w:pStyle w:val="BodyText"/>
      </w:pPr>
      <w:r>
        <w:t> </w:t>
      </w:r>
      <w:r w:rsidR="0057799A">
        <w:t xml:space="preserve">Sebring included $513,652 in salaries and benefits in the projected test year. Staff removed $397 related to meter readings to reclassify the expense to Account 902. </w:t>
      </w:r>
    </w:p>
    <w:p w:rsidR="0057799A" w:rsidRDefault="0057799A" w:rsidP="0057799A">
      <w:pPr>
        <w:pStyle w:val="BodyText"/>
      </w:pPr>
      <w:r>
        <w:t>In its petition, Sebring stated that like much of the utility industry in Florida, Sebring has experienced difficulty attracting and retaining qualified personnel. In 2018, Sebring experienced turn-over in three of its six field positions. Sebring believes that keeping existing employees is more prudent because of the significant time and expense</w:t>
      </w:r>
      <w:r w:rsidR="00E865D4">
        <w:t xml:space="preserve"> necessary</w:t>
      </w:r>
      <w:r>
        <w:t xml:space="preserve"> to train new employees. To motivate current employees to remain and </w:t>
      </w:r>
      <w:r w:rsidR="007C011F">
        <w:t xml:space="preserve">to </w:t>
      </w:r>
      <w:r>
        <w:t xml:space="preserve">attract qualified personnel, Sebring has plans to increase wages for employees by an average of five percent for 2019 and 2020. </w:t>
      </w:r>
    </w:p>
    <w:p w:rsidR="0057799A" w:rsidRDefault="0057799A" w:rsidP="0057799A">
      <w:pPr>
        <w:pStyle w:val="BodyText"/>
      </w:pPr>
      <w:r>
        <w:t xml:space="preserve">Sebring projects to add two new field employees to serve customers in the previously unserved areas of Wauchula and Arcadia. The impact on Sebring’s payroll expense is projected </w:t>
      </w:r>
      <w:r w:rsidR="00603FC2">
        <w:t>to be</w:t>
      </w:r>
      <w:r>
        <w:t xml:space="preserve"> $97,230 for the projected test year</w:t>
      </w:r>
      <w:r w:rsidR="00567EC6">
        <w:t>,</w:t>
      </w:r>
      <w:r>
        <w:t xml:space="preserve"> of which $20,241 will be capitalized.</w:t>
      </w:r>
      <w:r w:rsidR="001D7991">
        <w:rPr>
          <w:rStyle w:val="FootnoteReference"/>
        </w:rPr>
        <w:footnoteReference w:id="40"/>
      </w:r>
      <w:r>
        <w:t xml:space="preserve"> With the projected growth and added complexity of managing a regulated natural gas company, Sebring proposes to add one accounting position with a projected salary of $50,000. In response to a staff data request, Sebring stated that the workload has increased to a level that requires the additional accounting position. The additional accounting position will ensure compliance with the complex accounting regulations.</w:t>
      </w:r>
      <w:r>
        <w:rPr>
          <w:rStyle w:val="FootnoteReference"/>
        </w:rPr>
        <w:footnoteReference w:id="41"/>
      </w:r>
      <w:r>
        <w:t xml:space="preserve">  </w:t>
      </w:r>
    </w:p>
    <w:p w:rsidR="00E5227B" w:rsidRDefault="0057799A" w:rsidP="0057799A">
      <w:pPr>
        <w:pStyle w:val="BodyText"/>
      </w:pPr>
      <w:r>
        <w:t xml:space="preserve">As discussed in Issue 14, staff recommends </w:t>
      </w:r>
      <w:r w:rsidR="007C011F">
        <w:t>approval of the Company’s requested positions</w:t>
      </w:r>
      <w:r>
        <w:t>. Also, staff believes the increase in wages to be reasonable. Therefore, the appropriate amount of salaries and benefits for the projected test year is $513,255.</w:t>
      </w:r>
    </w:p>
    <w:p w:rsidR="00E5227B" w:rsidRDefault="00E5227B">
      <w:pPr>
        <w:pStyle w:val="IssueHeading"/>
        <w:rPr>
          <w:vanish/>
          <w:specVanish/>
        </w:rPr>
      </w:pPr>
      <w:r w:rsidRPr="004C3641">
        <w:rPr>
          <w:b w:val="0"/>
          <w:i w:val="0"/>
        </w:rPr>
        <w:br w:type="page"/>
      </w:r>
      <w:r w:rsidRPr="004C3641">
        <w:lastRenderedPageBreak/>
        <w:t xml:space="preserve">Issue </w:t>
      </w:r>
      <w:fldSimple w:instr=" SEQ Issue \* MERGEFORMAT ">
        <w:r w:rsidR="005A792F">
          <w:rPr>
            <w:noProof/>
          </w:rPr>
          <w:t>16</w:t>
        </w:r>
      </w:fldSimple>
      <w:r w:rsidRPr="004C3641">
        <w:t>:</w:t>
      </w:r>
      <w:r>
        <w:fldChar w:fldCharType="begin"/>
      </w:r>
      <w:r>
        <w:instrText xml:space="preserve"> TC "</w:instrText>
      </w:r>
      <w:r>
        <w:fldChar w:fldCharType="begin"/>
      </w:r>
      <w:r>
        <w:instrText xml:space="preserve"> SEQ issue \c </w:instrText>
      </w:r>
      <w:r>
        <w:fldChar w:fldCharType="separate"/>
      </w:r>
      <w:bookmarkStart w:id="29" w:name="_Toc28007725"/>
      <w:r w:rsidR="005A792F">
        <w:rPr>
          <w:noProof/>
        </w:rPr>
        <w:instrText>16</w:instrText>
      </w:r>
      <w:r>
        <w:fldChar w:fldCharType="end"/>
      </w:r>
      <w:r>
        <w:tab/>
      </w:r>
      <w:r w:rsidR="00F5406A">
        <w:instrText>Rate Case Expense and Amortization Period (D. Andrews)</w:instrText>
      </w:r>
      <w:bookmarkEnd w:id="29"/>
      <w:r>
        <w:instrText xml:space="preserve">" \l 1 </w:instrText>
      </w:r>
      <w:r>
        <w:fldChar w:fldCharType="end"/>
      </w:r>
      <w:r>
        <w:t> </w:t>
      </w:r>
    </w:p>
    <w:p w:rsidR="00E5227B" w:rsidRDefault="00E5227B">
      <w:pPr>
        <w:pStyle w:val="BodyText"/>
      </w:pPr>
      <w:r>
        <w:t> </w:t>
      </w:r>
      <w:r w:rsidR="005836B2">
        <w:t>What is the appropriate amount of</w:t>
      </w:r>
      <w:r>
        <w:t xml:space="preserve"> </w:t>
      </w:r>
      <w:r w:rsidRPr="00524F43">
        <w:t>R</w:t>
      </w:r>
      <w:r w:rsidR="00524F43">
        <w:t>ate Case</w:t>
      </w:r>
      <w:r>
        <w:t xml:space="preserve"> Expense </w:t>
      </w:r>
      <w:r w:rsidR="005836B2">
        <w:t>to include in</w:t>
      </w:r>
      <w:r>
        <w:t xml:space="preserve"> the projected test year and what is the appropriate amortization period?</w:t>
      </w:r>
    </w:p>
    <w:p w:rsidR="00E5227B" w:rsidRPr="004C3641" w:rsidRDefault="00E5227B">
      <w:pPr>
        <w:pStyle w:val="IssueSubsectionHeading"/>
        <w:rPr>
          <w:vanish/>
          <w:specVanish/>
        </w:rPr>
      </w:pPr>
      <w:r w:rsidRPr="004C3641">
        <w:t>Recommendation: </w:t>
      </w:r>
    </w:p>
    <w:p w:rsidR="00E5227B" w:rsidRDefault="00E5227B">
      <w:pPr>
        <w:pStyle w:val="BodyText"/>
      </w:pPr>
      <w:r>
        <w:t> </w:t>
      </w:r>
      <w:r w:rsidR="00642B22" w:rsidRPr="00642B22">
        <w:t>The appropriate amount of Rate Case Expense is $151,295 to be amortized over four years. Therefore, the appropriate amount to be included in Rate Case Expense for the projected</w:t>
      </w:r>
      <w:r w:rsidR="00D94BF1">
        <w:t xml:space="preserve"> test year is $37,824 ($151,295 </w:t>
      </w:r>
      <w:r w:rsidR="00642B22" w:rsidRPr="00642B22">
        <w:t>/ 4)</w:t>
      </w:r>
      <w:r w:rsidR="00642B22">
        <w:t>.</w:t>
      </w:r>
      <w:r>
        <w:t xml:space="preserve"> (D. Andrews)</w:t>
      </w:r>
    </w:p>
    <w:p w:rsidR="00E5227B" w:rsidRPr="004C3641" w:rsidRDefault="00E5227B">
      <w:pPr>
        <w:pStyle w:val="IssueSubsectionHeading"/>
        <w:rPr>
          <w:vanish/>
          <w:specVanish/>
        </w:rPr>
      </w:pPr>
      <w:r w:rsidRPr="004C3641">
        <w:t>Staff Analysis: </w:t>
      </w:r>
    </w:p>
    <w:p w:rsidR="00642B22" w:rsidRDefault="00E5227B" w:rsidP="00642B22">
      <w:pPr>
        <w:pStyle w:val="BodyText"/>
      </w:pPr>
      <w:r>
        <w:t> </w:t>
      </w:r>
      <w:r w:rsidR="00642B22">
        <w:t xml:space="preserve">According to the MFRs, Sebring projected Rate Case Expense of $132,500 for this proceeding. Sebring proposed a four-year amortization period, resulting in annual Rate Case Expense of $33,125. </w:t>
      </w:r>
    </w:p>
    <w:p w:rsidR="00642B22" w:rsidRDefault="00642B22" w:rsidP="00642B22">
      <w:pPr>
        <w:pStyle w:val="BodyText"/>
      </w:pPr>
      <w:r>
        <w:t>On October 17, 2019, Sebring provided staff with an updated estimate of Rate Case Expense based on actual expense to date and an estimate to complete the case.</w:t>
      </w:r>
      <w:r w:rsidR="00F34758">
        <w:rPr>
          <w:rStyle w:val="FootnoteReference"/>
        </w:rPr>
        <w:footnoteReference w:id="42"/>
      </w:r>
      <w:r>
        <w:t xml:space="preserve"> The documentation has been reviewed by staff. Sebring projected $100,000 in consulting fees. The Company provided a flat rate contract from the consultant that matched this amount for the instant case. In the prior rate case in 2004, $40,000 in Rate Case Expense was allowed for consulting service which was primarily related to the cost of service study. In the instant case, the consultant derived Sebring’s capital costs for the Company’s expansion, detailed capital costs related to other growth, and sponsored the cost of service study. Staff believes the increase in consulting fees is reasonable due to the additional work being provided by the consultant in the instant case and inflation since the last rate case. Therefore, staff recommends no adjustments for consulting services. </w:t>
      </w:r>
    </w:p>
    <w:p w:rsidR="00642B22" w:rsidRDefault="00642B22" w:rsidP="00642B22">
      <w:pPr>
        <w:pStyle w:val="BodyText"/>
      </w:pPr>
      <w:r>
        <w:t>Sebring initially projected $30,000 for legal fees. The updated amount for legal expenses is $50,000, including $33,000 already incurred. The contract for legal services established a “soft” cap of $50,000.</w:t>
      </w:r>
      <w:r w:rsidR="004E61E4">
        <w:rPr>
          <w:rStyle w:val="FootnoteReference"/>
        </w:rPr>
        <w:footnoteReference w:id="43"/>
      </w:r>
      <w:r>
        <w:t xml:space="preserve"> Based upon the work already performed and the work expected to be performed, staff believes legal expenses of $50,000 is reasonable. Therefore, staff recommends increasing legal expenses by $20,000. Further, miscellaneous expenses were projected to be $2,500. The updated amount for miscellaneous expense is $1,295, thus miscellaneous expenses should be reduced by $1,205. The adjustments above result in an increase of $18,795 ($20,000 - $1,205). This results in a total Rate Case Expense of $151,295 ($132,500 + $18,795) </w:t>
      </w:r>
    </w:p>
    <w:p w:rsidR="00642B22" w:rsidRDefault="00642B22" w:rsidP="00642B22">
      <w:pPr>
        <w:pStyle w:val="BodyText"/>
      </w:pPr>
      <w:r>
        <w:t>As presented in the MFRs, Sebring requested that the Rate Case Expense be amortized over a period of four years. Staff believes the four-year amortization period to be reasonable and consistent with prior Commission decisions.</w:t>
      </w:r>
      <w:r>
        <w:rPr>
          <w:rStyle w:val="FootnoteReference"/>
        </w:rPr>
        <w:footnoteReference w:id="44"/>
      </w:r>
      <w:r>
        <w:t xml:space="preserve"> </w:t>
      </w:r>
    </w:p>
    <w:p w:rsidR="00E5227B" w:rsidRDefault="00642B22" w:rsidP="00642B22">
      <w:pPr>
        <w:pStyle w:val="BodyText"/>
      </w:pPr>
      <w:r>
        <w:t>Based on the above, staff recommends that the appropriate amount of Rate Case Expense is $151,295 to be amortized over four years. The appropriate annual amount to be included in Rate Case Expense is $37,824 ($151,295 / 4). Therefore, Rate Case Expense should be increased by $4,699 ($37,824 - $33,125).</w:t>
      </w:r>
    </w:p>
    <w:p w:rsidR="00E5227B" w:rsidRDefault="00E5227B">
      <w:pPr>
        <w:pStyle w:val="IssueHeading"/>
        <w:rPr>
          <w:vanish/>
          <w:specVanish/>
        </w:rPr>
      </w:pPr>
      <w:r w:rsidRPr="004C3641">
        <w:rPr>
          <w:b w:val="0"/>
          <w:i w:val="0"/>
        </w:rPr>
        <w:br w:type="page"/>
      </w:r>
      <w:r w:rsidRPr="004C3641">
        <w:lastRenderedPageBreak/>
        <w:t xml:space="preserve">Issue </w:t>
      </w:r>
      <w:fldSimple w:instr=" SEQ Issue \* MERGEFORMAT ">
        <w:r w:rsidR="005A792F">
          <w:rPr>
            <w:noProof/>
          </w:rPr>
          <w:t>17</w:t>
        </w:r>
      </w:fldSimple>
      <w:r w:rsidRPr="004C3641">
        <w:t>:</w:t>
      </w:r>
      <w:r>
        <w:fldChar w:fldCharType="begin"/>
      </w:r>
      <w:r>
        <w:instrText xml:space="preserve"> TC "</w:instrText>
      </w:r>
      <w:r>
        <w:fldChar w:fldCharType="begin"/>
      </w:r>
      <w:r>
        <w:instrText xml:space="preserve"> SEQ issue \c </w:instrText>
      </w:r>
      <w:r>
        <w:fldChar w:fldCharType="separate"/>
      </w:r>
      <w:bookmarkStart w:id="30" w:name="_Toc28007726"/>
      <w:r w:rsidR="005A792F">
        <w:rPr>
          <w:noProof/>
        </w:rPr>
        <w:instrText>17</w:instrText>
      </w:r>
      <w:r>
        <w:fldChar w:fldCharType="end"/>
      </w:r>
      <w:r>
        <w:tab/>
      </w:r>
      <w:r w:rsidR="000F73A9">
        <w:instrText>Test Year O&amp;M Expense (M. Andrews)</w:instrText>
      </w:r>
      <w:bookmarkEnd w:id="30"/>
      <w:r>
        <w:instrText xml:space="preserve">" \l 1 </w:instrText>
      </w:r>
      <w:r>
        <w:fldChar w:fldCharType="end"/>
      </w:r>
      <w:r>
        <w:t> </w:t>
      </w:r>
    </w:p>
    <w:p w:rsidR="00E5227B" w:rsidRDefault="00E5227B">
      <w:pPr>
        <w:pStyle w:val="BodyText"/>
      </w:pPr>
      <w:r>
        <w:t xml:space="preserve"> What is the appropriate amount of </w:t>
      </w:r>
      <w:r w:rsidR="00243F7A" w:rsidRPr="00243F7A">
        <w:t xml:space="preserve">O&amp;M expenses for the </w:t>
      </w:r>
      <w:r w:rsidRPr="00243F7A">
        <w:t>projected test year</w:t>
      </w:r>
      <w:r w:rsidR="00243F7A">
        <w:t>?</w:t>
      </w:r>
    </w:p>
    <w:p w:rsidR="00E5227B" w:rsidRPr="004C3641" w:rsidRDefault="00E5227B">
      <w:pPr>
        <w:pStyle w:val="IssueSubsectionHeading"/>
        <w:rPr>
          <w:vanish/>
          <w:specVanish/>
        </w:rPr>
      </w:pPr>
      <w:r w:rsidRPr="004C3641">
        <w:t>Recommendation: </w:t>
      </w:r>
    </w:p>
    <w:p w:rsidR="00E5227B" w:rsidRDefault="00E5227B">
      <w:pPr>
        <w:pStyle w:val="BodyText"/>
      </w:pPr>
      <w:r>
        <w:t> </w:t>
      </w:r>
      <w:r w:rsidR="0007453A" w:rsidRPr="0007453A">
        <w:t>The appropriate amount of O&amp;M expenses for the projected test year is $741,992</w:t>
      </w:r>
      <w:r w:rsidR="0007453A">
        <w:t>.</w:t>
      </w:r>
      <w:r>
        <w:t xml:space="preserve"> (M. Andrews)</w:t>
      </w:r>
    </w:p>
    <w:p w:rsidR="00E5227B" w:rsidRPr="004C3641" w:rsidRDefault="00E5227B">
      <w:pPr>
        <w:pStyle w:val="IssueSubsectionHeading"/>
        <w:rPr>
          <w:vanish/>
          <w:specVanish/>
        </w:rPr>
      </w:pPr>
      <w:r w:rsidRPr="004C3641">
        <w:t>Staff Analysis: </w:t>
      </w:r>
    </w:p>
    <w:p w:rsidR="00E5227B" w:rsidRDefault="00E5227B">
      <w:pPr>
        <w:pStyle w:val="BodyText"/>
      </w:pPr>
      <w:r>
        <w:t> </w:t>
      </w:r>
      <w:r w:rsidR="0007453A" w:rsidRPr="0007453A">
        <w:t xml:space="preserve">Sebring included $739,587 in operation and maintenance (O&amp;M) expenses for the projected test year. As discussed in Issue 15, staff decreased salaries and benefits by $397. Also, as discussed in Issue 16, staff increased </w:t>
      </w:r>
      <w:r w:rsidR="0016637D">
        <w:t>Rate Case</w:t>
      </w:r>
      <w:r w:rsidR="0007453A" w:rsidRPr="0007453A">
        <w:t xml:space="preserve"> Expense by $4,699 for the projected test year. Based on staff’s analysis, staff recommends the following additional adjustments to Sebring’s O&amp;M expense for the projected test year</w:t>
      </w:r>
      <w:r w:rsidR="0007453A">
        <w:t>.</w:t>
      </w:r>
    </w:p>
    <w:p w:rsidR="0007453A" w:rsidRDefault="0007453A" w:rsidP="008046B0">
      <w:pPr>
        <w:pStyle w:val="First-LevelSubheading"/>
        <w:spacing w:after="240"/>
      </w:pPr>
      <w:r>
        <w:t>Operation &amp; Maintenance Expense</w:t>
      </w:r>
    </w:p>
    <w:p w:rsidR="0007453A" w:rsidRDefault="0007453A" w:rsidP="0007453A">
      <w:pPr>
        <w:pStyle w:val="Second-LevelSubheading"/>
      </w:pPr>
      <w:r>
        <w:t>Meter Reading Expense (902)</w:t>
      </w:r>
    </w:p>
    <w:p w:rsidR="0007453A" w:rsidRDefault="0007453A">
      <w:pPr>
        <w:pStyle w:val="BodyText"/>
      </w:pPr>
      <w:r w:rsidRPr="0007453A">
        <w:t>Sebring included $6,596 of meter reading expense in Account 902. In analyzing Sebring’s projected test year expenses, staff determined that $397 in meter reading expense was incorrectly recorded in Account 920. Staff recommends that the projected test year meter reading expense be increased by $397, resulting in a total projected test year meter reading expense of $6,993</w:t>
      </w:r>
      <w:r>
        <w:t>.</w:t>
      </w:r>
    </w:p>
    <w:p w:rsidR="0007453A" w:rsidRDefault="004A489E" w:rsidP="0007453A">
      <w:pPr>
        <w:pStyle w:val="Second-LevelSubheading"/>
      </w:pPr>
      <w:r>
        <w:t>Office Supplies &amp; Expense (921)</w:t>
      </w:r>
    </w:p>
    <w:p w:rsidR="0007453A" w:rsidRDefault="004A489E">
      <w:pPr>
        <w:pStyle w:val="BodyText"/>
      </w:pPr>
      <w:r w:rsidRPr="004A489E">
        <w:t xml:space="preserve">Sebring included $35,577 in the projected test year in Account 921, Office Supplies &amp; Expense. Included in this amount is $49 related to late payment fees, and $1,831 for lobbying activities. Staff recommends the removal of these costs, resulting in a total decrease to the projected test year Office Supplies &amp; Expense of $1,880, resulting in staff’s recommended total projected </w:t>
      </w:r>
      <w:r w:rsidR="0016637D">
        <w:t>t</w:t>
      </w:r>
      <w:r w:rsidRPr="004A489E">
        <w:t xml:space="preserve">est year Office </w:t>
      </w:r>
      <w:r w:rsidR="0016637D">
        <w:t>S</w:t>
      </w:r>
      <w:r w:rsidRPr="004A489E">
        <w:t>upplies &amp; Expense of $33,697</w:t>
      </w:r>
      <w:r>
        <w:t>.</w:t>
      </w:r>
    </w:p>
    <w:p w:rsidR="004A489E" w:rsidRDefault="004A489E" w:rsidP="004A489E">
      <w:pPr>
        <w:pStyle w:val="Second-LevelSubheading"/>
      </w:pPr>
      <w:r>
        <w:t>Employee Pension &amp; Benefits (926)</w:t>
      </w:r>
    </w:p>
    <w:p w:rsidR="004A489E" w:rsidRDefault="004A489E">
      <w:pPr>
        <w:pStyle w:val="BodyText"/>
      </w:pPr>
      <w:r w:rsidRPr="004A489E">
        <w:t>The Company included $43,146 for Employee Pension &amp; Benefits expense in the projected test year. Staff recommends reducing the projected test year expense by $413 to remove costs not applicable to the period. Projected test year Employee Pension &amp; Benefits expense recommended by staff is $42,733</w:t>
      </w:r>
      <w:r>
        <w:t>.</w:t>
      </w:r>
    </w:p>
    <w:p w:rsidR="004A489E" w:rsidRDefault="0016637D" w:rsidP="004A489E">
      <w:pPr>
        <w:pStyle w:val="First-LevelSubheading"/>
      </w:pPr>
      <w:r>
        <w:t>Conclusion</w:t>
      </w:r>
    </w:p>
    <w:p w:rsidR="004A489E" w:rsidRDefault="004A489E" w:rsidP="004A489E">
      <w:pPr>
        <w:pStyle w:val="BodyText"/>
      </w:pPr>
      <w:r w:rsidRPr="004A489E">
        <w:t>Based on the above adjustments and those discussed in Issues 15 and 16, staff recommends that O&amp;M expense be increased by $2,405 resulting in a total O&amp;M expense of $741,992 for the projected test year ending December 31, 2020</w:t>
      </w:r>
      <w:r>
        <w:t>.</w:t>
      </w:r>
    </w:p>
    <w:p w:rsidR="004A489E" w:rsidRDefault="004A489E" w:rsidP="004A489E">
      <w:pPr>
        <w:pStyle w:val="BodyText"/>
      </w:pPr>
      <w:r w:rsidRPr="004A489E">
        <w:t>Table 17-1 below reflects the adjustments to Operation and Maintenance Expense</w:t>
      </w:r>
      <w:r>
        <w:t>.</w:t>
      </w:r>
    </w:p>
    <w:p w:rsidR="00C170C0" w:rsidRDefault="00C170C0" w:rsidP="004A489E">
      <w:pPr>
        <w:pStyle w:val="BodyText"/>
      </w:pPr>
    </w:p>
    <w:p w:rsidR="00C170C0" w:rsidRDefault="00C170C0" w:rsidP="004A489E">
      <w:pPr>
        <w:pStyle w:val="BodyText"/>
      </w:pPr>
    </w:p>
    <w:p w:rsidR="00C170C0" w:rsidRPr="004A489E" w:rsidRDefault="00C170C0" w:rsidP="004A489E">
      <w:pPr>
        <w:pStyle w:val="BodyText"/>
      </w:pPr>
    </w:p>
    <w:p w:rsidR="00C170C0" w:rsidRDefault="00C170C0" w:rsidP="00C170C0">
      <w:pPr>
        <w:pStyle w:val="TableNumber"/>
        <w:keepNext/>
      </w:pPr>
      <w:r>
        <w:lastRenderedPageBreak/>
        <w:t xml:space="preserve">Table </w:t>
      </w:r>
      <w:fldSimple w:instr=" SEQ Issue \c ">
        <w:r w:rsidR="005A792F">
          <w:rPr>
            <w:noProof/>
          </w:rPr>
          <w:t>17</w:t>
        </w:r>
      </w:fldSimple>
      <w:r>
        <w:t>-1</w:t>
      </w:r>
    </w:p>
    <w:p w:rsidR="00C170C0" w:rsidRDefault="00C170C0" w:rsidP="00C170C0">
      <w:pPr>
        <w:pStyle w:val="TableTitle"/>
        <w:keepNext/>
      </w:pPr>
      <w:r>
        <w:t>O&amp;M A</w:t>
      </w:r>
      <w:r w:rsidR="00DC3D9D">
        <w:t>djustments</w:t>
      </w:r>
    </w:p>
    <w:tbl>
      <w:tblPr>
        <w:tblW w:w="631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229"/>
        <w:gridCol w:w="2088"/>
      </w:tblGrid>
      <w:tr w:rsidR="00C170C0" w:rsidRPr="005F5C38" w:rsidTr="006D092C">
        <w:trPr>
          <w:trHeight w:val="706"/>
          <w:jc w:val="center"/>
        </w:trPr>
        <w:tc>
          <w:tcPr>
            <w:tcW w:w="4229" w:type="dxa"/>
            <w:shd w:val="clear" w:color="auto" w:fill="auto"/>
            <w:vAlign w:val="center"/>
            <w:hideMark/>
          </w:tcPr>
          <w:p w:rsidR="00C170C0" w:rsidRPr="006551DB" w:rsidRDefault="00C170C0" w:rsidP="006551DB">
            <w:pPr>
              <w:jc w:val="center"/>
              <w:rPr>
                <w:b/>
                <w:color w:val="000000"/>
              </w:rPr>
            </w:pPr>
            <w:r w:rsidRPr="006551DB">
              <w:rPr>
                <w:b/>
                <w:color w:val="000000"/>
              </w:rPr>
              <w:t>A</w:t>
            </w:r>
            <w:r w:rsidR="00DC3D9D" w:rsidRPr="006551DB">
              <w:rPr>
                <w:b/>
                <w:color w:val="000000"/>
              </w:rPr>
              <w:t>ccount</w:t>
            </w:r>
          </w:p>
        </w:tc>
        <w:tc>
          <w:tcPr>
            <w:tcW w:w="2088" w:type="dxa"/>
            <w:shd w:val="clear" w:color="auto" w:fill="auto"/>
            <w:vAlign w:val="center"/>
            <w:hideMark/>
          </w:tcPr>
          <w:p w:rsidR="00DC3D9D" w:rsidRPr="00DC3D9D" w:rsidRDefault="00C170C0" w:rsidP="006551DB">
            <w:pPr>
              <w:jc w:val="center"/>
              <w:rPr>
                <w:b/>
                <w:color w:val="000000"/>
              </w:rPr>
            </w:pPr>
            <w:r w:rsidRPr="00DC3D9D">
              <w:rPr>
                <w:b/>
                <w:color w:val="000000"/>
              </w:rPr>
              <w:t>S</w:t>
            </w:r>
            <w:r w:rsidR="00DC3D9D" w:rsidRPr="00DC3D9D">
              <w:rPr>
                <w:b/>
                <w:color w:val="000000"/>
              </w:rPr>
              <w:t>taff</w:t>
            </w:r>
          </w:p>
          <w:p w:rsidR="00C170C0" w:rsidRPr="006551DB" w:rsidRDefault="00C170C0" w:rsidP="006551DB">
            <w:pPr>
              <w:jc w:val="center"/>
              <w:rPr>
                <w:b/>
                <w:color w:val="000000"/>
              </w:rPr>
            </w:pPr>
            <w:r w:rsidRPr="006551DB">
              <w:rPr>
                <w:b/>
                <w:color w:val="000000"/>
              </w:rPr>
              <w:t>A</w:t>
            </w:r>
            <w:r w:rsidR="00DC3D9D" w:rsidRPr="006551DB">
              <w:rPr>
                <w:b/>
                <w:color w:val="000000"/>
              </w:rPr>
              <w:t>djustment</w:t>
            </w:r>
          </w:p>
        </w:tc>
      </w:tr>
      <w:tr w:rsidR="00C170C0" w:rsidRPr="005F5C38" w:rsidTr="006D092C">
        <w:trPr>
          <w:trHeight w:val="345"/>
          <w:jc w:val="center"/>
        </w:trPr>
        <w:tc>
          <w:tcPr>
            <w:tcW w:w="4229" w:type="dxa"/>
            <w:shd w:val="clear" w:color="auto" w:fill="auto"/>
            <w:noWrap/>
            <w:vAlign w:val="center"/>
            <w:hideMark/>
          </w:tcPr>
          <w:p w:rsidR="00C170C0" w:rsidRPr="005F5C38" w:rsidRDefault="00C170C0" w:rsidP="008C300D">
            <w:pPr>
              <w:rPr>
                <w:color w:val="000000"/>
              </w:rPr>
            </w:pPr>
            <w:r w:rsidRPr="005F5C38">
              <w:rPr>
                <w:color w:val="000000"/>
              </w:rPr>
              <w:t>902 Meter Reading Exp</w:t>
            </w:r>
            <w:r>
              <w:rPr>
                <w:color w:val="000000"/>
              </w:rPr>
              <w:t>ense</w:t>
            </w:r>
          </w:p>
        </w:tc>
        <w:tc>
          <w:tcPr>
            <w:tcW w:w="2088" w:type="dxa"/>
            <w:shd w:val="clear" w:color="auto" w:fill="auto"/>
            <w:noWrap/>
            <w:vAlign w:val="center"/>
            <w:hideMark/>
          </w:tcPr>
          <w:p w:rsidR="00C170C0" w:rsidRPr="005F5C38" w:rsidRDefault="00C170C0" w:rsidP="008C300D">
            <w:pPr>
              <w:jc w:val="right"/>
              <w:rPr>
                <w:color w:val="000000"/>
              </w:rPr>
            </w:pPr>
            <w:r w:rsidRPr="005F5C38">
              <w:rPr>
                <w:color w:val="000000"/>
              </w:rPr>
              <w:t xml:space="preserve">$397 </w:t>
            </w:r>
          </w:p>
        </w:tc>
      </w:tr>
      <w:tr w:rsidR="00C170C0" w:rsidRPr="005F5C38" w:rsidTr="006D092C">
        <w:trPr>
          <w:trHeight w:val="345"/>
          <w:jc w:val="center"/>
        </w:trPr>
        <w:tc>
          <w:tcPr>
            <w:tcW w:w="4229" w:type="dxa"/>
            <w:shd w:val="clear" w:color="auto" w:fill="auto"/>
            <w:noWrap/>
            <w:vAlign w:val="center"/>
            <w:hideMark/>
          </w:tcPr>
          <w:p w:rsidR="00C170C0" w:rsidRPr="005F5C38" w:rsidRDefault="00C170C0" w:rsidP="008C300D">
            <w:pPr>
              <w:rPr>
                <w:color w:val="000000"/>
              </w:rPr>
            </w:pPr>
            <w:r w:rsidRPr="005F5C38">
              <w:rPr>
                <w:color w:val="000000"/>
              </w:rPr>
              <w:t>920 Administrative &amp; General Salaries</w:t>
            </w:r>
          </w:p>
        </w:tc>
        <w:tc>
          <w:tcPr>
            <w:tcW w:w="2088" w:type="dxa"/>
            <w:shd w:val="clear" w:color="auto" w:fill="auto"/>
            <w:noWrap/>
            <w:vAlign w:val="center"/>
            <w:hideMark/>
          </w:tcPr>
          <w:p w:rsidR="00C170C0" w:rsidRPr="005F5C38" w:rsidRDefault="00C170C0" w:rsidP="008C300D">
            <w:pPr>
              <w:jc w:val="right"/>
              <w:rPr>
                <w:color w:val="000000"/>
              </w:rPr>
            </w:pPr>
            <w:r>
              <w:rPr>
                <w:color w:val="000000"/>
              </w:rPr>
              <w:t>(</w:t>
            </w:r>
            <w:r w:rsidRPr="005F5C38">
              <w:rPr>
                <w:color w:val="000000"/>
              </w:rPr>
              <w:t>397)</w:t>
            </w:r>
          </w:p>
        </w:tc>
      </w:tr>
      <w:tr w:rsidR="00C170C0" w:rsidRPr="005F5C38" w:rsidTr="006D092C">
        <w:trPr>
          <w:trHeight w:val="345"/>
          <w:jc w:val="center"/>
        </w:trPr>
        <w:tc>
          <w:tcPr>
            <w:tcW w:w="4229" w:type="dxa"/>
            <w:shd w:val="clear" w:color="auto" w:fill="auto"/>
            <w:noWrap/>
            <w:vAlign w:val="center"/>
            <w:hideMark/>
          </w:tcPr>
          <w:p w:rsidR="00C170C0" w:rsidRPr="005F5C38" w:rsidRDefault="00C170C0" w:rsidP="008C300D">
            <w:pPr>
              <w:rPr>
                <w:color w:val="000000"/>
              </w:rPr>
            </w:pPr>
            <w:r w:rsidRPr="005F5C38">
              <w:rPr>
                <w:color w:val="000000"/>
              </w:rPr>
              <w:t>921 Office Supplies &amp; Expense</w:t>
            </w:r>
          </w:p>
        </w:tc>
        <w:tc>
          <w:tcPr>
            <w:tcW w:w="2088" w:type="dxa"/>
            <w:shd w:val="clear" w:color="auto" w:fill="auto"/>
            <w:noWrap/>
            <w:vAlign w:val="center"/>
            <w:hideMark/>
          </w:tcPr>
          <w:p w:rsidR="00C170C0" w:rsidRPr="005F5C38" w:rsidRDefault="00C170C0" w:rsidP="008C300D">
            <w:pPr>
              <w:jc w:val="right"/>
              <w:rPr>
                <w:color w:val="000000"/>
              </w:rPr>
            </w:pPr>
            <w:r>
              <w:rPr>
                <w:color w:val="000000"/>
              </w:rPr>
              <w:t>(</w:t>
            </w:r>
            <w:r w:rsidRPr="005F5C38">
              <w:rPr>
                <w:color w:val="000000"/>
              </w:rPr>
              <w:t>1,880)</w:t>
            </w:r>
          </w:p>
        </w:tc>
      </w:tr>
      <w:tr w:rsidR="00C170C0" w:rsidRPr="005F5C38" w:rsidTr="006D092C">
        <w:trPr>
          <w:trHeight w:val="345"/>
          <w:jc w:val="center"/>
        </w:trPr>
        <w:tc>
          <w:tcPr>
            <w:tcW w:w="4229" w:type="dxa"/>
            <w:shd w:val="clear" w:color="auto" w:fill="auto"/>
            <w:noWrap/>
            <w:vAlign w:val="center"/>
            <w:hideMark/>
          </w:tcPr>
          <w:p w:rsidR="00C170C0" w:rsidRPr="005F5C38" w:rsidRDefault="00C170C0" w:rsidP="008C300D">
            <w:pPr>
              <w:rPr>
                <w:color w:val="000000"/>
              </w:rPr>
            </w:pPr>
            <w:r w:rsidRPr="005F5C38">
              <w:rPr>
                <w:color w:val="000000"/>
              </w:rPr>
              <w:t xml:space="preserve">926 Employee Pension and Benefits </w:t>
            </w:r>
          </w:p>
        </w:tc>
        <w:tc>
          <w:tcPr>
            <w:tcW w:w="2088" w:type="dxa"/>
            <w:shd w:val="clear" w:color="auto" w:fill="auto"/>
            <w:noWrap/>
            <w:vAlign w:val="center"/>
            <w:hideMark/>
          </w:tcPr>
          <w:p w:rsidR="00C170C0" w:rsidRPr="005F5C38" w:rsidRDefault="00C170C0" w:rsidP="008C300D">
            <w:pPr>
              <w:jc w:val="right"/>
              <w:rPr>
                <w:color w:val="000000"/>
              </w:rPr>
            </w:pPr>
            <w:r>
              <w:rPr>
                <w:color w:val="000000"/>
              </w:rPr>
              <w:t>(</w:t>
            </w:r>
            <w:r w:rsidRPr="005F5C38">
              <w:rPr>
                <w:color w:val="000000"/>
              </w:rPr>
              <w:t>413)</w:t>
            </w:r>
          </w:p>
        </w:tc>
      </w:tr>
      <w:tr w:rsidR="00C170C0" w:rsidRPr="005F5C38" w:rsidTr="006D092C">
        <w:trPr>
          <w:trHeight w:val="361"/>
          <w:jc w:val="center"/>
        </w:trPr>
        <w:tc>
          <w:tcPr>
            <w:tcW w:w="4229" w:type="dxa"/>
            <w:shd w:val="clear" w:color="auto" w:fill="auto"/>
            <w:noWrap/>
            <w:vAlign w:val="center"/>
            <w:hideMark/>
          </w:tcPr>
          <w:p w:rsidR="00C170C0" w:rsidRPr="005F5C38" w:rsidRDefault="00C170C0" w:rsidP="008C300D">
            <w:pPr>
              <w:rPr>
                <w:color w:val="000000"/>
              </w:rPr>
            </w:pPr>
            <w:r w:rsidRPr="005F5C38">
              <w:rPr>
                <w:color w:val="000000"/>
              </w:rPr>
              <w:t>928 Regulatory Commi</w:t>
            </w:r>
            <w:r>
              <w:rPr>
                <w:color w:val="000000"/>
              </w:rPr>
              <w:t>s</w:t>
            </w:r>
            <w:r w:rsidRPr="005F5C38">
              <w:rPr>
                <w:color w:val="000000"/>
              </w:rPr>
              <w:t>sion Expense</w:t>
            </w:r>
          </w:p>
        </w:tc>
        <w:tc>
          <w:tcPr>
            <w:tcW w:w="2088" w:type="dxa"/>
            <w:shd w:val="clear" w:color="auto" w:fill="auto"/>
            <w:noWrap/>
            <w:vAlign w:val="center"/>
            <w:hideMark/>
          </w:tcPr>
          <w:p w:rsidR="00C170C0" w:rsidRPr="001E57DB" w:rsidRDefault="00C170C0" w:rsidP="008C300D">
            <w:pPr>
              <w:jc w:val="right"/>
              <w:rPr>
                <w:color w:val="000000"/>
                <w:u w:val="single"/>
              </w:rPr>
            </w:pPr>
            <w:r w:rsidRPr="001E57DB">
              <w:rPr>
                <w:color w:val="000000"/>
                <w:u w:val="single"/>
              </w:rPr>
              <w:t xml:space="preserve">4,699 </w:t>
            </w:r>
          </w:p>
        </w:tc>
      </w:tr>
      <w:tr w:rsidR="00C170C0" w:rsidRPr="005F5C38" w:rsidTr="006D092C">
        <w:trPr>
          <w:trHeight w:val="361"/>
          <w:jc w:val="center"/>
        </w:trPr>
        <w:tc>
          <w:tcPr>
            <w:tcW w:w="4229" w:type="dxa"/>
            <w:shd w:val="clear" w:color="auto" w:fill="auto"/>
            <w:noWrap/>
            <w:vAlign w:val="center"/>
            <w:hideMark/>
          </w:tcPr>
          <w:p w:rsidR="00C170C0" w:rsidRPr="001E57DB" w:rsidRDefault="00C170C0" w:rsidP="001E57DB">
            <w:pPr>
              <w:jc w:val="right"/>
              <w:rPr>
                <w:b/>
                <w:color w:val="000000"/>
              </w:rPr>
            </w:pPr>
            <w:r w:rsidRPr="001E57DB">
              <w:rPr>
                <w:b/>
                <w:color w:val="000000"/>
              </w:rPr>
              <w:t>Total</w:t>
            </w:r>
          </w:p>
        </w:tc>
        <w:tc>
          <w:tcPr>
            <w:tcW w:w="2088" w:type="dxa"/>
            <w:shd w:val="clear" w:color="auto" w:fill="auto"/>
            <w:noWrap/>
            <w:vAlign w:val="center"/>
            <w:hideMark/>
          </w:tcPr>
          <w:p w:rsidR="00C170C0" w:rsidRPr="0079103E" w:rsidRDefault="00C170C0" w:rsidP="008C300D">
            <w:pPr>
              <w:jc w:val="right"/>
              <w:rPr>
                <w:color w:val="000000"/>
                <w:u w:val="double"/>
              </w:rPr>
            </w:pPr>
            <w:r w:rsidRPr="0079103E">
              <w:rPr>
                <w:color w:val="000000"/>
                <w:u w:val="double"/>
              </w:rPr>
              <w:t xml:space="preserve">$2,405 </w:t>
            </w:r>
          </w:p>
        </w:tc>
      </w:tr>
    </w:tbl>
    <w:p w:rsidR="008A6F4A" w:rsidRDefault="00C170C0" w:rsidP="008A6F4A">
      <w:pPr>
        <w:pStyle w:val="TableSource"/>
        <w:spacing w:after="0"/>
        <w:ind w:left="720" w:firstLine="720"/>
      </w:pPr>
      <w:r>
        <w:t xml:space="preserve">Source: Staff’s </w:t>
      </w:r>
      <w:r w:rsidR="008A6F4A">
        <w:t>A</w:t>
      </w:r>
      <w:r>
        <w:t xml:space="preserve">udit </w:t>
      </w:r>
      <w:r w:rsidR="008A6F4A">
        <w:t>R</w:t>
      </w:r>
      <w:r>
        <w:t>eport of Sebring Gas System, Inc</w:t>
      </w:r>
      <w:r w:rsidR="00D33B84">
        <w:t>.</w:t>
      </w:r>
      <w:r w:rsidR="008A6F4A">
        <w:t xml:space="preserve"> </w:t>
      </w:r>
    </w:p>
    <w:p w:rsidR="008A6F4A" w:rsidRPr="008A6F4A" w:rsidRDefault="008A6F4A" w:rsidP="008A6F4A">
      <w:pPr>
        <w:pStyle w:val="TableSource"/>
        <w:ind w:left="720" w:firstLine="720"/>
      </w:pPr>
      <w:r>
        <w:t>*May not sum due to rounding.</w:t>
      </w:r>
    </w:p>
    <w:p w:rsidR="00E5227B" w:rsidRDefault="00E5227B">
      <w:pPr>
        <w:pStyle w:val="IssueHeading"/>
        <w:rPr>
          <w:vanish/>
          <w:specVanish/>
        </w:rPr>
      </w:pPr>
      <w:r w:rsidRPr="004C3641">
        <w:rPr>
          <w:b w:val="0"/>
          <w:i w:val="0"/>
        </w:rPr>
        <w:br w:type="page"/>
      </w:r>
      <w:r w:rsidRPr="004C3641">
        <w:lastRenderedPageBreak/>
        <w:t xml:space="preserve">Issue </w:t>
      </w:r>
      <w:fldSimple w:instr=" SEQ Issue \* MERGEFORMAT ">
        <w:r w:rsidR="005A792F">
          <w:rPr>
            <w:noProof/>
          </w:rPr>
          <w:t>18</w:t>
        </w:r>
      </w:fldSimple>
      <w:r w:rsidRPr="004C3641">
        <w:t>:</w:t>
      </w:r>
      <w:r>
        <w:fldChar w:fldCharType="begin"/>
      </w:r>
      <w:r>
        <w:instrText xml:space="preserve"> TC "</w:instrText>
      </w:r>
      <w:r>
        <w:fldChar w:fldCharType="begin"/>
      </w:r>
      <w:r>
        <w:instrText xml:space="preserve"> SEQ issue \c </w:instrText>
      </w:r>
      <w:r>
        <w:fldChar w:fldCharType="separate"/>
      </w:r>
      <w:bookmarkStart w:id="31" w:name="_Toc28007727"/>
      <w:r w:rsidR="005A792F">
        <w:rPr>
          <w:noProof/>
        </w:rPr>
        <w:instrText>18</w:instrText>
      </w:r>
      <w:r>
        <w:fldChar w:fldCharType="end"/>
      </w:r>
      <w:r>
        <w:tab/>
      </w:r>
      <w:r w:rsidR="000F73A9">
        <w:instrText>Depreciation and Amortization Expense (Higgins)</w:instrText>
      </w:r>
      <w:bookmarkEnd w:id="31"/>
      <w:r>
        <w:instrText xml:space="preserve">" \l 1 </w:instrText>
      </w:r>
      <w:r>
        <w:fldChar w:fldCharType="end"/>
      </w:r>
      <w:r>
        <w:t> </w:t>
      </w:r>
    </w:p>
    <w:p w:rsidR="00E5227B" w:rsidRDefault="00E5227B">
      <w:pPr>
        <w:pStyle w:val="BodyText"/>
      </w:pPr>
      <w:r>
        <w:t> What is the appropriate amount of Depreciation and Amortization Expense for the projected test year?</w:t>
      </w:r>
    </w:p>
    <w:p w:rsidR="00E5227B" w:rsidRPr="004C3641" w:rsidRDefault="00E5227B">
      <w:pPr>
        <w:pStyle w:val="IssueSubsectionHeading"/>
        <w:rPr>
          <w:vanish/>
          <w:specVanish/>
        </w:rPr>
      </w:pPr>
      <w:r w:rsidRPr="004C3641">
        <w:t>Recommendation: </w:t>
      </w:r>
    </w:p>
    <w:p w:rsidR="00E5227B" w:rsidRDefault="00E5227B">
      <w:pPr>
        <w:pStyle w:val="BodyText"/>
      </w:pPr>
      <w:r>
        <w:t> </w:t>
      </w:r>
      <w:r w:rsidR="00555042" w:rsidRPr="00555042">
        <w:t>Based upon analysis of the information filed in this proceeding, staff recommends $260,052 as the appropriate amount of Depreciation and Amortization Expense for the projected test year</w:t>
      </w:r>
      <w:r w:rsidR="00555042">
        <w:t>.</w:t>
      </w:r>
      <w:r>
        <w:t xml:space="preserve"> (Higgins)</w:t>
      </w:r>
    </w:p>
    <w:p w:rsidR="00E5227B" w:rsidRPr="004C3641" w:rsidRDefault="00E5227B">
      <w:pPr>
        <w:pStyle w:val="IssueSubsectionHeading"/>
        <w:rPr>
          <w:vanish/>
          <w:specVanish/>
        </w:rPr>
      </w:pPr>
      <w:r w:rsidRPr="004C3641">
        <w:t>Staff Analysis: </w:t>
      </w:r>
    </w:p>
    <w:p w:rsidR="00555042" w:rsidRDefault="00E5227B" w:rsidP="00555042">
      <w:pPr>
        <w:pStyle w:val="BodyText"/>
      </w:pPr>
      <w:r>
        <w:t> </w:t>
      </w:r>
      <w:r w:rsidR="00555042">
        <w:t>This issue addresses Sebring’s forecasted amount of Depreciation Expense for the projected test year. Depreciation expense can generally be described as the cost of utility plant (less net salvage) recovered over the service life of the asset. In ratemaking, depreciation expense is included in the revenue requirement calculation.</w:t>
      </w:r>
    </w:p>
    <w:p w:rsidR="00555042" w:rsidRDefault="00555042" w:rsidP="00555042">
      <w:pPr>
        <w:pStyle w:val="BodyText"/>
      </w:pPr>
      <w:r>
        <w:t>The Company’s requested total amount of Depreciation and Amortization Expense for the projected test year is $260,594.</w:t>
      </w:r>
      <w:r>
        <w:rPr>
          <w:rStyle w:val="FootnoteReference"/>
        </w:rPr>
        <w:footnoteReference w:id="45"/>
      </w:r>
      <w:r>
        <w:t xml:space="preserve">  Staff is recommending the Commission find $260,052, for a difference of ($542), as the appropriate amount of Depreciation and Amortization Expense for the projected test year. The difference between the two figures equals staff’s recommended adjustments to Account 376.1 - Mains – Plastic and Account 380.1 - Services – Plastic. The expense adjustments correspond to the Plant in Service findings identified in staff’s Audit Report (Audit Control No. 2019-170-1-1) filed in this proceeding.</w:t>
      </w:r>
      <w:r>
        <w:rPr>
          <w:rStyle w:val="FootnoteReference"/>
        </w:rPr>
        <w:footnoteReference w:id="46"/>
      </w:r>
      <w:r>
        <w:t xml:space="preserve">  Staff notes the depreciation expense amounts were calculated using the current Commission-approved depreciation rates for Sebring.</w:t>
      </w:r>
      <w:r>
        <w:rPr>
          <w:rStyle w:val="FootnoteReference"/>
        </w:rPr>
        <w:footnoteReference w:id="47"/>
      </w:r>
      <w:r>
        <w:t xml:space="preserve">  </w:t>
      </w:r>
    </w:p>
    <w:p w:rsidR="00E5227B" w:rsidRDefault="00555042" w:rsidP="00555042">
      <w:pPr>
        <w:pStyle w:val="BodyText"/>
      </w:pPr>
      <w:r>
        <w:t xml:space="preserve">Shown </w:t>
      </w:r>
      <w:r w:rsidR="004434D8">
        <w:t>i</w:t>
      </w:r>
      <w:r>
        <w:t>n Table 18-1 below are the Company proposed and staff recommended projected test year Depreciation and Amortization Expense amounts by function.</w:t>
      </w:r>
    </w:p>
    <w:tbl>
      <w:tblPr>
        <w:tblStyle w:val="TableGrid3"/>
        <w:tblW w:w="0" w:type="auto"/>
        <w:jc w:val="center"/>
        <w:tblLook w:val="04A0" w:firstRow="1" w:lastRow="0" w:firstColumn="1" w:lastColumn="0" w:noHBand="0" w:noVBand="1"/>
      </w:tblPr>
      <w:tblGrid>
        <w:gridCol w:w="1325"/>
        <w:gridCol w:w="3179"/>
        <w:gridCol w:w="1610"/>
        <w:gridCol w:w="1567"/>
        <w:gridCol w:w="1895"/>
      </w:tblGrid>
      <w:tr w:rsidR="00CF0545" w:rsidRPr="00CF0545" w:rsidTr="00CF0545">
        <w:trPr>
          <w:trHeight w:hRule="exact" w:val="288"/>
          <w:tblHeader/>
          <w:jc w:val="center"/>
        </w:trPr>
        <w:tc>
          <w:tcPr>
            <w:tcW w:w="9681" w:type="dxa"/>
            <w:gridSpan w:val="5"/>
            <w:tcBorders>
              <w:top w:val="nil"/>
              <w:left w:val="nil"/>
              <w:bottom w:val="nil"/>
              <w:right w:val="nil"/>
            </w:tcBorders>
            <w:vAlign w:val="center"/>
          </w:tcPr>
          <w:p w:rsidR="00CF0545" w:rsidRPr="00CF0545" w:rsidRDefault="00CF0545" w:rsidP="00CF0545">
            <w:pPr>
              <w:jc w:val="center"/>
              <w:rPr>
                <w:rFonts w:ascii="Arial" w:hAnsi="Arial" w:cs="Arial"/>
                <w:b/>
              </w:rPr>
            </w:pPr>
            <w:r w:rsidRPr="00CF0545">
              <w:rPr>
                <w:rFonts w:ascii="Arial" w:hAnsi="Arial" w:cs="Arial"/>
                <w:b/>
              </w:rPr>
              <w:t>Table 18-1</w:t>
            </w:r>
          </w:p>
        </w:tc>
      </w:tr>
      <w:tr w:rsidR="00CF0545" w:rsidRPr="00CF0545" w:rsidTr="00CF0545">
        <w:trPr>
          <w:trHeight w:hRule="exact" w:val="288"/>
          <w:tblHeader/>
          <w:jc w:val="center"/>
        </w:trPr>
        <w:tc>
          <w:tcPr>
            <w:tcW w:w="9681" w:type="dxa"/>
            <w:gridSpan w:val="5"/>
            <w:tcBorders>
              <w:top w:val="nil"/>
              <w:left w:val="nil"/>
              <w:right w:val="nil"/>
            </w:tcBorders>
            <w:vAlign w:val="center"/>
          </w:tcPr>
          <w:p w:rsidR="00CF0545" w:rsidRPr="00CF0545" w:rsidRDefault="00CF0545" w:rsidP="00CF0545">
            <w:pPr>
              <w:jc w:val="center"/>
            </w:pPr>
            <w:r w:rsidRPr="00CF0545">
              <w:rPr>
                <w:rFonts w:ascii="Arial" w:hAnsi="Arial" w:cs="Arial"/>
                <w:b/>
              </w:rPr>
              <w:t>Proposed Projected Test Year (PTY) Depreciation Expense</w:t>
            </w:r>
          </w:p>
        </w:tc>
      </w:tr>
      <w:tr w:rsidR="00CF0545" w:rsidRPr="00CF0545" w:rsidTr="00CF0545">
        <w:trPr>
          <w:tblHeader/>
          <w:jc w:val="center"/>
        </w:trPr>
        <w:tc>
          <w:tcPr>
            <w:tcW w:w="1332" w:type="dxa"/>
            <w:vAlign w:val="center"/>
          </w:tcPr>
          <w:p w:rsidR="00CF0545" w:rsidRPr="00CF0545" w:rsidRDefault="00CF0545" w:rsidP="00CF0545">
            <w:pPr>
              <w:jc w:val="center"/>
              <w:rPr>
                <w:color w:val="000000"/>
                <w:sz w:val="22"/>
                <w:szCs w:val="22"/>
              </w:rPr>
            </w:pPr>
            <w:r w:rsidRPr="00CF0545">
              <w:rPr>
                <w:b/>
              </w:rPr>
              <w:t>Plant Accounts</w:t>
            </w:r>
          </w:p>
        </w:tc>
        <w:tc>
          <w:tcPr>
            <w:tcW w:w="3244" w:type="dxa"/>
            <w:vAlign w:val="center"/>
          </w:tcPr>
          <w:p w:rsidR="00CF0545" w:rsidRPr="00CF0545" w:rsidRDefault="00CF0545" w:rsidP="00CF0545">
            <w:pPr>
              <w:jc w:val="center"/>
              <w:rPr>
                <w:b/>
                <w:color w:val="000000"/>
              </w:rPr>
            </w:pPr>
            <w:r w:rsidRPr="00CF0545">
              <w:rPr>
                <w:b/>
                <w:color w:val="000000"/>
              </w:rPr>
              <w:t>Plant Group Classification</w:t>
            </w:r>
          </w:p>
        </w:tc>
        <w:tc>
          <w:tcPr>
            <w:tcW w:w="1630" w:type="dxa"/>
            <w:vAlign w:val="center"/>
          </w:tcPr>
          <w:p w:rsidR="00CF0545" w:rsidRPr="00CF0545" w:rsidRDefault="00CF0545" w:rsidP="00CF0545">
            <w:pPr>
              <w:jc w:val="center"/>
              <w:rPr>
                <w:b/>
              </w:rPr>
            </w:pPr>
            <w:r w:rsidRPr="00CF0545">
              <w:rPr>
                <w:b/>
              </w:rPr>
              <w:t>Sebring</w:t>
            </w:r>
          </w:p>
          <w:p w:rsidR="00CF0545" w:rsidRPr="00CF0545" w:rsidRDefault="00CF0545" w:rsidP="00CF0545">
            <w:pPr>
              <w:jc w:val="center"/>
              <w:rPr>
                <w:b/>
              </w:rPr>
            </w:pPr>
            <w:r w:rsidRPr="00CF0545">
              <w:rPr>
                <w:b/>
              </w:rPr>
              <w:t>PTY</w:t>
            </w:r>
          </w:p>
        </w:tc>
        <w:tc>
          <w:tcPr>
            <w:tcW w:w="1573" w:type="dxa"/>
            <w:vAlign w:val="center"/>
          </w:tcPr>
          <w:p w:rsidR="00CF0545" w:rsidRPr="00CF0545" w:rsidRDefault="00CF0545" w:rsidP="00CF0545">
            <w:pPr>
              <w:jc w:val="center"/>
              <w:rPr>
                <w:color w:val="000000"/>
                <w:sz w:val="22"/>
                <w:szCs w:val="22"/>
              </w:rPr>
            </w:pPr>
            <w:r w:rsidRPr="00CF0545">
              <w:rPr>
                <w:b/>
              </w:rPr>
              <w:t>Proposed Staff Adjustment</w:t>
            </w:r>
          </w:p>
        </w:tc>
        <w:tc>
          <w:tcPr>
            <w:tcW w:w="1902" w:type="dxa"/>
            <w:vAlign w:val="center"/>
          </w:tcPr>
          <w:p w:rsidR="00CF0545" w:rsidRPr="00CF0545" w:rsidRDefault="00CF0545" w:rsidP="00CF0545">
            <w:pPr>
              <w:jc w:val="center"/>
              <w:rPr>
                <w:b/>
              </w:rPr>
            </w:pPr>
            <w:r w:rsidRPr="00CF0545">
              <w:rPr>
                <w:b/>
              </w:rPr>
              <w:t>Staff Recommended</w:t>
            </w:r>
          </w:p>
          <w:p w:rsidR="00CF0545" w:rsidRPr="00CF0545" w:rsidRDefault="00CF0545" w:rsidP="00CF0545">
            <w:pPr>
              <w:jc w:val="center"/>
              <w:rPr>
                <w:b/>
              </w:rPr>
            </w:pPr>
            <w:r w:rsidRPr="00CF0545">
              <w:rPr>
                <w:b/>
              </w:rPr>
              <w:t>PTY</w:t>
            </w:r>
          </w:p>
        </w:tc>
      </w:tr>
      <w:tr w:rsidR="00CF0545" w:rsidRPr="00CF0545" w:rsidTr="00CF0545">
        <w:trPr>
          <w:jc w:val="center"/>
        </w:trPr>
        <w:tc>
          <w:tcPr>
            <w:tcW w:w="1332" w:type="dxa"/>
            <w:vAlign w:val="bottom"/>
          </w:tcPr>
          <w:p w:rsidR="00CF0545" w:rsidRPr="00CF0545" w:rsidRDefault="00CF0545" w:rsidP="00CF0545">
            <w:pPr>
              <w:rPr>
                <w:color w:val="000000"/>
              </w:rPr>
            </w:pPr>
            <w:r w:rsidRPr="00CF0545">
              <w:rPr>
                <w:color w:val="000000"/>
              </w:rPr>
              <w:t>301-302</w:t>
            </w:r>
          </w:p>
        </w:tc>
        <w:tc>
          <w:tcPr>
            <w:tcW w:w="3244" w:type="dxa"/>
            <w:vAlign w:val="bottom"/>
          </w:tcPr>
          <w:p w:rsidR="00CF0545" w:rsidRPr="00CF0545" w:rsidRDefault="00CF0545" w:rsidP="00CF0545">
            <w:pPr>
              <w:rPr>
                <w:color w:val="000000"/>
              </w:rPr>
            </w:pPr>
            <w:r w:rsidRPr="00CF0545">
              <w:rPr>
                <w:color w:val="000000"/>
              </w:rPr>
              <w:t>Intangible Plant</w:t>
            </w:r>
          </w:p>
        </w:tc>
        <w:tc>
          <w:tcPr>
            <w:tcW w:w="1630" w:type="dxa"/>
            <w:vAlign w:val="bottom"/>
          </w:tcPr>
          <w:p w:rsidR="00CF0545" w:rsidRPr="00CF0545" w:rsidRDefault="00CF0545" w:rsidP="00CF0545">
            <w:pPr>
              <w:jc w:val="right"/>
            </w:pPr>
            <w:r w:rsidRPr="00CF0545">
              <w:t xml:space="preserve">$4,800 </w:t>
            </w:r>
          </w:p>
        </w:tc>
        <w:tc>
          <w:tcPr>
            <w:tcW w:w="1573" w:type="dxa"/>
            <w:vAlign w:val="bottom"/>
          </w:tcPr>
          <w:p w:rsidR="00CF0545" w:rsidRPr="00CF0545" w:rsidRDefault="00CF0545" w:rsidP="00CF0545">
            <w:pPr>
              <w:jc w:val="right"/>
            </w:pPr>
            <w:r w:rsidRPr="00CF0545">
              <w:t>$0</w:t>
            </w:r>
          </w:p>
        </w:tc>
        <w:tc>
          <w:tcPr>
            <w:tcW w:w="1902" w:type="dxa"/>
            <w:vAlign w:val="bottom"/>
          </w:tcPr>
          <w:p w:rsidR="00CF0545" w:rsidRPr="00CF0545" w:rsidRDefault="00CF0545" w:rsidP="00CF0545">
            <w:pPr>
              <w:jc w:val="right"/>
            </w:pPr>
            <w:r w:rsidRPr="00CF0545">
              <w:t xml:space="preserve">$4,800 </w:t>
            </w:r>
          </w:p>
        </w:tc>
      </w:tr>
      <w:tr w:rsidR="00CF0545" w:rsidRPr="00CF0545" w:rsidTr="00CF0545">
        <w:trPr>
          <w:jc w:val="center"/>
        </w:trPr>
        <w:tc>
          <w:tcPr>
            <w:tcW w:w="1332" w:type="dxa"/>
            <w:vAlign w:val="bottom"/>
          </w:tcPr>
          <w:p w:rsidR="00CF0545" w:rsidRPr="00CF0545" w:rsidRDefault="00CF0545" w:rsidP="00CF0545">
            <w:pPr>
              <w:rPr>
                <w:color w:val="000000"/>
              </w:rPr>
            </w:pPr>
            <w:r w:rsidRPr="00CF0545">
              <w:rPr>
                <w:color w:val="000000"/>
              </w:rPr>
              <w:t>374-387</w:t>
            </w:r>
          </w:p>
        </w:tc>
        <w:tc>
          <w:tcPr>
            <w:tcW w:w="3244" w:type="dxa"/>
            <w:vAlign w:val="bottom"/>
          </w:tcPr>
          <w:p w:rsidR="00CF0545" w:rsidRPr="00CF0545" w:rsidRDefault="00CF0545" w:rsidP="00CF0545">
            <w:pPr>
              <w:rPr>
                <w:color w:val="000000"/>
              </w:rPr>
            </w:pPr>
            <w:r w:rsidRPr="00CF0545">
              <w:rPr>
                <w:color w:val="000000"/>
              </w:rPr>
              <w:t>Distribution Plant</w:t>
            </w:r>
          </w:p>
        </w:tc>
        <w:tc>
          <w:tcPr>
            <w:tcW w:w="1630" w:type="dxa"/>
            <w:vAlign w:val="bottom"/>
          </w:tcPr>
          <w:p w:rsidR="00CF0545" w:rsidRPr="00CF0545" w:rsidRDefault="00CF0545" w:rsidP="00CF0545">
            <w:pPr>
              <w:jc w:val="right"/>
            </w:pPr>
            <w:r w:rsidRPr="00CF0545">
              <w:t xml:space="preserve">215,273 </w:t>
            </w:r>
          </w:p>
        </w:tc>
        <w:tc>
          <w:tcPr>
            <w:tcW w:w="1573" w:type="dxa"/>
            <w:vAlign w:val="bottom"/>
          </w:tcPr>
          <w:p w:rsidR="00CF0545" w:rsidRPr="00CF0545" w:rsidRDefault="00CF0545" w:rsidP="00CF0545">
            <w:pPr>
              <w:jc w:val="right"/>
            </w:pPr>
            <w:r w:rsidRPr="00CF0545">
              <w:t>(542)</w:t>
            </w:r>
          </w:p>
        </w:tc>
        <w:tc>
          <w:tcPr>
            <w:tcW w:w="1902" w:type="dxa"/>
            <w:vAlign w:val="bottom"/>
          </w:tcPr>
          <w:p w:rsidR="00CF0545" w:rsidRPr="00CF0545" w:rsidRDefault="00CF0545" w:rsidP="00CF0545">
            <w:pPr>
              <w:jc w:val="right"/>
            </w:pPr>
            <w:r w:rsidRPr="00CF0545">
              <w:t xml:space="preserve">214,731 </w:t>
            </w:r>
          </w:p>
        </w:tc>
      </w:tr>
      <w:tr w:rsidR="00CF0545" w:rsidRPr="00CF0545" w:rsidTr="00CF0545">
        <w:trPr>
          <w:jc w:val="center"/>
        </w:trPr>
        <w:tc>
          <w:tcPr>
            <w:tcW w:w="1332" w:type="dxa"/>
            <w:vAlign w:val="bottom"/>
          </w:tcPr>
          <w:p w:rsidR="00CF0545" w:rsidRPr="00CF0545" w:rsidRDefault="00CF0545" w:rsidP="00CF0545">
            <w:pPr>
              <w:rPr>
                <w:color w:val="000000"/>
              </w:rPr>
            </w:pPr>
            <w:r w:rsidRPr="00CF0545">
              <w:rPr>
                <w:color w:val="000000"/>
              </w:rPr>
              <w:t>390-397</w:t>
            </w:r>
          </w:p>
        </w:tc>
        <w:tc>
          <w:tcPr>
            <w:tcW w:w="3244" w:type="dxa"/>
            <w:vAlign w:val="bottom"/>
          </w:tcPr>
          <w:p w:rsidR="00CF0545" w:rsidRPr="00CF0545" w:rsidRDefault="00CF0545" w:rsidP="00CF0545">
            <w:pPr>
              <w:rPr>
                <w:color w:val="000000"/>
              </w:rPr>
            </w:pPr>
            <w:r w:rsidRPr="00CF0545">
              <w:rPr>
                <w:color w:val="000000"/>
              </w:rPr>
              <w:t xml:space="preserve">General Plant </w:t>
            </w:r>
          </w:p>
        </w:tc>
        <w:tc>
          <w:tcPr>
            <w:tcW w:w="1630" w:type="dxa"/>
            <w:vAlign w:val="bottom"/>
          </w:tcPr>
          <w:p w:rsidR="00CF0545" w:rsidRPr="00CF0545" w:rsidRDefault="00CF0545" w:rsidP="00CF0545">
            <w:pPr>
              <w:jc w:val="right"/>
              <w:rPr>
                <w:u w:val="single"/>
              </w:rPr>
            </w:pPr>
            <w:r w:rsidRPr="00CF0545">
              <w:rPr>
                <w:u w:val="single"/>
              </w:rPr>
              <w:t xml:space="preserve">40,521 </w:t>
            </w:r>
          </w:p>
        </w:tc>
        <w:tc>
          <w:tcPr>
            <w:tcW w:w="1573" w:type="dxa"/>
            <w:vAlign w:val="bottom"/>
          </w:tcPr>
          <w:p w:rsidR="00CF0545" w:rsidRPr="00CF0545" w:rsidRDefault="00CF0545" w:rsidP="00CF0545">
            <w:pPr>
              <w:jc w:val="right"/>
              <w:rPr>
                <w:u w:val="single"/>
              </w:rPr>
            </w:pPr>
            <w:r w:rsidRPr="00CF0545">
              <w:rPr>
                <w:u w:val="single"/>
              </w:rPr>
              <w:t xml:space="preserve">0 </w:t>
            </w:r>
          </w:p>
        </w:tc>
        <w:tc>
          <w:tcPr>
            <w:tcW w:w="1902" w:type="dxa"/>
            <w:vAlign w:val="bottom"/>
          </w:tcPr>
          <w:p w:rsidR="00CF0545" w:rsidRPr="00CF0545" w:rsidRDefault="00CF0545" w:rsidP="00CF0545">
            <w:pPr>
              <w:jc w:val="right"/>
              <w:rPr>
                <w:u w:val="single"/>
              </w:rPr>
            </w:pPr>
            <w:r w:rsidRPr="00CF0545">
              <w:rPr>
                <w:u w:val="single"/>
              </w:rPr>
              <w:t xml:space="preserve">40,521 </w:t>
            </w:r>
          </w:p>
        </w:tc>
      </w:tr>
      <w:tr w:rsidR="00CF0545" w:rsidRPr="00CF0545" w:rsidTr="00CF0545">
        <w:trPr>
          <w:jc w:val="center"/>
        </w:trPr>
        <w:tc>
          <w:tcPr>
            <w:tcW w:w="4576" w:type="dxa"/>
            <w:gridSpan w:val="2"/>
            <w:vAlign w:val="bottom"/>
          </w:tcPr>
          <w:p w:rsidR="00CF0545" w:rsidRPr="00CF0545" w:rsidRDefault="00CF0545" w:rsidP="00CF0545">
            <w:pPr>
              <w:jc w:val="right"/>
              <w:rPr>
                <w:b/>
                <w:color w:val="000000"/>
                <w:sz w:val="22"/>
                <w:szCs w:val="22"/>
              </w:rPr>
            </w:pPr>
            <w:r w:rsidRPr="00CF0545">
              <w:rPr>
                <w:b/>
                <w:color w:val="000000"/>
                <w:sz w:val="22"/>
                <w:szCs w:val="22"/>
              </w:rPr>
              <w:t>Total</w:t>
            </w:r>
          </w:p>
        </w:tc>
        <w:tc>
          <w:tcPr>
            <w:tcW w:w="1630" w:type="dxa"/>
          </w:tcPr>
          <w:p w:rsidR="00CF0545" w:rsidRPr="00CF0545" w:rsidRDefault="00CF0545" w:rsidP="00CF0545">
            <w:pPr>
              <w:jc w:val="right"/>
              <w:rPr>
                <w:u w:val="double"/>
              </w:rPr>
            </w:pPr>
            <w:r w:rsidRPr="00CF0545">
              <w:rPr>
                <w:u w:val="double"/>
              </w:rPr>
              <w:t>$260,594</w:t>
            </w:r>
          </w:p>
        </w:tc>
        <w:tc>
          <w:tcPr>
            <w:tcW w:w="1573" w:type="dxa"/>
          </w:tcPr>
          <w:p w:rsidR="00CF0545" w:rsidRPr="00CF0545" w:rsidRDefault="00CF0545" w:rsidP="00CF0545">
            <w:pPr>
              <w:jc w:val="right"/>
              <w:rPr>
                <w:u w:val="double"/>
              </w:rPr>
            </w:pPr>
            <w:r w:rsidRPr="00CF0545">
              <w:rPr>
                <w:u w:val="double"/>
              </w:rPr>
              <w:t>($542)</w:t>
            </w:r>
          </w:p>
        </w:tc>
        <w:tc>
          <w:tcPr>
            <w:tcW w:w="1902" w:type="dxa"/>
          </w:tcPr>
          <w:p w:rsidR="00CF0545" w:rsidRPr="00CF0545" w:rsidRDefault="00CF0545" w:rsidP="00CF0545">
            <w:pPr>
              <w:jc w:val="right"/>
              <w:rPr>
                <w:u w:val="double"/>
              </w:rPr>
            </w:pPr>
            <w:r w:rsidRPr="00CF0545">
              <w:rPr>
                <w:u w:val="double"/>
              </w:rPr>
              <w:t>$260,052</w:t>
            </w:r>
          </w:p>
        </w:tc>
      </w:tr>
    </w:tbl>
    <w:p w:rsidR="00CF0545" w:rsidRDefault="00CF0545" w:rsidP="00574AA2">
      <w:pPr>
        <w:pStyle w:val="TableSource"/>
        <w:spacing w:after="0"/>
      </w:pPr>
      <w:r w:rsidRPr="00CF0545">
        <w:t>Source: Sebring’s proposed PTY Depreciation Expense amounts as shown on MFR Schedule G2-23 (revised)</w:t>
      </w:r>
      <w:r>
        <w:t>.</w:t>
      </w:r>
    </w:p>
    <w:p w:rsidR="00574AA2" w:rsidRPr="00574AA2" w:rsidRDefault="00574AA2" w:rsidP="000C06EB">
      <w:pPr>
        <w:pStyle w:val="BodyText"/>
        <w:spacing w:after="480"/>
      </w:pPr>
      <w:r>
        <w:t>*May not sum due to rounding.</w:t>
      </w:r>
    </w:p>
    <w:p w:rsidR="00995460" w:rsidRDefault="00995460" w:rsidP="00995460">
      <w:pPr>
        <w:pStyle w:val="First-LevelSubheading"/>
      </w:pPr>
      <w:r>
        <w:t>Conclusion</w:t>
      </w:r>
    </w:p>
    <w:p w:rsidR="00995460" w:rsidRPr="00995460" w:rsidRDefault="00995460" w:rsidP="00995460">
      <w:pPr>
        <w:pStyle w:val="BodyText"/>
      </w:pPr>
      <w:r w:rsidRPr="00995460">
        <w:t>Based upon analysis of the information filed in this proceeding, staff recommends $260,052 as the appropriate amount of Depreciation and Amortization Expense for the projected test year</w:t>
      </w:r>
      <w:r>
        <w:t>.</w:t>
      </w:r>
    </w:p>
    <w:p w:rsidR="00E5227B" w:rsidRDefault="00E5227B">
      <w:pPr>
        <w:pStyle w:val="IssueHeading"/>
        <w:rPr>
          <w:vanish/>
          <w:specVanish/>
        </w:rPr>
      </w:pPr>
      <w:r w:rsidRPr="004C3641">
        <w:rPr>
          <w:b w:val="0"/>
          <w:i w:val="0"/>
        </w:rPr>
        <w:br w:type="page"/>
      </w:r>
      <w:r w:rsidRPr="004C3641">
        <w:lastRenderedPageBreak/>
        <w:t xml:space="preserve">Issue </w:t>
      </w:r>
      <w:fldSimple w:instr=" SEQ Issue \* MERGEFORMAT ">
        <w:r w:rsidR="005A792F">
          <w:rPr>
            <w:noProof/>
          </w:rPr>
          <w:t>19</w:t>
        </w:r>
      </w:fldSimple>
      <w:r w:rsidRPr="004C3641">
        <w:t>:</w:t>
      </w:r>
      <w:r>
        <w:fldChar w:fldCharType="begin"/>
      </w:r>
      <w:r>
        <w:instrText xml:space="preserve"> TC "</w:instrText>
      </w:r>
      <w:r>
        <w:fldChar w:fldCharType="begin"/>
      </w:r>
      <w:r>
        <w:instrText xml:space="preserve"> SEQ issue \c </w:instrText>
      </w:r>
      <w:r>
        <w:fldChar w:fldCharType="separate"/>
      </w:r>
      <w:bookmarkStart w:id="32" w:name="_Toc28007728"/>
      <w:r w:rsidR="005A792F">
        <w:rPr>
          <w:noProof/>
        </w:rPr>
        <w:instrText>19</w:instrText>
      </w:r>
      <w:r>
        <w:fldChar w:fldCharType="end"/>
      </w:r>
      <w:r>
        <w:tab/>
      </w:r>
      <w:r w:rsidR="000F73A9">
        <w:instrText>Test Year Taxes Other Than Income (M. Andrews)</w:instrText>
      </w:r>
      <w:bookmarkEnd w:id="32"/>
      <w:r>
        <w:instrText xml:space="preserve">" \l 1 </w:instrText>
      </w:r>
      <w:r>
        <w:fldChar w:fldCharType="end"/>
      </w:r>
      <w:r>
        <w:t> </w:t>
      </w:r>
    </w:p>
    <w:p w:rsidR="00E5227B" w:rsidRDefault="00E5227B">
      <w:pPr>
        <w:pStyle w:val="BodyText"/>
      </w:pPr>
      <w:r>
        <w:t xml:space="preserve"> What is the appropriate amount of </w:t>
      </w:r>
      <w:r w:rsidR="00DA2615" w:rsidRPr="00DA2615">
        <w:t xml:space="preserve">Taxes Other Than Income (TOTI) for the </w:t>
      </w:r>
      <w:r w:rsidRPr="00DA2615">
        <w:t>projected test year?</w:t>
      </w:r>
    </w:p>
    <w:p w:rsidR="00E5227B" w:rsidRPr="004C3641" w:rsidRDefault="00E5227B">
      <w:pPr>
        <w:pStyle w:val="IssueSubsectionHeading"/>
        <w:rPr>
          <w:vanish/>
          <w:specVanish/>
        </w:rPr>
      </w:pPr>
      <w:r w:rsidRPr="004C3641">
        <w:t>Recommendation: </w:t>
      </w:r>
    </w:p>
    <w:p w:rsidR="00E5227B" w:rsidRDefault="00E5227B">
      <w:pPr>
        <w:pStyle w:val="BodyText"/>
      </w:pPr>
      <w:r>
        <w:t> </w:t>
      </w:r>
      <w:r w:rsidR="007F50C7" w:rsidRPr="007F50C7">
        <w:t>The appropriate amount of projected test year TOTI is $22,468</w:t>
      </w:r>
      <w:r w:rsidR="007F50C7">
        <w:t>.</w:t>
      </w:r>
      <w:r>
        <w:t xml:space="preserve"> (M. Andrews)</w:t>
      </w:r>
    </w:p>
    <w:p w:rsidR="00E5227B" w:rsidRPr="004C3641" w:rsidRDefault="00E5227B">
      <w:pPr>
        <w:pStyle w:val="IssueSubsectionHeading"/>
        <w:rPr>
          <w:vanish/>
          <w:specVanish/>
        </w:rPr>
      </w:pPr>
      <w:r w:rsidRPr="004C3641">
        <w:t>Staff Analysis: </w:t>
      </w:r>
    </w:p>
    <w:p w:rsidR="00E5227B" w:rsidRDefault="00E5227B">
      <w:pPr>
        <w:pStyle w:val="BodyText"/>
      </w:pPr>
      <w:r>
        <w:t> </w:t>
      </w:r>
      <w:r w:rsidR="007F50C7" w:rsidRPr="007F50C7">
        <w:t>Sebring recorded a TOTI balance of $22,931, for the projected test year. In response to staff’s data request, Sebring provided an updated projected tangible property tax with a reduction of $463 related to the low-income housing project that decided not to use natural gas in its facilities.</w:t>
      </w:r>
      <w:r w:rsidR="00152807">
        <w:rPr>
          <w:rStyle w:val="FootnoteReference"/>
        </w:rPr>
        <w:footnoteReference w:id="48"/>
      </w:r>
      <w:r w:rsidR="007F50C7" w:rsidRPr="007F50C7">
        <w:t xml:space="preserve">  Th</w:t>
      </w:r>
      <w:r w:rsidR="00FF486B">
        <w:t>is</w:t>
      </w:r>
      <w:r w:rsidR="007F50C7" w:rsidRPr="007F50C7">
        <w:t xml:space="preserve"> adjustment results in a decrease of projected test year TOTI of $463 resulting in a TOTI balance of $22,468</w:t>
      </w:r>
      <w:r w:rsidR="007F50C7">
        <w:t>.</w:t>
      </w:r>
    </w:p>
    <w:p w:rsidR="00C04567" w:rsidRDefault="00C04567">
      <w:pPr>
        <w:pStyle w:val="IssueHeading"/>
        <w:rPr>
          <w:vanish/>
          <w:specVanish/>
        </w:rPr>
      </w:pPr>
      <w:r w:rsidRPr="004C3641">
        <w:rPr>
          <w:b w:val="0"/>
          <w:i w:val="0"/>
        </w:rPr>
        <w:br w:type="page"/>
      </w:r>
      <w:r w:rsidRPr="004C3641">
        <w:lastRenderedPageBreak/>
        <w:t xml:space="preserve">Issue </w:t>
      </w:r>
      <w:fldSimple w:instr=" SEQ Issue \* MERGEFORMAT ">
        <w:r w:rsidR="005A792F">
          <w:rPr>
            <w:noProof/>
          </w:rPr>
          <w:t>20</w:t>
        </w:r>
      </w:fldSimple>
      <w:r w:rsidRPr="004C3641">
        <w:t>:</w:t>
      </w:r>
      <w:r>
        <w:fldChar w:fldCharType="begin"/>
      </w:r>
      <w:r>
        <w:instrText xml:space="preserve"> TC "</w:instrText>
      </w:r>
      <w:r>
        <w:fldChar w:fldCharType="begin"/>
      </w:r>
      <w:r>
        <w:instrText xml:space="preserve"> SEQ issue \c </w:instrText>
      </w:r>
      <w:r>
        <w:fldChar w:fldCharType="separate"/>
      </w:r>
      <w:bookmarkStart w:id="33" w:name="_Toc28007729"/>
      <w:r w:rsidR="005A792F">
        <w:rPr>
          <w:noProof/>
        </w:rPr>
        <w:instrText>20</w:instrText>
      </w:r>
      <w:r>
        <w:fldChar w:fldCharType="end"/>
      </w:r>
      <w:r>
        <w:tab/>
      </w:r>
      <w:r w:rsidR="00F93720">
        <w:instrText>Deferred Income Tax Expense (Smith, D. Buys)</w:instrText>
      </w:r>
      <w:bookmarkEnd w:id="33"/>
      <w:r>
        <w:instrText xml:space="preserve">" \l 1 </w:instrText>
      </w:r>
      <w:r>
        <w:fldChar w:fldCharType="end"/>
      </w:r>
      <w:r>
        <w:t> </w:t>
      </w:r>
    </w:p>
    <w:p w:rsidR="00C04567" w:rsidRDefault="00C04567">
      <w:pPr>
        <w:pStyle w:val="BodyText"/>
      </w:pPr>
      <w:r>
        <w:t> W</w:t>
      </w:r>
      <w:r w:rsidRPr="00422A07">
        <w:t xml:space="preserve">hat is the appropriate amount of </w:t>
      </w:r>
      <w:r w:rsidR="00422A07" w:rsidRPr="00422A07">
        <w:t xml:space="preserve">deferred income tax expense for the </w:t>
      </w:r>
      <w:r w:rsidRPr="00422A07">
        <w:t>projected test year?</w:t>
      </w:r>
      <w:r>
        <w:t xml:space="preserve"> </w:t>
      </w:r>
    </w:p>
    <w:p w:rsidR="00C04567" w:rsidRPr="004C3641" w:rsidRDefault="00C04567">
      <w:pPr>
        <w:pStyle w:val="IssueSubsectionHeading"/>
        <w:rPr>
          <w:vanish/>
          <w:specVanish/>
        </w:rPr>
      </w:pPr>
      <w:r w:rsidRPr="004C3641">
        <w:t>Recommendation: </w:t>
      </w:r>
    </w:p>
    <w:p w:rsidR="00C04567" w:rsidRDefault="00C04567">
      <w:pPr>
        <w:pStyle w:val="BodyText"/>
      </w:pPr>
      <w:r>
        <w:t> </w:t>
      </w:r>
      <w:r w:rsidR="007A50DB" w:rsidRPr="007A50DB">
        <w:t>The appropriate amount of annual income tax expense associated with the amortization of accumulated deferred income taxes for the projected test year ending December 31, 2020 is $19,011</w:t>
      </w:r>
      <w:r w:rsidR="007A50DB">
        <w:t>.</w:t>
      </w:r>
      <w:r>
        <w:t xml:space="preserve"> (Smith, </w:t>
      </w:r>
      <w:r w:rsidR="00F93720">
        <w:t xml:space="preserve">D. </w:t>
      </w:r>
      <w:r>
        <w:t>Buys)</w:t>
      </w:r>
    </w:p>
    <w:p w:rsidR="00C04567" w:rsidRPr="004C3641" w:rsidRDefault="00C04567">
      <w:pPr>
        <w:pStyle w:val="IssueSubsectionHeading"/>
        <w:rPr>
          <w:vanish/>
          <w:specVanish/>
        </w:rPr>
      </w:pPr>
      <w:r w:rsidRPr="004C3641">
        <w:t>Staff Analysis: </w:t>
      </w:r>
    </w:p>
    <w:p w:rsidR="007A50DB" w:rsidRDefault="00C04567" w:rsidP="007A50DB">
      <w:pPr>
        <w:pStyle w:val="BodyText"/>
      </w:pPr>
      <w:r>
        <w:t> </w:t>
      </w:r>
      <w:r w:rsidR="007A50DB">
        <w:t xml:space="preserve">The </w:t>
      </w:r>
      <w:r w:rsidR="00333747">
        <w:t>Company</w:t>
      </w:r>
      <w:r w:rsidR="007A50DB">
        <w:t xml:space="preserve">’s current rates do not include a provision for income tax expense. Further, the </w:t>
      </w:r>
      <w:r w:rsidR="00333747">
        <w:t>Company</w:t>
      </w:r>
      <w:r w:rsidR="007A50DB">
        <w:t xml:space="preserve">’s rates have never included current or deferred income tax expense. The </w:t>
      </w:r>
      <w:r w:rsidR="00333747">
        <w:t>Company</w:t>
      </w:r>
      <w:r w:rsidR="007A50DB">
        <w:t xml:space="preserve"> explained that</w:t>
      </w:r>
      <w:r w:rsidR="00F623B5">
        <w:t>,</w:t>
      </w:r>
      <w:r w:rsidR="007A50DB">
        <w:t xml:space="preserve"> in earlier years</w:t>
      </w:r>
      <w:r w:rsidR="00F623B5">
        <w:t>,</w:t>
      </w:r>
      <w:r w:rsidR="007A50DB">
        <w:t xml:space="preserve"> Sebring incurred negative net income which generated loss carry-forwards which offset future Federal and State income taxes. Recently, the </w:t>
      </w:r>
      <w:r w:rsidR="00333747">
        <w:t>Company</w:t>
      </w:r>
      <w:r w:rsidR="007A50DB">
        <w:t xml:space="preserve"> began to realize positive net income which eventually eliminated the net loss carry-forwards. During this period, the </w:t>
      </w:r>
      <w:r w:rsidR="00333747">
        <w:t>Company</w:t>
      </w:r>
      <w:r w:rsidR="007A50DB">
        <w:t xml:space="preserve"> did not recognize its Federal or State deferred tax liability in its rate filings although it took advantage of accelerated depreciation and the reduced tax liability on its Federal and State income tax filings. Consequently, the </w:t>
      </w:r>
      <w:r w:rsidR="00333747">
        <w:t>Company</w:t>
      </w:r>
      <w:r w:rsidR="007A50DB">
        <w:t xml:space="preserve"> incurred deferred tax liabilities from the timing differences between tax and book depreciation rates but failed to recognize the deferred taxes in its rate filings. Sebring admitted it was at fault and solely responsible for the error.</w:t>
      </w:r>
    </w:p>
    <w:p w:rsidR="00C04567" w:rsidRDefault="007A50DB" w:rsidP="007A50DB">
      <w:pPr>
        <w:pStyle w:val="BodyText"/>
      </w:pPr>
      <w:r>
        <w:t xml:space="preserve">Sebring calculated it has a deferred income tax balance of $342,671 that will be reversing over the next 19.8 years, or approximately $17,307 per year. The </w:t>
      </w:r>
      <w:r w:rsidR="00333747">
        <w:t>Company</w:t>
      </w:r>
      <w:r>
        <w:t xml:space="preserve"> proposed to recover this expense through a 1.00 percent increase to its return on equity, which equates to a net income of $17,289 per year. Staff disagrees with Sebring’s proposal and believes a more appropriate method to recover the expense is to calculate the exact amount and add it to the </w:t>
      </w:r>
      <w:r w:rsidR="00333747">
        <w:t>Company</w:t>
      </w:r>
      <w:r>
        <w:t>’s income tax expense. As discussed in Issue 12, staff recommends a $470 reduction to the deferred income tax balance to recognize a decrease in the State of Florida corporate income tax rate from 5.50 percent to 4.458 percent for three taxable years beginning on or after January 1, 2019. Accordingly, the appropriate accumulated deferred income tax balance on Sebring’s books is $342,201 ($342,671 - $4</w:t>
      </w:r>
      <w:r w:rsidR="00AD614A">
        <w:t>70</w:t>
      </w:r>
      <w:r>
        <w:t xml:space="preserve">). The deferred taxes are expected to fully reverse over the next 18 years ending in a zero balance in 2037. The </w:t>
      </w:r>
      <w:r w:rsidR="00333747">
        <w:t>Company</w:t>
      </w:r>
      <w:r>
        <w:t xml:space="preserve"> used an amortization period of 19.8 years that begins in early 2018 and ends in 2037. Staff recommends an amortization period of 18 years beginning in 2020 and ending in 2037 to correspond to the period when the new rates will go into effect. This equates to an annual deferred income tax expense of $19,011 ($342,201 </w:t>
      </w:r>
      <w:r w:rsidR="007B7B7A">
        <w:t>/</w:t>
      </w:r>
      <w:r>
        <w:t xml:space="preserve"> 18 years). Accordingly, staff recommends the appropriate amount of annual income tax expense associated with the amortization of accumulated deferred income taxes for the projected test year ending December 31, 2020 is $19,011.</w:t>
      </w:r>
    </w:p>
    <w:p w:rsidR="00C04567" w:rsidRDefault="00C04567">
      <w:pPr>
        <w:pStyle w:val="IssueHeading"/>
        <w:rPr>
          <w:vanish/>
          <w:specVanish/>
        </w:rPr>
      </w:pPr>
      <w:r w:rsidRPr="004C3641">
        <w:rPr>
          <w:b w:val="0"/>
          <w:i w:val="0"/>
        </w:rPr>
        <w:br w:type="page"/>
      </w:r>
      <w:r w:rsidRPr="004C3641">
        <w:lastRenderedPageBreak/>
        <w:t xml:space="preserve">Issue </w:t>
      </w:r>
      <w:fldSimple w:instr=" SEQ Issue \* MERGEFORMAT ">
        <w:r w:rsidR="005A792F">
          <w:rPr>
            <w:noProof/>
          </w:rPr>
          <w:t>21</w:t>
        </w:r>
      </w:fldSimple>
      <w:r w:rsidRPr="004C3641">
        <w:t>:</w:t>
      </w:r>
      <w:r>
        <w:fldChar w:fldCharType="begin"/>
      </w:r>
      <w:r>
        <w:instrText xml:space="preserve"> TC "</w:instrText>
      </w:r>
      <w:r>
        <w:fldChar w:fldCharType="begin"/>
      </w:r>
      <w:r>
        <w:instrText xml:space="preserve"> SEQ issue \c </w:instrText>
      </w:r>
      <w:r>
        <w:fldChar w:fldCharType="separate"/>
      </w:r>
      <w:bookmarkStart w:id="34" w:name="_Toc28007730"/>
      <w:r w:rsidR="005A792F">
        <w:rPr>
          <w:noProof/>
        </w:rPr>
        <w:instrText>21</w:instrText>
      </w:r>
      <w:r>
        <w:fldChar w:fldCharType="end"/>
      </w:r>
      <w:r>
        <w:tab/>
      </w:r>
      <w:r w:rsidR="00710D86">
        <w:instrText>Total Operating Expense (M. Andrews)</w:instrText>
      </w:r>
      <w:bookmarkEnd w:id="34"/>
      <w:r>
        <w:instrText xml:space="preserve">" \l 1 </w:instrText>
      </w:r>
      <w:r>
        <w:fldChar w:fldCharType="end"/>
      </w:r>
      <w:r>
        <w:t> </w:t>
      </w:r>
    </w:p>
    <w:p w:rsidR="00C04567" w:rsidRDefault="00C04567">
      <w:pPr>
        <w:pStyle w:val="BodyText"/>
      </w:pPr>
      <w:r>
        <w:t> What is the appropriate amount of Total Operati</w:t>
      </w:r>
      <w:r w:rsidR="00710D86">
        <w:t>ng</w:t>
      </w:r>
      <w:r>
        <w:t xml:space="preserve"> Expense for the projected test year?</w:t>
      </w:r>
    </w:p>
    <w:p w:rsidR="00C04567" w:rsidRPr="004C3641" w:rsidRDefault="00C04567">
      <w:pPr>
        <w:pStyle w:val="IssueSubsectionHeading"/>
        <w:rPr>
          <w:vanish/>
          <w:specVanish/>
        </w:rPr>
      </w:pPr>
      <w:r w:rsidRPr="004C3641">
        <w:t>Recommendation: </w:t>
      </w:r>
    </w:p>
    <w:p w:rsidR="00C04567" w:rsidRDefault="00C04567">
      <w:pPr>
        <w:pStyle w:val="BodyText"/>
      </w:pPr>
      <w:r>
        <w:t> </w:t>
      </w:r>
      <w:r w:rsidR="00D9455D" w:rsidRPr="00D9455D">
        <w:t>The appropriate amount of Total Operating Expenses for the projected test year is $1,041,548</w:t>
      </w:r>
      <w:r w:rsidR="00D9455D">
        <w:t>.</w:t>
      </w:r>
      <w:r>
        <w:t xml:space="preserve"> (M. Andrews)</w:t>
      </w:r>
    </w:p>
    <w:p w:rsidR="00C04567" w:rsidRPr="004C3641" w:rsidRDefault="00C04567">
      <w:pPr>
        <w:pStyle w:val="IssueSubsectionHeading"/>
        <w:rPr>
          <w:vanish/>
          <w:specVanish/>
        </w:rPr>
      </w:pPr>
      <w:r w:rsidRPr="004C3641">
        <w:t>Staff Analysis: </w:t>
      </w:r>
    </w:p>
    <w:p w:rsidR="00C04567" w:rsidRDefault="00C04567">
      <w:pPr>
        <w:pStyle w:val="BodyText"/>
      </w:pPr>
      <w:r>
        <w:t> </w:t>
      </w:r>
      <w:r w:rsidR="00535C27" w:rsidRPr="00535C27">
        <w:t>Sebring recorded Total Operating Expenses of $1,021,137 in the projected test year. The application of staff’s adjustments in Issues 15, 16, 17, 18, 19, and 20 results in an increase of $20,411. The total adjustments increase Total Operating Expenses for the projected test year to $1,041,548. Schedule</w:t>
      </w:r>
      <w:r w:rsidR="00053B40">
        <w:t xml:space="preserve"> No.</w:t>
      </w:r>
      <w:r w:rsidR="00535C27" w:rsidRPr="00535C27">
        <w:t xml:space="preserve"> </w:t>
      </w:r>
      <w:r w:rsidR="002C3604">
        <w:t>4</w:t>
      </w:r>
      <w:r w:rsidR="00535C27" w:rsidRPr="00535C27">
        <w:t xml:space="preserve"> reflects the application of staff’s adjustments and staff’s recommended Total Operating Expenses for the projected test year</w:t>
      </w:r>
      <w:r w:rsidR="00535C27">
        <w:t>.</w:t>
      </w:r>
    </w:p>
    <w:p w:rsidR="00C04567" w:rsidRDefault="00C04567">
      <w:pPr>
        <w:pStyle w:val="IssueHeading"/>
        <w:rPr>
          <w:vanish/>
          <w:specVanish/>
        </w:rPr>
      </w:pPr>
      <w:r w:rsidRPr="004C3641">
        <w:rPr>
          <w:b w:val="0"/>
          <w:i w:val="0"/>
        </w:rPr>
        <w:br w:type="page"/>
      </w:r>
      <w:r w:rsidRPr="004C3641">
        <w:lastRenderedPageBreak/>
        <w:t xml:space="preserve">Issue </w:t>
      </w:r>
      <w:fldSimple w:instr=" SEQ Issue \* MERGEFORMAT ">
        <w:r w:rsidR="005A792F">
          <w:rPr>
            <w:noProof/>
          </w:rPr>
          <w:t>22</w:t>
        </w:r>
      </w:fldSimple>
      <w:r w:rsidRPr="004C3641">
        <w:t>:</w:t>
      </w:r>
      <w:r>
        <w:fldChar w:fldCharType="begin"/>
      </w:r>
      <w:r>
        <w:instrText xml:space="preserve"> TC "</w:instrText>
      </w:r>
      <w:r>
        <w:fldChar w:fldCharType="begin"/>
      </w:r>
      <w:r>
        <w:instrText xml:space="preserve"> SEQ issue \c </w:instrText>
      </w:r>
      <w:r>
        <w:fldChar w:fldCharType="separate"/>
      </w:r>
      <w:bookmarkStart w:id="35" w:name="_Toc28007731"/>
      <w:r w:rsidR="005A792F">
        <w:rPr>
          <w:noProof/>
        </w:rPr>
        <w:instrText>22</w:instrText>
      </w:r>
      <w:r>
        <w:fldChar w:fldCharType="end"/>
      </w:r>
      <w:r>
        <w:tab/>
      </w:r>
      <w:r w:rsidR="000F73A9">
        <w:instrText>Net Operating Income (M. Andrews)</w:instrText>
      </w:r>
      <w:bookmarkEnd w:id="35"/>
      <w:r>
        <w:instrText xml:space="preserve">" \l 1 </w:instrText>
      </w:r>
      <w:r>
        <w:fldChar w:fldCharType="end"/>
      </w:r>
      <w:r>
        <w:t> </w:t>
      </w:r>
    </w:p>
    <w:p w:rsidR="00C04567" w:rsidRDefault="00C04567">
      <w:pPr>
        <w:pStyle w:val="BodyText"/>
      </w:pPr>
      <w:r>
        <w:t> What is the appropriate amount of Net Operating Income for the projected test year?</w:t>
      </w:r>
    </w:p>
    <w:p w:rsidR="00C04567" w:rsidRPr="004C3641" w:rsidRDefault="00C04567">
      <w:pPr>
        <w:pStyle w:val="IssueSubsectionHeading"/>
        <w:rPr>
          <w:vanish/>
          <w:specVanish/>
        </w:rPr>
      </w:pPr>
      <w:r w:rsidRPr="004C3641">
        <w:t>Recommendation: </w:t>
      </w:r>
    </w:p>
    <w:p w:rsidR="00C04567" w:rsidRDefault="00C04567">
      <w:pPr>
        <w:pStyle w:val="BodyText"/>
      </w:pPr>
      <w:r>
        <w:t> </w:t>
      </w:r>
      <w:r w:rsidR="00236A74" w:rsidRPr="00236A74">
        <w:t>The appropriate amount of Net Operating Income for the projected test year is $144,652</w:t>
      </w:r>
      <w:r w:rsidR="00236A74">
        <w:t>.</w:t>
      </w:r>
      <w:r>
        <w:t xml:space="preserve"> (M. Andrews)</w:t>
      </w:r>
    </w:p>
    <w:p w:rsidR="00C04567" w:rsidRPr="004C3641" w:rsidRDefault="00C04567">
      <w:pPr>
        <w:pStyle w:val="IssueSubsectionHeading"/>
        <w:rPr>
          <w:vanish/>
          <w:specVanish/>
        </w:rPr>
      </w:pPr>
      <w:r w:rsidRPr="004C3641">
        <w:t>Staff Analysis: </w:t>
      </w:r>
    </w:p>
    <w:p w:rsidR="00C04567" w:rsidRDefault="00C04567">
      <w:pPr>
        <w:pStyle w:val="BodyText"/>
      </w:pPr>
      <w:r>
        <w:t> </w:t>
      </w:r>
      <w:r w:rsidR="00236A74" w:rsidRPr="00236A74">
        <w:t>Sebring recorded a Net Operating Income of $165,063 in the projected test year. Based upon staff’s recommendations in the preceding issues, staff recommends Net Operating Income of $144,652. Schedule</w:t>
      </w:r>
      <w:r w:rsidR="00053B40">
        <w:t xml:space="preserve"> No.</w:t>
      </w:r>
      <w:r w:rsidR="00236A74" w:rsidRPr="00236A74">
        <w:t xml:space="preserve"> </w:t>
      </w:r>
      <w:r w:rsidR="002C3604">
        <w:t>3</w:t>
      </w:r>
      <w:r w:rsidR="00236A74" w:rsidRPr="00236A74">
        <w:t xml:space="preserve"> reflects the Net Operating Income for the projected test year</w:t>
      </w:r>
      <w:r w:rsidR="00236A74">
        <w:t>.</w:t>
      </w:r>
    </w:p>
    <w:p w:rsidR="00C04567" w:rsidRDefault="00C04567">
      <w:pPr>
        <w:pStyle w:val="IssueHeading"/>
        <w:rPr>
          <w:vanish/>
          <w:specVanish/>
        </w:rPr>
      </w:pPr>
      <w:r w:rsidRPr="004C3641">
        <w:rPr>
          <w:b w:val="0"/>
          <w:i w:val="0"/>
        </w:rPr>
        <w:br w:type="page"/>
      </w:r>
      <w:r w:rsidRPr="004C3641">
        <w:lastRenderedPageBreak/>
        <w:t xml:space="preserve">Issue </w:t>
      </w:r>
      <w:fldSimple w:instr=" SEQ Issue \* MERGEFORMAT ">
        <w:r w:rsidR="005A792F">
          <w:rPr>
            <w:noProof/>
          </w:rPr>
          <w:t>23</w:t>
        </w:r>
      </w:fldSimple>
      <w:r w:rsidRPr="004C3641">
        <w:t>:</w:t>
      </w:r>
      <w:r>
        <w:fldChar w:fldCharType="begin"/>
      </w:r>
      <w:r>
        <w:instrText xml:space="preserve"> TC "</w:instrText>
      </w:r>
      <w:r>
        <w:fldChar w:fldCharType="begin"/>
      </w:r>
      <w:r>
        <w:instrText xml:space="preserve"> SEQ issue \c </w:instrText>
      </w:r>
      <w:r>
        <w:fldChar w:fldCharType="separate"/>
      </w:r>
      <w:bookmarkStart w:id="36" w:name="_Toc28007732"/>
      <w:r w:rsidR="005A792F">
        <w:rPr>
          <w:noProof/>
        </w:rPr>
        <w:instrText>23</w:instrText>
      </w:r>
      <w:r>
        <w:fldChar w:fldCharType="end"/>
      </w:r>
      <w:r>
        <w:tab/>
      </w:r>
      <w:r w:rsidR="007E05C6">
        <w:instrText>Net Operating Income Multiplier (Sewards, Norris)</w:instrText>
      </w:r>
      <w:bookmarkEnd w:id="36"/>
      <w:r>
        <w:instrText xml:space="preserve">" \l 1 </w:instrText>
      </w:r>
      <w:r>
        <w:fldChar w:fldCharType="end"/>
      </w:r>
      <w:r>
        <w:t> </w:t>
      </w:r>
    </w:p>
    <w:p w:rsidR="00C04567" w:rsidRDefault="00C04567">
      <w:pPr>
        <w:pStyle w:val="BodyText"/>
      </w:pPr>
      <w:r>
        <w:t> What is the appropriate net operating income multiplier?</w:t>
      </w:r>
    </w:p>
    <w:p w:rsidR="00C04567" w:rsidRPr="004C3641" w:rsidRDefault="00C04567">
      <w:pPr>
        <w:pStyle w:val="IssueSubsectionHeading"/>
        <w:rPr>
          <w:vanish/>
          <w:specVanish/>
        </w:rPr>
      </w:pPr>
      <w:r w:rsidRPr="004C3641">
        <w:t>Recommendation: </w:t>
      </w:r>
    </w:p>
    <w:p w:rsidR="00C04567" w:rsidRDefault="00C04567">
      <w:pPr>
        <w:pStyle w:val="BodyText"/>
      </w:pPr>
      <w:r>
        <w:t> </w:t>
      </w:r>
      <w:r w:rsidR="007E05C6" w:rsidRPr="007E05C6">
        <w:t>The appropriate net income multiplier is 1.3315, as shown on Schedule No. 5</w:t>
      </w:r>
      <w:r w:rsidR="007E05C6">
        <w:t>.</w:t>
      </w:r>
      <w:r>
        <w:t xml:space="preserve"> (Sewards</w:t>
      </w:r>
      <w:r w:rsidR="007E05C6">
        <w:t>, Norris</w:t>
      </w:r>
      <w:r>
        <w:t>)</w:t>
      </w:r>
    </w:p>
    <w:p w:rsidR="00C04567" w:rsidRPr="004C3641" w:rsidRDefault="00C04567">
      <w:pPr>
        <w:pStyle w:val="IssueSubsectionHeading"/>
        <w:rPr>
          <w:vanish/>
          <w:specVanish/>
        </w:rPr>
      </w:pPr>
      <w:r w:rsidRPr="004C3641">
        <w:t>Staff Analysis: </w:t>
      </w:r>
    </w:p>
    <w:p w:rsidR="00C04567" w:rsidRDefault="00C04567">
      <w:pPr>
        <w:pStyle w:val="BodyText"/>
      </w:pPr>
      <w:r>
        <w:t> </w:t>
      </w:r>
      <w:r w:rsidR="007E05C6" w:rsidRPr="007E05C6">
        <w:t>The Company’s calculation and staff’s calculation are shown on Schedule No. 5. The only difference between the Company’s calculation and staff’s calculation is the state income tax rate. The Company used 5.5 percent for its state income tax rate; staff has reduced the tax rate to 4.458 percent. Effective January 1, 2019, the Florida corporate income tax rate was reduced from 5.5 percent to 4.458 percent. Staff has recalculated the net operating income multiplier to reflect this reduction. As such, staff recommends that the appropriate net income multiplier is 1.3315</w:t>
      </w:r>
      <w:r w:rsidR="007E05C6">
        <w:t>.</w:t>
      </w:r>
    </w:p>
    <w:p w:rsidR="00C04567" w:rsidRDefault="00C04567">
      <w:pPr>
        <w:pStyle w:val="IssueHeading"/>
        <w:rPr>
          <w:vanish/>
          <w:specVanish/>
        </w:rPr>
      </w:pPr>
      <w:r w:rsidRPr="004C3641">
        <w:rPr>
          <w:b w:val="0"/>
          <w:i w:val="0"/>
        </w:rPr>
        <w:br w:type="page"/>
      </w:r>
      <w:r w:rsidRPr="004C3641">
        <w:lastRenderedPageBreak/>
        <w:t xml:space="preserve">Issue </w:t>
      </w:r>
      <w:fldSimple w:instr=" SEQ Issue \* MERGEFORMAT ">
        <w:r w:rsidR="005A792F">
          <w:rPr>
            <w:noProof/>
          </w:rPr>
          <w:t>24</w:t>
        </w:r>
      </w:fldSimple>
      <w:r w:rsidRPr="004C3641">
        <w:t>:</w:t>
      </w:r>
      <w:r>
        <w:fldChar w:fldCharType="begin"/>
      </w:r>
      <w:r>
        <w:instrText xml:space="preserve"> TC "</w:instrText>
      </w:r>
      <w:r>
        <w:fldChar w:fldCharType="begin"/>
      </w:r>
      <w:r>
        <w:instrText xml:space="preserve"> SEQ issue \c </w:instrText>
      </w:r>
      <w:r>
        <w:fldChar w:fldCharType="separate"/>
      </w:r>
      <w:bookmarkStart w:id="37" w:name="_Toc28007733"/>
      <w:r w:rsidR="005A792F">
        <w:rPr>
          <w:noProof/>
        </w:rPr>
        <w:instrText>24</w:instrText>
      </w:r>
      <w:r>
        <w:fldChar w:fldCharType="end"/>
      </w:r>
      <w:r>
        <w:tab/>
      </w:r>
      <w:r w:rsidR="000F73A9">
        <w:instrText>Annual Operating Revenue Increase (M. Andrews)</w:instrText>
      </w:r>
      <w:bookmarkEnd w:id="37"/>
      <w:r>
        <w:instrText xml:space="preserve">" \l 1 </w:instrText>
      </w:r>
      <w:r>
        <w:fldChar w:fldCharType="end"/>
      </w:r>
      <w:r>
        <w:t> </w:t>
      </w:r>
    </w:p>
    <w:p w:rsidR="00C04567" w:rsidRDefault="00C04567">
      <w:pPr>
        <w:pStyle w:val="BodyText"/>
      </w:pPr>
      <w:r>
        <w:t> What is the appropriate annual operating revenue increase for the projected test year?</w:t>
      </w:r>
    </w:p>
    <w:p w:rsidR="00C04567" w:rsidRPr="004C3641" w:rsidRDefault="00C04567">
      <w:pPr>
        <w:pStyle w:val="IssueSubsectionHeading"/>
        <w:rPr>
          <w:vanish/>
          <w:specVanish/>
        </w:rPr>
      </w:pPr>
      <w:r w:rsidRPr="004C3641">
        <w:t>Recommendation: </w:t>
      </w:r>
    </w:p>
    <w:p w:rsidR="00C04567" w:rsidRDefault="00C04567">
      <w:pPr>
        <w:pStyle w:val="BodyText"/>
      </w:pPr>
      <w:r>
        <w:t> </w:t>
      </w:r>
      <w:r w:rsidR="00DB7F93" w:rsidRPr="00DB7F93">
        <w:t>The appropriate annual operating revenue increase for the projected test year is $239,647</w:t>
      </w:r>
      <w:r w:rsidR="00DB7F93">
        <w:t>.</w:t>
      </w:r>
      <w:r>
        <w:t xml:space="preserve"> (M. Andrews)</w:t>
      </w:r>
    </w:p>
    <w:p w:rsidR="00C04567" w:rsidRPr="004C3641" w:rsidRDefault="00C04567">
      <w:pPr>
        <w:pStyle w:val="IssueSubsectionHeading"/>
        <w:rPr>
          <w:vanish/>
          <w:specVanish/>
        </w:rPr>
      </w:pPr>
      <w:r w:rsidRPr="004C3641">
        <w:t>Staff Analysis: </w:t>
      </w:r>
    </w:p>
    <w:p w:rsidR="00C04567" w:rsidRDefault="00C04567">
      <w:pPr>
        <w:pStyle w:val="BodyText"/>
      </w:pPr>
      <w:r>
        <w:t> </w:t>
      </w:r>
      <w:r w:rsidR="00DB7F93" w:rsidRPr="00DB7F93">
        <w:t>Sebring requested an annual operating revenue increase of $302,041 in the projected test year. Based upon staff’s recommended adjustments in the preceding issues, the annual operating revenue increase is reduced to $239,647. Schedule</w:t>
      </w:r>
      <w:r w:rsidR="00232FFB">
        <w:t xml:space="preserve"> No.</w:t>
      </w:r>
      <w:r w:rsidR="00DB7F93" w:rsidRPr="00DB7F93">
        <w:t xml:space="preserve"> 6 reflects the revenue requirement for the projected test year</w:t>
      </w:r>
      <w:r w:rsidR="00DB7F93">
        <w:t>.</w:t>
      </w:r>
    </w:p>
    <w:p w:rsidR="00546519" w:rsidRDefault="00546519">
      <w:pPr>
        <w:pStyle w:val="IssueHeading"/>
        <w:rPr>
          <w:vanish/>
          <w:specVanish/>
        </w:rPr>
      </w:pPr>
      <w:r w:rsidRPr="004C3641">
        <w:rPr>
          <w:b w:val="0"/>
          <w:i w:val="0"/>
        </w:rPr>
        <w:br w:type="page"/>
      </w:r>
      <w:r w:rsidRPr="004C3641">
        <w:lastRenderedPageBreak/>
        <w:t xml:space="preserve">Issue </w:t>
      </w:r>
      <w:fldSimple w:instr=" SEQ Issue \* MERGEFORMAT ">
        <w:r w:rsidR="005A792F">
          <w:rPr>
            <w:noProof/>
          </w:rPr>
          <w:t>25</w:t>
        </w:r>
      </w:fldSimple>
      <w:r w:rsidRPr="004C3641">
        <w:t>:</w:t>
      </w:r>
      <w:r>
        <w:fldChar w:fldCharType="begin"/>
      </w:r>
      <w:r>
        <w:instrText xml:space="preserve"> TC "</w:instrText>
      </w:r>
      <w:r>
        <w:fldChar w:fldCharType="begin"/>
      </w:r>
      <w:r>
        <w:instrText xml:space="preserve"> SEQ issue \c </w:instrText>
      </w:r>
      <w:r>
        <w:fldChar w:fldCharType="separate"/>
      </w:r>
      <w:bookmarkStart w:id="38" w:name="_Toc28007734"/>
      <w:r w:rsidR="005A792F">
        <w:rPr>
          <w:noProof/>
        </w:rPr>
        <w:instrText>25</w:instrText>
      </w:r>
      <w:r>
        <w:fldChar w:fldCharType="end"/>
      </w:r>
      <w:r>
        <w:tab/>
      </w:r>
      <w:r w:rsidR="000F73A9">
        <w:instrText>Cost of Service Methodology (Hampson, Coston)</w:instrText>
      </w:r>
      <w:bookmarkEnd w:id="38"/>
      <w:r>
        <w:instrText xml:space="preserve">" \l 1 </w:instrText>
      </w:r>
      <w:r>
        <w:fldChar w:fldCharType="end"/>
      </w:r>
      <w:r>
        <w:t> </w:t>
      </w:r>
    </w:p>
    <w:p w:rsidR="00546519" w:rsidRDefault="00546519">
      <w:pPr>
        <w:pStyle w:val="BodyText"/>
      </w:pPr>
      <w:r>
        <w:t> What is the appropriate cost of service methodology to use to allocate costs to the rate classes?</w:t>
      </w:r>
    </w:p>
    <w:p w:rsidR="00546519" w:rsidRPr="004C3641" w:rsidRDefault="00546519">
      <w:pPr>
        <w:pStyle w:val="IssueSubsectionHeading"/>
        <w:rPr>
          <w:vanish/>
          <w:specVanish/>
        </w:rPr>
      </w:pPr>
      <w:r w:rsidRPr="004C3641">
        <w:t>Recommendation: </w:t>
      </w:r>
    </w:p>
    <w:p w:rsidR="00546519" w:rsidRDefault="00546519">
      <w:pPr>
        <w:pStyle w:val="BodyText"/>
      </w:pPr>
      <w:r>
        <w:t> </w:t>
      </w:r>
      <w:r w:rsidR="00A45695" w:rsidRPr="00A45695">
        <w:t xml:space="preserve">The appropriate cost of service methodology to be used in allocating costs to the various rate classes is reflected in </w:t>
      </w:r>
      <w:r w:rsidR="007F2BD9">
        <w:t xml:space="preserve">the </w:t>
      </w:r>
      <w:r w:rsidR="00A45695" w:rsidRPr="00A45695">
        <w:t xml:space="preserve">cost of service study contained in </w:t>
      </w:r>
      <w:r w:rsidR="00572354">
        <w:t>A</w:t>
      </w:r>
      <w:r w:rsidR="00A45695" w:rsidRPr="00A45695">
        <w:t xml:space="preserve">ttachment </w:t>
      </w:r>
      <w:r w:rsidR="00572354">
        <w:t>A</w:t>
      </w:r>
      <w:r w:rsidR="00A45695">
        <w:t>.</w:t>
      </w:r>
      <w:r>
        <w:t xml:space="preserve"> (Hampson, Coston)</w:t>
      </w:r>
    </w:p>
    <w:p w:rsidR="00546519" w:rsidRPr="004C3641" w:rsidRDefault="00546519">
      <w:pPr>
        <w:pStyle w:val="IssueSubsectionHeading"/>
        <w:rPr>
          <w:vanish/>
          <w:specVanish/>
        </w:rPr>
      </w:pPr>
      <w:r w:rsidRPr="004C3641">
        <w:t>Staff Analysis: </w:t>
      </w:r>
    </w:p>
    <w:p w:rsidR="00A45695" w:rsidRDefault="00546519" w:rsidP="00A45695">
      <w:pPr>
        <w:pStyle w:val="BodyText"/>
      </w:pPr>
      <w:r>
        <w:t> </w:t>
      </w:r>
      <w:r w:rsidR="00A45695">
        <w:t>The purpose of a cost of service study is to allocate the approved total revenue requirement of the utility system among the various rate classes. Then, base rates are designed to recover the total revenue requirement attributable to that class. Base rates for Sebring include the fixed customer charge and the variable per-therm transportation charge, which are addressed in Issues 26 and 27, respectively. In rate design, the fixed customer charge is typically determined first and represents a portion of the overall rate requirement. The per-therm transportation charge for each class is determined by taking the remaining revenue requirement, and dividing by the projected therm volume of each rate class.</w:t>
      </w:r>
    </w:p>
    <w:p w:rsidR="00546519" w:rsidRDefault="00A45695" w:rsidP="00A45695">
      <w:pPr>
        <w:pStyle w:val="BodyText"/>
      </w:pPr>
      <w:r>
        <w:t>On November 21 2019, Sebring filed a revised cost of service study.</w:t>
      </w:r>
      <w:r w:rsidR="00463DC7">
        <w:rPr>
          <w:rStyle w:val="FootnoteReference"/>
        </w:rPr>
        <w:footnoteReference w:id="49"/>
      </w:r>
      <w:r w:rsidR="00D5134E">
        <w:t xml:space="preserve"> </w:t>
      </w:r>
      <w:r>
        <w:t>S</w:t>
      </w:r>
      <w:r w:rsidR="00B215A1">
        <w:t>taff uses S</w:t>
      </w:r>
      <w:r>
        <w:t>ebring’s revised cost of service</w:t>
      </w:r>
      <w:r w:rsidR="00B215A1">
        <w:t xml:space="preserve"> methodology</w:t>
      </w:r>
      <w:r>
        <w:t xml:space="preserve"> </w:t>
      </w:r>
      <w:r w:rsidR="00B215A1">
        <w:t>and</w:t>
      </w:r>
      <w:r>
        <w:t xml:space="preserve"> incorporates</w:t>
      </w:r>
      <w:r w:rsidR="00B215A1">
        <w:t xml:space="preserve"> the staff-recommended</w:t>
      </w:r>
      <w:r>
        <w:t xml:space="preserve"> adjustments to rate base, rate of return, operations and maintenance expenses, total depreciation and amortization, and the resulting annual operating revenue increase, as discussed in Issue 24. As such, the staff-recommended base rates are designed to recover $1,411,514 for the 2020 projected test year.</w:t>
      </w:r>
      <w:r w:rsidR="007E629E">
        <w:rPr>
          <w:rStyle w:val="FootnoteReference"/>
        </w:rPr>
        <w:footnoteReference w:id="50"/>
      </w:r>
      <w:r>
        <w:t xml:space="preserve"> In addition to base rate revenues, Sebring projects to receive $14,335 in other operating revenues from miscellaneous service charges, for a total of $1,425,849. Staff’s cost of service study is contained in </w:t>
      </w:r>
      <w:r w:rsidR="00572354">
        <w:t>A</w:t>
      </w:r>
      <w:r>
        <w:t xml:space="preserve">ttachment </w:t>
      </w:r>
      <w:r w:rsidR="00572354">
        <w:t>A</w:t>
      </w:r>
      <w:r>
        <w:t xml:space="preserve"> to the recommendation.</w:t>
      </w:r>
    </w:p>
    <w:p w:rsidR="00546519" w:rsidRDefault="00546519">
      <w:pPr>
        <w:pStyle w:val="IssueHeading"/>
        <w:rPr>
          <w:vanish/>
          <w:specVanish/>
        </w:rPr>
      </w:pPr>
      <w:r w:rsidRPr="004C3641">
        <w:rPr>
          <w:b w:val="0"/>
          <w:i w:val="0"/>
        </w:rPr>
        <w:br w:type="page"/>
      </w:r>
      <w:r w:rsidRPr="004C3641">
        <w:lastRenderedPageBreak/>
        <w:t xml:space="preserve">Issue </w:t>
      </w:r>
      <w:fldSimple w:instr=" SEQ Issue \* MERGEFORMAT ">
        <w:r w:rsidR="005A792F">
          <w:rPr>
            <w:noProof/>
          </w:rPr>
          <w:t>26</w:t>
        </w:r>
      </w:fldSimple>
      <w:r w:rsidRPr="004C3641">
        <w:t>:</w:t>
      </w:r>
      <w:r>
        <w:fldChar w:fldCharType="begin"/>
      </w:r>
      <w:r>
        <w:instrText xml:space="preserve"> TC "</w:instrText>
      </w:r>
      <w:r>
        <w:fldChar w:fldCharType="begin"/>
      </w:r>
      <w:r>
        <w:instrText xml:space="preserve"> SEQ issue \c </w:instrText>
      </w:r>
      <w:r>
        <w:fldChar w:fldCharType="separate"/>
      </w:r>
      <w:bookmarkStart w:id="39" w:name="_Toc28007735"/>
      <w:r w:rsidR="005A792F">
        <w:rPr>
          <w:noProof/>
        </w:rPr>
        <w:instrText>26</w:instrText>
      </w:r>
      <w:r>
        <w:fldChar w:fldCharType="end"/>
      </w:r>
      <w:r>
        <w:tab/>
      </w:r>
      <w:r w:rsidR="000F73A9">
        <w:instrText>Customer Charges (Hampson, Coston)</w:instrText>
      </w:r>
      <w:bookmarkEnd w:id="39"/>
      <w:r>
        <w:instrText xml:space="preserve">" \l 1 </w:instrText>
      </w:r>
      <w:r>
        <w:fldChar w:fldCharType="end"/>
      </w:r>
      <w:r>
        <w:t> </w:t>
      </w:r>
    </w:p>
    <w:p w:rsidR="00546519" w:rsidRDefault="00546519">
      <w:pPr>
        <w:pStyle w:val="BodyText"/>
      </w:pPr>
      <w:r>
        <w:t xml:space="preserve"> What are the appropriate </w:t>
      </w:r>
      <w:r w:rsidR="00475FC7">
        <w:t>c</w:t>
      </w:r>
      <w:r>
        <w:t xml:space="preserve">ustomer </w:t>
      </w:r>
      <w:r w:rsidR="00475FC7">
        <w:t>c</w:t>
      </w:r>
      <w:r>
        <w:t>harges?</w:t>
      </w:r>
    </w:p>
    <w:p w:rsidR="00546519" w:rsidRPr="004C3641" w:rsidRDefault="00546519">
      <w:pPr>
        <w:pStyle w:val="IssueSubsectionHeading"/>
        <w:rPr>
          <w:vanish/>
          <w:specVanish/>
        </w:rPr>
      </w:pPr>
      <w:r w:rsidRPr="004C3641">
        <w:t>Recommendation: </w:t>
      </w:r>
    </w:p>
    <w:p w:rsidR="00B54DFA" w:rsidRDefault="00546519">
      <w:pPr>
        <w:pStyle w:val="BodyText"/>
      </w:pPr>
      <w:r>
        <w:t> </w:t>
      </w:r>
      <w:r w:rsidR="00C30A90" w:rsidRPr="00022B31">
        <w:t xml:space="preserve">The </w:t>
      </w:r>
      <w:r w:rsidR="00022B31">
        <w:t xml:space="preserve">appropriate staff-recommended customer charges for each rate class are reflected in the </w:t>
      </w:r>
      <w:r w:rsidR="00C30A90" w:rsidRPr="00022B31">
        <w:t>table below</w:t>
      </w:r>
      <w:r w:rsidR="00C30A90">
        <w:t>.</w:t>
      </w:r>
      <w:r w:rsidR="00022B31">
        <w:t xml:space="preserve"> (Hampson, Coston)</w:t>
      </w:r>
      <w:r>
        <w:t xml:space="preserve"> </w:t>
      </w:r>
    </w:p>
    <w:p w:rsidR="00B54DFA" w:rsidRPr="000A7282" w:rsidRDefault="00B54DFA" w:rsidP="00B54DFA">
      <w:pPr>
        <w:jc w:val="center"/>
        <w:rPr>
          <w:rFonts w:ascii="Arial" w:hAnsi="Arial" w:cs="Arial"/>
          <w:b/>
        </w:rPr>
      </w:pPr>
      <w:r>
        <w:rPr>
          <w:rFonts w:ascii="Arial" w:hAnsi="Arial" w:cs="Arial"/>
          <w:b/>
        </w:rPr>
        <w:t>Staff-recommended Customer Charges</w:t>
      </w:r>
    </w:p>
    <w:tbl>
      <w:tblPr>
        <w:tblStyle w:val="TableGrid"/>
        <w:tblW w:w="0" w:type="auto"/>
        <w:jc w:val="center"/>
        <w:tblLook w:val="04A0" w:firstRow="1" w:lastRow="0" w:firstColumn="1" w:lastColumn="0" w:noHBand="0" w:noVBand="1"/>
      </w:tblPr>
      <w:tblGrid>
        <w:gridCol w:w="3611"/>
        <w:gridCol w:w="3791"/>
      </w:tblGrid>
      <w:tr w:rsidR="00B54DFA" w:rsidRPr="00A55ECA" w:rsidTr="00BB65D8">
        <w:trPr>
          <w:jc w:val="center"/>
        </w:trPr>
        <w:tc>
          <w:tcPr>
            <w:tcW w:w="3611" w:type="dxa"/>
            <w:vAlign w:val="center"/>
          </w:tcPr>
          <w:p w:rsidR="00B54DFA" w:rsidRPr="0022491E" w:rsidRDefault="00B54DFA" w:rsidP="00BB65D8">
            <w:pPr>
              <w:jc w:val="center"/>
              <w:rPr>
                <w:b/>
              </w:rPr>
            </w:pPr>
            <w:r w:rsidRPr="0022491E">
              <w:rPr>
                <w:b/>
              </w:rPr>
              <w:t>Rate Class</w:t>
            </w:r>
          </w:p>
        </w:tc>
        <w:tc>
          <w:tcPr>
            <w:tcW w:w="3791" w:type="dxa"/>
            <w:vAlign w:val="center"/>
          </w:tcPr>
          <w:p w:rsidR="00B54DFA" w:rsidRPr="0022491E" w:rsidRDefault="00B54DFA" w:rsidP="00BB65D8">
            <w:pPr>
              <w:jc w:val="center"/>
              <w:rPr>
                <w:b/>
              </w:rPr>
            </w:pPr>
            <w:r>
              <w:rPr>
                <w:b/>
              </w:rPr>
              <w:t>Staff-r</w:t>
            </w:r>
            <w:r w:rsidRPr="0022491E">
              <w:rPr>
                <w:b/>
              </w:rPr>
              <w:t>ecommended Customer Charge</w:t>
            </w:r>
            <w:r>
              <w:rPr>
                <w:b/>
              </w:rPr>
              <w:t>s</w:t>
            </w:r>
          </w:p>
        </w:tc>
      </w:tr>
      <w:tr w:rsidR="00B54DFA" w:rsidRPr="00A55ECA" w:rsidTr="00BB65D8">
        <w:trPr>
          <w:jc w:val="center"/>
        </w:trPr>
        <w:tc>
          <w:tcPr>
            <w:tcW w:w="3611" w:type="dxa"/>
          </w:tcPr>
          <w:p w:rsidR="00B54DFA" w:rsidRPr="00A55ECA" w:rsidRDefault="00B54DFA" w:rsidP="00BB65D8">
            <w:pPr>
              <w:jc w:val="both"/>
            </w:pPr>
            <w:r w:rsidRPr="00A55ECA">
              <w:t>Transportation Service 1</w:t>
            </w:r>
            <w:r>
              <w:t xml:space="preserve"> </w:t>
            </w:r>
            <w:r w:rsidRPr="00A55ECA">
              <w:t>(TS-1)</w:t>
            </w:r>
          </w:p>
        </w:tc>
        <w:tc>
          <w:tcPr>
            <w:tcW w:w="3791" w:type="dxa"/>
            <w:vAlign w:val="center"/>
          </w:tcPr>
          <w:p w:rsidR="00B54DFA" w:rsidRPr="00A55ECA" w:rsidRDefault="00B54DFA" w:rsidP="00BB65D8">
            <w:pPr>
              <w:jc w:val="right"/>
            </w:pPr>
            <w:r>
              <w:t>$12.00</w:t>
            </w:r>
          </w:p>
        </w:tc>
      </w:tr>
      <w:tr w:rsidR="00B54DFA" w:rsidRPr="00A55ECA" w:rsidTr="00BB65D8">
        <w:trPr>
          <w:jc w:val="center"/>
        </w:trPr>
        <w:tc>
          <w:tcPr>
            <w:tcW w:w="3611" w:type="dxa"/>
          </w:tcPr>
          <w:p w:rsidR="00B54DFA" w:rsidRPr="00A55ECA" w:rsidRDefault="00B54DFA" w:rsidP="00BB65D8">
            <w:pPr>
              <w:jc w:val="both"/>
            </w:pPr>
            <w:r w:rsidRPr="00A55ECA">
              <w:t>Transportation Service 2 (TS-2)</w:t>
            </w:r>
          </w:p>
        </w:tc>
        <w:tc>
          <w:tcPr>
            <w:tcW w:w="3791" w:type="dxa"/>
            <w:vAlign w:val="center"/>
          </w:tcPr>
          <w:p w:rsidR="00B54DFA" w:rsidRPr="00A55ECA" w:rsidRDefault="00B54DFA" w:rsidP="00BB65D8">
            <w:pPr>
              <w:jc w:val="right"/>
            </w:pPr>
            <w:r>
              <w:t>$20.00</w:t>
            </w:r>
          </w:p>
        </w:tc>
      </w:tr>
      <w:tr w:rsidR="00B54DFA" w:rsidRPr="00A55ECA" w:rsidTr="00BB65D8">
        <w:trPr>
          <w:jc w:val="center"/>
        </w:trPr>
        <w:tc>
          <w:tcPr>
            <w:tcW w:w="3611" w:type="dxa"/>
          </w:tcPr>
          <w:p w:rsidR="00B54DFA" w:rsidRPr="00A55ECA" w:rsidRDefault="00B54DFA" w:rsidP="00BB65D8">
            <w:pPr>
              <w:jc w:val="both"/>
            </w:pPr>
            <w:r w:rsidRPr="00A55ECA">
              <w:t>Transportation Service 3 (TS-3)</w:t>
            </w:r>
          </w:p>
        </w:tc>
        <w:tc>
          <w:tcPr>
            <w:tcW w:w="3791" w:type="dxa"/>
            <w:vAlign w:val="center"/>
          </w:tcPr>
          <w:p w:rsidR="00B54DFA" w:rsidRPr="00A55ECA" w:rsidRDefault="00B54DFA" w:rsidP="00BB65D8">
            <w:pPr>
              <w:jc w:val="right"/>
            </w:pPr>
            <w:r>
              <w:t>$70.00</w:t>
            </w:r>
          </w:p>
        </w:tc>
      </w:tr>
      <w:tr w:rsidR="00B54DFA" w:rsidRPr="00A55ECA" w:rsidTr="00BB65D8">
        <w:trPr>
          <w:jc w:val="center"/>
        </w:trPr>
        <w:tc>
          <w:tcPr>
            <w:tcW w:w="3611" w:type="dxa"/>
          </w:tcPr>
          <w:p w:rsidR="00B54DFA" w:rsidRPr="00A55ECA" w:rsidRDefault="00B54DFA" w:rsidP="00BB65D8">
            <w:pPr>
              <w:jc w:val="both"/>
            </w:pPr>
            <w:r w:rsidRPr="00A55ECA">
              <w:t>Transportation Service 4 (TS-4)</w:t>
            </w:r>
          </w:p>
        </w:tc>
        <w:tc>
          <w:tcPr>
            <w:tcW w:w="3791" w:type="dxa"/>
            <w:vAlign w:val="center"/>
          </w:tcPr>
          <w:p w:rsidR="00B54DFA" w:rsidRPr="00A55ECA" w:rsidRDefault="00B54DFA" w:rsidP="00BB65D8">
            <w:pPr>
              <w:jc w:val="right"/>
            </w:pPr>
            <w:r>
              <w:t>$225.00</w:t>
            </w:r>
          </w:p>
        </w:tc>
      </w:tr>
      <w:tr w:rsidR="00B54DFA" w:rsidRPr="00A55ECA" w:rsidTr="00BB65D8">
        <w:trPr>
          <w:jc w:val="center"/>
        </w:trPr>
        <w:tc>
          <w:tcPr>
            <w:tcW w:w="3611" w:type="dxa"/>
          </w:tcPr>
          <w:p w:rsidR="00B54DFA" w:rsidRPr="00A55ECA" w:rsidRDefault="00B54DFA" w:rsidP="00BB65D8">
            <w:pPr>
              <w:jc w:val="both"/>
            </w:pPr>
            <w:r w:rsidRPr="00A55ECA">
              <w:t>Transportation Service 5 (TS-5)</w:t>
            </w:r>
          </w:p>
        </w:tc>
        <w:tc>
          <w:tcPr>
            <w:tcW w:w="3791" w:type="dxa"/>
            <w:vAlign w:val="center"/>
          </w:tcPr>
          <w:p w:rsidR="00B54DFA" w:rsidRPr="00A55ECA" w:rsidRDefault="00B54DFA" w:rsidP="00BB65D8">
            <w:pPr>
              <w:jc w:val="right"/>
            </w:pPr>
            <w:r>
              <w:t>$1,000.00</w:t>
            </w:r>
          </w:p>
        </w:tc>
      </w:tr>
      <w:tr w:rsidR="00B54DFA" w:rsidRPr="00A55ECA" w:rsidTr="00BB65D8">
        <w:trPr>
          <w:jc w:val="center"/>
        </w:trPr>
        <w:tc>
          <w:tcPr>
            <w:tcW w:w="3611" w:type="dxa"/>
          </w:tcPr>
          <w:p w:rsidR="00B54DFA" w:rsidRPr="00A55ECA" w:rsidRDefault="00B54DFA" w:rsidP="00BB65D8">
            <w:pPr>
              <w:jc w:val="both"/>
            </w:pPr>
            <w:r w:rsidRPr="00A55ECA">
              <w:t>Third Party Supplier (TPS)</w:t>
            </w:r>
          </w:p>
        </w:tc>
        <w:tc>
          <w:tcPr>
            <w:tcW w:w="3791" w:type="dxa"/>
            <w:vAlign w:val="center"/>
          </w:tcPr>
          <w:p w:rsidR="00B54DFA" w:rsidRPr="00A55ECA" w:rsidRDefault="00B54DFA" w:rsidP="00BB65D8">
            <w:pPr>
              <w:jc w:val="right"/>
            </w:pPr>
            <w:r>
              <w:t>$3.50</w:t>
            </w:r>
          </w:p>
        </w:tc>
      </w:tr>
      <w:tr w:rsidR="00B54DFA" w:rsidRPr="00A55ECA" w:rsidTr="00BB65D8">
        <w:trPr>
          <w:jc w:val="center"/>
        </w:trPr>
        <w:tc>
          <w:tcPr>
            <w:tcW w:w="3611" w:type="dxa"/>
          </w:tcPr>
          <w:p w:rsidR="00B54DFA" w:rsidRPr="00A55ECA" w:rsidRDefault="00B54DFA" w:rsidP="00BB65D8">
            <w:pPr>
              <w:jc w:val="both"/>
            </w:pPr>
            <w:r w:rsidRPr="00A55ECA">
              <w:t>Special Contracts</w:t>
            </w:r>
          </w:p>
        </w:tc>
        <w:tc>
          <w:tcPr>
            <w:tcW w:w="3791" w:type="dxa"/>
            <w:vAlign w:val="center"/>
          </w:tcPr>
          <w:p w:rsidR="00B54DFA" w:rsidRPr="00A55ECA" w:rsidRDefault="00B54DFA" w:rsidP="00BB65D8">
            <w:pPr>
              <w:jc w:val="right"/>
            </w:pPr>
            <w:r>
              <w:t>$11,906.92</w:t>
            </w:r>
          </w:p>
        </w:tc>
      </w:tr>
    </w:tbl>
    <w:p w:rsidR="00546519" w:rsidRDefault="00546519">
      <w:pPr>
        <w:pStyle w:val="BodyText"/>
      </w:pPr>
    </w:p>
    <w:p w:rsidR="00546519" w:rsidRPr="004C3641" w:rsidRDefault="00546519">
      <w:pPr>
        <w:pStyle w:val="IssueSubsectionHeading"/>
        <w:rPr>
          <w:vanish/>
          <w:specVanish/>
        </w:rPr>
      </w:pPr>
      <w:r w:rsidRPr="004C3641">
        <w:t>Staff Analysis: </w:t>
      </w:r>
    </w:p>
    <w:p w:rsidR="00C30A90" w:rsidRDefault="00546519" w:rsidP="00C30A90">
      <w:pPr>
        <w:pStyle w:val="BodyText"/>
      </w:pPr>
      <w:r>
        <w:t> </w:t>
      </w:r>
      <w:r w:rsidR="00C30A90">
        <w:t xml:space="preserve">The customer charge is a fixed charge that applies to each customer’s bill within a rate class, no matter the quantity of gas used for the month. The customer charge is typically designed to recover costs related to the meter, regulator, services, and billing that are incurred no matter whether any gas is consumed. For any given revenue requirement, any customer-related costs that are not recovered through the customer charge are recovered through the per-therm charge. For example, a higher customer charge results in a lower per-therm charge. </w:t>
      </w:r>
    </w:p>
    <w:p w:rsidR="00546519" w:rsidRDefault="00C30A90" w:rsidP="00C30A90">
      <w:pPr>
        <w:pStyle w:val="BodyText"/>
      </w:pPr>
      <w:r w:rsidRPr="006A6485">
        <w:t xml:space="preserve">Table </w:t>
      </w:r>
      <w:r w:rsidR="006A6485" w:rsidRPr="006A6485">
        <w:t>2</w:t>
      </w:r>
      <w:r w:rsidR="006A6485">
        <w:t>6-1</w:t>
      </w:r>
      <w:r>
        <w:t xml:space="preserve"> shows </w:t>
      </w:r>
      <w:r w:rsidR="008944E1">
        <w:t>current</w:t>
      </w:r>
      <w:r>
        <w:t xml:space="preserve"> customer charges, the </w:t>
      </w:r>
      <w:r w:rsidR="006A6485">
        <w:t>Company</w:t>
      </w:r>
      <w:r>
        <w:t>-proposed customer charges, and the staff-recommended customer charges. Sebring classifies customers based on annual therm usage and does not distinguish between residential and commercial customers.</w:t>
      </w:r>
    </w:p>
    <w:p w:rsidR="00BB65D8" w:rsidRDefault="00BB65D8" w:rsidP="00C30A90">
      <w:pPr>
        <w:pStyle w:val="BodyText"/>
      </w:pPr>
    </w:p>
    <w:p w:rsidR="00296889" w:rsidRDefault="00296889" w:rsidP="00C30A90">
      <w:pPr>
        <w:pStyle w:val="BodyText"/>
      </w:pPr>
    </w:p>
    <w:p w:rsidR="00BB65D8" w:rsidRDefault="00BB65D8" w:rsidP="00C30A90">
      <w:pPr>
        <w:pStyle w:val="BodyText"/>
      </w:pPr>
    </w:p>
    <w:p w:rsidR="00652ADF" w:rsidRDefault="00652ADF" w:rsidP="00C30A90">
      <w:pPr>
        <w:pStyle w:val="BodyText"/>
      </w:pPr>
    </w:p>
    <w:p w:rsidR="00BB65D8" w:rsidRDefault="00BB65D8" w:rsidP="00C30A90">
      <w:pPr>
        <w:pStyle w:val="BodyText"/>
      </w:pPr>
    </w:p>
    <w:p w:rsidR="00BB65D8" w:rsidRDefault="00BB65D8" w:rsidP="00C30A90">
      <w:pPr>
        <w:pStyle w:val="BodyText"/>
      </w:pPr>
    </w:p>
    <w:p w:rsidR="00BB65D8" w:rsidRDefault="00BB65D8" w:rsidP="00C30A90">
      <w:pPr>
        <w:pStyle w:val="BodyText"/>
      </w:pPr>
    </w:p>
    <w:p w:rsidR="00BB65D8" w:rsidRDefault="00BB65D8" w:rsidP="00C30A90">
      <w:pPr>
        <w:pStyle w:val="BodyText"/>
      </w:pPr>
    </w:p>
    <w:p w:rsidR="00BB65D8" w:rsidRDefault="00BB65D8" w:rsidP="00C30A90">
      <w:pPr>
        <w:pStyle w:val="BodyText"/>
      </w:pPr>
    </w:p>
    <w:p w:rsidR="00BB65D8" w:rsidRDefault="00BB65D8" w:rsidP="00C30A90">
      <w:pPr>
        <w:pStyle w:val="BodyText"/>
      </w:pPr>
    </w:p>
    <w:p w:rsidR="00BB65D8" w:rsidRDefault="00BB65D8" w:rsidP="00BB65D8">
      <w:pPr>
        <w:pStyle w:val="TableNumber"/>
      </w:pPr>
      <w:r>
        <w:lastRenderedPageBreak/>
        <w:t>Table 26-1</w:t>
      </w:r>
    </w:p>
    <w:p w:rsidR="00BB65D8" w:rsidRDefault="00BB65D8" w:rsidP="00BB65D8">
      <w:pPr>
        <w:pStyle w:val="TableTitle"/>
      </w:pPr>
      <w:r>
        <w:t>Customer Charges by Rate Class</w:t>
      </w:r>
    </w:p>
    <w:tbl>
      <w:tblPr>
        <w:tblStyle w:val="TableGrid"/>
        <w:tblpPr w:leftFromText="180" w:rightFromText="180" w:vertAnchor="text" w:horzAnchor="margin" w:tblpX="108" w:tblpY="14"/>
        <w:tblW w:w="9468" w:type="dxa"/>
        <w:tblLook w:val="04A0" w:firstRow="1" w:lastRow="0" w:firstColumn="1" w:lastColumn="0" w:noHBand="0" w:noVBand="1"/>
      </w:tblPr>
      <w:tblGrid>
        <w:gridCol w:w="2718"/>
        <w:gridCol w:w="2250"/>
        <w:gridCol w:w="2250"/>
        <w:gridCol w:w="2250"/>
      </w:tblGrid>
      <w:tr w:rsidR="00BB65D8" w:rsidRPr="00A55ECA" w:rsidTr="00BB65D8">
        <w:trPr>
          <w:trHeight w:val="557"/>
        </w:trPr>
        <w:tc>
          <w:tcPr>
            <w:tcW w:w="2718" w:type="dxa"/>
            <w:vAlign w:val="center"/>
          </w:tcPr>
          <w:p w:rsidR="00BB65D8" w:rsidRPr="0022491E" w:rsidRDefault="00BB65D8" w:rsidP="00BB65D8">
            <w:pPr>
              <w:jc w:val="center"/>
              <w:rPr>
                <w:b/>
              </w:rPr>
            </w:pPr>
            <w:r w:rsidRPr="0022491E">
              <w:rPr>
                <w:b/>
              </w:rPr>
              <w:t>Rate Class</w:t>
            </w:r>
          </w:p>
        </w:tc>
        <w:tc>
          <w:tcPr>
            <w:tcW w:w="2250" w:type="dxa"/>
            <w:vAlign w:val="center"/>
          </w:tcPr>
          <w:p w:rsidR="00BB65D8" w:rsidRPr="0022491E" w:rsidRDefault="00A476B8" w:rsidP="00BB65D8">
            <w:pPr>
              <w:jc w:val="center"/>
              <w:rPr>
                <w:b/>
              </w:rPr>
            </w:pPr>
            <w:r>
              <w:rPr>
                <w:b/>
              </w:rPr>
              <w:t>Current</w:t>
            </w:r>
            <w:r w:rsidR="00BB65D8" w:rsidRPr="0022491E">
              <w:rPr>
                <w:b/>
              </w:rPr>
              <w:t xml:space="preserve"> Charge</w:t>
            </w:r>
            <w:r w:rsidR="00BB65D8">
              <w:rPr>
                <w:b/>
              </w:rPr>
              <w:t>s</w:t>
            </w:r>
          </w:p>
        </w:tc>
        <w:tc>
          <w:tcPr>
            <w:tcW w:w="2250" w:type="dxa"/>
            <w:vAlign w:val="center"/>
          </w:tcPr>
          <w:p w:rsidR="00BB65D8" w:rsidRPr="0022491E" w:rsidRDefault="005C2839" w:rsidP="00BB65D8">
            <w:pPr>
              <w:jc w:val="center"/>
              <w:rPr>
                <w:b/>
              </w:rPr>
            </w:pPr>
            <w:r>
              <w:rPr>
                <w:b/>
              </w:rPr>
              <w:t>Company</w:t>
            </w:r>
            <w:r w:rsidR="00BB65D8">
              <w:rPr>
                <w:b/>
              </w:rPr>
              <w:t>-p</w:t>
            </w:r>
            <w:r w:rsidR="00BB65D8" w:rsidRPr="0022491E">
              <w:rPr>
                <w:b/>
              </w:rPr>
              <w:t>roposed Charge</w:t>
            </w:r>
            <w:r w:rsidR="00BB65D8">
              <w:rPr>
                <w:b/>
              </w:rPr>
              <w:t>s</w:t>
            </w:r>
          </w:p>
        </w:tc>
        <w:tc>
          <w:tcPr>
            <w:tcW w:w="2250" w:type="dxa"/>
            <w:vAlign w:val="center"/>
          </w:tcPr>
          <w:p w:rsidR="00BB65D8" w:rsidRPr="0022491E" w:rsidRDefault="00BB65D8" w:rsidP="00BB65D8">
            <w:pPr>
              <w:jc w:val="center"/>
              <w:rPr>
                <w:b/>
              </w:rPr>
            </w:pPr>
            <w:r>
              <w:rPr>
                <w:b/>
              </w:rPr>
              <w:t>Staff-r</w:t>
            </w:r>
            <w:r w:rsidRPr="0022491E">
              <w:rPr>
                <w:b/>
              </w:rPr>
              <w:t>ecommended Charge</w:t>
            </w:r>
            <w:r>
              <w:rPr>
                <w:b/>
              </w:rPr>
              <w:t>s</w:t>
            </w:r>
          </w:p>
        </w:tc>
      </w:tr>
      <w:tr w:rsidR="00BB65D8" w:rsidRPr="00A55ECA" w:rsidTr="00BB65D8">
        <w:trPr>
          <w:trHeight w:val="685"/>
        </w:trPr>
        <w:tc>
          <w:tcPr>
            <w:tcW w:w="2718" w:type="dxa"/>
            <w:vAlign w:val="center"/>
          </w:tcPr>
          <w:p w:rsidR="00BB65D8" w:rsidRPr="00A55ECA" w:rsidRDefault="00BB65D8" w:rsidP="00BB65D8">
            <w:r w:rsidRPr="00A55ECA">
              <w:t>Transportation Service 1</w:t>
            </w:r>
            <w:r>
              <w:t xml:space="preserve"> </w:t>
            </w:r>
            <w:r w:rsidRPr="00A55ECA">
              <w:t>(TS-1)</w:t>
            </w:r>
          </w:p>
        </w:tc>
        <w:tc>
          <w:tcPr>
            <w:tcW w:w="2250" w:type="dxa"/>
            <w:vAlign w:val="center"/>
          </w:tcPr>
          <w:p w:rsidR="00BB65D8" w:rsidRPr="00A55ECA" w:rsidRDefault="00BB65D8" w:rsidP="00BB65D8">
            <w:pPr>
              <w:jc w:val="right"/>
            </w:pPr>
            <w:r w:rsidRPr="00A55ECA">
              <w:t>$9.00</w:t>
            </w:r>
          </w:p>
        </w:tc>
        <w:tc>
          <w:tcPr>
            <w:tcW w:w="2250" w:type="dxa"/>
            <w:vAlign w:val="center"/>
          </w:tcPr>
          <w:p w:rsidR="00BB65D8" w:rsidRPr="00A55ECA" w:rsidRDefault="00BB65D8" w:rsidP="00BB65D8">
            <w:pPr>
              <w:jc w:val="right"/>
            </w:pPr>
            <w:r w:rsidRPr="00A55ECA">
              <w:t>$15.00</w:t>
            </w:r>
          </w:p>
        </w:tc>
        <w:tc>
          <w:tcPr>
            <w:tcW w:w="2250" w:type="dxa"/>
            <w:vAlign w:val="center"/>
          </w:tcPr>
          <w:p w:rsidR="00BB65D8" w:rsidRPr="00A55ECA" w:rsidRDefault="00BB65D8" w:rsidP="00BB65D8">
            <w:pPr>
              <w:jc w:val="right"/>
            </w:pPr>
            <w:r>
              <w:t>$12.00</w:t>
            </w:r>
          </w:p>
        </w:tc>
      </w:tr>
      <w:tr w:rsidR="00BB65D8" w:rsidRPr="00A55ECA" w:rsidTr="00BB65D8">
        <w:trPr>
          <w:trHeight w:val="622"/>
        </w:trPr>
        <w:tc>
          <w:tcPr>
            <w:tcW w:w="2718" w:type="dxa"/>
            <w:vAlign w:val="center"/>
          </w:tcPr>
          <w:p w:rsidR="00BB65D8" w:rsidRPr="00A55ECA" w:rsidRDefault="00BB65D8" w:rsidP="00BB65D8">
            <w:r w:rsidRPr="00A55ECA">
              <w:t>Transportation Service 2 (TS-2)</w:t>
            </w:r>
          </w:p>
        </w:tc>
        <w:tc>
          <w:tcPr>
            <w:tcW w:w="2250" w:type="dxa"/>
            <w:vAlign w:val="center"/>
          </w:tcPr>
          <w:p w:rsidR="00BB65D8" w:rsidRPr="00A55ECA" w:rsidRDefault="00BB65D8" w:rsidP="00BB65D8">
            <w:pPr>
              <w:jc w:val="right"/>
            </w:pPr>
            <w:r w:rsidRPr="00A55ECA">
              <w:t>$12.00</w:t>
            </w:r>
          </w:p>
        </w:tc>
        <w:tc>
          <w:tcPr>
            <w:tcW w:w="2250" w:type="dxa"/>
            <w:vAlign w:val="center"/>
          </w:tcPr>
          <w:p w:rsidR="00BB65D8" w:rsidRPr="00A55ECA" w:rsidRDefault="00BB65D8" w:rsidP="00BB65D8">
            <w:pPr>
              <w:jc w:val="right"/>
            </w:pPr>
            <w:r w:rsidRPr="00A55ECA">
              <w:t>$30.00</w:t>
            </w:r>
          </w:p>
        </w:tc>
        <w:tc>
          <w:tcPr>
            <w:tcW w:w="2250" w:type="dxa"/>
            <w:vAlign w:val="center"/>
          </w:tcPr>
          <w:p w:rsidR="00BB65D8" w:rsidRPr="00A55ECA" w:rsidRDefault="00BB65D8" w:rsidP="00BB65D8">
            <w:pPr>
              <w:jc w:val="right"/>
            </w:pPr>
            <w:r>
              <w:t>$20.00</w:t>
            </w:r>
          </w:p>
        </w:tc>
      </w:tr>
      <w:tr w:rsidR="00BB65D8" w:rsidRPr="00A55ECA" w:rsidTr="00BB65D8">
        <w:trPr>
          <w:trHeight w:val="622"/>
        </w:trPr>
        <w:tc>
          <w:tcPr>
            <w:tcW w:w="2718" w:type="dxa"/>
            <w:vAlign w:val="center"/>
          </w:tcPr>
          <w:p w:rsidR="00BB65D8" w:rsidRPr="00A55ECA" w:rsidRDefault="00BB65D8" w:rsidP="00BB65D8">
            <w:r w:rsidRPr="00A55ECA">
              <w:t>Transportation Service 3 (TS-3)</w:t>
            </w:r>
          </w:p>
        </w:tc>
        <w:tc>
          <w:tcPr>
            <w:tcW w:w="2250" w:type="dxa"/>
            <w:vAlign w:val="center"/>
          </w:tcPr>
          <w:p w:rsidR="00BB65D8" w:rsidRPr="00A55ECA" w:rsidRDefault="00BB65D8" w:rsidP="00BB65D8">
            <w:pPr>
              <w:jc w:val="right"/>
            </w:pPr>
            <w:r w:rsidRPr="00A55ECA">
              <w:t>$35.00</w:t>
            </w:r>
          </w:p>
        </w:tc>
        <w:tc>
          <w:tcPr>
            <w:tcW w:w="2250" w:type="dxa"/>
            <w:vAlign w:val="center"/>
          </w:tcPr>
          <w:p w:rsidR="00BB65D8" w:rsidRPr="00A55ECA" w:rsidRDefault="00BB65D8" w:rsidP="00BB65D8">
            <w:pPr>
              <w:jc w:val="right"/>
            </w:pPr>
            <w:r w:rsidRPr="00A55ECA">
              <w:t>$200.00</w:t>
            </w:r>
          </w:p>
        </w:tc>
        <w:tc>
          <w:tcPr>
            <w:tcW w:w="2250" w:type="dxa"/>
            <w:vAlign w:val="center"/>
          </w:tcPr>
          <w:p w:rsidR="00BB65D8" w:rsidRPr="00A55ECA" w:rsidRDefault="00BB65D8" w:rsidP="00BB65D8">
            <w:pPr>
              <w:jc w:val="right"/>
            </w:pPr>
            <w:r>
              <w:t>$70.00</w:t>
            </w:r>
          </w:p>
        </w:tc>
      </w:tr>
      <w:tr w:rsidR="00BB65D8" w:rsidRPr="00A55ECA" w:rsidTr="00BB65D8">
        <w:trPr>
          <w:trHeight w:val="622"/>
        </w:trPr>
        <w:tc>
          <w:tcPr>
            <w:tcW w:w="2718" w:type="dxa"/>
            <w:vAlign w:val="center"/>
          </w:tcPr>
          <w:p w:rsidR="00BB65D8" w:rsidRPr="00A55ECA" w:rsidRDefault="00BB65D8" w:rsidP="00BB65D8">
            <w:r w:rsidRPr="00A55ECA">
              <w:t>Transportation Service 4 (TS-4)</w:t>
            </w:r>
          </w:p>
        </w:tc>
        <w:tc>
          <w:tcPr>
            <w:tcW w:w="2250" w:type="dxa"/>
            <w:vAlign w:val="center"/>
          </w:tcPr>
          <w:p w:rsidR="00BB65D8" w:rsidRPr="00A55ECA" w:rsidRDefault="00BB65D8" w:rsidP="00BB65D8">
            <w:pPr>
              <w:jc w:val="right"/>
            </w:pPr>
            <w:r w:rsidRPr="00A55ECA">
              <w:t>$150.00</w:t>
            </w:r>
          </w:p>
        </w:tc>
        <w:tc>
          <w:tcPr>
            <w:tcW w:w="2250" w:type="dxa"/>
            <w:vAlign w:val="center"/>
          </w:tcPr>
          <w:p w:rsidR="00BB65D8" w:rsidRPr="00A55ECA" w:rsidRDefault="00BB65D8" w:rsidP="00BB65D8">
            <w:pPr>
              <w:jc w:val="right"/>
            </w:pPr>
            <w:r w:rsidRPr="00A55ECA">
              <w:t>$650.00</w:t>
            </w:r>
          </w:p>
        </w:tc>
        <w:tc>
          <w:tcPr>
            <w:tcW w:w="2250" w:type="dxa"/>
            <w:vAlign w:val="center"/>
          </w:tcPr>
          <w:p w:rsidR="00BB65D8" w:rsidRPr="00A55ECA" w:rsidRDefault="00BB65D8" w:rsidP="00BB65D8">
            <w:pPr>
              <w:jc w:val="right"/>
            </w:pPr>
            <w:r>
              <w:t>$225.00</w:t>
            </w:r>
          </w:p>
        </w:tc>
      </w:tr>
      <w:tr w:rsidR="00BB65D8" w:rsidRPr="00A55ECA" w:rsidTr="00BB65D8">
        <w:trPr>
          <w:trHeight w:val="712"/>
        </w:trPr>
        <w:tc>
          <w:tcPr>
            <w:tcW w:w="2718" w:type="dxa"/>
            <w:vAlign w:val="center"/>
          </w:tcPr>
          <w:p w:rsidR="00BB65D8" w:rsidRPr="00A55ECA" w:rsidRDefault="00BB65D8" w:rsidP="00BB65D8">
            <w:r w:rsidRPr="00A55ECA">
              <w:t>Transportation Service 5 (TS-5)</w:t>
            </w:r>
          </w:p>
        </w:tc>
        <w:tc>
          <w:tcPr>
            <w:tcW w:w="2250" w:type="dxa"/>
            <w:vAlign w:val="center"/>
          </w:tcPr>
          <w:p w:rsidR="00BB65D8" w:rsidRPr="00A55ECA" w:rsidRDefault="00BB65D8" w:rsidP="00BB65D8">
            <w:pPr>
              <w:jc w:val="right"/>
            </w:pPr>
            <w:r w:rsidRPr="00A55ECA">
              <w:t>$500.00</w:t>
            </w:r>
          </w:p>
        </w:tc>
        <w:tc>
          <w:tcPr>
            <w:tcW w:w="2250" w:type="dxa"/>
            <w:vAlign w:val="center"/>
          </w:tcPr>
          <w:p w:rsidR="00BB65D8" w:rsidRPr="00A55ECA" w:rsidRDefault="00BB65D8" w:rsidP="00BB65D8">
            <w:pPr>
              <w:jc w:val="right"/>
            </w:pPr>
            <w:r w:rsidRPr="00A55ECA">
              <w:t>$3,875.00</w:t>
            </w:r>
          </w:p>
        </w:tc>
        <w:tc>
          <w:tcPr>
            <w:tcW w:w="2250" w:type="dxa"/>
            <w:vAlign w:val="center"/>
          </w:tcPr>
          <w:p w:rsidR="00BB65D8" w:rsidRPr="00A55ECA" w:rsidRDefault="00BB65D8" w:rsidP="00BB65D8">
            <w:pPr>
              <w:jc w:val="right"/>
            </w:pPr>
            <w:r>
              <w:t>$1,000.00</w:t>
            </w:r>
          </w:p>
        </w:tc>
      </w:tr>
      <w:tr w:rsidR="00BB65D8" w:rsidRPr="00A55ECA" w:rsidTr="00BB65D8">
        <w:trPr>
          <w:trHeight w:val="622"/>
        </w:trPr>
        <w:tc>
          <w:tcPr>
            <w:tcW w:w="2718" w:type="dxa"/>
            <w:vAlign w:val="center"/>
          </w:tcPr>
          <w:p w:rsidR="00BB65D8" w:rsidRPr="00A55ECA" w:rsidRDefault="00BB65D8" w:rsidP="00BB65D8">
            <w:r w:rsidRPr="00A55ECA">
              <w:t>Third Party Supplier (TPS)</w:t>
            </w:r>
          </w:p>
        </w:tc>
        <w:tc>
          <w:tcPr>
            <w:tcW w:w="2250" w:type="dxa"/>
            <w:vAlign w:val="center"/>
          </w:tcPr>
          <w:p w:rsidR="00BB65D8" w:rsidRPr="00A55ECA" w:rsidRDefault="00BB65D8" w:rsidP="00BB65D8">
            <w:pPr>
              <w:jc w:val="right"/>
            </w:pPr>
            <w:r>
              <w:t>$3.00</w:t>
            </w:r>
          </w:p>
        </w:tc>
        <w:tc>
          <w:tcPr>
            <w:tcW w:w="2250" w:type="dxa"/>
            <w:vAlign w:val="center"/>
          </w:tcPr>
          <w:p w:rsidR="00BB65D8" w:rsidRPr="00A55ECA" w:rsidRDefault="00BB65D8" w:rsidP="00BB65D8">
            <w:pPr>
              <w:jc w:val="right"/>
            </w:pPr>
            <w:r>
              <w:t>$3.50</w:t>
            </w:r>
          </w:p>
        </w:tc>
        <w:tc>
          <w:tcPr>
            <w:tcW w:w="2250" w:type="dxa"/>
            <w:vAlign w:val="center"/>
          </w:tcPr>
          <w:p w:rsidR="00BB65D8" w:rsidRPr="00A55ECA" w:rsidRDefault="00BB65D8" w:rsidP="00BB65D8">
            <w:pPr>
              <w:jc w:val="right"/>
            </w:pPr>
            <w:r>
              <w:t>$3.50</w:t>
            </w:r>
          </w:p>
        </w:tc>
      </w:tr>
      <w:tr w:rsidR="00BB65D8" w:rsidRPr="00A55ECA" w:rsidTr="00BB65D8">
        <w:trPr>
          <w:trHeight w:val="343"/>
        </w:trPr>
        <w:tc>
          <w:tcPr>
            <w:tcW w:w="2718" w:type="dxa"/>
            <w:vAlign w:val="center"/>
          </w:tcPr>
          <w:p w:rsidR="00BB65D8" w:rsidRPr="00A55ECA" w:rsidRDefault="00BB65D8" w:rsidP="00BB65D8">
            <w:r w:rsidRPr="00A55ECA">
              <w:t>Special Contracts</w:t>
            </w:r>
          </w:p>
        </w:tc>
        <w:tc>
          <w:tcPr>
            <w:tcW w:w="2250" w:type="dxa"/>
            <w:vAlign w:val="center"/>
          </w:tcPr>
          <w:p w:rsidR="00BB65D8" w:rsidRPr="00A55ECA" w:rsidRDefault="00BB65D8" w:rsidP="00BB65D8">
            <w:pPr>
              <w:jc w:val="right"/>
            </w:pPr>
            <w:r>
              <w:t>$11,633.00</w:t>
            </w:r>
          </w:p>
        </w:tc>
        <w:tc>
          <w:tcPr>
            <w:tcW w:w="2250" w:type="dxa"/>
            <w:vAlign w:val="center"/>
          </w:tcPr>
          <w:p w:rsidR="00BB65D8" w:rsidRPr="00A55ECA" w:rsidRDefault="00BB65D8" w:rsidP="00BB65D8">
            <w:pPr>
              <w:jc w:val="right"/>
            </w:pPr>
            <w:r>
              <w:t>$11,913.20</w:t>
            </w:r>
          </w:p>
        </w:tc>
        <w:tc>
          <w:tcPr>
            <w:tcW w:w="2250" w:type="dxa"/>
            <w:vAlign w:val="center"/>
          </w:tcPr>
          <w:p w:rsidR="00BB65D8" w:rsidRPr="00A55ECA" w:rsidRDefault="00BB65D8" w:rsidP="00BB65D8">
            <w:pPr>
              <w:jc w:val="right"/>
            </w:pPr>
            <w:r>
              <w:t>$11,906.92</w:t>
            </w:r>
          </w:p>
        </w:tc>
      </w:tr>
    </w:tbl>
    <w:p w:rsidR="00BB65D8" w:rsidRDefault="00BB65D8" w:rsidP="00BB65D8">
      <w:pPr>
        <w:pStyle w:val="TableSource"/>
      </w:pPr>
      <w:r w:rsidRPr="00BB65D8">
        <w:t xml:space="preserve">Source: </w:t>
      </w:r>
      <w:r w:rsidR="00490A6A" w:rsidRPr="00BB65D8">
        <w:t>D</w:t>
      </w:r>
      <w:r w:rsidR="00490A6A">
        <w:t xml:space="preserve">ocument </w:t>
      </w:r>
      <w:r w:rsidR="00490A6A" w:rsidRPr="00BB65D8">
        <w:t>N</w:t>
      </w:r>
      <w:r w:rsidR="00490A6A">
        <w:t>o.</w:t>
      </w:r>
      <w:r w:rsidR="00490A6A" w:rsidRPr="00BB65D8">
        <w:t xml:space="preserve"> 11050-2019</w:t>
      </w:r>
      <w:r w:rsidR="00490A6A">
        <w:t xml:space="preserve">, Revised </w:t>
      </w:r>
      <w:r w:rsidRPr="00BB65D8">
        <w:t>MFR Schedule H-3, p 5.</w:t>
      </w:r>
    </w:p>
    <w:p w:rsidR="00BB65D8" w:rsidRDefault="00BB65D8" w:rsidP="00BB65D8">
      <w:pPr>
        <w:pStyle w:val="BodyText"/>
      </w:pPr>
      <w:r>
        <w:t xml:space="preserve">As shown in the table above, staff recommends lower customer charges than the </w:t>
      </w:r>
      <w:r w:rsidR="001E6497">
        <w:t>Company</w:t>
      </w:r>
      <w:r>
        <w:t xml:space="preserve"> proposed for most rate classes. Staff has concerns that by significantly shifting cost recovery from the variable charge to the fixed customer charge, lower volume customers may see substantially higher bill increases, when compared to higher volume customers.</w:t>
      </w:r>
    </w:p>
    <w:p w:rsidR="00BB65D8" w:rsidRDefault="00BB65D8" w:rsidP="00BB65D8">
      <w:pPr>
        <w:pStyle w:val="BodyText"/>
      </w:pPr>
      <w:r>
        <w:t xml:space="preserve">This shift in cost recovery may benefit large volume users who can offset the overall bill increase due to the higher customer charge with lower per-therm charges. Low-volume users, however, cannot benefit to the same extent from the lower per-therm charge. The shift to a higher fixed charge </w:t>
      </w:r>
      <w:r w:rsidR="00FF0BA8">
        <w:t>reduces</w:t>
      </w:r>
      <w:r>
        <w:t xml:space="preserve"> the lower volume customer’s ability to affect their overall bill. </w:t>
      </w:r>
      <w:r w:rsidR="00FF0BA8">
        <w:t xml:space="preserve">Additionally, a shift to higher fixed charges reduces the incentive for a customer to conserve natural gas. </w:t>
      </w:r>
      <w:r>
        <w:t xml:space="preserve">Staff has evaluated the </w:t>
      </w:r>
      <w:r w:rsidR="001E6497">
        <w:t>Company</w:t>
      </w:r>
      <w:r>
        <w:t>’s proposed customer charges in light of these trade-offs for different usage levels.</w:t>
      </w:r>
    </w:p>
    <w:p w:rsidR="00BB65D8" w:rsidRDefault="00BB65D8" w:rsidP="00BB65D8">
      <w:pPr>
        <w:pStyle w:val="BodyText"/>
      </w:pPr>
      <w:r>
        <w:t>The Third Party Supplier rate schedule is charged to third party suppliers who sell gas to Sebring customers. Sebring performs administrative and payment processing functions on behalf of the third party suppliers. The $3.50 is a charge</w:t>
      </w:r>
      <w:r w:rsidR="00376709" w:rsidRPr="00376709">
        <w:t xml:space="preserve"> </w:t>
      </w:r>
      <w:r w:rsidR="00BA0301">
        <w:t xml:space="preserve">per </w:t>
      </w:r>
      <w:r w:rsidR="00376709">
        <w:t>customer served by the Third Party Supplier,</w:t>
      </w:r>
      <w:r>
        <w:t xml:space="preserve"> and represents Sebring’s administrative and billing cost to p</w:t>
      </w:r>
      <w:r w:rsidR="002507D9">
        <w:t>er</w:t>
      </w:r>
      <w:r>
        <w:t>form these tasks.</w:t>
      </w:r>
    </w:p>
    <w:p w:rsidR="00BB65D8" w:rsidRDefault="00BB65D8" w:rsidP="00BB65D8">
      <w:pPr>
        <w:pStyle w:val="First-LevelSubheading"/>
      </w:pPr>
      <w:r>
        <w:t>Sebring’s Justification for Shifting Cost Recovery</w:t>
      </w:r>
    </w:p>
    <w:p w:rsidR="00BB65D8" w:rsidRDefault="00BB65D8" w:rsidP="00BB65D8">
      <w:pPr>
        <w:pStyle w:val="BodyText"/>
      </w:pPr>
      <w:r>
        <w:t xml:space="preserve">In his testimony, Mr. Christmas states that Sebring’s proposed customer charges are a significant shift in the recovery of its approved revenue requirement through the fixed charge component of </w:t>
      </w:r>
      <w:r>
        <w:lastRenderedPageBreak/>
        <w:t>its proposed rate structure.</w:t>
      </w:r>
      <w:r w:rsidR="00633D45">
        <w:rPr>
          <w:rStyle w:val="FootnoteReference"/>
        </w:rPr>
        <w:footnoteReference w:id="51"/>
      </w:r>
      <w:r>
        <w:t xml:space="preserve">  </w:t>
      </w:r>
      <w:r w:rsidR="00560874">
        <w:t xml:space="preserve">Mr. </w:t>
      </w:r>
      <w:r>
        <w:t xml:space="preserve">Christmas defines Straight Fixed Variable (SFV) rate design as recovering Sebring’s fixed costs from its customers with fixed charges. </w:t>
      </w:r>
    </w:p>
    <w:p w:rsidR="00BB65D8" w:rsidRDefault="00BB65D8" w:rsidP="00BB65D8">
      <w:pPr>
        <w:pStyle w:val="BodyText"/>
      </w:pPr>
      <w:r>
        <w:t>There is som</w:t>
      </w:r>
      <w:r w:rsidR="008B6898">
        <w:t>e merit in his argument that a Local Distribution Company (</w:t>
      </w:r>
      <w:r>
        <w:t>LDC</w:t>
      </w:r>
      <w:r w:rsidR="008B6898">
        <w:t>)</w:t>
      </w:r>
      <w:r>
        <w:t xml:space="preserve"> experiences little variable cost for building and maintaining infrastructure. SFV cost allocations are also consistent with the pricing schemes approved by the Federal Energy Regulatory Commission for interstate pipelines. The customer still experiences variability due to fluctuations in the cost of gas itself; however, purchased gas costs are a separate charge on customers’ bills. Staff is cognizant of Mr. Christmas’s arguments on behalf of shifting costs from the variable per-therm charge to the fixed customer charge, under the basis of SFV rate design.</w:t>
      </w:r>
    </w:p>
    <w:p w:rsidR="00BB65D8" w:rsidRDefault="00BB65D8" w:rsidP="00BB65D8">
      <w:pPr>
        <w:pStyle w:val="BodyText"/>
      </w:pPr>
      <w:r>
        <w:t xml:space="preserve">In response to staff’s tenth data request, Sebring states that a benefit of its proposed customer charges is that bills are more levelized month-to-month. Sebring finds this to be beneficial for both customer and </w:t>
      </w:r>
      <w:r w:rsidR="00D87871">
        <w:t>Company</w:t>
      </w:r>
      <w:r>
        <w:t xml:space="preserve">, because it “simulates a budget billing program” for the customer and the </w:t>
      </w:r>
      <w:r w:rsidR="00D87871">
        <w:t>Company</w:t>
      </w:r>
      <w:r>
        <w:t xml:space="preserve"> receives a more consistent cash flow month-to-month.</w:t>
      </w:r>
      <w:r w:rsidR="00633D45">
        <w:rPr>
          <w:rStyle w:val="FootnoteReference"/>
        </w:rPr>
        <w:footnoteReference w:id="52"/>
      </w:r>
      <w:r>
        <w:t xml:space="preserve">  However, staff does not believe the above argument outweighs the impacts of abnormally large increases to some customers’ bills. </w:t>
      </w:r>
      <w:r w:rsidR="00371290">
        <w:t>U</w:t>
      </w:r>
      <w:r>
        <w:t xml:space="preserve">nder </w:t>
      </w:r>
      <w:r w:rsidR="00371290">
        <w:t xml:space="preserve">the </w:t>
      </w:r>
      <w:r w:rsidR="00E4350A">
        <w:t>C</w:t>
      </w:r>
      <w:r>
        <w:t xml:space="preserve">ompany proposed rates, lower volume customers in </w:t>
      </w:r>
      <w:r w:rsidR="00371290">
        <w:t xml:space="preserve">most </w:t>
      </w:r>
      <w:r>
        <w:t>rate class</w:t>
      </w:r>
      <w:r w:rsidR="00371290">
        <w:t>es</w:t>
      </w:r>
      <w:r>
        <w:t xml:space="preserve"> </w:t>
      </w:r>
      <w:r w:rsidR="00371290">
        <w:t>c</w:t>
      </w:r>
      <w:r>
        <w:t>ould experience a significant monthly rate increase.</w:t>
      </w:r>
      <w:r w:rsidR="00633D45">
        <w:rPr>
          <w:rStyle w:val="FootnoteReference"/>
        </w:rPr>
        <w:footnoteReference w:id="53"/>
      </w:r>
      <w:r w:rsidR="00371290">
        <w:t xml:space="preserve"> Higher volume customers, on the other hand, may experience an overall decrease in their monthly bill, depending on usage.</w:t>
      </w:r>
    </w:p>
    <w:p w:rsidR="00BB65D8" w:rsidRDefault="00E4350A" w:rsidP="00BB65D8">
      <w:pPr>
        <w:pStyle w:val="BodyText"/>
      </w:pPr>
      <w:r>
        <w:t>Section 366.06(1), F.</w:t>
      </w:r>
      <w:r w:rsidR="00BB65D8">
        <w:t>S., states that the Commission shall to the extent practicable, consider the cost of providing service to the class, as well as the rate history, value of service</w:t>
      </w:r>
      <w:r>
        <w:t>,</w:t>
      </w:r>
      <w:r w:rsidR="00BB65D8">
        <w:t xml:space="preserve"> and experience of the public utility. Shifting most of the </w:t>
      </w:r>
      <w:r w:rsidR="00144B99">
        <w:t>Company</w:t>
      </w:r>
      <w:r w:rsidR="00BB65D8">
        <w:t>’s base r</w:t>
      </w:r>
      <w:r w:rsidR="00C15663">
        <w:t>ate costs from the variable per-</w:t>
      </w:r>
      <w:r w:rsidR="00BB65D8">
        <w:t>therm charge to the fixed customer charge would unduly impact small use customers. These customers may not benefit from the correspondingly lower therm charge resulting from such a shift.</w:t>
      </w:r>
    </w:p>
    <w:p w:rsidR="00BB65D8" w:rsidRPr="00BB65D8" w:rsidRDefault="00BB65D8" w:rsidP="00BB65D8">
      <w:pPr>
        <w:pStyle w:val="BodyText"/>
      </w:pPr>
      <w:r>
        <w:t>Staff believes a fair</w:t>
      </w:r>
      <w:r w:rsidR="00E4350A">
        <w:t>er</w:t>
      </w:r>
      <w:r>
        <w:t xml:space="preserve"> approach is to set the customer charge to minimize the impact on low therm users and let the therm charge capture the balance of the class revenue requirement. This is consistent with the Commission’s decisions in the 2004 Sebring rate proceeding,</w:t>
      </w:r>
      <w:r w:rsidR="00633D45">
        <w:rPr>
          <w:rStyle w:val="FootnoteReference"/>
        </w:rPr>
        <w:footnoteReference w:id="54"/>
      </w:r>
      <w:r>
        <w:t xml:space="preserve"> the 2009 Florida Division of Chesapeake Utilities Corporation rate proceeding,</w:t>
      </w:r>
      <w:r w:rsidR="00633D45">
        <w:rPr>
          <w:rStyle w:val="FootnoteReference"/>
        </w:rPr>
        <w:footnoteReference w:id="55"/>
      </w:r>
      <w:r w:rsidR="00E4350A">
        <w:t xml:space="preserve"> </w:t>
      </w:r>
      <w:r>
        <w:t>and the 2007 St. Joe Natural Gas Company, Inc. rate proceeding.</w:t>
      </w:r>
      <w:r w:rsidR="00633D45">
        <w:rPr>
          <w:rStyle w:val="FootnoteReference"/>
        </w:rPr>
        <w:footnoteReference w:id="56"/>
      </w:r>
      <w:r>
        <w:t xml:space="preserve">  Staff is recommending rates that would recover a greater proportion of costs through the fixed customer charge, compared to Sebring’s current rate design. Staff’s recommended rates are an incremental shift toward recognizing the operating characteristics of LDCs while providing some stability to customer rates and minimizing impacts on low users. Attachment </w:t>
      </w:r>
      <w:r w:rsidR="00240DBE">
        <w:t>B</w:t>
      </w:r>
      <w:r>
        <w:t xml:space="preserve"> shows bill comparisons between Sebring’s current rates and staff-recommended rates.</w:t>
      </w:r>
    </w:p>
    <w:p w:rsidR="00546519" w:rsidRDefault="00546519">
      <w:pPr>
        <w:pStyle w:val="IssueHeading"/>
        <w:rPr>
          <w:vanish/>
          <w:specVanish/>
        </w:rPr>
      </w:pPr>
      <w:r w:rsidRPr="004C3641">
        <w:rPr>
          <w:b w:val="0"/>
          <w:i w:val="0"/>
        </w:rPr>
        <w:br w:type="page"/>
      </w:r>
      <w:r w:rsidRPr="004C3641">
        <w:lastRenderedPageBreak/>
        <w:t xml:space="preserve">Issue </w:t>
      </w:r>
      <w:fldSimple w:instr=" SEQ Issue \* MERGEFORMAT ">
        <w:r w:rsidR="005A792F">
          <w:rPr>
            <w:noProof/>
          </w:rPr>
          <w:t>27</w:t>
        </w:r>
      </w:fldSimple>
      <w:r w:rsidRPr="004C3641">
        <w:t>:</w:t>
      </w:r>
      <w:r>
        <w:fldChar w:fldCharType="begin"/>
      </w:r>
      <w:r>
        <w:instrText xml:space="preserve"> TC "</w:instrText>
      </w:r>
      <w:r>
        <w:fldChar w:fldCharType="begin"/>
      </w:r>
      <w:r>
        <w:instrText xml:space="preserve"> SEQ issue \c </w:instrText>
      </w:r>
      <w:r>
        <w:fldChar w:fldCharType="separate"/>
      </w:r>
      <w:bookmarkStart w:id="40" w:name="_Toc28007736"/>
      <w:r w:rsidR="005A792F">
        <w:rPr>
          <w:noProof/>
        </w:rPr>
        <w:instrText>27</w:instrText>
      </w:r>
      <w:r>
        <w:fldChar w:fldCharType="end"/>
      </w:r>
      <w:r>
        <w:tab/>
      </w:r>
      <w:r w:rsidR="000F73A9">
        <w:instrText>Transportation Charges (Ward)</w:instrText>
      </w:r>
      <w:bookmarkEnd w:id="40"/>
      <w:r>
        <w:instrText xml:space="preserve">" \l 1 </w:instrText>
      </w:r>
      <w:r>
        <w:fldChar w:fldCharType="end"/>
      </w:r>
      <w:r>
        <w:t> </w:t>
      </w:r>
    </w:p>
    <w:p w:rsidR="00546519" w:rsidRDefault="006016C8">
      <w:pPr>
        <w:pStyle w:val="BodyText"/>
      </w:pPr>
      <w:r>
        <w:t xml:space="preserve"> What are the appropriate per </w:t>
      </w:r>
      <w:r w:rsidR="00546519">
        <w:t xml:space="preserve">therm </w:t>
      </w:r>
      <w:r w:rsidR="00C8318B">
        <w:t>t</w:t>
      </w:r>
      <w:r w:rsidR="00546519">
        <w:t xml:space="preserve">ransportation </w:t>
      </w:r>
      <w:r w:rsidR="00C8318B">
        <w:t>c</w:t>
      </w:r>
      <w:r w:rsidR="00546519">
        <w:t>harges?</w:t>
      </w:r>
    </w:p>
    <w:p w:rsidR="00546519" w:rsidRPr="004C3641" w:rsidRDefault="00546519">
      <w:pPr>
        <w:pStyle w:val="IssueSubsectionHeading"/>
        <w:rPr>
          <w:vanish/>
          <w:specVanish/>
        </w:rPr>
      </w:pPr>
      <w:r w:rsidRPr="004C3641">
        <w:t>Recommendation: </w:t>
      </w:r>
    </w:p>
    <w:p w:rsidR="00546519" w:rsidRDefault="00546519">
      <w:pPr>
        <w:pStyle w:val="BodyText"/>
      </w:pPr>
      <w:r>
        <w:t> </w:t>
      </w:r>
      <w:r w:rsidR="00F235D4" w:rsidRPr="00022B31">
        <w:t xml:space="preserve">The </w:t>
      </w:r>
      <w:r w:rsidR="00F235D4">
        <w:t xml:space="preserve">appropriate staff-recommended </w:t>
      </w:r>
      <w:r w:rsidR="006016C8">
        <w:t xml:space="preserve">per </w:t>
      </w:r>
      <w:r w:rsidR="00F235D4" w:rsidRPr="00731D49">
        <w:t>therm transportation charges</w:t>
      </w:r>
      <w:r w:rsidR="00F235D4">
        <w:t xml:space="preserve"> for each rate class are reflected in the </w:t>
      </w:r>
      <w:r w:rsidR="00F235D4" w:rsidRPr="00022B31">
        <w:t>table below</w:t>
      </w:r>
      <w:r w:rsidR="00F235D4">
        <w:t>.</w:t>
      </w:r>
      <w:r>
        <w:t xml:space="preserve"> (Ward)</w:t>
      </w:r>
    </w:p>
    <w:p w:rsidR="00731D49" w:rsidRPr="00870856" w:rsidRDefault="00143E12" w:rsidP="00731D49">
      <w:pPr>
        <w:pStyle w:val="TableTitle"/>
      </w:pPr>
      <w:r>
        <w:t>Staff-</w:t>
      </w:r>
      <w:r w:rsidR="00731D49">
        <w:t>Recommended Transportation Charges</w:t>
      </w:r>
    </w:p>
    <w:tbl>
      <w:tblPr>
        <w:tblStyle w:val="TableGrid"/>
        <w:tblW w:w="0" w:type="auto"/>
        <w:tblInd w:w="738" w:type="dxa"/>
        <w:tblLook w:val="04A0" w:firstRow="1" w:lastRow="0" w:firstColumn="1" w:lastColumn="0" w:noHBand="0" w:noVBand="1"/>
      </w:tblPr>
      <w:tblGrid>
        <w:gridCol w:w="4050"/>
        <w:gridCol w:w="3960"/>
      </w:tblGrid>
      <w:tr w:rsidR="00731D49" w:rsidTr="008C300D">
        <w:tc>
          <w:tcPr>
            <w:tcW w:w="4050" w:type="dxa"/>
          </w:tcPr>
          <w:p w:rsidR="00731D49" w:rsidRDefault="00731D49" w:rsidP="008C300D">
            <w:pPr>
              <w:jc w:val="center"/>
            </w:pPr>
            <w:r>
              <w:t>Rate Class</w:t>
            </w:r>
          </w:p>
        </w:tc>
        <w:tc>
          <w:tcPr>
            <w:tcW w:w="3960" w:type="dxa"/>
          </w:tcPr>
          <w:p w:rsidR="00731D49" w:rsidRDefault="00731D49" w:rsidP="008C300D">
            <w:pPr>
              <w:jc w:val="center"/>
            </w:pPr>
            <w:r>
              <w:t>Staff Recommended Tra</w:t>
            </w:r>
            <w:r w:rsidR="006016C8">
              <w:t xml:space="preserve">nsportation Charges (dollar per </w:t>
            </w:r>
            <w:r>
              <w:t>therm)</w:t>
            </w:r>
          </w:p>
        </w:tc>
      </w:tr>
      <w:tr w:rsidR="00731D49" w:rsidTr="008C300D">
        <w:tc>
          <w:tcPr>
            <w:tcW w:w="4050" w:type="dxa"/>
          </w:tcPr>
          <w:p w:rsidR="00731D49" w:rsidRDefault="00731D49" w:rsidP="008C300D">
            <w:pPr>
              <w:jc w:val="center"/>
            </w:pPr>
            <w:r>
              <w:t>TS-1</w:t>
            </w:r>
          </w:p>
        </w:tc>
        <w:tc>
          <w:tcPr>
            <w:tcW w:w="3960" w:type="dxa"/>
          </w:tcPr>
          <w:p w:rsidR="00731D49" w:rsidRDefault="00731D49" w:rsidP="008C300D">
            <w:pPr>
              <w:jc w:val="center"/>
            </w:pPr>
            <w:r>
              <w:t>0.66965</w:t>
            </w:r>
          </w:p>
        </w:tc>
      </w:tr>
      <w:tr w:rsidR="00731D49" w:rsidTr="008C300D">
        <w:tc>
          <w:tcPr>
            <w:tcW w:w="4050" w:type="dxa"/>
          </w:tcPr>
          <w:p w:rsidR="00731D49" w:rsidRDefault="00731D49" w:rsidP="008C300D">
            <w:pPr>
              <w:jc w:val="center"/>
            </w:pPr>
            <w:r>
              <w:t>TS-2</w:t>
            </w:r>
          </w:p>
        </w:tc>
        <w:tc>
          <w:tcPr>
            <w:tcW w:w="3960" w:type="dxa"/>
          </w:tcPr>
          <w:p w:rsidR="00731D49" w:rsidRDefault="00731D49" w:rsidP="008C300D">
            <w:pPr>
              <w:jc w:val="center"/>
            </w:pPr>
            <w:r>
              <w:t>0.46843</w:t>
            </w:r>
          </w:p>
        </w:tc>
      </w:tr>
      <w:tr w:rsidR="00731D49" w:rsidTr="008C300D">
        <w:tc>
          <w:tcPr>
            <w:tcW w:w="4050" w:type="dxa"/>
          </w:tcPr>
          <w:p w:rsidR="00731D49" w:rsidRDefault="00731D49" w:rsidP="008C300D">
            <w:pPr>
              <w:jc w:val="center"/>
            </w:pPr>
            <w:r>
              <w:t>TS-3</w:t>
            </w:r>
          </w:p>
        </w:tc>
        <w:tc>
          <w:tcPr>
            <w:tcW w:w="3960" w:type="dxa"/>
          </w:tcPr>
          <w:p w:rsidR="00731D49" w:rsidRDefault="00731D49" w:rsidP="008C300D">
            <w:pPr>
              <w:jc w:val="center"/>
            </w:pPr>
            <w:r>
              <w:t>0.52481</w:t>
            </w:r>
          </w:p>
        </w:tc>
      </w:tr>
      <w:tr w:rsidR="00731D49" w:rsidTr="008C300D">
        <w:tc>
          <w:tcPr>
            <w:tcW w:w="4050" w:type="dxa"/>
          </w:tcPr>
          <w:p w:rsidR="00731D49" w:rsidRDefault="00731D49" w:rsidP="008C300D">
            <w:pPr>
              <w:jc w:val="center"/>
            </w:pPr>
            <w:r>
              <w:t>TS-4</w:t>
            </w:r>
          </w:p>
        </w:tc>
        <w:tc>
          <w:tcPr>
            <w:tcW w:w="3960" w:type="dxa"/>
          </w:tcPr>
          <w:p w:rsidR="00731D49" w:rsidRDefault="00731D49" w:rsidP="008C300D">
            <w:pPr>
              <w:jc w:val="center"/>
            </w:pPr>
            <w:r>
              <w:t>0.39922</w:t>
            </w:r>
          </w:p>
        </w:tc>
      </w:tr>
      <w:tr w:rsidR="00731D49" w:rsidTr="008C300D">
        <w:tc>
          <w:tcPr>
            <w:tcW w:w="4050" w:type="dxa"/>
          </w:tcPr>
          <w:p w:rsidR="00731D49" w:rsidRDefault="00731D49" w:rsidP="008C300D">
            <w:pPr>
              <w:jc w:val="center"/>
            </w:pPr>
            <w:r>
              <w:t>TS-5</w:t>
            </w:r>
          </w:p>
        </w:tc>
        <w:tc>
          <w:tcPr>
            <w:tcW w:w="3960" w:type="dxa"/>
          </w:tcPr>
          <w:p w:rsidR="00731D49" w:rsidRDefault="00731D49" w:rsidP="008C300D">
            <w:pPr>
              <w:jc w:val="center"/>
            </w:pPr>
            <w:r>
              <w:t>0.41589</w:t>
            </w:r>
          </w:p>
        </w:tc>
      </w:tr>
    </w:tbl>
    <w:p w:rsidR="00731D49" w:rsidRDefault="00731D49">
      <w:pPr>
        <w:pStyle w:val="BodyText"/>
      </w:pPr>
    </w:p>
    <w:p w:rsidR="00546519" w:rsidRPr="004C3641" w:rsidRDefault="00546519">
      <w:pPr>
        <w:pStyle w:val="IssueSubsectionHeading"/>
        <w:rPr>
          <w:vanish/>
          <w:specVanish/>
        </w:rPr>
      </w:pPr>
      <w:r w:rsidRPr="004C3641">
        <w:t>Staff Analysis: </w:t>
      </w:r>
    </w:p>
    <w:p w:rsidR="00546519" w:rsidRDefault="00546519">
      <w:pPr>
        <w:pStyle w:val="BodyText"/>
      </w:pPr>
      <w:r>
        <w:t> </w:t>
      </w:r>
      <w:r w:rsidR="00731D49" w:rsidRPr="00731D49">
        <w:t>The table below shows the transportation charges that are currently in effect, Sebring’s proposed charges as contained in the revised MFR Schedule H, and the staff-recommended charges. The staff-recommended charges are subject to change based on the Commission’s vote in other issues</w:t>
      </w:r>
      <w:r w:rsidR="00731D49">
        <w:t>.</w:t>
      </w:r>
    </w:p>
    <w:p w:rsidR="00731D49" w:rsidRDefault="00731D49" w:rsidP="00731D49">
      <w:pPr>
        <w:pStyle w:val="TableNumber"/>
        <w:keepNext/>
      </w:pPr>
      <w:r>
        <w:t>Table 27-1</w:t>
      </w:r>
    </w:p>
    <w:p w:rsidR="00731D49" w:rsidRDefault="00731D49" w:rsidP="00731D49">
      <w:pPr>
        <w:pStyle w:val="TableTitle"/>
        <w:keepNext/>
      </w:pPr>
      <w:r>
        <w:t>Transportation Charges (dollar per therm)</w:t>
      </w:r>
    </w:p>
    <w:tbl>
      <w:tblPr>
        <w:tblStyle w:val="TableGrid"/>
        <w:tblW w:w="0" w:type="auto"/>
        <w:tblInd w:w="738" w:type="dxa"/>
        <w:tblLook w:val="04A0" w:firstRow="1" w:lastRow="0" w:firstColumn="1" w:lastColumn="0" w:noHBand="0" w:noVBand="1"/>
      </w:tblPr>
      <w:tblGrid>
        <w:gridCol w:w="1656"/>
        <w:gridCol w:w="1764"/>
        <w:gridCol w:w="2250"/>
        <w:gridCol w:w="2340"/>
      </w:tblGrid>
      <w:tr w:rsidR="00731D49" w:rsidTr="008C300D">
        <w:tc>
          <w:tcPr>
            <w:tcW w:w="1656" w:type="dxa"/>
          </w:tcPr>
          <w:p w:rsidR="00731D49" w:rsidRDefault="00731D49" w:rsidP="008C300D">
            <w:pPr>
              <w:jc w:val="center"/>
            </w:pPr>
            <w:r>
              <w:t>Rate Class</w:t>
            </w:r>
          </w:p>
        </w:tc>
        <w:tc>
          <w:tcPr>
            <w:tcW w:w="1764" w:type="dxa"/>
          </w:tcPr>
          <w:p w:rsidR="00731D49" w:rsidRDefault="00731D49" w:rsidP="008C300D">
            <w:pPr>
              <w:jc w:val="center"/>
            </w:pPr>
            <w:r>
              <w:t>Current Rate</w:t>
            </w:r>
          </w:p>
        </w:tc>
        <w:tc>
          <w:tcPr>
            <w:tcW w:w="2250" w:type="dxa"/>
          </w:tcPr>
          <w:p w:rsidR="00731D49" w:rsidRDefault="006D32D4" w:rsidP="006D32D4">
            <w:pPr>
              <w:jc w:val="center"/>
            </w:pPr>
            <w:r>
              <w:t>Company-p</w:t>
            </w:r>
            <w:r w:rsidR="00731D49">
              <w:t>roposed</w:t>
            </w:r>
          </w:p>
        </w:tc>
        <w:tc>
          <w:tcPr>
            <w:tcW w:w="2340" w:type="dxa"/>
          </w:tcPr>
          <w:p w:rsidR="00731D49" w:rsidRDefault="00731D49" w:rsidP="006D32D4">
            <w:pPr>
              <w:jc w:val="center"/>
            </w:pPr>
            <w:r>
              <w:t>Staff</w:t>
            </w:r>
            <w:r w:rsidR="006D32D4">
              <w:t>-r</w:t>
            </w:r>
            <w:r>
              <w:t>ecommended</w:t>
            </w:r>
          </w:p>
        </w:tc>
      </w:tr>
      <w:tr w:rsidR="00731D49" w:rsidTr="008C300D">
        <w:tc>
          <w:tcPr>
            <w:tcW w:w="1656" w:type="dxa"/>
          </w:tcPr>
          <w:p w:rsidR="00731D49" w:rsidRDefault="00731D49" w:rsidP="008C300D">
            <w:pPr>
              <w:jc w:val="center"/>
            </w:pPr>
            <w:r>
              <w:t>TS-1</w:t>
            </w:r>
          </w:p>
        </w:tc>
        <w:tc>
          <w:tcPr>
            <w:tcW w:w="1764" w:type="dxa"/>
          </w:tcPr>
          <w:p w:rsidR="00731D49" w:rsidRDefault="00731D49" w:rsidP="008C300D">
            <w:pPr>
              <w:jc w:val="center"/>
            </w:pPr>
            <w:r>
              <w:t>0.57140</w:t>
            </w:r>
          </w:p>
        </w:tc>
        <w:tc>
          <w:tcPr>
            <w:tcW w:w="2250" w:type="dxa"/>
          </w:tcPr>
          <w:p w:rsidR="00731D49" w:rsidRDefault="00731D49" w:rsidP="008C300D">
            <w:pPr>
              <w:jc w:val="center"/>
            </w:pPr>
            <w:r>
              <w:t>0.33481</w:t>
            </w:r>
          </w:p>
        </w:tc>
        <w:tc>
          <w:tcPr>
            <w:tcW w:w="2340" w:type="dxa"/>
          </w:tcPr>
          <w:p w:rsidR="00731D49" w:rsidRDefault="00731D49" w:rsidP="008C300D">
            <w:pPr>
              <w:jc w:val="center"/>
            </w:pPr>
            <w:r>
              <w:t>0.66965</w:t>
            </w:r>
          </w:p>
        </w:tc>
      </w:tr>
      <w:tr w:rsidR="00731D49" w:rsidTr="008C300D">
        <w:tc>
          <w:tcPr>
            <w:tcW w:w="1656" w:type="dxa"/>
          </w:tcPr>
          <w:p w:rsidR="00731D49" w:rsidRDefault="00731D49" w:rsidP="008C300D">
            <w:pPr>
              <w:jc w:val="center"/>
            </w:pPr>
            <w:r>
              <w:t>TS-2</w:t>
            </w:r>
          </w:p>
        </w:tc>
        <w:tc>
          <w:tcPr>
            <w:tcW w:w="1764" w:type="dxa"/>
          </w:tcPr>
          <w:p w:rsidR="00731D49" w:rsidRDefault="00731D49" w:rsidP="008C300D">
            <w:pPr>
              <w:jc w:val="center"/>
            </w:pPr>
            <w:r>
              <w:t>0.49327</w:t>
            </w:r>
          </w:p>
        </w:tc>
        <w:tc>
          <w:tcPr>
            <w:tcW w:w="2250" w:type="dxa"/>
          </w:tcPr>
          <w:p w:rsidR="00731D49" w:rsidRDefault="00731D49" w:rsidP="008C300D">
            <w:pPr>
              <w:jc w:val="center"/>
            </w:pPr>
            <w:r>
              <w:t>0.20787</w:t>
            </w:r>
          </w:p>
        </w:tc>
        <w:tc>
          <w:tcPr>
            <w:tcW w:w="2340" w:type="dxa"/>
          </w:tcPr>
          <w:p w:rsidR="00731D49" w:rsidRDefault="00731D49" w:rsidP="008C300D">
            <w:pPr>
              <w:jc w:val="center"/>
            </w:pPr>
            <w:r>
              <w:t>0.46843</w:t>
            </w:r>
          </w:p>
        </w:tc>
      </w:tr>
      <w:tr w:rsidR="00731D49" w:rsidTr="008C300D">
        <w:tc>
          <w:tcPr>
            <w:tcW w:w="1656" w:type="dxa"/>
          </w:tcPr>
          <w:p w:rsidR="00731D49" w:rsidRDefault="00731D49" w:rsidP="008C300D">
            <w:pPr>
              <w:jc w:val="center"/>
            </w:pPr>
            <w:r>
              <w:t>TS-3</w:t>
            </w:r>
          </w:p>
        </w:tc>
        <w:tc>
          <w:tcPr>
            <w:tcW w:w="1764" w:type="dxa"/>
          </w:tcPr>
          <w:p w:rsidR="00731D49" w:rsidRDefault="00731D49" w:rsidP="008C300D">
            <w:pPr>
              <w:jc w:val="center"/>
            </w:pPr>
            <w:r>
              <w:t>0.46677</w:t>
            </w:r>
          </w:p>
        </w:tc>
        <w:tc>
          <w:tcPr>
            <w:tcW w:w="2250" w:type="dxa"/>
          </w:tcPr>
          <w:p w:rsidR="00731D49" w:rsidRDefault="00731D49" w:rsidP="008C300D">
            <w:pPr>
              <w:jc w:val="center"/>
            </w:pPr>
            <w:r>
              <w:t>0.16529</w:t>
            </w:r>
          </w:p>
        </w:tc>
        <w:tc>
          <w:tcPr>
            <w:tcW w:w="2340" w:type="dxa"/>
          </w:tcPr>
          <w:p w:rsidR="00731D49" w:rsidRDefault="00731D49" w:rsidP="008C300D">
            <w:pPr>
              <w:jc w:val="center"/>
            </w:pPr>
            <w:r>
              <w:t>0.52481</w:t>
            </w:r>
          </w:p>
        </w:tc>
      </w:tr>
      <w:tr w:rsidR="00731D49" w:rsidTr="008C300D">
        <w:tc>
          <w:tcPr>
            <w:tcW w:w="1656" w:type="dxa"/>
          </w:tcPr>
          <w:p w:rsidR="00731D49" w:rsidRDefault="00731D49" w:rsidP="008C300D">
            <w:pPr>
              <w:jc w:val="center"/>
            </w:pPr>
            <w:r>
              <w:t>TS-4</w:t>
            </w:r>
          </w:p>
        </w:tc>
        <w:tc>
          <w:tcPr>
            <w:tcW w:w="1764" w:type="dxa"/>
          </w:tcPr>
          <w:p w:rsidR="00731D49" w:rsidRDefault="00731D49" w:rsidP="008C300D">
            <w:pPr>
              <w:jc w:val="center"/>
            </w:pPr>
            <w:r>
              <w:t>0.33861</w:t>
            </w:r>
          </w:p>
        </w:tc>
        <w:tc>
          <w:tcPr>
            <w:tcW w:w="2250" w:type="dxa"/>
          </w:tcPr>
          <w:p w:rsidR="00731D49" w:rsidRDefault="00731D49" w:rsidP="008C300D">
            <w:pPr>
              <w:jc w:val="center"/>
            </w:pPr>
            <w:r>
              <w:t>0.09619</w:t>
            </w:r>
          </w:p>
        </w:tc>
        <w:tc>
          <w:tcPr>
            <w:tcW w:w="2340" w:type="dxa"/>
          </w:tcPr>
          <w:p w:rsidR="00731D49" w:rsidRDefault="00731D49" w:rsidP="008C300D">
            <w:pPr>
              <w:jc w:val="center"/>
            </w:pPr>
            <w:r>
              <w:t>0.39922</w:t>
            </w:r>
          </w:p>
        </w:tc>
      </w:tr>
      <w:tr w:rsidR="00731D49" w:rsidTr="008C300D">
        <w:tc>
          <w:tcPr>
            <w:tcW w:w="1656" w:type="dxa"/>
          </w:tcPr>
          <w:p w:rsidR="00731D49" w:rsidRDefault="00731D49" w:rsidP="008C300D">
            <w:pPr>
              <w:jc w:val="center"/>
            </w:pPr>
            <w:r>
              <w:t>TS-5</w:t>
            </w:r>
          </w:p>
        </w:tc>
        <w:tc>
          <w:tcPr>
            <w:tcW w:w="1764" w:type="dxa"/>
          </w:tcPr>
          <w:p w:rsidR="00731D49" w:rsidRDefault="00731D49" w:rsidP="008C300D">
            <w:pPr>
              <w:jc w:val="center"/>
            </w:pPr>
            <w:r>
              <w:t>0.38136</w:t>
            </w:r>
          </w:p>
        </w:tc>
        <w:tc>
          <w:tcPr>
            <w:tcW w:w="2250" w:type="dxa"/>
          </w:tcPr>
          <w:p w:rsidR="00731D49" w:rsidRDefault="00731D49" w:rsidP="008C300D">
            <w:pPr>
              <w:jc w:val="center"/>
            </w:pPr>
            <w:r>
              <w:t>0.04027</w:t>
            </w:r>
          </w:p>
        </w:tc>
        <w:tc>
          <w:tcPr>
            <w:tcW w:w="2340" w:type="dxa"/>
          </w:tcPr>
          <w:p w:rsidR="00731D49" w:rsidRDefault="00731D49" w:rsidP="008C300D">
            <w:pPr>
              <w:jc w:val="center"/>
            </w:pPr>
            <w:r>
              <w:t>0.41589</w:t>
            </w:r>
          </w:p>
        </w:tc>
      </w:tr>
    </w:tbl>
    <w:p w:rsidR="00731D49" w:rsidRDefault="00A64F09" w:rsidP="009D2CF1">
      <w:pPr>
        <w:pStyle w:val="TableSource"/>
        <w:ind w:firstLine="630"/>
      </w:pPr>
      <w:r w:rsidRPr="00A64F09">
        <w:t xml:space="preserve">Source: </w:t>
      </w:r>
      <w:r w:rsidR="00490A6A" w:rsidRPr="00490A6A">
        <w:t>Document No. 11050-2019, Revised MFR Schedule H-3, p 5.</w:t>
      </w:r>
    </w:p>
    <w:p w:rsidR="00731D49" w:rsidRDefault="00731D49">
      <w:pPr>
        <w:pStyle w:val="BodyText"/>
      </w:pPr>
      <w:r w:rsidRPr="00731D49">
        <w:t>The staff-recommended transportation charges are higher than the Company-proposed charges because staff, in Issue 26, recommended lower customer charges for certain rate classes. For any given class revenue requirement, costs not recovered through the customer charg</w:t>
      </w:r>
      <w:r w:rsidR="00E94CF9">
        <w:t>e are recovered through the per</w:t>
      </w:r>
      <w:r w:rsidR="00C15663">
        <w:t>-</w:t>
      </w:r>
      <w:r w:rsidRPr="00731D49">
        <w:t>therm transportation charge. Therefore, a lower customer charge results in higher transportation charges</w:t>
      </w:r>
      <w:r>
        <w:t>.</w:t>
      </w:r>
    </w:p>
    <w:p w:rsidR="00BE3707" w:rsidRDefault="00BE3707">
      <w:pPr>
        <w:pStyle w:val="IssueHeading"/>
        <w:rPr>
          <w:vanish/>
          <w:specVanish/>
        </w:rPr>
      </w:pPr>
      <w:r w:rsidRPr="004C3641">
        <w:rPr>
          <w:b w:val="0"/>
          <w:i w:val="0"/>
        </w:rPr>
        <w:br w:type="page"/>
      </w:r>
      <w:r w:rsidRPr="004C3641">
        <w:lastRenderedPageBreak/>
        <w:t xml:space="preserve">Issue </w:t>
      </w:r>
      <w:fldSimple w:instr=" SEQ Issue \* MERGEFORMAT ">
        <w:r w:rsidR="005A792F">
          <w:rPr>
            <w:noProof/>
          </w:rPr>
          <w:t>28</w:t>
        </w:r>
      </w:fldSimple>
      <w:r w:rsidRPr="004C3641">
        <w:t>:</w:t>
      </w:r>
      <w:r>
        <w:fldChar w:fldCharType="begin"/>
      </w:r>
      <w:r>
        <w:instrText xml:space="preserve"> TC "</w:instrText>
      </w:r>
      <w:r>
        <w:fldChar w:fldCharType="begin"/>
      </w:r>
      <w:r>
        <w:instrText xml:space="preserve"> SEQ issue \c </w:instrText>
      </w:r>
      <w:r>
        <w:fldChar w:fldCharType="separate"/>
      </w:r>
      <w:bookmarkStart w:id="41" w:name="_Toc28007737"/>
      <w:r w:rsidR="005A792F">
        <w:rPr>
          <w:noProof/>
        </w:rPr>
        <w:instrText>28</w:instrText>
      </w:r>
      <w:r>
        <w:fldChar w:fldCharType="end"/>
      </w:r>
      <w:r>
        <w:tab/>
      </w:r>
      <w:r w:rsidR="000F73A9">
        <w:instrText>Effective Date of Revised Rates and Charges (Ward)</w:instrText>
      </w:r>
      <w:bookmarkEnd w:id="41"/>
      <w:r>
        <w:instrText xml:space="preserve">" \l 1 </w:instrText>
      </w:r>
      <w:r>
        <w:fldChar w:fldCharType="end"/>
      </w:r>
      <w:r>
        <w:t> </w:t>
      </w:r>
    </w:p>
    <w:p w:rsidR="00BE3707" w:rsidRDefault="00BE3707">
      <w:pPr>
        <w:pStyle w:val="BodyText"/>
      </w:pPr>
      <w:r>
        <w:t> What is the appropriate effective date for Sebring's revised rates and charges?</w:t>
      </w:r>
    </w:p>
    <w:p w:rsidR="00BE3707" w:rsidRPr="004C3641" w:rsidRDefault="00BE3707">
      <w:pPr>
        <w:pStyle w:val="IssueSubsectionHeading"/>
        <w:rPr>
          <w:vanish/>
          <w:specVanish/>
        </w:rPr>
      </w:pPr>
      <w:r w:rsidRPr="004C3641">
        <w:t>Recommendation: </w:t>
      </w:r>
    </w:p>
    <w:p w:rsidR="00BE3707" w:rsidRDefault="00BE3707">
      <w:pPr>
        <w:pStyle w:val="BodyText"/>
      </w:pPr>
      <w:r>
        <w:t> </w:t>
      </w:r>
      <w:r w:rsidR="007769BF" w:rsidRPr="007769BF">
        <w:t>The revised rates and charges should become effective for meter readings on or after 30 days following the date of the Commission vote approving the rates and charges. Sebring should file revised tariffs to reflect the Commission-approved final rates and charges for admi</w:t>
      </w:r>
      <w:r w:rsidR="00745FDA">
        <w:t>nistrative approval within five</w:t>
      </w:r>
      <w:r w:rsidR="007769BF" w:rsidRPr="007769BF">
        <w:t xml:space="preserve"> business days after the Commission’s vote. Pursuant to Rule 25-22.0406(8), F.A.C., customers should be notified of the revised rates in their first bill containing the new rates. A copy of the notice should be submitted to staff for approval prior to its use</w:t>
      </w:r>
      <w:r w:rsidR="007769BF">
        <w:t>.</w:t>
      </w:r>
      <w:r>
        <w:t xml:space="preserve"> (Ward)</w:t>
      </w:r>
    </w:p>
    <w:p w:rsidR="00BE3707" w:rsidRPr="004C3641" w:rsidRDefault="00BE3707">
      <w:pPr>
        <w:pStyle w:val="IssueSubsectionHeading"/>
        <w:rPr>
          <w:vanish/>
          <w:specVanish/>
        </w:rPr>
      </w:pPr>
      <w:r w:rsidRPr="004C3641">
        <w:t>Staff Analysis: </w:t>
      </w:r>
    </w:p>
    <w:p w:rsidR="007769BF" w:rsidRDefault="00BE3707" w:rsidP="007769BF">
      <w:pPr>
        <w:pStyle w:val="BodyText"/>
      </w:pPr>
      <w:r>
        <w:t> </w:t>
      </w:r>
      <w:r w:rsidR="007769BF">
        <w:t>All new rates and charges should become effective for meter readings on or after 30 days from the date of the Commission vote approving them. This will insure that customers are aware of the new rates before they are billed for usage under the new rates</w:t>
      </w:r>
      <w:r w:rsidR="00F86836">
        <w:t>,</w:t>
      </w:r>
      <w:r w:rsidR="00D26813">
        <w:t xml:space="preserve"> and prevent the billing of usage under the new rates prior to their approval</w:t>
      </w:r>
      <w:r w:rsidR="007769BF">
        <w:t>.</w:t>
      </w:r>
    </w:p>
    <w:p w:rsidR="00BE3707" w:rsidRDefault="007769BF" w:rsidP="007769BF">
      <w:pPr>
        <w:pStyle w:val="BodyText"/>
      </w:pPr>
      <w:r>
        <w:t>Sebring should file revised tariffs to reflect the Commission-approved final rates and charges for administrative approval within five business days after the Commission’s vote. Pursuant to Rule 25-22.0406(8), F.A.C., customers should be notified of the revised rates in their first bill containing the new rates. A copy of the notice should be submitted to staff for approval prior to its use.</w:t>
      </w:r>
    </w:p>
    <w:p w:rsidR="00BE3707" w:rsidRDefault="00BE3707">
      <w:pPr>
        <w:pStyle w:val="IssueHeading"/>
        <w:rPr>
          <w:vanish/>
          <w:specVanish/>
        </w:rPr>
      </w:pPr>
      <w:r w:rsidRPr="004C3641">
        <w:rPr>
          <w:b w:val="0"/>
          <w:i w:val="0"/>
        </w:rPr>
        <w:br w:type="page"/>
      </w:r>
      <w:r w:rsidRPr="004C3641">
        <w:lastRenderedPageBreak/>
        <w:t xml:space="preserve">Issue </w:t>
      </w:r>
      <w:fldSimple w:instr=" SEQ Issue \* MERGEFORMAT ">
        <w:r w:rsidR="005A792F">
          <w:rPr>
            <w:noProof/>
          </w:rPr>
          <w:t>29</w:t>
        </w:r>
      </w:fldSimple>
      <w:r w:rsidRPr="004C3641">
        <w:t>:</w:t>
      </w:r>
      <w:r>
        <w:fldChar w:fldCharType="begin"/>
      </w:r>
      <w:r>
        <w:instrText xml:space="preserve"> TC "</w:instrText>
      </w:r>
      <w:r>
        <w:fldChar w:fldCharType="begin"/>
      </w:r>
      <w:r>
        <w:instrText xml:space="preserve"> SEQ issue \c </w:instrText>
      </w:r>
      <w:r>
        <w:fldChar w:fldCharType="separate"/>
      </w:r>
      <w:bookmarkStart w:id="42" w:name="_Toc28007738"/>
      <w:r w:rsidR="005A792F">
        <w:rPr>
          <w:noProof/>
        </w:rPr>
        <w:instrText>29</w:instrText>
      </w:r>
      <w:r>
        <w:fldChar w:fldCharType="end"/>
      </w:r>
      <w:r>
        <w:tab/>
      </w:r>
      <w:r w:rsidR="000F73A9">
        <w:instrText>Confirmation of Compliance (M. Andrews)</w:instrText>
      </w:r>
      <w:bookmarkEnd w:id="42"/>
      <w:r>
        <w:instrText xml:space="preserve">" \l 1 </w:instrText>
      </w:r>
      <w:r>
        <w:fldChar w:fldCharType="end"/>
      </w:r>
      <w:r>
        <w:t> </w:t>
      </w:r>
    </w:p>
    <w:p w:rsidR="00BE3707" w:rsidRDefault="00BE3707">
      <w:pPr>
        <w:pStyle w:val="BodyText"/>
      </w:pPr>
      <w:r>
        <w:t xml:space="preserve"> Should Sebring be required to </w:t>
      </w:r>
      <w:r w:rsidR="009D70D1">
        <w:t>notify the Commission</w:t>
      </w:r>
      <w:r>
        <w:t xml:space="preserve">, within 90 days after the date of the final order in this docket, </w:t>
      </w:r>
      <w:r w:rsidR="009D70D1">
        <w:t>that it has adjusted its</w:t>
      </w:r>
      <w:r>
        <w:t xml:space="preserve"> books</w:t>
      </w:r>
      <w:r w:rsidR="009D70D1">
        <w:t xml:space="preserve"> for all the applicable accounts as a </w:t>
      </w:r>
      <w:r>
        <w:t>result of the Commission's findings in this rate case?</w:t>
      </w:r>
    </w:p>
    <w:p w:rsidR="00BE3707" w:rsidRPr="004C3641" w:rsidRDefault="00BE3707">
      <w:pPr>
        <w:pStyle w:val="IssueSubsectionHeading"/>
        <w:rPr>
          <w:vanish/>
          <w:specVanish/>
        </w:rPr>
      </w:pPr>
      <w:r w:rsidRPr="004C3641">
        <w:t>Recommendation: </w:t>
      </w:r>
    </w:p>
    <w:p w:rsidR="00BE3707" w:rsidRDefault="00BE3707">
      <w:pPr>
        <w:pStyle w:val="BodyText"/>
      </w:pPr>
      <w:r>
        <w:t> </w:t>
      </w:r>
      <w:r w:rsidR="00F60DBD" w:rsidRPr="00F60DBD">
        <w:t xml:space="preserve">Yes, Sebring should be required to notify the Commission, in writing, that it has adjusted its books in accordance with any Commission ordered adjustments. Sebring should submit a letter within 90 days of the final order in this docket, confirming that the adjustments to all the applicable accounts have been made to the </w:t>
      </w:r>
      <w:r w:rsidR="004B22EE">
        <w:t>Company</w:t>
      </w:r>
      <w:r w:rsidR="00F60DBD" w:rsidRPr="00F60DBD">
        <w:t xml:space="preserve">’s books and records. In the event the </w:t>
      </w:r>
      <w:r w:rsidR="004B22EE">
        <w:t>Company</w:t>
      </w:r>
      <w:r w:rsidR="00F60DBD" w:rsidRPr="00F60DBD">
        <w:t xml:space="preserve"> needs additional time to complete the adjustments, notice should be provided within seven days prior to deadline. Upon providing good cause, staff should be given administrative authority to grant an extension of up to 60 days</w:t>
      </w:r>
      <w:r w:rsidR="00F60DBD">
        <w:t>.</w:t>
      </w:r>
      <w:r w:rsidR="004F2C26">
        <w:t xml:space="preserve"> (Final Agency Action)</w:t>
      </w:r>
      <w:r>
        <w:t xml:space="preserve"> (M. Andrews)</w:t>
      </w:r>
    </w:p>
    <w:p w:rsidR="00BE3707" w:rsidRPr="004C3641" w:rsidRDefault="00BE3707">
      <w:pPr>
        <w:pStyle w:val="IssueSubsectionHeading"/>
        <w:rPr>
          <w:vanish/>
          <w:specVanish/>
        </w:rPr>
      </w:pPr>
      <w:r w:rsidRPr="004C3641">
        <w:t>Staff Analysis: </w:t>
      </w:r>
    </w:p>
    <w:p w:rsidR="00BE3707" w:rsidRDefault="00BE3707">
      <w:pPr>
        <w:pStyle w:val="BodyText"/>
      </w:pPr>
      <w:r>
        <w:t> </w:t>
      </w:r>
      <w:r w:rsidR="00F60DBD" w:rsidRPr="00F60DBD">
        <w:t xml:space="preserve">Sebring should be required to notify the Commission, in writing, that it has adjusted its books in accordance with any Commission ordered adjustments. Sebring should submit a letter within 90 days of the final order in this docket, confirming that the adjustments to all the applicable accounts have been made to the </w:t>
      </w:r>
      <w:r w:rsidR="004B22EE">
        <w:t>Company</w:t>
      </w:r>
      <w:r w:rsidR="00F60DBD" w:rsidRPr="00F60DBD">
        <w:t>’s books and records. In the event Sebring needs additional time to complete the adjustments, notice should be provided within seven days prior to deadline. Upon providing good cause, staff should be given administrative authority to grant an extension of up to 60 days</w:t>
      </w:r>
      <w:r w:rsidR="00F60DBD">
        <w:t>.</w:t>
      </w:r>
    </w:p>
    <w:p w:rsidR="00A21108" w:rsidRDefault="00A21108">
      <w:pPr>
        <w:pStyle w:val="IssueHeading"/>
        <w:rPr>
          <w:vanish/>
          <w:specVanish/>
        </w:rPr>
      </w:pPr>
      <w:r w:rsidRPr="004C3641">
        <w:rPr>
          <w:b w:val="0"/>
          <w:i w:val="0"/>
        </w:rPr>
        <w:br w:type="page"/>
      </w:r>
      <w:r w:rsidRPr="004C3641">
        <w:lastRenderedPageBreak/>
        <w:t xml:space="preserve">Issue </w:t>
      </w:r>
      <w:fldSimple w:instr=" SEQ Issue \* MERGEFORMAT ">
        <w:r w:rsidR="005A792F">
          <w:rPr>
            <w:noProof/>
          </w:rPr>
          <w:t>30</w:t>
        </w:r>
      </w:fldSimple>
      <w:r w:rsidRPr="004C3641">
        <w:t>:</w:t>
      </w:r>
      <w:r>
        <w:fldChar w:fldCharType="begin"/>
      </w:r>
      <w:r>
        <w:instrText xml:space="preserve"> TC "</w:instrText>
      </w:r>
      <w:r>
        <w:fldChar w:fldCharType="begin"/>
      </w:r>
      <w:r>
        <w:instrText xml:space="preserve"> SEQ issue \c </w:instrText>
      </w:r>
      <w:r>
        <w:fldChar w:fldCharType="separate"/>
      </w:r>
      <w:bookmarkStart w:id="43" w:name="_Toc28007739"/>
      <w:r w:rsidR="005A792F">
        <w:rPr>
          <w:noProof/>
        </w:rPr>
        <w:instrText>30</w:instrText>
      </w:r>
      <w:r>
        <w:fldChar w:fldCharType="end"/>
      </w:r>
      <w:r>
        <w:tab/>
      </w:r>
      <w:r w:rsidR="00674C81">
        <w:instrText>Close Docket (DuVal, Dziechciarz)</w:instrText>
      </w:r>
      <w:bookmarkEnd w:id="43"/>
      <w:r>
        <w:instrText xml:space="preserve">" \l 1 </w:instrText>
      </w:r>
      <w:r>
        <w:fldChar w:fldCharType="end"/>
      </w:r>
      <w:r>
        <w:t> </w:t>
      </w:r>
    </w:p>
    <w:p w:rsidR="00A21108" w:rsidRDefault="00A21108">
      <w:pPr>
        <w:pStyle w:val="BodyText"/>
      </w:pPr>
      <w:r>
        <w:t> Should this docket be closed?</w:t>
      </w:r>
    </w:p>
    <w:p w:rsidR="00A21108" w:rsidRPr="004C3641" w:rsidRDefault="00A21108">
      <w:pPr>
        <w:pStyle w:val="IssueSubsectionHeading"/>
        <w:rPr>
          <w:vanish/>
          <w:specVanish/>
        </w:rPr>
      </w:pPr>
      <w:r w:rsidRPr="004C3641">
        <w:t>Recommendation: </w:t>
      </w:r>
    </w:p>
    <w:p w:rsidR="00A21108" w:rsidRDefault="00A21108">
      <w:pPr>
        <w:pStyle w:val="BodyText"/>
      </w:pPr>
      <w:r>
        <w:t> </w:t>
      </w:r>
      <w:r w:rsidR="00A04B65" w:rsidRPr="00A04B65">
        <w:t>If no person whose substantial interests are affected by the proposed agency action files a protest within 21 days of the issuance of the order, this docket should be closed upon the issuance of a consummating order</w:t>
      </w:r>
      <w:r w:rsidR="00A04B65">
        <w:t>.</w:t>
      </w:r>
      <w:r>
        <w:t xml:space="preserve"> (DuVal, Dziechciarz)</w:t>
      </w:r>
    </w:p>
    <w:p w:rsidR="00A21108" w:rsidRPr="004C3641" w:rsidRDefault="00A21108">
      <w:pPr>
        <w:pStyle w:val="IssueSubsectionHeading"/>
        <w:rPr>
          <w:vanish/>
          <w:specVanish/>
        </w:rPr>
      </w:pPr>
      <w:r w:rsidRPr="004C3641">
        <w:t>Staff Analysis: </w:t>
      </w:r>
    </w:p>
    <w:p w:rsidR="00A21108" w:rsidRDefault="00A21108">
      <w:pPr>
        <w:pStyle w:val="BodyText"/>
      </w:pPr>
      <w:r>
        <w:t> </w:t>
      </w:r>
      <w:r w:rsidR="00A04B65" w:rsidRPr="00A04B65">
        <w:t>If no person whose substantial interests are affected by the proposed agency action files a protest within 21 days of the issuance of the order, this docket should be closed upon the issuance of a consummating order</w:t>
      </w:r>
      <w:r w:rsidR="00A04B65">
        <w:t>.</w:t>
      </w:r>
    </w:p>
    <w:p w:rsidR="00E06484" w:rsidRDefault="00E06484" w:rsidP="00E275D8">
      <w:pPr>
        <w:pStyle w:val="BodyText"/>
      </w:pPr>
    </w:p>
    <w:p w:rsidR="00A57D76" w:rsidRDefault="00A57D76" w:rsidP="00E275D8">
      <w:pPr>
        <w:pStyle w:val="BodyText"/>
        <w:sectPr w:rsidR="00A57D76" w:rsidSect="0068481F">
          <w:headerReference w:type="even" r:id="rId12"/>
          <w:headerReference w:type="default" r:id="rId13"/>
          <w:headerReference w:type="first" r:id="rId14"/>
          <w:footerReference w:type="first" r:id="rId15"/>
          <w:pgSz w:w="12240" w:h="15840" w:code="1"/>
          <w:pgMar w:top="1584" w:right="1440" w:bottom="1440" w:left="1440" w:header="720" w:footer="720" w:gutter="0"/>
          <w:cols w:space="720"/>
          <w:formProt w:val="0"/>
          <w:docGrid w:linePitch="360"/>
        </w:sectPr>
      </w:pPr>
    </w:p>
    <w:p w:rsidR="00754973" w:rsidRDefault="00754973" w:rsidP="00754973">
      <w:pPr>
        <w:pStyle w:val="IssueHeading"/>
      </w:pPr>
      <w:r>
        <w:lastRenderedPageBreak/>
        <w:fldChar w:fldCharType="begin"/>
      </w:r>
      <w:r>
        <w:instrText xml:space="preserve"> TC "</w:instrText>
      </w:r>
      <w:bookmarkStart w:id="44" w:name="_Toc28007740"/>
      <w:r>
        <w:tab/>
        <w:instrText>Schedule No. 1A</w:instrText>
      </w:r>
      <w:r>
        <w:tab/>
      </w:r>
      <w:r w:rsidR="00716F30">
        <w:instrText>46</w:instrText>
      </w:r>
      <w:bookmarkEnd w:id="44"/>
      <w:r>
        <w:instrText>" \l 1 \n</w:instrText>
      </w:r>
      <w:r>
        <w:fldChar w:fldCharType="end"/>
      </w:r>
    </w:p>
    <w:p w:rsidR="000A1359" w:rsidRPr="00834EC9" w:rsidRDefault="000A1359" w:rsidP="000A1359">
      <w:pPr>
        <w:jc w:val="center"/>
        <w:rPr>
          <w:rFonts w:ascii="Arial" w:hAnsi="Arial" w:cs="Arial"/>
          <w:b/>
        </w:rPr>
      </w:pPr>
      <w:r w:rsidRPr="00834EC9">
        <w:rPr>
          <w:rFonts w:ascii="Arial" w:hAnsi="Arial" w:cs="Arial"/>
          <w:b/>
        </w:rPr>
        <w:t>Sebring Gas Systems</w:t>
      </w:r>
    </w:p>
    <w:p w:rsidR="000A1359" w:rsidRPr="00834EC9" w:rsidRDefault="000A1359" w:rsidP="000A1359">
      <w:pPr>
        <w:jc w:val="center"/>
        <w:rPr>
          <w:rFonts w:ascii="Arial" w:hAnsi="Arial" w:cs="Arial"/>
          <w:b/>
        </w:rPr>
      </w:pPr>
      <w:r w:rsidRPr="00834EC9">
        <w:rPr>
          <w:rFonts w:ascii="Arial" w:hAnsi="Arial" w:cs="Arial"/>
          <w:b/>
        </w:rPr>
        <w:t>Docket No. 20190083-GU</w:t>
      </w:r>
    </w:p>
    <w:p w:rsidR="000A1359" w:rsidRPr="00834EC9" w:rsidRDefault="000A1359" w:rsidP="000A1359">
      <w:pPr>
        <w:jc w:val="center"/>
        <w:rPr>
          <w:rFonts w:ascii="Arial" w:hAnsi="Arial" w:cs="Arial"/>
          <w:b/>
        </w:rPr>
      </w:pPr>
      <w:r w:rsidRPr="00834EC9">
        <w:rPr>
          <w:rFonts w:ascii="Arial" w:hAnsi="Arial" w:cs="Arial"/>
          <w:b/>
        </w:rPr>
        <w:t>Rate Base Calculation</w:t>
      </w:r>
    </w:p>
    <w:tbl>
      <w:tblPr>
        <w:tblW w:w="9653" w:type="dxa"/>
        <w:tblInd w:w="93" w:type="dxa"/>
        <w:tblLook w:val="04A0" w:firstRow="1" w:lastRow="0" w:firstColumn="1" w:lastColumn="0" w:noHBand="0" w:noVBand="1"/>
      </w:tblPr>
      <w:tblGrid>
        <w:gridCol w:w="4816"/>
        <w:gridCol w:w="1720"/>
        <w:gridCol w:w="1397"/>
        <w:gridCol w:w="1720"/>
      </w:tblGrid>
      <w:tr w:rsidR="000A1359" w:rsidRPr="00517B76" w:rsidTr="00FF33DA">
        <w:trPr>
          <w:trHeight w:val="531"/>
        </w:trPr>
        <w:tc>
          <w:tcPr>
            <w:tcW w:w="4816" w:type="dxa"/>
            <w:tcBorders>
              <w:top w:val="single" w:sz="8" w:space="0" w:color="auto"/>
              <w:left w:val="single" w:sz="8" w:space="0" w:color="auto"/>
              <w:bottom w:val="nil"/>
              <w:right w:val="nil"/>
            </w:tcBorders>
            <w:shd w:val="clear" w:color="auto" w:fill="auto"/>
            <w:noWrap/>
            <w:vAlign w:val="bottom"/>
            <w:hideMark/>
          </w:tcPr>
          <w:p w:rsidR="000A1359" w:rsidRPr="00517B76" w:rsidRDefault="000A1359" w:rsidP="00FF33DA">
            <w:pPr>
              <w:rPr>
                <w:color w:val="000000"/>
              </w:rPr>
            </w:pPr>
            <w:r w:rsidRPr="00517B76">
              <w:rPr>
                <w:color w:val="000000"/>
              </w:rPr>
              <w:t> </w:t>
            </w:r>
          </w:p>
        </w:tc>
        <w:tc>
          <w:tcPr>
            <w:tcW w:w="1720" w:type="dxa"/>
            <w:tcBorders>
              <w:top w:val="single" w:sz="8" w:space="0" w:color="auto"/>
              <w:left w:val="nil"/>
              <w:bottom w:val="nil"/>
              <w:right w:val="nil"/>
            </w:tcBorders>
            <w:shd w:val="clear" w:color="auto" w:fill="auto"/>
            <w:vAlign w:val="bottom"/>
            <w:hideMark/>
          </w:tcPr>
          <w:p w:rsidR="000A1359" w:rsidRPr="00517B76" w:rsidRDefault="000A1359" w:rsidP="00FF33DA">
            <w:pPr>
              <w:jc w:val="center"/>
              <w:rPr>
                <w:color w:val="000000"/>
              </w:rPr>
            </w:pPr>
            <w:r w:rsidRPr="00517B76">
              <w:rPr>
                <w:color w:val="000000"/>
              </w:rPr>
              <w:t xml:space="preserve">COMPANY </w:t>
            </w:r>
            <w:r w:rsidRPr="00517B76">
              <w:rPr>
                <w:color w:val="000000"/>
                <w:u w:val="single"/>
              </w:rPr>
              <w:t>ADJUSTED</w:t>
            </w:r>
          </w:p>
        </w:tc>
        <w:tc>
          <w:tcPr>
            <w:tcW w:w="1397" w:type="dxa"/>
            <w:tcBorders>
              <w:top w:val="single" w:sz="8" w:space="0" w:color="auto"/>
              <w:left w:val="nil"/>
              <w:bottom w:val="nil"/>
              <w:right w:val="nil"/>
            </w:tcBorders>
            <w:shd w:val="clear" w:color="auto" w:fill="auto"/>
            <w:vAlign w:val="bottom"/>
            <w:hideMark/>
          </w:tcPr>
          <w:p w:rsidR="000A1359" w:rsidRPr="00517B76" w:rsidRDefault="000A1359" w:rsidP="00FF33DA">
            <w:pPr>
              <w:jc w:val="center"/>
              <w:rPr>
                <w:color w:val="000000"/>
                <w:u w:val="single"/>
              </w:rPr>
            </w:pPr>
            <w:r w:rsidRPr="00517B76">
              <w:rPr>
                <w:color w:val="000000"/>
                <w:u w:val="single"/>
              </w:rPr>
              <w:t>STAFF ADJS.</w:t>
            </w:r>
          </w:p>
        </w:tc>
        <w:tc>
          <w:tcPr>
            <w:tcW w:w="1720" w:type="dxa"/>
            <w:tcBorders>
              <w:top w:val="single" w:sz="8" w:space="0" w:color="auto"/>
              <w:left w:val="nil"/>
              <w:bottom w:val="nil"/>
              <w:right w:val="single" w:sz="8" w:space="0" w:color="auto"/>
            </w:tcBorders>
            <w:shd w:val="clear" w:color="auto" w:fill="auto"/>
            <w:vAlign w:val="bottom"/>
            <w:hideMark/>
          </w:tcPr>
          <w:p w:rsidR="000A1359" w:rsidRPr="00517B76" w:rsidRDefault="000A1359" w:rsidP="00FF33DA">
            <w:pPr>
              <w:jc w:val="center"/>
              <w:rPr>
                <w:color w:val="000000"/>
              </w:rPr>
            </w:pPr>
            <w:r w:rsidRPr="00517B76">
              <w:rPr>
                <w:color w:val="000000"/>
              </w:rPr>
              <w:t xml:space="preserve">STAFF </w:t>
            </w:r>
            <w:r w:rsidRPr="00517B76">
              <w:rPr>
                <w:color w:val="000000"/>
                <w:u w:val="single"/>
              </w:rPr>
              <w:t>ADJUSTED</w:t>
            </w:r>
          </w:p>
        </w:tc>
      </w:tr>
      <w:tr w:rsidR="000A1359" w:rsidRPr="00517B76" w:rsidTr="00FF33DA">
        <w:trPr>
          <w:trHeight w:val="265"/>
        </w:trPr>
        <w:tc>
          <w:tcPr>
            <w:tcW w:w="4816" w:type="dxa"/>
            <w:tcBorders>
              <w:top w:val="nil"/>
              <w:left w:val="single" w:sz="8" w:space="0" w:color="auto"/>
              <w:bottom w:val="nil"/>
              <w:right w:val="nil"/>
            </w:tcBorders>
            <w:shd w:val="clear" w:color="auto" w:fill="auto"/>
            <w:noWrap/>
            <w:vAlign w:val="bottom"/>
            <w:hideMark/>
          </w:tcPr>
          <w:p w:rsidR="000A1359" w:rsidRPr="00517B76" w:rsidRDefault="000A1359" w:rsidP="00FF33DA">
            <w:pPr>
              <w:rPr>
                <w:color w:val="000000"/>
              </w:rPr>
            </w:pPr>
            <w:r w:rsidRPr="00517B76">
              <w:rPr>
                <w:color w:val="000000"/>
              </w:rPr>
              <w:t> </w:t>
            </w:r>
          </w:p>
        </w:tc>
        <w:tc>
          <w:tcPr>
            <w:tcW w:w="1720" w:type="dxa"/>
            <w:tcBorders>
              <w:top w:val="nil"/>
              <w:left w:val="nil"/>
              <w:bottom w:val="nil"/>
              <w:right w:val="nil"/>
            </w:tcBorders>
            <w:shd w:val="clear" w:color="auto" w:fill="auto"/>
            <w:noWrap/>
            <w:vAlign w:val="bottom"/>
            <w:hideMark/>
          </w:tcPr>
          <w:p w:rsidR="000A1359" w:rsidRPr="00517B76" w:rsidRDefault="000A1359" w:rsidP="00FF33DA">
            <w:pPr>
              <w:rPr>
                <w:color w:val="000000"/>
              </w:rPr>
            </w:pPr>
          </w:p>
        </w:tc>
        <w:tc>
          <w:tcPr>
            <w:tcW w:w="1397" w:type="dxa"/>
            <w:tcBorders>
              <w:top w:val="nil"/>
              <w:left w:val="nil"/>
              <w:bottom w:val="nil"/>
              <w:right w:val="nil"/>
            </w:tcBorders>
            <w:shd w:val="clear" w:color="auto" w:fill="auto"/>
            <w:noWrap/>
            <w:vAlign w:val="bottom"/>
            <w:hideMark/>
          </w:tcPr>
          <w:p w:rsidR="000A1359" w:rsidRPr="00517B76" w:rsidRDefault="000A1359" w:rsidP="00FF33DA">
            <w:pPr>
              <w:rPr>
                <w:color w:val="000000"/>
              </w:rPr>
            </w:pPr>
          </w:p>
        </w:tc>
        <w:tc>
          <w:tcPr>
            <w:tcW w:w="1720" w:type="dxa"/>
            <w:tcBorders>
              <w:top w:val="nil"/>
              <w:left w:val="nil"/>
              <w:bottom w:val="nil"/>
              <w:right w:val="single" w:sz="8" w:space="0" w:color="auto"/>
            </w:tcBorders>
            <w:shd w:val="clear" w:color="auto" w:fill="auto"/>
            <w:noWrap/>
            <w:vAlign w:val="bottom"/>
            <w:hideMark/>
          </w:tcPr>
          <w:p w:rsidR="000A1359" w:rsidRPr="00517B76" w:rsidRDefault="000A1359" w:rsidP="00FF33DA">
            <w:pPr>
              <w:rPr>
                <w:color w:val="000000"/>
              </w:rPr>
            </w:pPr>
            <w:r w:rsidRPr="00517B76">
              <w:rPr>
                <w:color w:val="000000"/>
              </w:rPr>
              <w:t> </w:t>
            </w:r>
          </w:p>
        </w:tc>
      </w:tr>
      <w:tr w:rsidR="000A1359" w:rsidRPr="00517B76" w:rsidTr="00FF33DA">
        <w:trPr>
          <w:trHeight w:val="265"/>
        </w:trPr>
        <w:tc>
          <w:tcPr>
            <w:tcW w:w="4816" w:type="dxa"/>
            <w:tcBorders>
              <w:top w:val="nil"/>
              <w:left w:val="single" w:sz="8" w:space="0" w:color="auto"/>
              <w:bottom w:val="nil"/>
              <w:right w:val="nil"/>
            </w:tcBorders>
            <w:shd w:val="clear" w:color="auto" w:fill="auto"/>
            <w:noWrap/>
            <w:vAlign w:val="bottom"/>
            <w:hideMark/>
          </w:tcPr>
          <w:p w:rsidR="000A1359" w:rsidRPr="00517B76" w:rsidRDefault="000A1359" w:rsidP="00FF33DA">
            <w:pPr>
              <w:rPr>
                <w:b/>
                <w:bCs/>
                <w:color w:val="000000"/>
              </w:rPr>
            </w:pPr>
            <w:r w:rsidRPr="00517B76">
              <w:rPr>
                <w:b/>
                <w:bCs/>
                <w:color w:val="000000"/>
              </w:rPr>
              <w:t>Utility Plant</w:t>
            </w:r>
          </w:p>
        </w:tc>
        <w:tc>
          <w:tcPr>
            <w:tcW w:w="1720" w:type="dxa"/>
            <w:tcBorders>
              <w:top w:val="nil"/>
              <w:left w:val="nil"/>
              <w:bottom w:val="nil"/>
              <w:right w:val="nil"/>
            </w:tcBorders>
            <w:shd w:val="clear" w:color="auto" w:fill="auto"/>
            <w:noWrap/>
            <w:vAlign w:val="bottom"/>
            <w:hideMark/>
          </w:tcPr>
          <w:p w:rsidR="000A1359" w:rsidRPr="00517B76" w:rsidRDefault="000A1359" w:rsidP="00FF33DA">
            <w:pPr>
              <w:rPr>
                <w:color w:val="000000"/>
              </w:rPr>
            </w:pPr>
          </w:p>
        </w:tc>
        <w:tc>
          <w:tcPr>
            <w:tcW w:w="1397" w:type="dxa"/>
            <w:tcBorders>
              <w:top w:val="nil"/>
              <w:left w:val="nil"/>
              <w:bottom w:val="nil"/>
              <w:right w:val="nil"/>
            </w:tcBorders>
            <w:shd w:val="clear" w:color="auto" w:fill="auto"/>
            <w:noWrap/>
            <w:vAlign w:val="bottom"/>
            <w:hideMark/>
          </w:tcPr>
          <w:p w:rsidR="000A1359" w:rsidRPr="00517B76" w:rsidRDefault="000A1359" w:rsidP="00FF33DA">
            <w:pPr>
              <w:rPr>
                <w:color w:val="000000"/>
              </w:rPr>
            </w:pPr>
          </w:p>
        </w:tc>
        <w:tc>
          <w:tcPr>
            <w:tcW w:w="1720" w:type="dxa"/>
            <w:tcBorders>
              <w:top w:val="nil"/>
              <w:left w:val="nil"/>
              <w:bottom w:val="nil"/>
              <w:right w:val="single" w:sz="8" w:space="0" w:color="auto"/>
            </w:tcBorders>
            <w:shd w:val="clear" w:color="auto" w:fill="auto"/>
            <w:noWrap/>
            <w:vAlign w:val="bottom"/>
            <w:hideMark/>
          </w:tcPr>
          <w:p w:rsidR="000A1359" w:rsidRPr="00517B76" w:rsidRDefault="000A1359" w:rsidP="00FF33DA">
            <w:pPr>
              <w:rPr>
                <w:color w:val="000000"/>
              </w:rPr>
            </w:pPr>
            <w:r w:rsidRPr="00517B76">
              <w:rPr>
                <w:color w:val="000000"/>
              </w:rPr>
              <w:t> </w:t>
            </w:r>
          </w:p>
        </w:tc>
      </w:tr>
      <w:tr w:rsidR="000A1359" w:rsidRPr="00517B76" w:rsidTr="00FF33DA">
        <w:trPr>
          <w:trHeight w:val="265"/>
        </w:trPr>
        <w:tc>
          <w:tcPr>
            <w:tcW w:w="4816" w:type="dxa"/>
            <w:tcBorders>
              <w:top w:val="nil"/>
              <w:left w:val="single" w:sz="8" w:space="0" w:color="auto"/>
              <w:bottom w:val="nil"/>
              <w:right w:val="nil"/>
            </w:tcBorders>
            <w:shd w:val="clear" w:color="auto" w:fill="auto"/>
            <w:noWrap/>
            <w:vAlign w:val="bottom"/>
            <w:hideMark/>
          </w:tcPr>
          <w:p w:rsidR="000A1359" w:rsidRPr="00517B76" w:rsidRDefault="000A1359" w:rsidP="00FF33DA">
            <w:pPr>
              <w:rPr>
                <w:color w:val="000000"/>
              </w:rPr>
            </w:pPr>
            <w:r w:rsidRPr="00517B76">
              <w:rPr>
                <w:color w:val="000000"/>
              </w:rPr>
              <w:t>Plant in Service</w:t>
            </w:r>
          </w:p>
        </w:tc>
        <w:tc>
          <w:tcPr>
            <w:tcW w:w="1720" w:type="dxa"/>
            <w:tcBorders>
              <w:top w:val="nil"/>
              <w:left w:val="nil"/>
              <w:bottom w:val="nil"/>
              <w:right w:val="nil"/>
            </w:tcBorders>
            <w:shd w:val="clear" w:color="auto" w:fill="auto"/>
            <w:noWrap/>
            <w:vAlign w:val="bottom"/>
            <w:hideMark/>
          </w:tcPr>
          <w:p w:rsidR="000A1359" w:rsidRPr="00517B76" w:rsidRDefault="000A1359" w:rsidP="00FF33DA">
            <w:pPr>
              <w:jc w:val="right"/>
              <w:rPr>
                <w:color w:val="000000"/>
              </w:rPr>
            </w:pPr>
            <w:r w:rsidRPr="00517B76">
              <w:rPr>
                <w:color w:val="000000"/>
              </w:rPr>
              <w:t xml:space="preserve">$7,946,544 </w:t>
            </w:r>
          </w:p>
        </w:tc>
        <w:tc>
          <w:tcPr>
            <w:tcW w:w="1397" w:type="dxa"/>
            <w:tcBorders>
              <w:top w:val="nil"/>
              <w:left w:val="nil"/>
              <w:bottom w:val="nil"/>
              <w:right w:val="nil"/>
            </w:tcBorders>
            <w:shd w:val="clear" w:color="auto" w:fill="auto"/>
            <w:noWrap/>
            <w:vAlign w:val="bottom"/>
            <w:hideMark/>
          </w:tcPr>
          <w:p w:rsidR="000A1359" w:rsidRPr="00517B76" w:rsidRDefault="000A1359" w:rsidP="00FF33DA">
            <w:pPr>
              <w:rPr>
                <w:color w:val="000000"/>
              </w:rPr>
            </w:pPr>
          </w:p>
        </w:tc>
        <w:tc>
          <w:tcPr>
            <w:tcW w:w="1720" w:type="dxa"/>
            <w:tcBorders>
              <w:top w:val="nil"/>
              <w:left w:val="nil"/>
              <w:bottom w:val="nil"/>
              <w:right w:val="single" w:sz="8" w:space="0" w:color="auto"/>
            </w:tcBorders>
            <w:shd w:val="clear" w:color="auto" w:fill="auto"/>
            <w:noWrap/>
            <w:vAlign w:val="bottom"/>
            <w:hideMark/>
          </w:tcPr>
          <w:p w:rsidR="000A1359" w:rsidRPr="00517B76" w:rsidRDefault="000A1359" w:rsidP="00FF33DA">
            <w:pPr>
              <w:jc w:val="right"/>
              <w:rPr>
                <w:color w:val="000000"/>
              </w:rPr>
            </w:pPr>
            <w:r w:rsidRPr="00517B76">
              <w:rPr>
                <w:color w:val="000000"/>
              </w:rPr>
              <w:t xml:space="preserve">$7,928,320 </w:t>
            </w:r>
          </w:p>
        </w:tc>
      </w:tr>
      <w:tr w:rsidR="000A1359" w:rsidRPr="00517B76" w:rsidTr="00FF33DA">
        <w:trPr>
          <w:trHeight w:val="265"/>
        </w:trPr>
        <w:tc>
          <w:tcPr>
            <w:tcW w:w="4816" w:type="dxa"/>
            <w:tcBorders>
              <w:top w:val="nil"/>
              <w:left w:val="single" w:sz="8" w:space="0" w:color="auto"/>
              <w:bottom w:val="nil"/>
              <w:right w:val="nil"/>
            </w:tcBorders>
            <w:shd w:val="clear" w:color="auto" w:fill="auto"/>
            <w:noWrap/>
            <w:vAlign w:val="bottom"/>
            <w:hideMark/>
          </w:tcPr>
          <w:p w:rsidR="000A1359" w:rsidRPr="00517B76" w:rsidRDefault="000A1359" w:rsidP="00FF33DA">
            <w:pPr>
              <w:rPr>
                <w:color w:val="000000"/>
              </w:rPr>
            </w:pPr>
            <w:r w:rsidRPr="00517B76">
              <w:rPr>
                <w:color w:val="000000"/>
              </w:rPr>
              <w:t xml:space="preserve">    376.1 Mains -Plastic</w:t>
            </w:r>
          </w:p>
        </w:tc>
        <w:tc>
          <w:tcPr>
            <w:tcW w:w="1720" w:type="dxa"/>
            <w:tcBorders>
              <w:top w:val="nil"/>
              <w:left w:val="nil"/>
              <w:bottom w:val="nil"/>
              <w:right w:val="nil"/>
            </w:tcBorders>
            <w:shd w:val="clear" w:color="auto" w:fill="auto"/>
            <w:noWrap/>
            <w:vAlign w:val="bottom"/>
            <w:hideMark/>
          </w:tcPr>
          <w:p w:rsidR="000A1359" w:rsidRPr="00517B76" w:rsidRDefault="000A1359" w:rsidP="00FF33DA">
            <w:pPr>
              <w:rPr>
                <w:color w:val="000000"/>
              </w:rPr>
            </w:pPr>
          </w:p>
        </w:tc>
        <w:tc>
          <w:tcPr>
            <w:tcW w:w="1397" w:type="dxa"/>
            <w:tcBorders>
              <w:top w:val="nil"/>
              <w:left w:val="nil"/>
              <w:bottom w:val="nil"/>
              <w:right w:val="nil"/>
            </w:tcBorders>
            <w:shd w:val="clear" w:color="auto" w:fill="auto"/>
            <w:noWrap/>
            <w:vAlign w:val="bottom"/>
            <w:hideMark/>
          </w:tcPr>
          <w:p w:rsidR="000A1359" w:rsidRPr="00517B76" w:rsidRDefault="000A1359" w:rsidP="00FF33DA">
            <w:pPr>
              <w:jc w:val="right"/>
              <w:rPr>
                <w:color w:val="000000"/>
              </w:rPr>
            </w:pPr>
            <w:r w:rsidRPr="00517B76">
              <w:rPr>
                <w:color w:val="000000"/>
              </w:rPr>
              <w:t>($13,804)</w:t>
            </w:r>
          </w:p>
        </w:tc>
        <w:tc>
          <w:tcPr>
            <w:tcW w:w="1720" w:type="dxa"/>
            <w:tcBorders>
              <w:top w:val="nil"/>
              <w:left w:val="nil"/>
              <w:bottom w:val="nil"/>
              <w:right w:val="single" w:sz="8" w:space="0" w:color="auto"/>
            </w:tcBorders>
            <w:shd w:val="clear" w:color="auto" w:fill="auto"/>
            <w:noWrap/>
            <w:vAlign w:val="bottom"/>
            <w:hideMark/>
          </w:tcPr>
          <w:p w:rsidR="000A1359" w:rsidRPr="00517B76" w:rsidRDefault="000A1359" w:rsidP="00FF33DA">
            <w:pPr>
              <w:rPr>
                <w:color w:val="000000"/>
              </w:rPr>
            </w:pPr>
            <w:r w:rsidRPr="00517B76">
              <w:rPr>
                <w:color w:val="000000"/>
              </w:rPr>
              <w:t> </w:t>
            </w:r>
          </w:p>
        </w:tc>
      </w:tr>
      <w:tr w:rsidR="000A1359" w:rsidRPr="00517B76" w:rsidTr="00FF33DA">
        <w:trPr>
          <w:trHeight w:val="265"/>
        </w:trPr>
        <w:tc>
          <w:tcPr>
            <w:tcW w:w="4816" w:type="dxa"/>
            <w:tcBorders>
              <w:top w:val="nil"/>
              <w:left w:val="single" w:sz="8" w:space="0" w:color="auto"/>
              <w:bottom w:val="nil"/>
              <w:right w:val="nil"/>
            </w:tcBorders>
            <w:shd w:val="clear" w:color="auto" w:fill="auto"/>
            <w:noWrap/>
            <w:vAlign w:val="bottom"/>
            <w:hideMark/>
          </w:tcPr>
          <w:p w:rsidR="000A1359" w:rsidRPr="00517B76" w:rsidRDefault="000A1359" w:rsidP="00FF33DA">
            <w:pPr>
              <w:rPr>
                <w:color w:val="000000"/>
              </w:rPr>
            </w:pPr>
            <w:r w:rsidRPr="00517B76">
              <w:rPr>
                <w:color w:val="000000"/>
              </w:rPr>
              <w:t xml:space="preserve">    380.1 Services- Plastic</w:t>
            </w:r>
          </w:p>
        </w:tc>
        <w:tc>
          <w:tcPr>
            <w:tcW w:w="1720" w:type="dxa"/>
            <w:tcBorders>
              <w:top w:val="nil"/>
              <w:left w:val="nil"/>
              <w:bottom w:val="nil"/>
              <w:right w:val="nil"/>
            </w:tcBorders>
            <w:shd w:val="clear" w:color="auto" w:fill="auto"/>
            <w:noWrap/>
            <w:vAlign w:val="bottom"/>
            <w:hideMark/>
          </w:tcPr>
          <w:p w:rsidR="000A1359" w:rsidRPr="00517B76" w:rsidRDefault="000A1359" w:rsidP="00FF33DA">
            <w:pPr>
              <w:rPr>
                <w:color w:val="000000"/>
              </w:rPr>
            </w:pPr>
          </w:p>
        </w:tc>
        <w:tc>
          <w:tcPr>
            <w:tcW w:w="1397" w:type="dxa"/>
            <w:tcBorders>
              <w:top w:val="nil"/>
              <w:left w:val="nil"/>
              <w:bottom w:val="nil"/>
              <w:right w:val="nil"/>
            </w:tcBorders>
            <w:shd w:val="clear" w:color="auto" w:fill="auto"/>
            <w:noWrap/>
            <w:vAlign w:val="bottom"/>
            <w:hideMark/>
          </w:tcPr>
          <w:p w:rsidR="000A1359" w:rsidRPr="00517B76" w:rsidRDefault="000A1359" w:rsidP="00FF33DA">
            <w:pPr>
              <w:jc w:val="right"/>
              <w:rPr>
                <w:color w:val="000000"/>
              </w:rPr>
            </w:pPr>
            <w:r w:rsidRPr="00517B76">
              <w:rPr>
                <w:color w:val="000000"/>
              </w:rPr>
              <w:t>(4,422)</w:t>
            </w:r>
          </w:p>
        </w:tc>
        <w:tc>
          <w:tcPr>
            <w:tcW w:w="1720" w:type="dxa"/>
            <w:tcBorders>
              <w:top w:val="nil"/>
              <w:left w:val="nil"/>
              <w:bottom w:val="nil"/>
              <w:right w:val="single" w:sz="8" w:space="0" w:color="auto"/>
            </w:tcBorders>
            <w:shd w:val="clear" w:color="auto" w:fill="auto"/>
            <w:noWrap/>
            <w:vAlign w:val="bottom"/>
            <w:hideMark/>
          </w:tcPr>
          <w:p w:rsidR="000A1359" w:rsidRPr="00517B76" w:rsidRDefault="000A1359" w:rsidP="00FF33DA">
            <w:pPr>
              <w:rPr>
                <w:color w:val="000000"/>
              </w:rPr>
            </w:pPr>
            <w:r w:rsidRPr="00517B76">
              <w:rPr>
                <w:color w:val="000000"/>
              </w:rPr>
              <w:t> </w:t>
            </w:r>
          </w:p>
        </w:tc>
      </w:tr>
      <w:tr w:rsidR="000A1359" w:rsidRPr="00517B76" w:rsidTr="00FF33DA">
        <w:trPr>
          <w:trHeight w:val="265"/>
        </w:trPr>
        <w:tc>
          <w:tcPr>
            <w:tcW w:w="4816" w:type="dxa"/>
            <w:tcBorders>
              <w:top w:val="nil"/>
              <w:left w:val="single" w:sz="8" w:space="0" w:color="auto"/>
              <w:bottom w:val="nil"/>
              <w:right w:val="nil"/>
            </w:tcBorders>
            <w:shd w:val="clear" w:color="auto" w:fill="auto"/>
            <w:noWrap/>
            <w:vAlign w:val="bottom"/>
            <w:hideMark/>
          </w:tcPr>
          <w:p w:rsidR="000A1359" w:rsidRPr="00517B76" w:rsidRDefault="000A1359" w:rsidP="00FF33DA">
            <w:pPr>
              <w:rPr>
                <w:color w:val="000000"/>
              </w:rPr>
            </w:pPr>
            <w:r w:rsidRPr="00517B76">
              <w:rPr>
                <w:color w:val="000000"/>
              </w:rPr>
              <w:t> </w:t>
            </w:r>
          </w:p>
        </w:tc>
        <w:tc>
          <w:tcPr>
            <w:tcW w:w="1720" w:type="dxa"/>
            <w:tcBorders>
              <w:top w:val="nil"/>
              <w:left w:val="nil"/>
              <w:bottom w:val="nil"/>
              <w:right w:val="nil"/>
            </w:tcBorders>
            <w:shd w:val="clear" w:color="auto" w:fill="auto"/>
            <w:noWrap/>
            <w:vAlign w:val="bottom"/>
            <w:hideMark/>
          </w:tcPr>
          <w:p w:rsidR="000A1359" w:rsidRPr="00517B76" w:rsidRDefault="000A1359" w:rsidP="00FF33DA">
            <w:pPr>
              <w:rPr>
                <w:color w:val="000000"/>
              </w:rPr>
            </w:pPr>
          </w:p>
        </w:tc>
        <w:tc>
          <w:tcPr>
            <w:tcW w:w="1397" w:type="dxa"/>
            <w:tcBorders>
              <w:top w:val="nil"/>
              <w:left w:val="nil"/>
              <w:bottom w:val="nil"/>
              <w:right w:val="nil"/>
            </w:tcBorders>
            <w:shd w:val="clear" w:color="auto" w:fill="auto"/>
            <w:noWrap/>
            <w:vAlign w:val="bottom"/>
            <w:hideMark/>
          </w:tcPr>
          <w:p w:rsidR="000A1359" w:rsidRPr="00517B76" w:rsidRDefault="000A1359" w:rsidP="00FF33DA">
            <w:pPr>
              <w:rPr>
                <w:color w:val="000000"/>
              </w:rPr>
            </w:pPr>
          </w:p>
        </w:tc>
        <w:tc>
          <w:tcPr>
            <w:tcW w:w="1720" w:type="dxa"/>
            <w:tcBorders>
              <w:top w:val="nil"/>
              <w:left w:val="nil"/>
              <w:bottom w:val="nil"/>
              <w:right w:val="single" w:sz="8" w:space="0" w:color="auto"/>
            </w:tcBorders>
            <w:shd w:val="clear" w:color="auto" w:fill="auto"/>
            <w:noWrap/>
            <w:vAlign w:val="bottom"/>
            <w:hideMark/>
          </w:tcPr>
          <w:p w:rsidR="000A1359" w:rsidRPr="00517B76" w:rsidRDefault="000A1359" w:rsidP="00FF33DA">
            <w:pPr>
              <w:rPr>
                <w:color w:val="000000"/>
              </w:rPr>
            </w:pPr>
            <w:r w:rsidRPr="00517B76">
              <w:rPr>
                <w:color w:val="000000"/>
              </w:rPr>
              <w:t> </w:t>
            </w:r>
          </w:p>
        </w:tc>
      </w:tr>
      <w:tr w:rsidR="000A1359" w:rsidRPr="00517B76" w:rsidTr="00FF33DA">
        <w:trPr>
          <w:trHeight w:val="265"/>
        </w:trPr>
        <w:tc>
          <w:tcPr>
            <w:tcW w:w="4816" w:type="dxa"/>
            <w:tcBorders>
              <w:top w:val="nil"/>
              <w:left w:val="single" w:sz="8" w:space="0" w:color="auto"/>
              <w:bottom w:val="nil"/>
              <w:right w:val="nil"/>
            </w:tcBorders>
            <w:shd w:val="clear" w:color="auto" w:fill="auto"/>
            <w:noWrap/>
            <w:vAlign w:val="bottom"/>
            <w:hideMark/>
          </w:tcPr>
          <w:p w:rsidR="000A1359" w:rsidRPr="00517B76" w:rsidRDefault="000A1359" w:rsidP="00FF33DA">
            <w:pPr>
              <w:rPr>
                <w:color w:val="000000"/>
              </w:rPr>
            </w:pPr>
            <w:r w:rsidRPr="00517B76">
              <w:rPr>
                <w:color w:val="000000"/>
              </w:rPr>
              <w:t>CWIP</w:t>
            </w:r>
          </w:p>
        </w:tc>
        <w:tc>
          <w:tcPr>
            <w:tcW w:w="1720" w:type="dxa"/>
            <w:tcBorders>
              <w:top w:val="nil"/>
              <w:left w:val="nil"/>
              <w:bottom w:val="nil"/>
              <w:right w:val="nil"/>
            </w:tcBorders>
            <w:shd w:val="clear" w:color="auto" w:fill="auto"/>
            <w:noWrap/>
            <w:vAlign w:val="bottom"/>
            <w:hideMark/>
          </w:tcPr>
          <w:p w:rsidR="000A1359" w:rsidRPr="00517B76" w:rsidRDefault="000A1359" w:rsidP="00FF33DA">
            <w:pPr>
              <w:jc w:val="right"/>
              <w:rPr>
                <w:color w:val="000000"/>
                <w:u w:val="single"/>
              </w:rPr>
            </w:pPr>
            <w:r w:rsidRPr="00517B76">
              <w:rPr>
                <w:color w:val="000000"/>
                <w:u w:val="single"/>
              </w:rPr>
              <w:t xml:space="preserve">0 </w:t>
            </w:r>
          </w:p>
        </w:tc>
        <w:tc>
          <w:tcPr>
            <w:tcW w:w="1397" w:type="dxa"/>
            <w:tcBorders>
              <w:top w:val="nil"/>
              <w:left w:val="nil"/>
              <w:bottom w:val="nil"/>
              <w:right w:val="nil"/>
            </w:tcBorders>
            <w:shd w:val="clear" w:color="auto" w:fill="auto"/>
            <w:noWrap/>
            <w:vAlign w:val="bottom"/>
            <w:hideMark/>
          </w:tcPr>
          <w:p w:rsidR="000A1359" w:rsidRPr="00517B76" w:rsidRDefault="000A1359" w:rsidP="00FF33DA">
            <w:pPr>
              <w:rPr>
                <w:color w:val="000000"/>
              </w:rPr>
            </w:pPr>
          </w:p>
        </w:tc>
        <w:tc>
          <w:tcPr>
            <w:tcW w:w="1720" w:type="dxa"/>
            <w:tcBorders>
              <w:top w:val="nil"/>
              <w:left w:val="nil"/>
              <w:bottom w:val="nil"/>
              <w:right w:val="single" w:sz="8" w:space="0" w:color="auto"/>
            </w:tcBorders>
            <w:shd w:val="clear" w:color="auto" w:fill="auto"/>
            <w:noWrap/>
            <w:vAlign w:val="bottom"/>
            <w:hideMark/>
          </w:tcPr>
          <w:p w:rsidR="000A1359" w:rsidRPr="00517B76" w:rsidRDefault="000A1359" w:rsidP="00FF33DA">
            <w:pPr>
              <w:jc w:val="right"/>
              <w:rPr>
                <w:color w:val="000000"/>
                <w:u w:val="single"/>
              </w:rPr>
            </w:pPr>
            <w:r w:rsidRPr="00517B76">
              <w:rPr>
                <w:color w:val="000000"/>
                <w:u w:val="single"/>
              </w:rPr>
              <w:t xml:space="preserve">0 </w:t>
            </w:r>
          </w:p>
        </w:tc>
      </w:tr>
      <w:tr w:rsidR="000A1359" w:rsidRPr="00517B76" w:rsidTr="00FF33DA">
        <w:trPr>
          <w:trHeight w:val="265"/>
        </w:trPr>
        <w:tc>
          <w:tcPr>
            <w:tcW w:w="4816" w:type="dxa"/>
            <w:tcBorders>
              <w:top w:val="nil"/>
              <w:left w:val="single" w:sz="8" w:space="0" w:color="auto"/>
              <w:bottom w:val="nil"/>
              <w:right w:val="nil"/>
            </w:tcBorders>
            <w:shd w:val="clear" w:color="auto" w:fill="auto"/>
            <w:noWrap/>
            <w:vAlign w:val="bottom"/>
            <w:hideMark/>
          </w:tcPr>
          <w:p w:rsidR="000A1359" w:rsidRPr="00517B76" w:rsidRDefault="000A1359" w:rsidP="00FF33DA">
            <w:pPr>
              <w:rPr>
                <w:color w:val="000000"/>
              </w:rPr>
            </w:pPr>
            <w:r w:rsidRPr="00517B76">
              <w:rPr>
                <w:color w:val="000000"/>
              </w:rPr>
              <w:t> </w:t>
            </w:r>
          </w:p>
        </w:tc>
        <w:tc>
          <w:tcPr>
            <w:tcW w:w="1720" w:type="dxa"/>
            <w:tcBorders>
              <w:top w:val="nil"/>
              <w:left w:val="nil"/>
              <w:bottom w:val="nil"/>
              <w:right w:val="nil"/>
            </w:tcBorders>
            <w:shd w:val="clear" w:color="auto" w:fill="auto"/>
            <w:noWrap/>
            <w:vAlign w:val="bottom"/>
            <w:hideMark/>
          </w:tcPr>
          <w:p w:rsidR="000A1359" w:rsidRPr="00517B76" w:rsidRDefault="000A1359" w:rsidP="00FF33DA">
            <w:pPr>
              <w:rPr>
                <w:color w:val="000000"/>
              </w:rPr>
            </w:pPr>
          </w:p>
        </w:tc>
        <w:tc>
          <w:tcPr>
            <w:tcW w:w="1397" w:type="dxa"/>
            <w:tcBorders>
              <w:top w:val="nil"/>
              <w:left w:val="nil"/>
              <w:bottom w:val="nil"/>
              <w:right w:val="nil"/>
            </w:tcBorders>
            <w:shd w:val="clear" w:color="auto" w:fill="auto"/>
            <w:noWrap/>
            <w:vAlign w:val="bottom"/>
            <w:hideMark/>
          </w:tcPr>
          <w:p w:rsidR="000A1359" w:rsidRPr="00517B76" w:rsidRDefault="000A1359" w:rsidP="00FF33DA">
            <w:pPr>
              <w:rPr>
                <w:color w:val="000000"/>
              </w:rPr>
            </w:pPr>
          </w:p>
        </w:tc>
        <w:tc>
          <w:tcPr>
            <w:tcW w:w="1720" w:type="dxa"/>
            <w:tcBorders>
              <w:top w:val="nil"/>
              <w:left w:val="nil"/>
              <w:bottom w:val="nil"/>
              <w:right w:val="single" w:sz="8" w:space="0" w:color="auto"/>
            </w:tcBorders>
            <w:shd w:val="clear" w:color="auto" w:fill="auto"/>
            <w:noWrap/>
            <w:vAlign w:val="bottom"/>
            <w:hideMark/>
          </w:tcPr>
          <w:p w:rsidR="000A1359" w:rsidRPr="00517B76" w:rsidRDefault="000A1359" w:rsidP="00FF33DA">
            <w:pPr>
              <w:rPr>
                <w:color w:val="000000"/>
              </w:rPr>
            </w:pPr>
            <w:r w:rsidRPr="00517B76">
              <w:rPr>
                <w:color w:val="000000"/>
              </w:rPr>
              <w:t> </w:t>
            </w:r>
          </w:p>
        </w:tc>
      </w:tr>
      <w:tr w:rsidR="000A1359" w:rsidRPr="00517B76" w:rsidTr="00FF33DA">
        <w:trPr>
          <w:trHeight w:val="265"/>
        </w:trPr>
        <w:tc>
          <w:tcPr>
            <w:tcW w:w="4816" w:type="dxa"/>
            <w:tcBorders>
              <w:top w:val="nil"/>
              <w:left w:val="single" w:sz="8" w:space="0" w:color="auto"/>
              <w:bottom w:val="nil"/>
              <w:right w:val="nil"/>
            </w:tcBorders>
            <w:shd w:val="clear" w:color="auto" w:fill="auto"/>
            <w:noWrap/>
            <w:vAlign w:val="bottom"/>
            <w:hideMark/>
          </w:tcPr>
          <w:p w:rsidR="000A1359" w:rsidRPr="00517B76" w:rsidRDefault="000A1359" w:rsidP="00FF33DA">
            <w:pPr>
              <w:rPr>
                <w:color w:val="000000"/>
              </w:rPr>
            </w:pPr>
            <w:r w:rsidRPr="00517B76">
              <w:rPr>
                <w:color w:val="000000"/>
              </w:rPr>
              <w:t xml:space="preserve">Total Utility Plant </w:t>
            </w:r>
          </w:p>
        </w:tc>
        <w:tc>
          <w:tcPr>
            <w:tcW w:w="1720" w:type="dxa"/>
            <w:tcBorders>
              <w:top w:val="nil"/>
              <w:left w:val="nil"/>
              <w:bottom w:val="nil"/>
              <w:right w:val="nil"/>
            </w:tcBorders>
            <w:shd w:val="clear" w:color="auto" w:fill="auto"/>
            <w:noWrap/>
            <w:vAlign w:val="bottom"/>
            <w:hideMark/>
          </w:tcPr>
          <w:p w:rsidR="000A1359" w:rsidRPr="00517B76" w:rsidRDefault="000A1359" w:rsidP="00FF33DA">
            <w:pPr>
              <w:jc w:val="right"/>
              <w:rPr>
                <w:color w:val="000000"/>
              </w:rPr>
            </w:pPr>
            <w:r w:rsidRPr="00517B76">
              <w:rPr>
                <w:color w:val="000000"/>
              </w:rPr>
              <w:t xml:space="preserve">$7,946,544 </w:t>
            </w:r>
          </w:p>
        </w:tc>
        <w:tc>
          <w:tcPr>
            <w:tcW w:w="1397" w:type="dxa"/>
            <w:tcBorders>
              <w:top w:val="nil"/>
              <w:left w:val="nil"/>
              <w:bottom w:val="nil"/>
              <w:right w:val="nil"/>
            </w:tcBorders>
            <w:shd w:val="clear" w:color="auto" w:fill="auto"/>
            <w:noWrap/>
            <w:vAlign w:val="bottom"/>
            <w:hideMark/>
          </w:tcPr>
          <w:p w:rsidR="000A1359" w:rsidRPr="00517B76" w:rsidRDefault="000A1359" w:rsidP="00FF33DA">
            <w:pPr>
              <w:jc w:val="right"/>
              <w:rPr>
                <w:color w:val="000000"/>
              </w:rPr>
            </w:pPr>
            <w:r w:rsidRPr="00517B76">
              <w:rPr>
                <w:color w:val="000000"/>
              </w:rPr>
              <w:t>($18,226)</w:t>
            </w:r>
          </w:p>
        </w:tc>
        <w:tc>
          <w:tcPr>
            <w:tcW w:w="1720" w:type="dxa"/>
            <w:tcBorders>
              <w:top w:val="nil"/>
              <w:left w:val="nil"/>
              <w:bottom w:val="nil"/>
              <w:right w:val="single" w:sz="8" w:space="0" w:color="auto"/>
            </w:tcBorders>
            <w:shd w:val="clear" w:color="auto" w:fill="auto"/>
            <w:noWrap/>
            <w:vAlign w:val="bottom"/>
            <w:hideMark/>
          </w:tcPr>
          <w:p w:rsidR="000A1359" w:rsidRPr="00517B76" w:rsidRDefault="000A1359" w:rsidP="00FF33DA">
            <w:pPr>
              <w:jc w:val="right"/>
              <w:rPr>
                <w:color w:val="000000"/>
              </w:rPr>
            </w:pPr>
            <w:r w:rsidRPr="00517B76">
              <w:rPr>
                <w:color w:val="000000"/>
              </w:rPr>
              <w:t xml:space="preserve">$7,928,320 </w:t>
            </w:r>
          </w:p>
        </w:tc>
      </w:tr>
      <w:tr w:rsidR="000A1359" w:rsidRPr="00517B76" w:rsidTr="00FF33DA">
        <w:trPr>
          <w:trHeight w:val="265"/>
        </w:trPr>
        <w:tc>
          <w:tcPr>
            <w:tcW w:w="4816" w:type="dxa"/>
            <w:tcBorders>
              <w:top w:val="nil"/>
              <w:left w:val="single" w:sz="8" w:space="0" w:color="auto"/>
              <w:bottom w:val="nil"/>
              <w:right w:val="nil"/>
            </w:tcBorders>
            <w:shd w:val="clear" w:color="auto" w:fill="auto"/>
            <w:noWrap/>
            <w:vAlign w:val="bottom"/>
            <w:hideMark/>
          </w:tcPr>
          <w:p w:rsidR="000A1359" w:rsidRPr="00517B76" w:rsidRDefault="000A1359" w:rsidP="00FF33DA">
            <w:pPr>
              <w:rPr>
                <w:color w:val="000000"/>
              </w:rPr>
            </w:pPr>
            <w:r w:rsidRPr="00517B76">
              <w:rPr>
                <w:color w:val="000000"/>
              </w:rPr>
              <w:t> </w:t>
            </w:r>
          </w:p>
        </w:tc>
        <w:tc>
          <w:tcPr>
            <w:tcW w:w="1720" w:type="dxa"/>
            <w:tcBorders>
              <w:top w:val="nil"/>
              <w:left w:val="nil"/>
              <w:bottom w:val="nil"/>
              <w:right w:val="nil"/>
            </w:tcBorders>
            <w:shd w:val="clear" w:color="auto" w:fill="auto"/>
            <w:noWrap/>
            <w:vAlign w:val="bottom"/>
            <w:hideMark/>
          </w:tcPr>
          <w:p w:rsidR="000A1359" w:rsidRPr="00517B76" w:rsidRDefault="000A1359" w:rsidP="00FF33DA">
            <w:pPr>
              <w:rPr>
                <w:color w:val="000000"/>
              </w:rPr>
            </w:pPr>
          </w:p>
        </w:tc>
        <w:tc>
          <w:tcPr>
            <w:tcW w:w="1397" w:type="dxa"/>
            <w:tcBorders>
              <w:top w:val="nil"/>
              <w:left w:val="nil"/>
              <w:bottom w:val="nil"/>
              <w:right w:val="nil"/>
            </w:tcBorders>
            <w:shd w:val="clear" w:color="auto" w:fill="auto"/>
            <w:noWrap/>
            <w:vAlign w:val="bottom"/>
            <w:hideMark/>
          </w:tcPr>
          <w:p w:rsidR="000A1359" w:rsidRPr="00517B76" w:rsidRDefault="000A1359" w:rsidP="00FF33DA">
            <w:pPr>
              <w:rPr>
                <w:color w:val="000000"/>
              </w:rPr>
            </w:pPr>
          </w:p>
        </w:tc>
        <w:tc>
          <w:tcPr>
            <w:tcW w:w="1720" w:type="dxa"/>
            <w:tcBorders>
              <w:top w:val="nil"/>
              <w:left w:val="nil"/>
              <w:bottom w:val="nil"/>
              <w:right w:val="single" w:sz="8" w:space="0" w:color="auto"/>
            </w:tcBorders>
            <w:shd w:val="clear" w:color="auto" w:fill="auto"/>
            <w:noWrap/>
            <w:vAlign w:val="bottom"/>
            <w:hideMark/>
          </w:tcPr>
          <w:p w:rsidR="000A1359" w:rsidRPr="00517B76" w:rsidRDefault="000A1359" w:rsidP="00FF33DA">
            <w:pPr>
              <w:rPr>
                <w:color w:val="000000"/>
              </w:rPr>
            </w:pPr>
            <w:r w:rsidRPr="00517B76">
              <w:rPr>
                <w:color w:val="000000"/>
              </w:rPr>
              <w:t> </w:t>
            </w:r>
          </w:p>
        </w:tc>
      </w:tr>
      <w:tr w:rsidR="000A1359" w:rsidRPr="00517B76" w:rsidTr="00FF33DA">
        <w:trPr>
          <w:trHeight w:val="265"/>
        </w:trPr>
        <w:tc>
          <w:tcPr>
            <w:tcW w:w="4816" w:type="dxa"/>
            <w:tcBorders>
              <w:top w:val="nil"/>
              <w:left w:val="single" w:sz="8" w:space="0" w:color="auto"/>
              <w:bottom w:val="nil"/>
              <w:right w:val="nil"/>
            </w:tcBorders>
            <w:shd w:val="clear" w:color="auto" w:fill="auto"/>
            <w:noWrap/>
            <w:vAlign w:val="bottom"/>
            <w:hideMark/>
          </w:tcPr>
          <w:p w:rsidR="000A1359" w:rsidRPr="00517B76" w:rsidRDefault="000A1359" w:rsidP="00FF33DA">
            <w:pPr>
              <w:rPr>
                <w:color w:val="000000"/>
              </w:rPr>
            </w:pPr>
            <w:r w:rsidRPr="00517B76">
              <w:rPr>
                <w:color w:val="000000"/>
              </w:rPr>
              <w:t>Accum. Depr. And Amor. - Plant in Service</w:t>
            </w:r>
          </w:p>
        </w:tc>
        <w:tc>
          <w:tcPr>
            <w:tcW w:w="1720" w:type="dxa"/>
            <w:tcBorders>
              <w:top w:val="nil"/>
              <w:left w:val="nil"/>
              <w:bottom w:val="nil"/>
              <w:right w:val="nil"/>
            </w:tcBorders>
            <w:shd w:val="clear" w:color="auto" w:fill="auto"/>
            <w:noWrap/>
            <w:vAlign w:val="bottom"/>
            <w:hideMark/>
          </w:tcPr>
          <w:p w:rsidR="000A1359" w:rsidRPr="00517B76" w:rsidRDefault="000A1359" w:rsidP="00FF33DA">
            <w:pPr>
              <w:jc w:val="right"/>
              <w:rPr>
                <w:color w:val="000000"/>
              </w:rPr>
            </w:pPr>
            <w:r w:rsidRPr="00517B76">
              <w:rPr>
                <w:color w:val="000000"/>
              </w:rPr>
              <w:t>($3,036,771)</w:t>
            </w:r>
          </w:p>
        </w:tc>
        <w:tc>
          <w:tcPr>
            <w:tcW w:w="1397" w:type="dxa"/>
            <w:tcBorders>
              <w:top w:val="nil"/>
              <w:left w:val="nil"/>
              <w:bottom w:val="nil"/>
              <w:right w:val="nil"/>
            </w:tcBorders>
            <w:shd w:val="clear" w:color="auto" w:fill="auto"/>
            <w:noWrap/>
            <w:vAlign w:val="bottom"/>
            <w:hideMark/>
          </w:tcPr>
          <w:p w:rsidR="000A1359" w:rsidRPr="00517B76" w:rsidRDefault="000A1359" w:rsidP="00FF33DA">
            <w:pPr>
              <w:rPr>
                <w:color w:val="000000"/>
              </w:rPr>
            </w:pPr>
          </w:p>
        </w:tc>
        <w:tc>
          <w:tcPr>
            <w:tcW w:w="1720" w:type="dxa"/>
            <w:tcBorders>
              <w:top w:val="nil"/>
              <w:left w:val="nil"/>
              <w:bottom w:val="nil"/>
              <w:right w:val="single" w:sz="8" w:space="0" w:color="auto"/>
            </w:tcBorders>
            <w:shd w:val="clear" w:color="auto" w:fill="auto"/>
            <w:noWrap/>
            <w:vAlign w:val="bottom"/>
            <w:hideMark/>
          </w:tcPr>
          <w:p w:rsidR="000A1359" w:rsidRPr="00517B76" w:rsidRDefault="000A1359" w:rsidP="00FF33DA">
            <w:pPr>
              <w:jc w:val="right"/>
              <w:rPr>
                <w:color w:val="000000"/>
              </w:rPr>
            </w:pPr>
            <w:r w:rsidRPr="00517B76">
              <w:rPr>
                <w:color w:val="000000"/>
              </w:rPr>
              <w:t>($3,041,557)</w:t>
            </w:r>
          </w:p>
        </w:tc>
      </w:tr>
      <w:tr w:rsidR="000A1359" w:rsidRPr="00517B76" w:rsidTr="00FF33DA">
        <w:trPr>
          <w:trHeight w:val="265"/>
        </w:trPr>
        <w:tc>
          <w:tcPr>
            <w:tcW w:w="4816" w:type="dxa"/>
            <w:tcBorders>
              <w:top w:val="nil"/>
              <w:left w:val="single" w:sz="8" w:space="0" w:color="auto"/>
              <w:bottom w:val="nil"/>
              <w:right w:val="nil"/>
            </w:tcBorders>
            <w:shd w:val="clear" w:color="auto" w:fill="auto"/>
            <w:noWrap/>
            <w:vAlign w:val="bottom"/>
            <w:hideMark/>
          </w:tcPr>
          <w:p w:rsidR="000A1359" w:rsidRPr="00517B76" w:rsidRDefault="000A1359" w:rsidP="00FF33DA">
            <w:pPr>
              <w:rPr>
                <w:color w:val="000000"/>
              </w:rPr>
            </w:pPr>
            <w:r w:rsidRPr="00517B76">
              <w:rPr>
                <w:color w:val="000000"/>
              </w:rPr>
              <w:t xml:space="preserve">    376.1 Mains - Plastic</w:t>
            </w:r>
          </w:p>
        </w:tc>
        <w:tc>
          <w:tcPr>
            <w:tcW w:w="1720" w:type="dxa"/>
            <w:tcBorders>
              <w:top w:val="nil"/>
              <w:left w:val="nil"/>
              <w:bottom w:val="nil"/>
              <w:right w:val="nil"/>
            </w:tcBorders>
            <w:shd w:val="clear" w:color="auto" w:fill="auto"/>
            <w:noWrap/>
            <w:vAlign w:val="bottom"/>
            <w:hideMark/>
          </w:tcPr>
          <w:p w:rsidR="000A1359" w:rsidRPr="00517B76" w:rsidRDefault="000A1359" w:rsidP="00FF33DA">
            <w:pPr>
              <w:rPr>
                <w:color w:val="000000"/>
              </w:rPr>
            </w:pPr>
          </w:p>
        </w:tc>
        <w:tc>
          <w:tcPr>
            <w:tcW w:w="1397" w:type="dxa"/>
            <w:tcBorders>
              <w:top w:val="nil"/>
              <w:left w:val="nil"/>
              <w:bottom w:val="nil"/>
              <w:right w:val="nil"/>
            </w:tcBorders>
            <w:shd w:val="clear" w:color="auto" w:fill="auto"/>
            <w:noWrap/>
            <w:vAlign w:val="bottom"/>
            <w:hideMark/>
          </w:tcPr>
          <w:p w:rsidR="000A1359" w:rsidRPr="00517B76" w:rsidRDefault="000A1359" w:rsidP="00FF33DA">
            <w:pPr>
              <w:jc w:val="right"/>
              <w:rPr>
                <w:color w:val="000000"/>
              </w:rPr>
            </w:pPr>
            <w:r w:rsidRPr="00517B76">
              <w:rPr>
                <w:color w:val="000000"/>
              </w:rPr>
              <w:t xml:space="preserve">1,767 </w:t>
            </w:r>
          </w:p>
        </w:tc>
        <w:tc>
          <w:tcPr>
            <w:tcW w:w="1720" w:type="dxa"/>
            <w:tcBorders>
              <w:top w:val="nil"/>
              <w:left w:val="nil"/>
              <w:bottom w:val="nil"/>
              <w:right w:val="single" w:sz="8" w:space="0" w:color="auto"/>
            </w:tcBorders>
            <w:shd w:val="clear" w:color="auto" w:fill="auto"/>
            <w:noWrap/>
            <w:vAlign w:val="bottom"/>
            <w:hideMark/>
          </w:tcPr>
          <w:p w:rsidR="000A1359" w:rsidRPr="00517B76" w:rsidRDefault="000A1359" w:rsidP="00FF33DA">
            <w:pPr>
              <w:rPr>
                <w:color w:val="000000"/>
              </w:rPr>
            </w:pPr>
            <w:r w:rsidRPr="00517B76">
              <w:rPr>
                <w:color w:val="000000"/>
              </w:rPr>
              <w:t> </w:t>
            </w:r>
          </w:p>
        </w:tc>
      </w:tr>
      <w:tr w:rsidR="000A1359" w:rsidRPr="00517B76" w:rsidTr="00FF33DA">
        <w:trPr>
          <w:trHeight w:val="265"/>
        </w:trPr>
        <w:tc>
          <w:tcPr>
            <w:tcW w:w="4816" w:type="dxa"/>
            <w:tcBorders>
              <w:top w:val="nil"/>
              <w:left w:val="single" w:sz="8" w:space="0" w:color="auto"/>
              <w:bottom w:val="nil"/>
              <w:right w:val="nil"/>
            </w:tcBorders>
            <w:shd w:val="clear" w:color="auto" w:fill="auto"/>
            <w:noWrap/>
            <w:vAlign w:val="bottom"/>
            <w:hideMark/>
          </w:tcPr>
          <w:p w:rsidR="000A1359" w:rsidRPr="00517B76" w:rsidRDefault="000A1359" w:rsidP="00FF33DA">
            <w:pPr>
              <w:rPr>
                <w:color w:val="000000"/>
              </w:rPr>
            </w:pPr>
            <w:r w:rsidRPr="00517B76">
              <w:rPr>
                <w:color w:val="000000"/>
              </w:rPr>
              <w:t xml:space="preserve">    380.1 Services - Plastic</w:t>
            </w:r>
          </w:p>
        </w:tc>
        <w:tc>
          <w:tcPr>
            <w:tcW w:w="1720" w:type="dxa"/>
            <w:tcBorders>
              <w:top w:val="nil"/>
              <w:left w:val="nil"/>
              <w:bottom w:val="nil"/>
              <w:right w:val="nil"/>
            </w:tcBorders>
            <w:shd w:val="clear" w:color="auto" w:fill="auto"/>
            <w:noWrap/>
            <w:vAlign w:val="bottom"/>
            <w:hideMark/>
          </w:tcPr>
          <w:p w:rsidR="000A1359" w:rsidRPr="00517B76" w:rsidRDefault="000A1359" w:rsidP="00FF33DA">
            <w:pPr>
              <w:rPr>
                <w:color w:val="000000"/>
              </w:rPr>
            </w:pPr>
          </w:p>
        </w:tc>
        <w:tc>
          <w:tcPr>
            <w:tcW w:w="1397" w:type="dxa"/>
            <w:tcBorders>
              <w:top w:val="nil"/>
              <w:left w:val="nil"/>
              <w:bottom w:val="nil"/>
              <w:right w:val="nil"/>
            </w:tcBorders>
            <w:shd w:val="clear" w:color="auto" w:fill="auto"/>
            <w:noWrap/>
            <w:vAlign w:val="bottom"/>
            <w:hideMark/>
          </w:tcPr>
          <w:p w:rsidR="000A1359" w:rsidRPr="00517B76" w:rsidRDefault="000A1359" w:rsidP="00FF33DA">
            <w:pPr>
              <w:jc w:val="right"/>
              <w:rPr>
                <w:color w:val="000000"/>
              </w:rPr>
            </w:pPr>
            <w:r w:rsidRPr="00517B76">
              <w:rPr>
                <w:color w:val="000000"/>
              </w:rPr>
              <w:t xml:space="preserve">2,776 </w:t>
            </w:r>
          </w:p>
        </w:tc>
        <w:tc>
          <w:tcPr>
            <w:tcW w:w="1720" w:type="dxa"/>
            <w:tcBorders>
              <w:top w:val="nil"/>
              <w:left w:val="nil"/>
              <w:bottom w:val="nil"/>
              <w:right w:val="single" w:sz="8" w:space="0" w:color="auto"/>
            </w:tcBorders>
            <w:shd w:val="clear" w:color="auto" w:fill="auto"/>
            <w:noWrap/>
            <w:vAlign w:val="bottom"/>
            <w:hideMark/>
          </w:tcPr>
          <w:p w:rsidR="000A1359" w:rsidRPr="00517B76" w:rsidRDefault="000A1359" w:rsidP="00FF33DA">
            <w:pPr>
              <w:rPr>
                <w:color w:val="000000"/>
              </w:rPr>
            </w:pPr>
            <w:r w:rsidRPr="00517B76">
              <w:rPr>
                <w:color w:val="000000"/>
              </w:rPr>
              <w:t> </w:t>
            </w:r>
          </w:p>
        </w:tc>
      </w:tr>
      <w:tr w:rsidR="000A1359" w:rsidRPr="00517B76" w:rsidTr="00FF33DA">
        <w:trPr>
          <w:trHeight w:val="265"/>
        </w:trPr>
        <w:tc>
          <w:tcPr>
            <w:tcW w:w="4816" w:type="dxa"/>
            <w:tcBorders>
              <w:top w:val="nil"/>
              <w:left w:val="single" w:sz="8" w:space="0" w:color="auto"/>
              <w:bottom w:val="nil"/>
              <w:right w:val="nil"/>
            </w:tcBorders>
            <w:shd w:val="clear" w:color="auto" w:fill="auto"/>
            <w:noWrap/>
            <w:vAlign w:val="bottom"/>
            <w:hideMark/>
          </w:tcPr>
          <w:p w:rsidR="000A1359" w:rsidRPr="00517B76" w:rsidRDefault="000A1359" w:rsidP="00FF33DA">
            <w:pPr>
              <w:rPr>
                <w:color w:val="000000"/>
              </w:rPr>
            </w:pPr>
            <w:r w:rsidRPr="00517B76">
              <w:rPr>
                <w:color w:val="000000"/>
              </w:rPr>
              <w:t xml:space="preserve">    392 Transportation Equip- Light Trucks</w:t>
            </w:r>
          </w:p>
        </w:tc>
        <w:tc>
          <w:tcPr>
            <w:tcW w:w="1720" w:type="dxa"/>
            <w:tcBorders>
              <w:top w:val="nil"/>
              <w:left w:val="nil"/>
              <w:bottom w:val="nil"/>
              <w:right w:val="nil"/>
            </w:tcBorders>
            <w:shd w:val="clear" w:color="auto" w:fill="auto"/>
            <w:noWrap/>
            <w:vAlign w:val="bottom"/>
            <w:hideMark/>
          </w:tcPr>
          <w:p w:rsidR="000A1359" w:rsidRPr="00517B76" w:rsidRDefault="000A1359" w:rsidP="00FF33DA">
            <w:pPr>
              <w:rPr>
                <w:color w:val="000000"/>
              </w:rPr>
            </w:pPr>
          </w:p>
        </w:tc>
        <w:tc>
          <w:tcPr>
            <w:tcW w:w="1397" w:type="dxa"/>
            <w:tcBorders>
              <w:top w:val="nil"/>
              <w:left w:val="nil"/>
              <w:bottom w:val="nil"/>
              <w:right w:val="nil"/>
            </w:tcBorders>
            <w:shd w:val="clear" w:color="auto" w:fill="auto"/>
            <w:noWrap/>
            <w:vAlign w:val="bottom"/>
            <w:hideMark/>
          </w:tcPr>
          <w:p w:rsidR="000A1359" w:rsidRPr="00517B76" w:rsidRDefault="000A1359" w:rsidP="00FF33DA">
            <w:pPr>
              <w:jc w:val="right"/>
              <w:rPr>
                <w:color w:val="000000"/>
              </w:rPr>
            </w:pPr>
            <w:r w:rsidRPr="00517B76">
              <w:rPr>
                <w:color w:val="000000"/>
              </w:rPr>
              <w:t>(9,330)</w:t>
            </w:r>
          </w:p>
        </w:tc>
        <w:tc>
          <w:tcPr>
            <w:tcW w:w="1720" w:type="dxa"/>
            <w:tcBorders>
              <w:top w:val="nil"/>
              <w:left w:val="nil"/>
              <w:bottom w:val="nil"/>
              <w:right w:val="single" w:sz="8" w:space="0" w:color="auto"/>
            </w:tcBorders>
            <w:shd w:val="clear" w:color="auto" w:fill="auto"/>
            <w:noWrap/>
            <w:vAlign w:val="bottom"/>
            <w:hideMark/>
          </w:tcPr>
          <w:p w:rsidR="000A1359" w:rsidRPr="00517B76" w:rsidRDefault="000A1359" w:rsidP="00FF33DA">
            <w:pPr>
              <w:rPr>
                <w:color w:val="000000"/>
              </w:rPr>
            </w:pPr>
            <w:r w:rsidRPr="00517B76">
              <w:rPr>
                <w:color w:val="000000"/>
              </w:rPr>
              <w:t> </w:t>
            </w:r>
          </w:p>
        </w:tc>
      </w:tr>
      <w:tr w:rsidR="000A1359" w:rsidRPr="00517B76" w:rsidTr="00FF33DA">
        <w:trPr>
          <w:trHeight w:val="265"/>
        </w:trPr>
        <w:tc>
          <w:tcPr>
            <w:tcW w:w="4816" w:type="dxa"/>
            <w:tcBorders>
              <w:top w:val="nil"/>
              <w:left w:val="single" w:sz="8" w:space="0" w:color="auto"/>
              <w:bottom w:val="nil"/>
              <w:right w:val="nil"/>
            </w:tcBorders>
            <w:shd w:val="clear" w:color="auto" w:fill="auto"/>
            <w:noWrap/>
            <w:vAlign w:val="bottom"/>
            <w:hideMark/>
          </w:tcPr>
          <w:p w:rsidR="000A1359" w:rsidRPr="00517B76" w:rsidRDefault="000A1359" w:rsidP="00FF33DA">
            <w:pPr>
              <w:rPr>
                <w:color w:val="000000"/>
              </w:rPr>
            </w:pPr>
            <w:r w:rsidRPr="00517B76">
              <w:rPr>
                <w:color w:val="000000"/>
              </w:rPr>
              <w:t> </w:t>
            </w:r>
          </w:p>
        </w:tc>
        <w:tc>
          <w:tcPr>
            <w:tcW w:w="1720" w:type="dxa"/>
            <w:tcBorders>
              <w:top w:val="nil"/>
              <w:left w:val="nil"/>
              <w:bottom w:val="nil"/>
              <w:right w:val="nil"/>
            </w:tcBorders>
            <w:shd w:val="clear" w:color="auto" w:fill="auto"/>
            <w:noWrap/>
            <w:vAlign w:val="bottom"/>
            <w:hideMark/>
          </w:tcPr>
          <w:p w:rsidR="000A1359" w:rsidRPr="00517B76" w:rsidRDefault="000A1359" w:rsidP="00FF33DA">
            <w:pPr>
              <w:rPr>
                <w:color w:val="000000"/>
              </w:rPr>
            </w:pPr>
          </w:p>
        </w:tc>
        <w:tc>
          <w:tcPr>
            <w:tcW w:w="1397" w:type="dxa"/>
            <w:tcBorders>
              <w:top w:val="nil"/>
              <w:left w:val="nil"/>
              <w:bottom w:val="nil"/>
              <w:right w:val="nil"/>
            </w:tcBorders>
            <w:shd w:val="clear" w:color="auto" w:fill="auto"/>
            <w:noWrap/>
            <w:vAlign w:val="bottom"/>
            <w:hideMark/>
          </w:tcPr>
          <w:p w:rsidR="000A1359" w:rsidRPr="00517B76" w:rsidRDefault="000A1359" w:rsidP="00FF33DA">
            <w:pPr>
              <w:rPr>
                <w:color w:val="000000"/>
              </w:rPr>
            </w:pPr>
          </w:p>
        </w:tc>
        <w:tc>
          <w:tcPr>
            <w:tcW w:w="1720" w:type="dxa"/>
            <w:tcBorders>
              <w:top w:val="nil"/>
              <w:left w:val="nil"/>
              <w:bottom w:val="nil"/>
              <w:right w:val="single" w:sz="8" w:space="0" w:color="auto"/>
            </w:tcBorders>
            <w:shd w:val="clear" w:color="auto" w:fill="auto"/>
            <w:noWrap/>
            <w:vAlign w:val="bottom"/>
            <w:hideMark/>
          </w:tcPr>
          <w:p w:rsidR="000A1359" w:rsidRPr="00517B76" w:rsidRDefault="000A1359" w:rsidP="00FF33DA">
            <w:pPr>
              <w:rPr>
                <w:color w:val="000000"/>
              </w:rPr>
            </w:pPr>
            <w:r w:rsidRPr="00517B76">
              <w:rPr>
                <w:color w:val="000000"/>
              </w:rPr>
              <w:t> </w:t>
            </w:r>
          </w:p>
        </w:tc>
      </w:tr>
      <w:tr w:rsidR="000A1359" w:rsidRPr="00517B76" w:rsidTr="00FF33DA">
        <w:trPr>
          <w:trHeight w:val="265"/>
        </w:trPr>
        <w:tc>
          <w:tcPr>
            <w:tcW w:w="4816" w:type="dxa"/>
            <w:tcBorders>
              <w:top w:val="nil"/>
              <w:left w:val="single" w:sz="8" w:space="0" w:color="auto"/>
              <w:bottom w:val="nil"/>
              <w:right w:val="nil"/>
            </w:tcBorders>
            <w:shd w:val="clear" w:color="auto" w:fill="auto"/>
            <w:noWrap/>
            <w:vAlign w:val="bottom"/>
            <w:hideMark/>
          </w:tcPr>
          <w:p w:rsidR="000A1359" w:rsidRPr="00517B76" w:rsidRDefault="000A1359" w:rsidP="00FF33DA">
            <w:pPr>
              <w:rPr>
                <w:color w:val="000000"/>
              </w:rPr>
            </w:pPr>
            <w:r w:rsidRPr="00517B76">
              <w:rPr>
                <w:color w:val="000000"/>
              </w:rPr>
              <w:t>Customer Advances for Constr.</w:t>
            </w:r>
          </w:p>
        </w:tc>
        <w:tc>
          <w:tcPr>
            <w:tcW w:w="1720" w:type="dxa"/>
            <w:tcBorders>
              <w:top w:val="nil"/>
              <w:left w:val="nil"/>
              <w:bottom w:val="nil"/>
              <w:right w:val="nil"/>
            </w:tcBorders>
            <w:shd w:val="clear" w:color="auto" w:fill="auto"/>
            <w:noWrap/>
            <w:vAlign w:val="bottom"/>
            <w:hideMark/>
          </w:tcPr>
          <w:p w:rsidR="000A1359" w:rsidRPr="00517B76" w:rsidRDefault="000A1359" w:rsidP="00FF33DA">
            <w:pPr>
              <w:jc w:val="right"/>
              <w:rPr>
                <w:color w:val="000000"/>
                <w:u w:val="single"/>
              </w:rPr>
            </w:pPr>
            <w:r w:rsidRPr="00517B76">
              <w:rPr>
                <w:color w:val="000000"/>
                <w:u w:val="single"/>
              </w:rPr>
              <w:t>($12,928)</w:t>
            </w:r>
          </w:p>
        </w:tc>
        <w:tc>
          <w:tcPr>
            <w:tcW w:w="1397" w:type="dxa"/>
            <w:tcBorders>
              <w:top w:val="nil"/>
              <w:left w:val="nil"/>
              <w:bottom w:val="nil"/>
              <w:right w:val="nil"/>
            </w:tcBorders>
            <w:shd w:val="clear" w:color="auto" w:fill="auto"/>
            <w:noWrap/>
            <w:vAlign w:val="bottom"/>
            <w:hideMark/>
          </w:tcPr>
          <w:p w:rsidR="000A1359" w:rsidRPr="00517B76" w:rsidRDefault="000A1359" w:rsidP="00FF33DA">
            <w:pPr>
              <w:rPr>
                <w:color w:val="000000"/>
                <w:u w:val="single"/>
              </w:rPr>
            </w:pPr>
          </w:p>
        </w:tc>
        <w:tc>
          <w:tcPr>
            <w:tcW w:w="1720" w:type="dxa"/>
            <w:tcBorders>
              <w:top w:val="nil"/>
              <w:left w:val="nil"/>
              <w:bottom w:val="nil"/>
              <w:right w:val="single" w:sz="8" w:space="0" w:color="auto"/>
            </w:tcBorders>
            <w:shd w:val="clear" w:color="auto" w:fill="auto"/>
            <w:noWrap/>
            <w:vAlign w:val="bottom"/>
            <w:hideMark/>
          </w:tcPr>
          <w:p w:rsidR="000A1359" w:rsidRPr="00517B76" w:rsidRDefault="000A1359" w:rsidP="00FF33DA">
            <w:pPr>
              <w:jc w:val="right"/>
              <w:rPr>
                <w:color w:val="000000"/>
                <w:u w:val="single"/>
              </w:rPr>
            </w:pPr>
            <w:r w:rsidRPr="00517B76">
              <w:rPr>
                <w:color w:val="000000"/>
                <w:u w:val="single"/>
              </w:rPr>
              <w:t>($12,928)</w:t>
            </w:r>
          </w:p>
        </w:tc>
      </w:tr>
      <w:tr w:rsidR="000A1359" w:rsidRPr="00517B76" w:rsidTr="00FF33DA">
        <w:trPr>
          <w:trHeight w:val="265"/>
        </w:trPr>
        <w:tc>
          <w:tcPr>
            <w:tcW w:w="4816" w:type="dxa"/>
            <w:tcBorders>
              <w:top w:val="nil"/>
              <w:left w:val="single" w:sz="8" w:space="0" w:color="auto"/>
              <w:bottom w:val="nil"/>
              <w:right w:val="nil"/>
            </w:tcBorders>
            <w:shd w:val="clear" w:color="auto" w:fill="auto"/>
            <w:noWrap/>
            <w:vAlign w:val="bottom"/>
            <w:hideMark/>
          </w:tcPr>
          <w:p w:rsidR="000A1359" w:rsidRPr="00517B76" w:rsidRDefault="000A1359" w:rsidP="00FF33DA">
            <w:pPr>
              <w:rPr>
                <w:color w:val="000000"/>
              </w:rPr>
            </w:pPr>
            <w:r w:rsidRPr="00517B76">
              <w:rPr>
                <w:color w:val="000000"/>
              </w:rPr>
              <w:t> </w:t>
            </w:r>
          </w:p>
        </w:tc>
        <w:tc>
          <w:tcPr>
            <w:tcW w:w="1720" w:type="dxa"/>
            <w:tcBorders>
              <w:top w:val="nil"/>
              <w:left w:val="nil"/>
              <w:bottom w:val="nil"/>
              <w:right w:val="nil"/>
            </w:tcBorders>
            <w:shd w:val="clear" w:color="auto" w:fill="auto"/>
            <w:noWrap/>
            <w:vAlign w:val="bottom"/>
            <w:hideMark/>
          </w:tcPr>
          <w:p w:rsidR="000A1359" w:rsidRPr="00517B76" w:rsidRDefault="000A1359" w:rsidP="00FF33DA">
            <w:pPr>
              <w:rPr>
                <w:color w:val="000000"/>
              </w:rPr>
            </w:pPr>
          </w:p>
        </w:tc>
        <w:tc>
          <w:tcPr>
            <w:tcW w:w="1397" w:type="dxa"/>
            <w:tcBorders>
              <w:top w:val="nil"/>
              <w:left w:val="nil"/>
              <w:bottom w:val="nil"/>
              <w:right w:val="nil"/>
            </w:tcBorders>
            <w:shd w:val="clear" w:color="auto" w:fill="auto"/>
            <w:noWrap/>
            <w:vAlign w:val="bottom"/>
            <w:hideMark/>
          </w:tcPr>
          <w:p w:rsidR="000A1359" w:rsidRPr="00517B76" w:rsidRDefault="000A1359" w:rsidP="00FF33DA">
            <w:pPr>
              <w:rPr>
                <w:color w:val="000000"/>
              </w:rPr>
            </w:pPr>
          </w:p>
        </w:tc>
        <w:tc>
          <w:tcPr>
            <w:tcW w:w="1720" w:type="dxa"/>
            <w:tcBorders>
              <w:top w:val="nil"/>
              <w:left w:val="nil"/>
              <w:bottom w:val="nil"/>
              <w:right w:val="single" w:sz="8" w:space="0" w:color="auto"/>
            </w:tcBorders>
            <w:shd w:val="clear" w:color="auto" w:fill="auto"/>
            <w:noWrap/>
            <w:vAlign w:val="bottom"/>
            <w:hideMark/>
          </w:tcPr>
          <w:p w:rsidR="000A1359" w:rsidRPr="00517B76" w:rsidRDefault="000A1359" w:rsidP="00FF33DA">
            <w:pPr>
              <w:rPr>
                <w:color w:val="000000"/>
              </w:rPr>
            </w:pPr>
            <w:r w:rsidRPr="00517B76">
              <w:rPr>
                <w:color w:val="000000"/>
              </w:rPr>
              <w:t> </w:t>
            </w:r>
          </w:p>
        </w:tc>
      </w:tr>
      <w:tr w:rsidR="000A1359" w:rsidRPr="00517B76" w:rsidTr="00FF33DA">
        <w:trPr>
          <w:trHeight w:val="265"/>
        </w:trPr>
        <w:tc>
          <w:tcPr>
            <w:tcW w:w="4816" w:type="dxa"/>
            <w:tcBorders>
              <w:top w:val="nil"/>
              <w:left w:val="single" w:sz="8" w:space="0" w:color="auto"/>
              <w:bottom w:val="nil"/>
              <w:right w:val="nil"/>
            </w:tcBorders>
            <w:shd w:val="clear" w:color="auto" w:fill="auto"/>
            <w:noWrap/>
            <w:vAlign w:val="bottom"/>
            <w:hideMark/>
          </w:tcPr>
          <w:p w:rsidR="000A1359" w:rsidRPr="00517B76" w:rsidRDefault="000A1359" w:rsidP="00FF33DA">
            <w:pPr>
              <w:rPr>
                <w:color w:val="000000"/>
              </w:rPr>
            </w:pPr>
            <w:r w:rsidRPr="00517B76">
              <w:rPr>
                <w:color w:val="000000"/>
              </w:rPr>
              <w:t>Total Accum. Depr. And Cust. Adv.</w:t>
            </w:r>
          </w:p>
        </w:tc>
        <w:tc>
          <w:tcPr>
            <w:tcW w:w="1720" w:type="dxa"/>
            <w:tcBorders>
              <w:top w:val="nil"/>
              <w:left w:val="nil"/>
              <w:bottom w:val="nil"/>
              <w:right w:val="nil"/>
            </w:tcBorders>
            <w:shd w:val="clear" w:color="auto" w:fill="auto"/>
            <w:noWrap/>
            <w:vAlign w:val="bottom"/>
            <w:hideMark/>
          </w:tcPr>
          <w:p w:rsidR="000A1359" w:rsidRPr="00517B76" w:rsidRDefault="000A1359" w:rsidP="00FF33DA">
            <w:pPr>
              <w:jc w:val="right"/>
              <w:rPr>
                <w:color w:val="000000"/>
                <w:u w:val="single"/>
              </w:rPr>
            </w:pPr>
            <w:r w:rsidRPr="00517B76">
              <w:rPr>
                <w:color w:val="000000"/>
                <w:u w:val="single"/>
              </w:rPr>
              <w:t>($3,049,699)</w:t>
            </w:r>
          </w:p>
        </w:tc>
        <w:tc>
          <w:tcPr>
            <w:tcW w:w="1397" w:type="dxa"/>
            <w:tcBorders>
              <w:top w:val="nil"/>
              <w:left w:val="nil"/>
              <w:bottom w:val="nil"/>
              <w:right w:val="nil"/>
            </w:tcBorders>
            <w:shd w:val="clear" w:color="auto" w:fill="auto"/>
            <w:noWrap/>
            <w:vAlign w:val="bottom"/>
            <w:hideMark/>
          </w:tcPr>
          <w:p w:rsidR="000A1359" w:rsidRPr="00517B76" w:rsidRDefault="000A1359" w:rsidP="00FF33DA">
            <w:pPr>
              <w:jc w:val="right"/>
              <w:rPr>
                <w:color w:val="000000"/>
                <w:u w:val="single"/>
              </w:rPr>
            </w:pPr>
            <w:r w:rsidRPr="00517B76">
              <w:rPr>
                <w:color w:val="000000"/>
                <w:u w:val="single"/>
              </w:rPr>
              <w:t>($4,787)</w:t>
            </w:r>
          </w:p>
        </w:tc>
        <w:tc>
          <w:tcPr>
            <w:tcW w:w="1720" w:type="dxa"/>
            <w:tcBorders>
              <w:top w:val="nil"/>
              <w:left w:val="nil"/>
              <w:bottom w:val="nil"/>
              <w:right w:val="single" w:sz="8" w:space="0" w:color="auto"/>
            </w:tcBorders>
            <w:shd w:val="clear" w:color="auto" w:fill="auto"/>
            <w:noWrap/>
            <w:vAlign w:val="bottom"/>
            <w:hideMark/>
          </w:tcPr>
          <w:p w:rsidR="000A1359" w:rsidRPr="00517B76" w:rsidRDefault="000A1359" w:rsidP="00FF33DA">
            <w:pPr>
              <w:jc w:val="right"/>
              <w:rPr>
                <w:color w:val="000000"/>
                <w:u w:val="single"/>
              </w:rPr>
            </w:pPr>
            <w:r w:rsidRPr="00517B76">
              <w:rPr>
                <w:color w:val="000000"/>
                <w:u w:val="single"/>
              </w:rPr>
              <w:t>($3,054,485)</w:t>
            </w:r>
          </w:p>
        </w:tc>
      </w:tr>
      <w:tr w:rsidR="000A1359" w:rsidRPr="00517B76" w:rsidTr="00FF33DA">
        <w:trPr>
          <w:trHeight w:val="265"/>
        </w:trPr>
        <w:tc>
          <w:tcPr>
            <w:tcW w:w="4816" w:type="dxa"/>
            <w:tcBorders>
              <w:top w:val="nil"/>
              <w:left w:val="single" w:sz="8" w:space="0" w:color="auto"/>
              <w:bottom w:val="nil"/>
              <w:right w:val="nil"/>
            </w:tcBorders>
            <w:shd w:val="clear" w:color="auto" w:fill="auto"/>
            <w:noWrap/>
            <w:vAlign w:val="bottom"/>
            <w:hideMark/>
          </w:tcPr>
          <w:p w:rsidR="000A1359" w:rsidRPr="00517B76" w:rsidRDefault="000A1359" w:rsidP="00FF33DA">
            <w:pPr>
              <w:rPr>
                <w:color w:val="000000"/>
              </w:rPr>
            </w:pPr>
            <w:r w:rsidRPr="00517B76">
              <w:rPr>
                <w:color w:val="000000"/>
              </w:rPr>
              <w:t> </w:t>
            </w:r>
          </w:p>
        </w:tc>
        <w:tc>
          <w:tcPr>
            <w:tcW w:w="1720" w:type="dxa"/>
            <w:tcBorders>
              <w:top w:val="nil"/>
              <w:left w:val="nil"/>
              <w:bottom w:val="nil"/>
              <w:right w:val="nil"/>
            </w:tcBorders>
            <w:shd w:val="clear" w:color="auto" w:fill="auto"/>
            <w:noWrap/>
            <w:vAlign w:val="bottom"/>
            <w:hideMark/>
          </w:tcPr>
          <w:p w:rsidR="000A1359" w:rsidRPr="00517B76" w:rsidRDefault="000A1359" w:rsidP="00FF33DA">
            <w:pPr>
              <w:rPr>
                <w:color w:val="000000"/>
                <w:u w:val="double"/>
              </w:rPr>
            </w:pPr>
          </w:p>
        </w:tc>
        <w:tc>
          <w:tcPr>
            <w:tcW w:w="1397" w:type="dxa"/>
            <w:tcBorders>
              <w:top w:val="nil"/>
              <w:left w:val="nil"/>
              <w:bottom w:val="nil"/>
              <w:right w:val="nil"/>
            </w:tcBorders>
            <w:shd w:val="clear" w:color="auto" w:fill="auto"/>
            <w:noWrap/>
            <w:vAlign w:val="bottom"/>
            <w:hideMark/>
          </w:tcPr>
          <w:p w:rsidR="000A1359" w:rsidRPr="00517B76" w:rsidRDefault="000A1359" w:rsidP="00FF33DA">
            <w:pPr>
              <w:rPr>
                <w:color w:val="000000"/>
                <w:u w:val="double"/>
              </w:rPr>
            </w:pPr>
          </w:p>
        </w:tc>
        <w:tc>
          <w:tcPr>
            <w:tcW w:w="1720" w:type="dxa"/>
            <w:tcBorders>
              <w:top w:val="nil"/>
              <w:left w:val="nil"/>
              <w:bottom w:val="nil"/>
              <w:right w:val="single" w:sz="8" w:space="0" w:color="auto"/>
            </w:tcBorders>
            <w:shd w:val="clear" w:color="auto" w:fill="auto"/>
            <w:noWrap/>
            <w:vAlign w:val="bottom"/>
            <w:hideMark/>
          </w:tcPr>
          <w:p w:rsidR="000A1359" w:rsidRPr="00517B76" w:rsidRDefault="000A1359" w:rsidP="00FF33DA">
            <w:pPr>
              <w:rPr>
                <w:color w:val="000000"/>
                <w:u w:val="double"/>
              </w:rPr>
            </w:pPr>
          </w:p>
        </w:tc>
      </w:tr>
      <w:tr w:rsidR="000A1359" w:rsidRPr="00517B76" w:rsidTr="00FF33DA">
        <w:trPr>
          <w:trHeight w:val="265"/>
        </w:trPr>
        <w:tc>
          <w:tcPr>
            <w:tcW w:w="4816" w:type="dxa"/>
            <w:tcBorders>
              <w:top w:val="nil"/>
              <w:left w:val="single" w:sz="8" w:space="0" w:color="auto"/>
              <w:bottom w:val="nil"/>
              <w:right w:val="nil"/>
            </w:tcBorders>
            <w:shd w:val="clear" w:color="auto" w:fill="auto"/>
            <w:noWrap/>
            <w:vAlign w:val="bottom"/>
            <w:hideMark/>
          </w:tcPr>
          <w:p w:rsidR="000A1359" w:rsidRPr="00517B76" w:rsidRDefault="000A1359" w:rsidP="00FF33DA">
            <w:pPr>
              <w:rPr>
                <w:color w:val="000000"/>
              </w:rPr>
            </w:pPr>
            <w:r w:rsidRPr="00517B76">
              <w:rPr>
                <w:color w:val="000000"/>
              </w:rPr>
              <w:t xml:space="preserve">Net Utility plant </w:t>
            </w:r>
          </w:p>
        </w:tc>
        <w:tc>
          <w:tcPr>
            <w:tcW w:w="1720" w:type="dxa"/>
            <w:tcBorders>
              <w:top w:val="nil"/>
              <w:left w:val="nil"/>
              <w:bottom w:val="nil"/>
              <w:right w:val="nil"/>
            </w:tcBorders>
            <w:shd w:val="clear" w:color="auto" w:fill="auto"/>
            <w:noWrap/>
            <w:vAlign w:val="bottom"/>
            <w:hideMark/>
          </w:tcPr>
          <w:p w:rsidR="000A1359" w:rsidRPr="00517B76" w:rsidRDefault="000A1359" w:rsidP="00FF33DA">
            <w:pPr>
              <w:jc w:val="right"/>
              <w:rPr>
                <w:color w:val="000000"/>
              </w:rPr>
            </w:pPr>
            <w:r w:rsidRPr="00517B76">
              <w:rPr>
                <w:color w:val="000000"/>
              </w:rPr>
              <w:t xml:space="preserve">$4,896,845 </w:t>
            </w:r>
          </w:p>
        </w:tc>
        <w:tc>
          <w:tcPr>
            <w:tcW w:w="1397" w:type="dxa"/>
            <w:tcBorders>
              <w:top w:val="nil"/>
              <w:left w:val="nil"/>
              <w:bottom w:val="nil"/>
              <w:right w:val="nil"/>
            </w:tcBorders>
            <w:shd w:val="clear" w:color="auto" w:fill="auto"/>
            <w:noWrap/>
            <w:vAlign w:val="bottom"/>
            <w:hideMark/>
          </w:tcPr>
          <w:p w:rsidR="000A1359" w:rsidRPr="00517B76" w:rsidRDefault="000A1359" w:rsidP="00FF33DA">
            <w:pPr>
              <w:rPr>
                <w:color w:val="000000"/>
              </w:rPr>
            </w:pPr>
          </w:p>
        </w:tc>
        <w:tc>
          <w:tcPr>
            <w:tcW w:w="1720" w:type="dxa"/>
            <w:tcBorders>
              <w:top w:val="nil"/>
              <w:left w:val="nil"/>
              <w:bottom w:val="nil"/>
              <w:right w:val="single" w:sz="8" w:space="0" w:color="auto"/>
            </w:tcBorders>
            <w:shd w:val="clear" w:color="auto" w:fill="auto"/>
            <w:noWrap/>
            <w:vAlign w:val="bottom"/>
            <w:hideMark/>
          </w:tcPr>
          <w:p w:rsidR="000A1359" w:rsidRPr="00517B76" w:rsidRDefault="000A1359" w:rsidP="00FF33DA">
            <w:pPr>
              <w:jc w:val="right"/>
              <w:rPr>
                <w:color w:val="000000"/>
              </w:rPr>
            </w:pPr>
            <w:r w:rsidRPr="00517B76">
              <w:rPr>
                <w:color w:val="000000"/>
              </w:rPr>
              <w:t xml:space="preserve">$4,873,835 </w:t>
            </w:r>
          </w:p>
        </w:tc>
      </w:tr>
      <w:tr w:rsidR="000A1359" w:rsidRPr="00517B76" w:rsidTr="00FF33DA">
        <w:trPr>
          <w:trHeight w:val="265"/>
        </w:trPr>
        <w:tc>
          <w:tcPr>
            <w:tcW w:w="4816" w:type="dxa"/>
            <w:tcBorders>
              <w:top w:val="nil"/>
              <w:left w:val="single" w:sz="8" w:space="0" w:color="auto"/>
              <w:bottom w:val="nil"/>
              <w:right w:val="nil"/>
            </w:tcBorders>
            <w:shd w:val="clear" w:color="auto" w:fill="auto"/>
            <w:noWrap/>
            <w:vAlign w:val="bottom"/>
            <w:hideMark/>
          </w:tcPr>
          <w:p w:rsidR="000A1359" w:rsidRPr="00517B76" w:rsidRDefault="000A1359" w:rsidP="00FF33DA">
            <w:pPr>
              <w:rPr>
                <w:color w:val="000000"/>
              </w:rPr>
            </w:pPr>
            <w:r w:rsidRPr="00517B76">
              <w:rPr>
                <w:color w:val="000000"/>
              </w:rPr>
              <w:t> </w:t>
            </w:r>
          </w:p>
        </w:tc>
        <w:tc>
          <w:tcPr>
            <w:tcW w:w="1720" w:type="dxa"/>
            <w:tcBorders>
              <w:top w:val="nil"/>
              <w:left w:val="nil"/>
              <w:bottom w:val="nil"/>
              <w:right w:val="nil"/>
            </w:tcBorders>
            <w:shd w:val="clear" w:color="auto" w:fill="auto"/>
            <w:noWrap/>
            <w:vAlign w:val="bottom"/>
            <w:hideMark/>
          </w:tcPr>
          <w:p w:rsidR="000A1359" w:rsidRPr="00517B76" w:rsidRDefault="000A1359" w:rsidP="00FF33DA">
            <w:pPr>
              <w:rPr>
                <w:color w:val="000000"/>
              </w:rPr>
            </w:pPr>
          </w:p>
        </w:tc>
        <w:tc>
          <w:tcPr>
            <w:tcW w:w="1397" w:type="dxa"/>
            <w:tcBorders>
              <w:top w:val="nil"/>
              <w:left w:val="nil"/>
              <w:bottom w:val="nil"/>
              <w:right w:val="nil"/>
            </w:tcBorders>
            <w:shd w:val="clear" w:color="auto" w:fill="auto"/>
            <w:noWrap/>
            <w:vAlign w:val="bottom"/>
            <w:hideMark/>
          </w:tcPr>
          <w:p w:rsidR="000A1359" w:rsidRPr="00517B76" w:rsidRDefault="000A1359" w:rsidP="00FF33DA">
            <w:pPr>
              <w:rPr>
                <w:color w:val="000000"/>
              </w:rPr>
            </w:pPr>
          </w:p>
        </w:tc>
        <w:tc>
          <w:tcPr>
            <w:tcW w:w="1720" w:type="dxa"/>
            <w:tcBorders>
              <w:top w:val="nil"/>
              <w:left w:val="nil"/>
              <w:bottom w:val="nil"/>
              <w:right w:val="single" w:sz="8" w:space="0" w:color="auto"/>
            </w:tcBorders>
            <w:shd w:val="clear" w:color="auto" w:fill="auto"/>
            <w:noWrap/>
            <w:vAlign w:val="bottom"/>
            <w:hideMark/>
          </w:tcPr>
          <w:p w:rsidR="000A1359" w:rsidRPr="00517B76" w:rsidRDefault="000A1359" w:rsidP="00FF33DA">
            <w:pPr>
              <w:rPr>
                <w:color w:val="000000"/>
              </w:rPr>
            </w:pPr>
            <w:r w:rsidRPr="00517B76">
              <w:rPr>
                <w:color w:val="000000"/>
              </w:rPr>
              <w:t> </w:t>
            </w:r>
          </w:p>
        </w:tc>
      </w:tr>
      <w:tr w:rsidR="000A1359" w:rsidRPr="00517B76" w:rsidTr="00FF33DA">
        <w:trPr>
          <w:trHeight w:val="265"/>
        </w:trPr>
        <w:tc>
          <w:tcPr>
            <w:tcW w:w="4816" w:type="dxa"/>
            <w:tcBorders>
              <w:top w:val="nil"/>
              <w:left w:val="single" w:sz="8" w:space="0" w:color="auto"/>
              <w:bottom w:val="nil"/>
              <w:right w:val="nil"/>
            </w:tcBorders>
            <w:shd w:val="clear" w:color="auto" w:fill="auto"/>
            <w:noWrap/>
            <w:vAlign w:val="bottom"/>
            <w:hideMark/>
          </w:tcPr>
          <w:p w:rsidR="000A1359" w:rsidRPr="00517B76" w:rsidRDefault="000A1359" w:rsidP="00FF33DA">
            <w:pPr>
              <w:rPr>
                <w:color w:val="000000"/>
              </w:rPr>
            </w:pPr>
            <w:r w:rsidRPr="00517B76">
              <w:rPr>
                <w:color w:val="000000"/>
              </w:rPr>
              <w:t>Working Capital Allowance</w:t>
            </w:r>
          </w:p>
        </w:tc>
        <w:tc>
          <w:tcPr>
            <w:tcW w:w="1720" w:type="dxa"/>
            <w:tcBorders>
              <w:top w:val="nil"/>
              <w:left w:val="nil"/>
              <w:bottom w:val="nil"/>
              <w:right w:val="nil"/>
            </w:tcBorders>
            <w:shd w:val="clear" w:color="auto" w:fill="auto"/>
            <w:noWrap/>
            <w:vAlign w:val="bottom"/>
            <w:hideMark/>
          </w:tcPr>
          <w:p w:rsidR="000A1359" w:rsidRPr="00517B76" w:rsidRDefault="000A1359" w:rsidP="00FF33DA">
            <w:pPr>
              <w:jc w:val="right"/>
              <w:rPr>
                <w:color w:val="000000"/>
                <w:u w:val="double"/>
              </w:rPr>
            </w:pPr>
            <w:r w:rsidRPr="00517B76">
              <w:rPr>
                <w:color w:val="000000"/>
                <w:u w:val="double"/>
              </w:rPr>
              <w:t>$147,518</w:t>
            </w:r>
          </w:p>
        </w:tc>
        <w:tc>
          <w:tcPr>
            <w:tcW w:w="1397" w:type="dxa"/>
            <w:tcBorders>
              <w:top w:val="nil"/>
              <w:left w:val="nil"/>
              <w:bottom w:val="nil"/>
              <w:right w:val="nil"/>
            </w:tcBorders>
            <w:shd w:val="clear" w:color="auto" w:fill="auto"/>
            <w:noWrap/>
            <w:vAlign w:val="bottom"/>
            <w:hideMark/>
          </w:tcPr>
          <w:p w:rsidR="000A1359" w:rsidRPr="00517B76" w:rsidRDefault="000A1359" w:rsidP="00FF33DA">
            <w:pPr>
              <w:rPr>
                <w:color w:val="000000"/>
                <w:u w:val="double"/>
              </w:rPr>
            </w:pPr>
          </w:p>
        </w:tc>
        <w:tc>
          <w:tcPr>
            <w:tcW w:w="1720" w:type="dxa"/>
            <w:tcBorders>
              <w:top w:val="nil"/>
              <w:left w:val="nil"/>
              <w:bottom w:val="nil"/>
              <w:right w:val="single" w:sz="8" w:space="0" w:color="auto"/>
            </w:tcBorders>
            <w:shd w:val="clear" w:color="000000" w:fill="FFFFFF"/>
            <w:noWrap/>
            <w:vAlign w:val="bottom"/>
            <w:hideMark/>
          </w:tcPr>
          <w:p w:rsidR="000A1359" w:rsidRPr="00517B76" w:rsidRDefault="000A1359" w:rsidP="00FF33DA">
            <w:pPr>
              <w:jc w:val="right"/>
              <w:rPr>
                <w:color w:val="000000"/>
                <w:u w:val="double"/>
              </w:rPr>
            </w:pPr>
            <w:r w:rsidRPr="00517B76">
              <w:rPr>
                <w:color w:val="000000"/>
                <w:u w:val="double"/>
              </w:rPr>
              <w:t>$147,518</w:t>
            </w:r>
          </w:p>
        </w:tc>
      </w:tr>
      <w:tr w:rsidR="000A1359" w:rsidRPr="00517B76" w:rsidTr="00FF33DA">
        <w:trPr>
          <w:trHeight w:val="265"/>
        </w:trPr>
        <w:tc>
          <w:tcPr>
            <w:tcW w:w="4816" w:type="dxa"/>
            <w:tcBorders>
              <w:top w:val="nil"/>
              <w:left w:val="single" w:sz="8" w:space="0" w:color="auto"/>
              <w:bottom w:val="nil"/>
              <w:right w:val="nil"/>
            </w:tcBorders>
            <w:shd w:val="clear" w:color="auto" w:fill="auto"/>
            <w:noWrap/>
            <w:vAlign w:val="bottom"/>
            <w:hideMark/>
          </w:tcPr>
          <w:p w:rsidR="000A1359" w:rsidRPr="00517B76" w:rsidRDefault="000A1359" w:rsidP="00FF33DA">
            <w:pPr>
              <w:rPr>
                <w:color w:val="000000"/>
              </w:rPr>
            </w:pPr>
            <w:r w:rsidRPr="00517B76">
              <w:rPr>
                <w:color w:val="000000"/>
              </w:rPr>
              <w:t> </w:t>
            </w:r>
          </w:p>
        </w:tc>
        <w:tc>
          <w:tcPr>
            <w:tcW w:w="1720" w:type="dxa"/>
            <w:tcBorders>
              <w:top w:val="nil"/>
              <w:left w:val="nil"/>
              <w:bottom w:val="nil"/>
              <w:right w:val="nil"/>
            </w:tcBorders>
            <w:shd w:val="clear" w:color="auto" w:fill="auto"/>
            <w:noWrap/>
            <w:vAlign w:val="bottom"/>
            <w:hideMark/>
          </w:tcPr>
          <w:p w:rsidR="000A1359" w:rsidRPr="00517B76" w:rsidRDefault="000A1359" w:rsidP="00FF33DA">
            <w:pPr>
              <w:rPr>
                <w:color w:val="000000"/>
              </w:rPr>
            </w:pPr>
          </w:p>
        </w:tc>
        <w:tc>
          <w:tcPr>
            <w:tcW w:w="1397" w:type="dxa"/>
            <w:tcBorders>
              <w:top w:val="nil"/>
              <w:left w:val="nil"/>
              <w:bottom w:val="nil"/>
              <w:right w:val="nil"/>
            </w:tcBorders>
            <w:shd w:val="clear" w:color="auto" w:fill="auto"/>
            <w:noWrap/>
            <w:vAlign w:val="bottom"/>
            <w:hideMark/>
          </w:tcPr>
          <w:p w:rsidR="000A1359" w:rsidRPr="00517B76" w:rsidRDefault="000A1359" w:rsidP="00FF33DA">
            <w:pPr>
              <w:rPr>
                <w:color w:val="000000"/>
              </w:rPr>
            </w:pPr>
          </w:p>
        </w:tc>
        <w:tc>
          <w:tcPr>
            <w:tcW w:w="1720" w:type="dxa"/>
            <w:tcBorders>
              <w:top w:val="nil"/>
              <w:left w:val="nil"/>
              <w:bottom w:val="nil"/>
              <w:right w:val="single" w:sz="8" w:space="0" w:color="auto"/>
            </w:tcBorders>
            <w:shd w:val="clear" w:color="auto" w:fill="auto"/>
            <w:noWrap/>
            <w:vAlign w:val="bottom"/>
            <w:hideMark/>
          </w:tcPr>
          <w:p w:rsidR="000A1359" w:rsidRPr="00517B76" w:rsidRDefault="000A1359" w:rsidP="00FF33DA">
            <w:pPr>
              <w:rPr>
                <w:color w:val="000000"/>
              </w:rPr>
            </w:pPr>
            <w:r w:rsidRPr="00517B76">
              <w:rPr>
                <w:color w:val="000000"/>
              </w:rPr>
              <w:t> </w:t>
            </w:r>
          </w:p>
        </w:tc>
      </w:tr>
      <w:tr w:rsidR="000A1359" w:rsidRPr="00517B76" w:rsidTr="00FF33DA">
        <w:trPr>
          <w:trHeight w:val="278"/>
        </w:trPr>
        <w:tc>
          <w:tcPr>
            <w:tcW w:w="4816" w:type="dxa"/>
            <w:tcBorders>
              <w:top w:val="nil"/>
              <w:left w:val="single" w:sz="8" w:space="0" w:color="auto"/>
              <w:bottom w:val="single" w:sz="8" w:space="0" w:color="auto"/>
              <w:right w:val="nil"/>
            </w:tcBorders>
            <w:shd w:val="clear" w:color="auto" w:fill="auto"/>
            <w:noWrap/>
            <w:vAlign w:val="bottom"/>
            <w:hideMark/>
          </w:tcPr>
          <w:p w:rsidR="000A1359" w:rsidRPr="00517B76" w:rsidRDefault="000A1359" w:rsidP="00FF33DA">
            <w:pPr>
              <w:rPr>
                <w:color w:val="000000"/>
              </w:rPr>
            </w:pPr>
            <w:r w:rsidRPr="00517B76">
              <w:rPr>
                <w:color w:val="000000"/>
              </w:rPr>
              <w:t>Total Rate Base</w:t>
            </w:r>
          </w:p>
        </w:tc>
        <w:tc>
          <w:tcPr>
            <w:tcW w:w="1720" w:type="dxa"/>
            <w:tcBorders>
              <w:top w:val="nil"/>
              <w:left w:val="nil"/>
              <w:bottom w:val="single" w:sz="8" w:space="0" w:color="auto"/>
              <w:right w:val="nil"/>
            </w:tcBorders>
            <w:shd w:val="clear" w:color="auto" w:fill="auto"/>
            <w:noWrap/>
            <w:vAlign w:val="bottom"/>
            <w:hideMark/>
          </w:tcPr>
          <w:p w:rsidR="000A1359" w:rsidRPr="00517B76" w:rsidRDefault="000A1359" w:rsidP="00FF33DA">
            <w:pPr>
              <w:jc w:val="right"/>
              <w:rPr>
                <w:color w:val="000000"/>
                <w:u w:val="double"/>
              </w:rPr>
            </w:pPr>
            <w:r w:rsidRPr="00517B76">
              <w:rPr>
                <w:color w:val="000000"/>
                <w:u w:val="double"/>
              </w:rPr>
              <w:t xml:space="preserve">$5,044,363 </w:t>
            </w:r>
          </w:p>
        </w:tc>
        <w:tc>
          <w:tcPr>
            <w:tcW w:w="1397" w:type="dxa"/>
            <w:tcBorders>
              <w:top w:val="nil"/>
              <w:left w:val="nil"/>
              <w:bottom w:val="single" w:sz="8" w:space="0" w:color="auto"/>
              <w:right w:val="nil"/>
            </w:tcBorders>
            <w:shd w:val="clear" w:color="auto" w:fill="auto"/>
            <w:noWrap/>
            <w:vAlign w:val="bottom"/>
            <w:hideMark/>
          </w:tcPr>
          <w:p w:rsidR="000A1359" w:rsidRPr="00517B76" w:rsidRDefault="000A1359" w:rsidP="00FF33DA">
            <w:pPr>
              <w:jc w:val="right"/>
              <w:rPr>
                <w:color w:val="000000"/>
                <w:u w:val="double"/>
              </w:rPr>
            </w:pPr>
            <w:r w:rsidRPr="00517B76">
              <w:rPr>
                <w:color w:val="000000"/>
                <w:u w:val="double"/>
              </w:rPr>
              <w:t>($23,010)</w:t>
            </w:r>
          </w:p>
        </w:tc>
        <w:tc>
          <w:tcPr>
            <w:tcW w:w="1720" w:type="dxa"/>
            <w:tcBorders>
              <w:top w:val="nil"/>
              <w:left w:val="nil"/>
              <w:bottom w:val="single" w:sz="8" w:space="0" w:color="auto"/>
              <w:right w:val="single" w:sz="8" w:space="0" w:color="auto"/>
            </w:tcBorders>
            <w:shd w:val="clear" w:color="auto" w:fill="auto"/>
            <w:noWrap/>
            <w:vAlign w:val="bottom"/>
            <w:hideMark/>
          </w:tcPr>
          <w:p w:rsidR="000A1359" w:rsidRPr="00517B76" w:rsidRDefault="000A1359" w:rsidP="00FF33DA">
            <w:pPr>
              <w:jc w:val="right"/>
              <w:rPr>
                <w:color w:val="000000"/>
                <w:u w:val="double"/>
              </w:rPr>
            </w:pPr>
            <w:r w:rsidRPr="00517B76">
              <w:rPr>
                <w:color w:val="000000"/>
                <w:u w:val="double"/>
              </w:rPr>
              <w:t xml:space="preserve">$5,021,353 </w:t>
            </w:r>
          </w:p>
        </w:tc>
      </w:tr>
    </w:tbl>
    <w:p w:rsidR="000A1359" w:rsidRPr="00517B76" w:rsidRDefault="000A1359" w:rsidP="000A1359">
      <w:pPr>
        <w:tabs>
          <w:tab w:val="left" w:pos="3561"/>
        </w:tabs>
        <w:jc w:val="both"/>
      </w:pPr>
      <w:r w:rsidRPr="00517B76">
        <w:t>Source: Sebring’s proposed 2020 PTY Rate Base amount as shown on Revised MFR Schedule G1-1.</w:t>
      </w:r>
    </w:p>
    <w:p w:rsidR="000A1359" w:rsidRPr="00517B76" w:rsidRDefault="000A1359" w:rsidP="000A1359">
      <w:pPr>
        <w:tabs>
          <w:tab w:val="left" w:pos="3561"/>
        </w:tabs>
        <w:jc w:val="both"/>
      </w:pPr>
      <w:r w:rsidRPr="00517B76">
        <w:t>*May not sum due to rounding.</w:t>
      </w:r>
    </w:p>
    <w:p w:rsidR="000A1359" w:rsidRDefault="000A1359" w:rsidP="000A1359">
      <w:pPr>
        <w:pStyle w:val="BodyText"/>
      </w:pPr>
    </w:p>
    <w:p w:rsidR="000A1359" w:rsidRDefault="000A1359" w:rsidP="000A1359">
      <w:pPr>
        <w:pStyle w:val="BodyText"/>
        <w:sectPr w:rsidR="000A1359" w:rsidSect="0068481F">
          <w:headerReference w:type="even" r:id="rId16"/>
          <w:headerReference w:type="default" r:id="rId17"/>
          <w:headerReference w:type="first" r:id="rId18"/>
          <w:pgSz w:w="12240" w:h="15840" w:code="1"/>
          <w:pgMar w:top="1584" w:right="1440" w:bottom="1440" w:left="1440" w:header="720" w:footer="720" w:gutter="0"/>
          <w:cols w:space="720"/>
          <w:formProt w:val="0"/>
          <w:docGrid w:linePitch="360"/>
        </w:sectPr>
      </w:pPr>
    </w:p>
    <w:p w:rsidR="000A1359" w:rsidRDefault="000A1359" w:rsidP="000A1359">
      <w:pPr>
        <w:pStyle w:val="IssueHeading"/>
      </w:pPr>
      <w:r>
        <w:lastRenderedPageBreak/>
        <w:fldChar w:fldCharType="begin"/>
      </w:r>
      <w:r>
        <w:instrText xml:space="preserve"> TC "</w:instrText>
      </w:r>
      <w:bookmarkStart w:id="45" w:name="_Toc28007741"/>
      <w:r>
        <w:tab/>
        <w:instrText>Schedule No. 1B</w:instrText>
      </w:r>
      <w:r>
        <w:tab/>
        <w:instrText>47</w:instrText>
      </w:r>
      <w:bookmarkEnd w:id="45"/>
      <w:r>
        <w:instrText>" \l 1 \n</w:instrText>
      </w:r>
      <w:r>
        <w:fldChar w:fldCharType="end"/>
      </w:r>
    </w:p>
    <w:p w:rsidR="00754973" w:rsidRPr="00834EC9" w:rsidRDefault="00754973" w:rsidP="00754973">
      <w:pPr>
        <w:jc w:val="center"/>
        <w:rPr>
          <w:rFonts w:ascii="Arial" w:hAnsi="Arial" w:cs="Arial"/>
          <w:b/>
        </w:rPr>
      </w:pPr>
      <w:r w:rsidRPr="00834EC9">
        <w:rPr>
          <w:rFonts w:ascii="Arial" w:hAnsi="Arial" w:cs="Arial"/>
          <w:b/>
        </w:rPr>
        <w:t>Sebring Gas Systems</w:t>
      </w:r>
    </w:p>
    <w:p w:rsidR="00754973" w:rsidRPr="00834EC9" w:rsidRDefault="00754973" w:rsidP="00754973">
      <w:pPr>
        <w:jc w:val="center"/>
        <w:rPr>
          <w:rFonts w:ascii="Arial" w:hAnsi="Arial" w:cs="Arial"/>
          <w:b/>
        </w:rPr>
      </w:pPr>
      <w:r w:rsidRPr="00834EC9">
        <w:rPr>
          <w:rFonts w:ascii="Arial" w:hAnsi="Arial" w:cs="Arial"/>
          <w:b/>
        </w:rPr>
        <w:t>Docket No. 20190083-GU</w:t>
      </w:r>
    </w:p>
    <w:p w:rsidR="00754973" w:rsidRPr="00517B76" w:rsidRDefault="00754973" w:rsidP="00754973">
      <w:pPr>
        <w:jc w:val="center"/>
        <w:rPr>
          <w:rFonts w:asciiTheme="minorHAnsi" w:eastAsiaTheme="minorHAnsi" w:hAnsiTheme="minorHAnsi" w:cstheme="minorBidi"/>
          <w:sz w:val="22"/>
          <w:szCs w:val="22"/>
        </w:rPr>
      </w:pPr>
      <w:r w:rsidRPr="00834EC9">
        <w:rPr>
          <w:rFonts w:ascii="Arial" w:hAnsi="Arial" w:cs="Arial"/>
          <w:b/>
        </w:rPr>
        <w:t>Working Capital Calculation</w:t>
      </w:r>
      <w:r w:rsidRPr="00517B76">
        <w:rPr>
          <w:b/>
        </w:rPr>
        <w:t xml:space="preserve"> </w:t>
      </w:r>
    </w:p>
    <w:tbl>
      <w:tblPr>
        <w:tblW w:w="9540" w:type="dxa"/>
        <w:tblInd w:w="108" w:type="dxa"/>
        <w:tblLook w:val="04A0" w:firstRow="1" w:lastRow="0" w:firstColumn="1" w:lastColumn="0" w:noHBand="0" w:noVBand="1"/>
      </w:tblPr>
      <w:tblGrid>
        <w:gridCol w:w="6201"/>
        <w:gridCol w:w="3339"/>
      </w:tblGrid>
      <w:tr w:rsidR="00754973" w:rsidRPr="00517B76" w:rsidTr="00754973">
        <w:trPr>
          <w:trHeight w:val="502"/>
        </w:trPr>
        <w:tc>
          <w:tcPr>
            <w:tcW w:w="6201" w:type="dxa"/>
            <w:tcBorders>
              <w:top w:val="single" w:sz="8" w:space="0" w:color="auto"/>
              <w:left w:val="single" w:sz="8" w:space="0" w:color="auto"/>
              <w:bottom w:val="nil"/>
              <w:right w:val="nil"/>
            </w:tcBorders>
            <w:shd w:val="clear" w:color="auto" w:fill="auto"/>
            <w:noWrap/>
            <w:vAlign w:val="bottom"/>
            <w:hideMark/>
          </w:tcPr>
          <w:p w:rsidR="00754973" w:rsidRPr="00517B76" w:rsidRDefault="00754973" w:rsidP="00754973">
            <w:pPr>
              <w:jc w:val="center"/>
              <w:rPr>
                <w:color w:val="000000"/>
                <w:sz w:val="22"/>
                <w:szCs w:val="22"/>
                <w:u w:val="single"/>
              </w:rPr>
            </w:pPr>
            <w:r w:rsidRPr="00517B76">
              <w:rPr>
                <w:color w:val="000000"/>
                <w:sz w:val="22"/>
                <w:szCs w:val="22"/>
                <w:u w:val="single"/>
              </w:rPr>
              <w:t xml:space="preserve">CURRENT &amp; ACCRUED ASSETS </w:t>
            </w:r>
          </w:p>
        </w:tc>
        <w:tc>
          <w:tcPr>
            <w:tcW w:w="3339" w:type="dxa"/>
            <w:tcBorders>
              <w:top w:val="single" w:sz="8" w:space="0" w:color="auto"/>
              <w:left w:val="nil"/>
              <w:bottom w:val="nil"/>
              <w:right w:val="single" w:sz="8" w:space="0" w:color="auto"/>
            </w:tcBorders>
            <w:shd w:val="clear" w:color="auto" w:fill="auto"/>
            <w:noWrap/>
            <w:vAlign w:val="bottom"/>
            <w:hideMark/>
          </w:tcPr>
          <w:p w:rsidR="00754973" w:rsidRPr="00517B76" w:rsidRDefault="00754973" w:rsidP="00754973">
            <w:pPr>
              <w:rPr>
                <w:color w:val="000000"/>
                <w:sz w:val="22"/>
                <w:szCs w:val="22"/>
              </w:rPr>
            </w:pPr>
            <w:r w:rsidRPr="00517B76">
              <w:rPr>
                <w:color w:val="000000"/>
                <w:sz w:val="22"/>
                <w:szCs w:val="22"/>
              </w:rPr>
              <w:t> </w:t>
            </w:r>
          </w:p>
        </w:tc>
      </w:tr>
      <w:tr w:rsidR="00754973" w:rsidRPr="00517B76" w:rsidTr="00754973">
        <w:trPr>
          <w:trHeight w:val="250"/>
        </w:trPr>
        <w:tc>
          <w:tcPr>
            <w:tcW w:w="6201" w:type="dxa"/>
            <w:tcBorders>
              <w:top w:val="nil"/>
              <w:left w:val="single" w:sz="8" w:space="0" w:color="auto"/>
              <w:bottom w:val="nil"/>
              <w:right w:val="nil"/>
            </w:tcBorders>
            <w:shd w:val="clear" w:color="auto" w:fill="auto"/>
            <w:noWrap/>
            <w:vAlign w:val="bottom"/>
            <w:hideMark/>
          </w:tcPr>
          <w:p w:rsidR="00754973" w:rsidRPr="00517B76" w:rsidRDefault="00754973" w:rsidP="00754973">
            <w:pPr>
              <w:rPr>
                <w:color w:val="000000"/>
                <w:sz w:val="22"/>
                <w:szCs w:val="22"/>
              </w:rPr>
            </w:pPr>
            <w:r w:rsidRPr="00517B76">
              <w:rPr>
                <w:color w:val="000000"/>
                <w:sz w:val="22"/>
                <w:szCs w:val="22"/>
              </w:rPr>
              <w:t> </w:t>
            </w:r>
          </w:p>
        </w:tc>
        <w:tc>
          <w:tcPr>
            <w:tcW w:w="3339" w:type="dxa"/>
            <w:tcBorders>
              <w:top w:val="nil"/>
              <w:left w:val="nil"/>
              <w:bottom w:val="nil"/>
              <w:right w:val="single" w:sz="8" w:space="0" w:color="auto"/>
            </w:tcBorders>
            <w:shd w:val="clear" w:color="auto" w:fill="auto"/>
            <w:noWrap/>
            <w:vAlign w:val="bottom"/>
            <w:hideMark/>
          </w:tcPr>
          <w:p w:rsidR="00754973" w:rsidRPr="00517B76" w:rsidRDefault="00754973" w:rsidP="00754973">
            <w:pPr>
              <w:rPr>
                <w:color w:val="000000"/>
                <w:sz w:val="22"/>
                <w:szCs w:val="22"/>
              </w:rPr>
            </w:pPr>
            <w:r w:rsidRPr="00517B76">
              <w:rPr>
                <w:color w:val="000000"/>
                <w:sz w:val="22"/>
                <w:szCs w:val="22"/>
              </w:rPr>
              <w:t> </w:t>
            </w:r>
          </w:p>
        </w:tc>
      </w:tr>
      <w:tr w:rsidR="00754973" w:rsidRPr="00517B76" w:rsidTr="00754973">
        <w:trPr>
          <w:trHeight w:val="250"/>
        </w:trPr>
        <w:tc>
          <w:tcPr>
            <w:tcW w:w="6201" w:type="dxa"/>
            <w:tcBorders>
              <w:top w:val="nil"/>
              <w:left w:val="single" w:sz="8" w:space="0" w:color="auto"/>
              <w:bottom w:val="nil"/>
              <w:right w:val="nil"/>
            </w:tcBorders>
            <w:shd w:val="clear" w:color="auto" w:fill="auto"/>
            <w:noWrap/>
            <w:vAlign w:val="bottom"/>
            <w:hideMark/>
          </w:tcPr>
          <w:p w:rsidR="00754973" w:rsidRPr="00517B76" w:rsidRDefault="00754973" w:rsidP="00754973">
            <w:pPr>
              <w:rPr>
                <w:color w:val="000000"/>
                <w:sz w:val="22"/>
                <w:szCs w:val="22"/>
              </w:rPr>
            </w:pPr>
            <w:r w:rsidRPr="00517B76">
              <w:rPr>
                <w:color w:val="000000"/>
                <w:sz w:val="22"/>
                <w:szCs w:val="22"/>
              </w:rPr>
              <w:t>CASH</w:t>
            </w:r>
          </w:p>
        </w:tc>
        <w:tc>
          <w:tcPr>
            <w:tcW w:w="3339" w:type="dxa"/>
            <w:tcBorders>
              <w:top w:val="nil"/>
              <w:left w:val="nil"/>
              <w:bottom w:val="nil"/>
              <w:right w:val="single" w:sz="8" w:space="0" w:color="auto"/>
            </w:tcBorders>
            <w:shd w:val="clear" w:color="auto" w:fill="auto"/>
            <w:noWrap/>
            <w:vAlign w:val="bottom"/>
            <w:hideMark/>
          </w:tcPr>
          <w:p w:rsidR="00754973" w:rsidRPr="00517B76" w:rsidRDefault="00754973" w:rsidP="00754973">
            <w:pPr>
              <w:jc w:val="right"/>
              <w:rPr>
                <w:color w:val="000000"/>
                <w:sz w:val="22"/>
                <w:szCs w:val="22"/>
              </w:rPr>
            </w:pPr>
            <w:r w:rsidRPr="00517B76">
              <w:rPr>
                <w:color w:val="000000"/>
                <w:sz w:val="22"/>
                <w:szCs w:val="22"/>
              </w:rPr>
              <w:t xml:space="preserve">$209,874 </w:t>
            </w:r>
          </w:p>
        </w:tc>
      </w:tr>
      <w:tr w:rsidR="00754973" w:rsidRPr="00517B76" w:rsidTr="00754973">
        <w:trPr>
          <w:trHeight w:val="250"/>
        </w:trPr>
        <w:tc>
          <w:tcPr>
            <w:tcW w:w="6201" w:type="dxa"/>
            <w:tcBorders>
              <w:top w:val="nil"/>
              <w:left w:val="single" w:sz="8" w:space="0" w:color="auto"/>
              <w:bottom w:val="nil"/>
              <w:right w:val="nil"/>
            </w:tcBorders>
            <w:shd w:val="clear" w:color="auto" w:fill="auto"/>
            <w:noWrap/>
            <w:vAlign w:val="bottom"/>
            <w:hideMark/>
          </w:tcPr>
          <w:p w:rsidR="00754973" w:rsidRPr="00517B76" w:rsidRDefault="00754973" w:rsidP="00754973">
            <w:pPr>
              <w:rPr>
                <w:color w:val="000000"/>
                <w:sz w:val="22"/>
                <w:szCs w:val="22"/>
              </w:rPr>
            </w:pPr>
            <w:r w:rsidRPr="00517B76">
              <w:rPr>
                <w:color w:val="000000"/>
                <w:sz w:val="22"/>
                <w:szCs w:val="22"/>
              </w:rPr>
              <w:t>ACCOUNTS REC - NATURAL GAS</w:t>
            </w:r>
          </w:p>
        </w:tc>
        <w:tc>
          <w:tcPr>
            <w:tcW w:w="3339" w:type="dxa"/>
            <w:tcBorders>
              <w:top w:val="nil"/>
              <w:left w:val="nil"/>
              <w:bottom w:val="nil"/>
              <w:right w:val="single" w:sz="8" w:space="0" w:color="auto"/>
            </w:tcBorders>
            <w:shd w:val="clear" w:color="auto" w:fill="auto"/>
            <w:noWrap/>
            <w:vAlign w:val="bottom"/>
            <w:hideMark/>
          </w:tcPr>
          <w:p w:rsidR="00754973" w:rsidRPr="00517B76" w:rsidRDefault="00754973" w:rsidP="00754973">
            <w:pPr>
              <w:jc w:val="right"/>
              <w:rPr>
                <w:color w:val="000000"/>
                <w:sz w:val="22"/>
                <w:szCs w:val="22"/>
              </w:rPr>
            </w:pPr>
            <w:r w:rsidRPr="00517B76">
              <w:rPr>
                <w:color w:val="000000"/>
                <w:sz w:val="22"/>
                <w:szCs w:val="22"/>
              </w:rPr>
              <w:t xml:space="preserve">44,089 </w:t>
            </w:r>
          </w:p>
        </w:tc>
      </w:tr>
      <w:tr w:rsidR="00754973" w:rsidRPr="00517B76" w:rsidTr="00754973">
        <w:trPr>
          <w:trHeight w:val="250"/>
        </w:trPr>
        <w:tc>
          <w:tcPr>
            <w:tcW w:w="6201" w:type="dxa"/>
            <w:tcBorders>
              <w:top w:val="nil"/>
              <w:left w:val="single" w:sz="8" w:space="0" w:color="auto"/>
              <w:bottom w:val="nil"/>
              <w:right w:val="nil"/>
            </w:tcBorders>
            <w:shd w:val="clear" w:color="auto" w:fill="auto"/>
            <w:noWrap/>
            <w:vAlign w:val="bottom"/>
            <w:hideMark/>
          </w:tcPr>
          <w:p w:rsidR="00754973" w:rsidRPr="00517B76" w:rsidRDefault="00754973" w:rsidP="00754973">
            <w:pPr>
              <w:rPr>
                <w:color w:val="000000"/>
                <w:sz w:val="22"/>
                <w:szCs w:val="22"/>
              </w:rPr>
            </w:pPr>
            <w:r w:rsidRPr="00517B76">
              <w:rPr>
                <w:color w:val="000000"/>
                <w:sz w:val="22"/>
                <w:szCs w:val="22"/>
              </w:rPr>
              <w:t>ACCOUNTS REC - FUEL</w:t>
            </w:r>
          </w:p>
        </w:tc>
        <w:tc>
          <w:tcPr>
            <w:tcW w:w="3339" w:type="dxa"/>
            <w:tcBorders>
              <w:top w:val="nil"/>
              <w:left w:val="nil"/>
              <w:bottom w:val="nil"/>
              <w:right w:val="single" w:sz="8" w:space="0" w:color="auto"/>
            </w:tcBorders>
            <w:shd w:val="clear" w:color="auto" w:fill="auto"/>
            <w:noWrap/>
            <w:vAlign w:val="bottom"/>
            <w:hideMark/>
          </w:tcPr>
          <w:p w:rsidR="00754973" w:rsidRPr="00517B76" w:rsidRDefault="00754973" w:rsidP="00754973">
            <w:pPr>
              <w:jc w:val="right"/>
              <w:rPr>
                <w:color w:val="000000"/>
                <w:sz w:val="22"/>
                <w:szCs w:val="22"/>
              </w:rPr>
            </w:pPr>
            <w:r w:rsidRPr="00517B76">
              <w:rPr>
                <w:color w:val="000000"/>
                <w:sz w:val="22"/>
                <w:szCs w:val="22"/>
              </w:rPr>
              <w:t xml:space="preserve">0 </w:t>
            </w:r>
          </w:p>
        </w:tc>
      </w:tr>
      <w:tr w:rsidR="00754973" w:rsidRPr="00517B76" w:rsidTr="00754973">
        <w:trPr>
          <w:trHeight w:val="250"/>
        </w:trPr>
        <w:tc>
          <w:tcPr>
            <w:tcW w:w="6201" w:type="dxa"/>
            <w:tcBorders>
              <w:top w:val="nil"/>
              <w:left w:val="single" w:sz="8" w:space="0" w:color="auto"/>
              <w:bottom w:val="nil"/>
              <w:right w:val="nil"/>
            </w:tcBorders>
            <w:shd w:val="clear" w:color="auto" w:fill="auto"/>
            <w:noWrap/>
            <w:vAlign w:val="bottom"/>
            <w:hideMark/>
          </w:tcPr>
          <w:p w:rsidR="00754973" w:rsidRPr="00517B76" w:rsidRDefault="00754973" w:rsidP="00754973">
            <w:pPr>
              <w:rPr>
                <w:color w:val="000000"/>
                <w:sz w:val="22"/>
                <w:szCs w:val="22"/>
              </w:rPr>
            </w:pPr>
            <w:r w:rsidRPr="00517B76">
              <w:rPr>
                <w:color w:val="000000"/>
                <w:sz w:val="22"/>
                <w:szCs w:val="22"/>
              </w:rPr>
              <w:t>PLANT &amp; OPER. MATERIAL SUPPL</w:t>
            </w:r>
          </w:p>
        </w:tc>
        <w:tc>
          <w:tcPr>
            <w:tcW w:w="3339" w:type="dxa"/>
            <w:tcBorders>
              <w:top w:val="nil"/>
              <w:left w:val="nil"/>
              <w:bottom w:val="nil"/>
              <w:right w:val="single" w:sz="8" w:space="0" w:color="auto"/>
            </w:tcBorders>
            <w:shd w:val="clear" w:color="auto" w:fill="auto"/>
            <w:noWrap/>
            <w:vAlign w:val="bottom"/>
            <w:hideMark/>
          </w:tcPr>
          <w:p w:rsidR="00754973" w:rsidRPr="00517B76" w:rsidRDefault="00754973" w:rsidP="00754973">
            <w:pPr>
              <w:jc w:val="right"/>
              <w:rPr>
                <w:color w:val="000000"/>
                <w:sz w:val="22"/>
                <w:szCs w:val="22"/>
              </w:rPr>
            </w:pPr>
            <w:r w:rsidRPr="00517B76">
              <w:rPr>
                <w:color w:val="000000"/>
                <w:sz w:val="22"/>
                <w:szCs w:val="22"/>
              </w:rPr>
              <w:t xml:space="preserve">94,018 </w:t>
            </w:r>
          </w:p>
        </w:tc>
      </w:tr>
      <w:tr w:rsidR="00754973" w:rsidRPr="00517B76" w:rsidTr="00754973">
        <w:trPr>
          <w:trHeight w:val="250"/>
        </w:trPr>
        <w:tc>
          <w:tcPr>
            <w:tcW w:w="6201" w:type="dxa"/>
            <w:tcBorders>
              <w:top w:val="nil"/>
              <w:left w:val="single" w:sz="8" w:space="0" w:color="auto"/>
              <w:bottom w:val="nil"/>
              <w:right w:val="nil"/>
            </w:tcBorders>
            <w:shd w:val="clear" w:color="auto" w:fill="auto"/>
            <w:noWrap/>
            <w:vAlign w:val="bottom"/>
            <w:hideMark/>
          </w:tcPr>
          <w:p w:rsidR="00754973" w:rsidRPr="00517B76" w:rsidRDefault="00754973" w:rsidP="00754973">
            <w:pPr>
              <w:rPr>
                <w:color w:val="000000"/>
                <w:sz w:val="22"/>
                <w:szCs w:val="22"/>
              </w:rPr>
            </w:pPr>
            <w:r w:rsidRPr="00517B76">
              <w:rPr>
                <w:color w:val="000000"/>
                <w:sz w:val="22"/>
                <w:szCs w:val="22"/>
              </w:rPr>
              <w:t>PREPAYMENTS</w:t>
            </w:r>
          </w:p>
        </w:tc>
        <w:tc>
          <w:tcPr>
            <w:tcW w:w="3339" w:type="dxa"/>
            <w:tcBorders>
              <w:top w:val="nil"/>
              <w:left w:val="nil"/>
              <w:bottom w:val="nil"/>
              <w:right w:val="single" w:sz="8" w:space="0" w:color="auto"/>
            </w:tcBorders>
            <w:shd w:val="clear" w:color="auto" w:fill="auto"/>
            <w:noWrap/>
            <w:vAlign w:val="bottom"/>
            <w:hideMark/>
          </w:tcPr>
          <w:p w:rsidR="00754973" w:rsidRPr="00517B76" w:rsidRDefault="00754973" w:rsidP="00754973">
            <w:pPr>
              <w:jc w:val="right"/>
              <w:rPr>
                <w:color w:val="000000"/>
                <w:sz w:val="22"/>
                <w:szCs w:val="22"/>
                <w:u w:val="single"/>
              </w:rPr>
            </w:pPr>
            <w:r w:rsidRPr="00517B76">
              <w:rPr>
                <w:color w:val="000000"/>
                <w:sz w:val="22"/>
                <w:szCs w:val="22"/>
                <w:u w:val="single"/>
              </w:rPr>
              <w:t xml:space="preserve">3,870 </w:t>
            </w:r>
          </w:p>
        </w:tc>
      </w:tr>
      <w:tr w:rsidR="00754973" w:rsidRPr="00517B76" w:rsidTr="00754973">
        <w:trPr>
          <w:trHeight w:val="250"/>
        </w:trPr>
        <w:tc>
          <w:tcPr>
            <w:tcW w:w="6201" w:type="dxa"/>
            <w:tcBorders>
              <w:top w:val="nil"/>
              <w:left w:val="single" w:sz="8" w:space="0" w:color="auto"/>
              <w:bottom w:val="nil"/>
              <w:right w:val="nil"/>
            </w:tcBorders>
            <w:shd w:val="clear" w:color="auto" w:fill="auto"/>
            <w:noWrap/>
            <w:vAlign w:val="bottom"/>
            <w:hideMark/>
          </w:tcPr>
          <w:p w:rsidR="00754973" w:rsidRPr="00517B76" w:rsidRDefault="00754973" w:rsidP="00754973">
            <w:pPr>
              <w:rPr>
                <w:color w:val="000000"/>
                <w:sz w:val="22"/>
                <w:szCs w:val="22"/>
              </w:rPr>
            </w:pPr>
            <w:r w:rsidRPr="00517B76">
              <w:rPr>
                <w:color w:val="000000"/>
                <w:sz w:val="22"/>
                <w:szCs w:val="22"/>
              </w:rPr>
              <w:t> </w:t>
            </w:r>
          </w:p>
        </w:tc>
        <w:tc>
          <w:tcPr>
            <w:tcW w:w="3339" w:type="dxa"/>
            <w:tcBorders>
              <w:top w:val="nil"/>
              <w:left w:val="nil"/>
              <w:bottom w:val="nil"/>
              <w:right w:val="single" w:sz="8" w:space="0" w:color="auto"/>
            </w:tcBorders>
            <w:shd w:val="clear" w:color="auto" w:fill="auto"/>
            <w:noWrap/>
            <w:vAlign w:val="bottom"/>
            <w:hideMark/>
          </w:tcPr>
          <w:p w:rsidR="00754973" w:rsidRPr="00517B76" w:rsidRDefault="00754973" w:rsidP="00754973">
            <w:pPr>
              <w:rPr>
                <w:color w:val="000000"/>
                <w:sz w:val="22"/>
                <w:szCs w:val="22"/>
              </w:rPr>
            </w:pPr>
            <w:r w:rsidRPr="00517B76">
              <w:rPr>
                <w:color w:val="000000"/>
                <w:sz w:val="22"/>
                <w:szCs w:val="22"/>
              </w:rPr>
              <w:t> </w:t>
            </w:r>
          </w:p>
        </w:tc>
      </w:tr>
      <w:tr w:rsidR="00754973" w:rsidRPr="00517B76" w:rsidTr="00754973">
        <w:trPr>
          <w:trHeight w:val="250"/>
        </w:trPr>
        <w:tc>
          <w:tcPr>
            <w:tcW w:w="6201" w:type="dxa"/>
            <w:tcBorders>
              <w:top w:val="nil"/>
              <w:left w:val="single" w:sz="8" w:space="0" w:color="auto"/>
              <w:bottom w:val="nil"/>
              <w:right w:val="nil"/>
            </w:tcBorders>
            <w:shd w:val="clear" w:color="auto" w:fill="auto"/>
            <w:noWrap/>
            <w:vAlign w:val="bottom"/>
            <w:hideMark/>
          </w:tcPr>
          <w:p w:rsidR="00754973" w:rsidRPr="00517B76" w:rsidRDefault="00754973" w:rsidP="00754973">
            <w:pPr>
              <w:jc w:val="center"/>
              <w:rPr>
                <w:color w:val="000000"/>
                <w:sz w:val="22"/>
                <w:szCs w:val="22"/>
              </w:rPr>
            </w:pPr>
            <w:r w:rsidRPr="00517B76">
              <w:rPr>
                <w:color w:val="000000"/>
                <w:sz w:val="22"/>
                <w:szCs w:val="22"/>
              </w:rPr>
              <w:t xml:space="preserve">TOTAL CURR. &amp; ACCR. ASSETS </w:t>
            </w:r>
          </w:p>
        </w:tc>
        <w:tc>
          <w:tcPr>
            <w:tcW w:w="3339" w:type="dxa"/>
            <w:tcBorders>
              <w:top w:val="nil"/>
              <w:left w:val="nil"/>
              <w:bottom w:val="nil"/>
              <w:right w:val="single" w:sz="8" w:space="0" w:color="auto"/>
            </w:tcBorders>
            <w:shd w:val="clear" w:color="auto" w:fill="auto"/>
            <w:noWrap/>
            <w:vAlign w:val="bottom"/>
            <w:hideMark/>
          </w:tcPr>
          <w:p w:rsidR="00754973" w:rsidRPr="00517B76" w:rsidRDefault="00754973" w:rsidP="00754973">
            <w:pPr>
              <w:jc w:val="right"/>
              <w:rPr>
                <w:color w:val="000000"/>
                <w:sz w:val="22"/>
                <w:szCs w:val="22"/>
                <w:u w:val="double"/>
              </w:rPr>
            </w:pPr>
            <w:r w:rsidRPr="00517B76">
              <w:rPr>
                <w:color w:val="000000"/>
                <w:sz w:val="22"/>
                <w:szCs w:val="22"/>
                <w:u w:val="double"/>
              </w:rPr>
              <w:t xml:space="preserve">$351,851 </w:t>
            </w:r>
          </w:p>
        </w:tc>
      </w:tr>
      <w:tr w:rsidR="00754973" w:rsidRPr="00517B76" w:rsidTr="00754973">
        <w:trPr>
          <w:trHeight w:val="250"/>
        </w:trPr>
        <w:tc>
          <w:tcPr>
            <w:tcW w:w="6201" w:type="dxa"/>
            <w:tcBorders>
              <w:top w:val="nil"/>
              <w:left w:val="single" w:sz="8" w:space="0" w:color="auto"/>
              <w:bottom w:val="nil"/>
              <w:right w:val="nil"/>
            </w:tcBorders>
            <w:shd w:val="clear" w:color="auto" w:fill="auto"/>
            <w:noWrap/>
            <w:vAlign w:val="bottom"/>
            <w:hideMark/>
          </w:tcPr>
          <w:p w:rsidR="00754973" w:rsidRPr="00517B76" w:rsidRDefault="00754973" w:rsidP="00754973">
            <w:pPr>
              <w:rPr>
                <w:color w:val="000000"/>
                <w:sz w:val="22"/>
                <w:szCs w:val="22"/>
              </w:rPr>
            </w:pPr>
            <w:r w:rsidRPr="00517B76">
              <w:rPr>
                <w:color w:val="000000"/>
                <w:sz w:val="22"/>
                <w:szCs w:val="22"/>
              </w:rPr>
              <w:t> </w:t>
            </w:r>
          </w:p>
        </w:tc>
        <w:tc>
          <w:tcPr>
            <w:tcW w:w="3339" w:type="dxa"/>
            <w:tcBorders>
              <w:top w:val="nil"/>
              <w:left w:val="nil"/>
              <w:bottom w:val="nil"/>
              <w:right w:val="single" w:sz="8" w:space="0" w:color="auto"/>
            </w:tcBorders>
            <w:shd w:val="clear" w:color="auto" w:fill="auto"/>
            <w:noWrap/>
            <w:vAlign w:val="bottom"/>
            <w:hideMark/>
          </w:tcPr>
          <w:p w:rsidR="00754973" w:rsidRPr="00517B76" w:rsidRDefault="00754973" w:rsidP="00754973">
            <w:pPr>
              <w:rPr>
                <w:color w:val="000000"/>
                <w:sz w:val="22"/>
                <w:szCs w:val="22"/>
              </w:rPr>
            </w:pPr>
            <w:r w:rsidRPr="00517B76">
              <w:rPr>
                <w:color w:val="000000"/>
                <w:sz w:val="22"/>
                <w:szCs w:val="22"/>
              </w:rPr>
              <w:t> </w:t>
            </w:r>
          </w:p>
        </w:tc>
      </w:tr>
      <w:tr w:rsidR="00754973" w:rsidRPr="00517B76" w:rsidTr="00754973">
        <w:trPr>
          <w:trHeight w:val="250"/>
        </w:trPr>
        <w:tc>
          <w:tcPr>
            <w:tcW w:w="6201" w:type="dxa"/>
            <w:tcBorders>
              <w:top w:val="nil"/>
              <w:left w:val="single" w:sz="8" w:space="0" w:color="auto"/>
              <w:bottom w:val="nil"/>
              <w:right w:val="nil"/>
            </w:tcBorders>
            <w:shd w:val="clear" w:color="auto" w:fill="auto"/>
            <w:noWrap/>
            <w:vAlign w:val="bottom"/>
            <w:hideMark/>
          </w:tcPr>
          <w:p w:rsidR="00754973" w:rsidRPr="00517B76" w:rsidRDefault="00754973" w:rsidP="00754973">
            <w:pPr>
              <w:jc w:val="center"/>
              <w:rPr>
                <w:color w:val="000000"/>
                <w:sz w:val="22"/>
                <w:szCs w:val="22"/>
                <w:u w:val="single"/>
              </w:rPr>
            </w:pPr>
            <w:r w:rsidRPr="00517B76">
              <w:rPr>
                <w:color w:val="000000"/>
                <w:sz w:val="22"/>
                <w:szCs w:val="22"/>
                <w:u w:val="single"/>
              </w:rPr>
              <w:t xml:space="preserve">CURRENT &amp; ACCRUED LIABILITIES </w:t>
            </w:r>
          </w:p>
        </w:tc>
        <w:tc>
          <w:tcPr>
            <w:tcW w:w="3339" w:type="dxa"/>
            <w:tcBorders>
              <w:top w:val="nil"/>
              <w:left w:val="nil"/>
              <w:bottom w:val="nil"/>
              <w:right w:val="single" w:sz="8" w:space="0" w:color="auto"/>
            </w:tcBorders>
            <w:shd w:val="clear" w:color="auto" w:fill="auto"/>
            <w:noWrap/>
            <w:vAlign w:val="bottom"/>
            <w:hideMark/>
          </w:tcPr>
          <w:p w:rsidR="00754973" w:rsidRPr="00517B76" w:rsidRDefault="00754973" w:rsidP="00754973">
            <w:pPr>
              <w:rPr>
                <w:color w:val="000000"/>
                <w:sz w:val="22"/>
                <w:szCs w:val="22"/>
              </w:rPr>
            </w:pPr>
            <w:r w:rsidRPr="00517B76">
              <w:rPr>
                <w:color w:val="000000"/>
                <w:sz w:val="22"/>
                <w:szCs w:val="22"/>
              </w:rPr>
              <w:t> </w:t>
            </w:r>
          </w:p>
        </w:tc>
      </w:tr>
      <w:tr w:rsidR="00754973" w:rsidRPr="00517B76" w:rsidTr="00754973">
        <w:trPr>
          <w:trHeight w:val="250"/>
        </w:trPr>
        <w:tc>
          <w:tcPr>
            <w:tcW w:w="6201" w:type="dxa"/>
            <w:tcBorders>
              <w:top w:val="nil"/>
              <w:left w:val="single" w:sz="8" w:space="0" w:color="auto"/>
              <w:bottom w:val="nil"/>
              <w:right w:val="nil"/>
            </w:tcBorders>
            <w:shd w:val="clear" w:color="auto" w:fill="auto"/>
            <w:noWrap/>
            <w:vAlign w:val="bottom"/>
            <w:hideMark/>
          </w:tcPr>
          <w:p w:rsidR="00754973" w:rsidRPr="00517B76" w:rsidRDefault="00754973" w:rsidP="00754973">
            <w:pPr>
              <w:rPr>
                <w:color w:val="000000"/>
                <w:sz w:val="22"/>
                <w:szCs w:val="22"/>
              </w:rPr>
            </w:pPr>
            <w:r w:rsidRPr="00517B76">
              <w:rPr>
                <w:color w:val="000000"/>
                <w:sz w:val="22"/>
                <w:szCs w:val="22"/>
              </w:rPr>
              <w:t> </w:t>
            </w:r>
          </w:p>
        </w:tc>
        <w:tc>
          <w:tcPr>
            <w:tcW w:w="3339" w:type="dxa"/>
            <w:tcBorders>
              <w:top w:val="nil"/>
              <w:left w:val="nil"/>
              <w:bottom w:val="nil"/>
              <w:right w:val="single" w:sz="8" w:space="0" w:color="auto"/>
            </w:tcBorders>
            <w:shd w:val="clear" w:color="auto" w:fill="auto"/>
            <w:noWrap/>
            <w:vAlign w:val="bottom"/>
            <w:hideMark/>
          </w:tcPr>
          <w:p w:rsidR="00754973" w:rsidRPr="00517B76" w:rsidRDefault="00754973" w:rsidP="00754973">
            <w:pPr>
              <w:rPr>
                <w:color w:val="000000"/>
                <w:sz w:val="22"/>
                <w:szCs w:val="22"/>
              </w:rPr>
            </w:pPr>
            <w:r w:rsidRPr="00517B76">
              <w:rPr>
                <w:color w:val="000000"/>
                <w:sz w:val="22"/>
                <w:szCs w:val="22"/>
              </w:rPr>
              <w:t> </w:t>
            </w:r>
          </w:p>
        </w:tc>
      </w:tr>
      <w:tr w:rsidR="00754973" w:rsidRPr="00517B76" w:rsidTr="00754973">
        <w:trPr>
          <w:trHeight w:val="250"/>
        </w:trPr>
        <w:tc>
          <w:tcPr>
            <w:tcW w:w="6201" w:type="dxa"/>
            <w:tcBorders>
              <w:top w:val="nil"/>
              <w:left w:val="single" w:sz="8" w:space="0" w:color="auto"/>
              <w:bottom w:val="nil"/>
              <w:right w:val="nil"/>
            </w:tcBorders>
            <w:shd w:val="clear" w:color="auto" w:fill="auto"/>
            <w:noWrap/>
            <w:vAlign w:val="bottom"/>
            <w:hideMark/>
          </w:tcPr>
          <w:p w:rsidR="00754973" w:rsidRPr="00517B76" w:rsidRDefault="00754973" w:rsidP="00754973">
            <w:pPr>
              <w:rPr>
                <w:color w:val="000000"/>
                <w:sz w:val="22"/>
                <w:szCs w:val="22"/>
              </w:rPr>
            </w:pPr>
            <w:r w:rsidRPr="00517B76">
              <w:rPr>
                <w:color w:val="000000"/>
                <w:sz w:val="22"/>
                <w:szCs w:val="22"/>
              </w:rPr>
              <w:t>ACCOUNTS PAYABLE</w:t>
            </w:r>
          </w:p>
        </w:tc>
        <w:tc>
          <w:tcPr>
            <w:tcW w:w="3339" w:type="dxa"/>
            <w:tcBorders>
              <w:top w:val="nil"/>
              <w:left w:val="nil"/>
              <w:bottom w:val="nil"/>
              <w:right w:val="single" w:sz="8" w:space="0" w:color="auto"/>
            </w:tcBorders>
            <w:shd w:val="clear" w:color="auto" w:fill="auto"/>
            <w:noWrap/>
            <w:vAlign w:val="bottom"/>
            <w:hideMark/>
          </w:tcPr>
          <w:p w:rsidR="00754973" w:rsidRPr="00517B76" w:rsidRDefault="00754973" w:rsidP="00754973">
            <w:pPr>
              <w:jc w:val="right"/>
              <w:rPr>
                <w:color w:val="000000"/>
                <w:sz w:val="22"/>
                <w:szCs w:val="22"/>
              </w:rPr>
            </w:pPr>
            <w:r w:rsidRPr="00517B76">
              <w:rPr>
                <w:color w:val="000000"/>
                <w:sz w:val="22"/>
                <w:szCs w:val="22"/>
              </w:rPr>
              <w:t xml:space="preserve">$142,718 </w:t>
            </w:r>
          </w:p>
        </w:tc>
      </w:tr>
      <w:tr w:rsidR="00754973" w:rsidRPr="00517B76" w:rsidTr="00754973">
        <w:trPr>
          <w:trHeight w:val="250"/>
        </w:trPr>
        <w:tc>
          <w:tcPr>
            <w:tcW w:w="6201" w:type="dxa"/>
            <w:tcBorders>
              <w:top w:val="nil"/>
              <w:left w:val="single" w:sz="8" w:space="0" w:color="auto"/>
              <w:bottom w:val="nil"/>
              <w:right w:val="nil"/>
            </w:tcBorders>
            <w:shd w:val="clear" w:color="auto" w:fill="auto"/>
            <w:noWrap/>
            <w:vAlign w:val="bottom"/>
            <w:hideMark/>
          </w:tcPr>
          <w:p w:rsidR="00754973" w:rsidRPr="00517B76" w:rsidRDefault="00754973" w:rsidP="00754973">
            <w:pPr>
              <w:rPr>
                <w:color w:val="000000"/>
                <w:sz w:val="22"/>
                <w:szCs w:val="22"/>
              </w:rPr>
            </w:pPr>
            <w:r w:rsidRPr="00517B76">
              <w:rPr>
                <w:color w:val="000000"/>
                <w:sz w:val="22"/>
                <w:szCs w:val="22"/>
              </w:rPr>
              <w:t>NP COKER - CURRENT</w:t>
            </w:r>
          </w:p>
        </w:tc>
        <w:tc>
          <w:tcPr>
            <w:tcW w:w="3339" w:type="dxa"/>
            <w:tcBorders>
              <w:top w:val="nil"/>
              <w:left w:val="nil"/>
              <w:bottom w:val="nil"/>
              <w:right w:val="single" w:sz="8" w:space="0" w:color="auto"/>
            </w:tcBorders>
            <w:shd w:val="clear" w:color="auto" w:fill="auto"/>
            <w:noWrap/>
            <w:vAlign w:val="bottom"/>
            <w:hideMark/>
          </w:tcPr>
          <w:p w:rsidR="00754973" w:rsidRPr="00517B76" w:rsidRDefault="00754973" w:rsidP="00754973">
            <w:pPr>
              <w:jc w:val="right"/>
              <w:rPr>
                <w:color w:val="000000"/>
                <w:sz w:val="22"/>
                <w:szCs w:val="22"/>
              </w:rPr>
            </w:pPr>
            <w:r w:rsidRPr="00517B76">
              <w:rPr>
                <w:color w:val="000000"/>
                <w:sz w:val="22"/>
                <w:szCs w:val="22"/>
              </w:rPr>
              <w:t xml:space="preserve">0 </w:t>
            </w:r>
          </w:p>
        </w:tc>
      </w:tr>
      <w:tr w:rsidR="00754973" w:rsidRPr="00517B76" w:rsidTr="00754973">
        <w:trPr>
          <w:trHeight w:val="250"/>
        </w:trPr>
        <w:tc>
          <w:tcPr>
            <w:tcW w:w="6201" w:type="dxa"/>
            <w:tcBorders>
              <w:top w:val="nil"/>
              <w:left w:val="single" w:sz="8" w:space="0" w:color="auto"/>
              <w:bottom w:val="nil"/>
              <w:right w:val="nil"/>
            </w:tcBorders>
            <w:shd w:val="clear" w:color="auto" w:fill="auto"/>
            <w:noWrap/>
            <w:vAlign w:val="bottom"/>
            <w:hideMark/>
          </w:tcPr>
          <w:p w:rsidR="00754973" w:rsidRPr="00517B76" w:rsidRDefault="00754973" w:rsidP="00754973">
            <w:pPr>
              <w:rPr>
                <w:color w:val="000000"/>
                <w:sz w:val="22"/>
                <w:szCs w:val="22"/>
              </w:rPr>
            </w:pPr>
            <w:r w:rsidRPr="00517B76">
              <w:rPr>
                <w:color w:val="000000"/>
                <w:sz w:val="22"/>
                <w:szCs w:val="22"/>
              </w:rPr>
              <w:t>FEDERAL INCOME TAXES PAYABLE</w:t>
            </w:r>
          </w:p>
        </w:tc>
        <w:tc>
          <w:tcPr>
            <w:tcW w:w="3339" w:type="dxa"/>
            <w:tcBorders>
              <w:top w:val="nil"/>
              <w:left w:val="nil"/>
              <w:bottom w:val="nil"/>
              <w:right w:val="single" w:sz="8" w:space="0" w:color="auto"/>
            </w:tcBorders>
            <w:shd w:val="clear" w:color="auto" w:fill="auto"/>
            <w:noWrap/>
            <w:vAlign w:val="bottom"/>
            <w:hideMark/>
          </w:tcPr>
          <w:p w:rsidR="00754973" w:rsidRPr="00517B76" w:rsidRDefault="00754973" w:rsidP="00754973">
            <w:pPr>
              <w:jc w:val="right"/>
              <w:rPr>
                <w:color w:val="000000"/>
                <w:sz w:val="22"/>
                <w:szCs w:val="22"/>
              </w:rPr>
            </w:pPr>
            <w:r w:rsidRPr="00517B76">
              <w:rPr>
                <w:color w:val="000000"/>
                <w:sz w:val="22"/>
                <w:szCs w:val="22"/>
              </w:rPr>
              <w:t xml:space="preserve">8,540 </w:t>
            </w:r>
          </w:p>
        </w:tc>
      </w:tr>
      <w:tr w:rsidR="00754973" w:rsidRPr="00517B76" w:rsidTr="00754973">
        <w:trPr>
          <w:trHeight w:val="250"/>
        </w:trPr>
        <w:tc>
          <w:tcPr>
            <w:tcW w:w="6201" w:type="dxa"/>
            <w:tcBorders>
              <w:top w:val="nil"/>
              <w:left w:val="single" w:sz="8" w:space="0" w:color="auto"/>
              <w:bottom w:val="nil"/>
              <w:right w:val="nil"/>
            </w:tcBorders>
            <w:shd w:val="clear" w:color="auto" w:fill="auto"/>
            <w:noWrap/>
            <w:vAlign w:val="bottom"/>
            <w:hideMark/>
          </w:tcPr>
          <w:p w:rsidR="00754973" w:rsidRPr="00517B76" w:rsidRDefault="00754973" w:rsidP="00754973">
            <w:pPr>
              <w:rPr>
                <w:color w:val="000000"/>
                <w:sz w:val="22"/>
                <w:szCs w:val="22"/>
              </w:rPr>
            </w:pPr>
            <w:r w:rsidRPr="00517B76">
              <w:rPr>
                <w:color w:val="000000"/>
                <w:sz w:val="22"/>
                <w:szCs w:val="22"/>
              </w:rPr>
              <w:t>STATE INCOME TAXES PAYABLE</w:t>
            </w:r>
          </w:p>
        </w:tc>
        <w:tc>
          <w:tcPr>
            <w:tcW w:w="3339" w:type="dxa"/>
            <w:tcBorders>
              <w:top w:val="nil"/>
              <w:left w:val="nil"/>
              <w:bottom w:val="nil"/>
              <w:right w:val="single" w:sz="8" w:space="0" w:color="auto"/>
            </w:tcBorders>
            <w:shd w:val="clear" w:color="auto" w:fill="auto"/>
            <w:noWrap/>
            <w:vAlign w:val="bottom"/>
            <w:hideMark/>
          </w:tcPr>
          <w:p w:rsidR="00754973" w:rsidRPr="00517B76" w:rsidRDefault="00754973" w:rsidP="00754973">
            <w:pPr>
              <w:jc w:val="right"/>
              <w:rPr>
                <w:color w:val="000000"/>
                <w:sz w:val="22"/>
                <w:szCs w:val="22"/>
              </w:rPr>
            </w:pPr>
            <w:r w:rsidRPr="00517B76">
              <w:rPr>
                <w:color w:val="000000"/>
                <w:sz w:val="22"/>
                <w:szCs w:val="22"/>
              </w:rPr>
              <w:t xml:space="preserve">2,367 </w:t>
            </w:r>
          </w:p>
        </w:tc>
      </w:tr>
      <w:tr w:rsidR="00754973" w:rsidRPr="00517B76" w:rsidTr="00754973">
        <w:trPr>
          <w:trHeight w:val="250"/>
        </w:trPr>
        <w:tc>
          <w:tcPr>
            <w:tcW w:w="6201" w:type="dxa"/>
            <w:tcBorders>
              <w:top w:val="nil"/>
              <w:left w:val="single" w:sz="8" w:space="0" w:color="auto"/>
              <w:bottom w:val="nil"/>
              <w:right w:val="nil"/>
            </w:tcBorders>
            <w:shd w:val="clear" w:color="auto" w:fill="auto"/>
            <w:noWrap/>
            <w:vAlign w:val="bottom"/>
            <w:hideMark/>
          </w:tcPr>
          <w:p w:rsidR="00754973" w:rsidRPr="00517B76" w:rsidRDefault="00754973" w:rsidP="00754973">
            <w:pPr>
              <w:rPr>
                <w:color w:val="000000"/>
                <w:sz w:val="22"/>
                <w:szCs w:val="22"/>
              </w:rPr>
            </w:pPr>
            <w:r w:rsidRPr="00517B76">
              <w:rPr>
                <w:color w:val="000000"/>
                <w:sz w:val="22"/>
                <w:szCs w:val="22"/>
              </w:rPr>
              <w:t>ACCRUED INTEREST PAYABLE</w:t>
            </w:r>
          </w:p>
        </w:tc>
        <w:tc>
          <w:tcPr>
            <w:tcW w:w="3339" w:type="dxa"/>
            <w:tcBorders>
              <w:top w:val="nil"/>
              <w:left w:val="nil"/>
              <w:bottom w:val="nil"/>
              <w:right w:val="single" w:sz="8" w:space="0" w:color="auto"/>
            </w:tcBorders>
            <w:shd w:val="clear" w:color="auto" w:fill="auto"/>
            <w:noWrap/>
            <w:vAlign w:val="bottom"/>
            <w:hideMark/>
          </w:tcPr>
          <w:p w:rsidR="00754973" w:rsidRPr="00517B76" w:rsidRDefault="00754973" w:rsidP="00754973">
            <w:pPr>
              <w:jc w:val="right"/>
              <w:rPr>
                <w:color w:val="000000"/>
                <w:sz w:val="22"/>
                <w:szCs w:val="22"/>
              </w:rPr>
            </w:pPr>
            <w:r w:rsidRPr="00517B76">
              <w:rPr>
                <w:color w:val="000000"/>
                <w:sz w:val="22"/>
                <w:szCs w:val="22"/>
              </w:rPr>
              <w:t xml:space="preserve">32,912 </w:t>
            </w:r>
          </w:p>
        </w:tc>
      </w:tr>
      <w:tr w:rsidR="00754973" w:rsidRPr="00517B76" w:rsidTr="00754973">
        <w:trPr>
          <w:trHeight w:val="250"/>
        </w:trPr>
        <w:tc>
          <w:tcPr>
            <w:tcW w:w="6201" w:type="dxa"/>
            <w:tcBorders>
              <w:top w:val="nil"/>
              <w:left w:val="single" w:sz="8" w:space="0" w:color="auto"/>
              <w:bottom w:val="nil"/>
              <w:right w:val="nil"/>
            </w:tcBorders>
            <w:shd w:val="clear" w:color="auto" w:fill="auto"/>
            <w:noWrap/>
            <w:vAlign w:val="bottom"/>
            <w:hideMark/>
          </w:tcPr>
          <w:p w:rsidR="00754973" w:rsidRPr="00517B76" w:rsidRDefault="00754973" w:rsidP="00754973">
            <w:pPr>
              <w:rPr>
                <w:color w:val="000000"/>
                <w:sz w:val="22"/>
                <w:szCs w:val="22"/>
              </w:rPr>
            </w:pPr>
            <w:r w:rsidRPr="00517B76">
              <w:rPr>
                <w:color w:val="000000"/>
                <w:sz w:val="22"/>
                <w:szCs w:val="22"/>
              </w:rPr>
              <w:t>INTEREST PAYABLE - CUST DEPOSITS</w:t>
            </w:r>
          </w:p>
        </w:tc>
        <w:tc>
          <w:tcPr>
            <w:tcW w:w="3339" w:type="dxa"/>
            <w:tcBorders>
              <w:top w:val="nil"/>
              <w:left w:val="nil"/>
              <w:bottom w:val="nil"/>
              <w:right w:val="single" w:sz="8" w:space="0" w:color="auto"/>
            </w:tcBorders>
            <w:shd w:val="clear" w:color="auto" w:fill="auto"/>
            <w:noWrap/>
            <w:vAlign w:val="bottom"/>
            <w:hideMark/>
          </w:tcPr>
          <w:p w:rsidR="00754973" w:rsidRPr="00517B76" w:rsidRDefault="00754973" w:rsidP="00754973">
            <w:pPr>
              <w:jc w:val="right"/>
              <w:rPr>
                <w:color w:val="000000"/>
                <w:sz w:val="22"/>
                <w:szCs w:val="22"/>
              </w:rPr>
            </w:pPr>
            <w:r w:rsidRPr="00517B76">
              <w:rPr>
                <w:color w:val="000000"/>
                <w:sz w:val="22"/>
                <w:szCs w:val="22"/>
              </w:rPr>
              <w:t xml:space="preserve">2,556 </w:t>
            </w:r>
          </w:p>
        </w:tc>
      </w:tr>
      <w:tr w:rsidR="00754973" w:rsidRPr="00517B76" w:rsidTr="00754973">
        <w:trPr>
          <w:trHeight w:val="250"/>
        </w:trPr>
        <w:tc>
          <w:tcPr>
            <w:tcW w:w="6201" w:type="dxa"/>
            <w:tcBorders>
              <w:top w:val="nil"/>
              <w:left w:val="single" w:sz="8" w:space="0" w:color="auto"/>
              <w:bottom w:val="nil"/>
              <w:right w:val="nil"/>
            </w:tcBorders>
            <w:shd w:val="clear" w:color="auto" w:fill="auto"/>
            <w:noWrap/>
            <w:vAlign w:val="bottom"/>
            <w:hideMark/>
          </w:tcPr>
          <w:p w:rsidR="00754973" w:rsidRPr="00517B76" w:rsidRDefault="00754973" w:rsidP="00754973">
            <w:pPr>
              <w:rPr>
                <w:color w:val="000000"/>
                <w:sz w:val="22"/>
                <w:szCs w:val="22"/>
              </w:rPr>
            </w:pPr>
            <w:r w:rsidRPr="00517B76">
              <w:rPr>
                <w:color w:val="000000"/>
                <w:sz w:val="22"/>
                <w:szCs w:val="22"/>
              </w:rPr>
              <w:t xml:space="preserve">UTILITY TAX - GROSS RECEIPTS </w:t>
            </w:r>
          </w:p>
        </w:tc>
        <w:tc>
          <w:tcPr>
            <w:tcW w:w="3339" w:type="dxa"/>
            <w:tcBorders>
              <w:top w:val="nil"/>
              <w:left w:val="nil"/>
              <w:bottom w:val="nil"/>
              <w:right w:val="single" w:sz="8" w:space="0" w:color="auto"/>
            </w:tcBorders>
            <w:shd w:val="clear" w:color="auto" w:fill="auto"/>
            <w:noWrap/>
            <w:vAlign w:val="bottom"/>
            <w:hideMark/>
          </w:tcPr>
          <w:p w:rsidR="00754973" w:rsidRPr="00517B76" w:rsidRDefault="00754973" w:rsidP="00754973">
            <w:pPr>
              <w:jc w:val="right"/>
              <w:rPr>
                <w:color w:val="000000"/>
                <w:sz w:val="22"/>
                <w:szCs w:val="22"/>
              </w:rPr>
            </w:pPr>
            <w:r w:rsidRPr="00517B76">
              <w:rPr>
                <w:color w:val="000000"/>
                <w:sz w:val="22"/>
                <w:szCs w:val="22"/>
              </w:rPr>
              <w:t xml:space="preserve">2,937 </w:t>
            </w:r>
          </w:p>
        </w:tc>
      </w:tr>
      <w:tr w:rsidR="00754973" w:rsidRPr="00517B76" w:rsidTr="00754973">
        <w:trPr>
          <w:trHeight w:val="250"/>
        </w:trPr>
        <w:tc>
          <w:tcPr>
            <w:tcW w:w="6201" w:type="dxa"/>
            <w:tcBorders>
              <w:top w:val="nil"/>
              <w:left w:val="single" w:sz="8" w:space="0" w:color="auto"/>
              <w:bottom w:val="nil"/>
              <w:right w:val="nil"/>
            </w:tcBorders>
            <w:shd w:val="clear" w:color="auto" w:fill="auto"/>
            <w:noWrap/>
            <w:vAlign w:val="bottom"/>
            <w:hideMark/>
          </w:tcPr>
          <w:p w:rsidR="00754973" w:rsidRPr="00517B76" w:rsidRDefault="00754973" w:rsidP="00754973">
            <w:pPr>
              <w:rPr>
                <w:color w:val="000000"/>
                <w:sz w:val="22"/>
                <w:szCs w:val="22"/>
              </w:rPr>
            </w:pPr>
            <w:r w:rsidRPr="00517B76">
              <w:rPr>
                <w:color w:val="000000"/>
                <w:sz w:val="22"/>
                <w:szCs w:val="22"/>
              </w:rPr>
              <w:t>REGULATORY ASSESSMENT</w:t>
            </w:r>
          </w:p>
        </w:tc>
        <w:tc>
          <w:tcPr>
            <w:tcW w:w="3339" w:type="dxa"/>
            <w:tcBorders>
              <w:top w:val="nil"/>
              <w:left w:val="nil"/>
              <w:bottom w:val="nil"/>
              <w:right w:val="single" w:sz="8" w:space="0" w:color="auto"/>
            </w:tcBorders>
            <w:shd w:val="clear" w:color="auto" w:fill="auto"/>
            <w:noWrap/>
            <w:vAlign w:val="bottom"/>
            <w:hideMark/>
          </w:tcPr>
          <w:p w:rsidR="00754973" w:rsidRPr="00517B76" w:rsidRDefault="00754973" w:rsidP="00754973">
            <w:pPr>
              <w:jc w:val="right"/>
              <w:rPr>
                <w:color w:val="000000"/>
                <w:sz w:val="22"/>
                <w:szCs w:val="22"/>
              </w:rPr>
            </w:pPr>
            <w:r w:rsidRPr="00517B76">
              <w:rPr>
                <w:color w:val="000000"/>
                <w:sz w:val="22"/>
                <w:szCs w:val="22"/>
              </w:rPr>
              <w:t xml:space="preserve">1,784 </w:t>
            </w:r>
          </w:p>
        </w:tc>
      </w:tr>
      <w:tr w:rsidR="00754973" w:rsidRPr="00517B76" w:rsidTr="00754973">
        <w:trPr>
          <w:trHeight w:val="250"/>
        </w:trPr>
        <w:tc>
          <w:tcPr>
            <w:tcW w:w="6201" w:type="dxa"/>
            <w:tcBorders>
              <w:top w:val="nil"/>
              <w:left w:val="single" w:sz="8" w:space="0" w:color="auto"/>
              <w:bottom w:val="nil"/>
              <w:right w:val="nil"/>
            </w:tcBorders>
            <w:shd w:val="clear" w:color="auto" w:fill="auto"/>
            <w:noWrap/>
            <w:vAlign w:val="bottom"/>
            <w:hideMark/>
          </w:tcPr>
          <w:p w:rsidR="00754973" w:rsidRPr="00517B76" w:rsidRDefault="00754973" w:rsidP="00754973">
            <w:pPr>
              <w:rPr>
                <w:color w:val="000000"/>
                <w:sz w:val="22"/>
                <w:szCs w:val="22"/>
              </w:rPr>
            </w:pPr>
            <w:r w:rsidRPr="00517B76">
              <w:rPr>
                <w:color w:val="000000"/>
                <w:sz w:val="22"/>
                <w:szCs w:val="22"/>
              </w:rPr>
              <w:t>REGULATORY ASSESSMENT - ECCR</w:t>
            </w:r>
          </w:p>
        </w:tc>
        <w:tc>
          <w:tcPr>
            <w:tcW w:w="3339" w:type="dxa"/>
            <w:tcBorders>
              <w:top w:val="nil"/>
              <w:left w:val="nil"/>
              <w:bottom w:val="nil"/>
              <w:right w:val="single" w:sz="8" w:space="0" w:color="auto"/>
            </w:tcBorders>
            <w:shd w:val="clear" w:color="auto" w:fill="auto"/>
            <w:noWrap/>
            <w:vAlign w:val="bottom"/>
            <w:hideMark/>
          </w:tcPr>
          <w:p w:rsidR="00754973" w:rsidRPr="00517B76" w:rsidRDefault="00754973" w:rsidP="00754973">
            <w:pPr>
              <w:jc w:val="right"/>
              <w:rPr>
                <w:color w:val="000000"/>
                <w:sz w:val="22"/>
                <w:szCs w:val="22"/>
              </w:rPr>
            </w:pPr>
            <w:r w:rsidRPr="00517B76">
              <w:rPr>
                <w:color w:val="000000"/>
                <w:sz w:val="22"/>
                <w:szCs w:val="22"/>
              </w:rPr>
              <w:t xml:space="preserve">0 </w:t>
            </w:r>
          </w:p>
        </w:tc>
      </w:tr>
      <w:tr w:rsidR="00754973" w:rsidRPr="00517B76" w:rsidTr="00754973">
        <w:trPr>
          <w:trHeight w:val="250"/>
        </w:trPr>
        <w:tc>
          <w:tcPr>
            <w:tcW w:w="6201" w:type="dxa"/>
            <w:tcBorders>
              <w:top w:val="nil"/>
              <w:left w:val="single" w:sz="8" w:space="0" w:color="auto"/>
              <w:bottom w:val="nil"/>
              <w:right w:val="nil"/>
            </w:tcBorders>
            <w:shd w:val="clear" w:color="auto" w:fill="auto"/>
            <w:noWrap/>
            <w:vAlign w:val="bottom"/>
            <w:hideMark/>
          </w:tcPr>
          <w:p w:rsidR="00754973" w:rsidRPr="00517B76" w:rsidRDefault="00754973" w:rsidP="00754973">
            <w:pPr>
              <w:rPr>
                <w:color w:val="000000"/>
                <w:sz w:val="22"/>
                <w:szCs w:val="22"/>
              </w:rPr>
            </w:pPr>
            <w:r w:rsidRPr="00517B76">
              <w:rPr>
                <w:color w:val="000000"/>
                <w:sz w:val="22"/>
                <w:szCs w:val="22"/>
              </w:rPr>
              <w:t>SALES TAX PAYABLE</w:t>
            </w:r>
          </w:p>
        </w:tc>
        <w:tc>
          <w:tcPr>
            <w:tcW w:w="3339" w:type="dxa"/>
            <w:tcBorders>
              <w:top w:val="nil"/>
              <w:left w:val="nil"/>
              <w:bottom w:val="nil"/>
              <w:right w:val="single" w:sz="8" w:space="0" w:color="auto"/>
            </w:tcBorders>
            <w:shd w:val="clear" w:color="auto" w:fill="auto"/>
            <w:noWrap/>
            <w:vAlign w:val="bottom"/>
            <w:hideMark/>
          </w:tcPr>
          <w:p w:rsidR="00754973" w:rsidRPr="00517B76" w:rsidRDefault="00754973" w:rsidP="00754973">
            <w:pPr>
              <w:jc w:val="right"/>
              <w:rPr>
                <w:color w:val="000000"/>
                <w:sz w:val="22"/>
                <w:szCs w:val="22"/>
              </w:rPr>
            </w:pPr>
            <w:r w:rsidRPr="00517B76">
              <w:rPr>
                <w:color w:val="000000"/>
                <w:sz w:val="22"/>
                <w:szCs w:val="22"/>
              </w:rPr>
              <w:t xml:space="preserve">642 </w:t>
            </w:r>
          </w:p>
        </w:tc>
      </w:tr>
      <w:tr w:rsidR="00754973" w:rsidRPr="00517B76" w:rsidTr="00754973">
        <w:trPr>
          <w:trHeight w:val="250"/>
        </w:trPr>
        <w:tc>
          <w:tcPr>
            <w:tcW w:w="6201" w:type="dxa"/>
            <w:tcBorders>
              <w:top w:val="nil"/>
              <w:left w:val="single" w:sz="8" w:space="0" w:color="auto"/>
              <w:bottom w:val="nil"/>
              <w:right w:val="nil"/>
            </w:tcBorders>
            <w:shd w:val="clear" w:color="auto" w:fill="auto"/>
            <w:noWrap/>
            <w:vAlign w:val="bottom"/>
            <w:hideMark/>
          </w:tcPr>
          <w:p w:rsidR="00754973" w:rsidRPr="00517B76" w:rsidRDefault="00754973" w:rsidP="00754973">
            <w:pPr>
              <w:rPr>
                <w:color w:val="000000"/>
                <w:sz w:val="22"/>
                <w:szCs w:val="22"/>
              </w:rPr>
            </w:pPr>
            <w:r w:rsidRPr="00517B76">
              <w:rPr>
                <w:color w:val="000000"/>
                <w:sz w:val="22"/>
                <w:szCs w:val="22"/>
              </w:rPr>
              <w:t>TANGIBLE &amp; MUT TAX PAYABLE</w:t>
            </w:r>
          </w:p>
        </w:tc>
        <w:tc>
          <w:tcPr>
            <w:tcW w:w="3339" w:type="dxa"/>
            <w:tcBorders>
              <w:top w:val="nil"/>
              <w:left w:val="nil"/>
              <w:bottom w:val="nil"/>
              <w:right w:val="single" w:sz="8" w:space="0" w:color="auto"/>
            </w:tcBorders>
            <w:shd w:val="clear" w:color="auto" w:fill="auto"/>
            <w:noWrap/>
            <w:vAlign w:val="bottom"/>
            <w:hideMark/>
          </w:tcPr>
          <w:p w:rsidR="00754973" w:rsidRPr="00517B76" w:rsidRDefault="00754973" w:rsidP="00754973">
            <w:pPr>
              <w:jc w:val="right"/>
              <w:rPr>
                <w:color w:val="000000"/>
                <w:sz w:val="22"/>
                <w:szCs w:val="22"/>
                <w:u w:val="single"/>
              </w:rPr>
            </w:pPr>
            <w:r w:rsidRPr="00517B76">
              <w:rPr>
                <w:color w:val="000000"/>
                <w:sz w:val="22"/>
                <w:szCs w:val="22"/>
                <w:u w:val="single"/>
              </w:rPr>
              <w:t xml:space="preserve">9,877 </w:t>
            </w:r>
          </w:p>
        </w:tc>
      </w:tr>
      <w:tr w:rsidR="00754973" w:rsidRPr="00517B76" w:rsidTr="00754973">
        <w:trPr>
          <w:trHeight w:val="250"/>
        </w:trPr>
        <w:tc>
          <w:tcPr>
            <w:tcW w:w="6201" w:type="dxa"/>
            <w:tcBorders>
              <w:top w:val="nil"/>
              <w:left w:val="single" w:sz="8" w:space="0" w:color="auto"/>
              <w:bottom w:val="nil"/>
              <w:right w:val="nil"/>
            </w:tcBorders>
            <w:shd w:val="clear" w:color="auto" w:fill="auto"/>
            <w:noWrap/>
            <w:vAlign w:val="bottom"/>
            <w:hideMark/>
          </w:tcPr>
          <w:p w:rsidR="00754973" w:rsidRPr="00517B76" w:rsidRDefault="00754973" w:rsidP="00754973">
            <w:pPr>
              <w:rPr>
                <w:color w:val="000000"/>
                <w:sz w:val="22"/>
                <w:szCs w:val="22"/>
              </w:rPr>
            </w:pPr>
            <w:r w:rsidRPr="00517B76">
              <w:rPr>
                <w:color w:val="000000"/>
                <w:sz w:val="22"/>
                <w:szCs w:val="22"/>
              </w:rPr>
              <w:t> </w:t>
            </w:r>
          </w:p>
        </w:tc>
        <w:tc>
          <w:tcPr>
            <w:tcW w:w="3339" w:type="dxa"/>
            <w:tcBorders>
              <w:top w:val="nil"/>
              <w:left w:val="nil"/>
              <w:bottom w:val="nil"/>
              <w:right w:val="single" w:sz="8" w:space="0" w:color="auto"/>
            </w:tcBorders>
            <w:shd w:val="clear" w:color="auto" w:fill="auto"/>
            <w:noWrap/>
            <w:vAlign w:val="bottom"/>
            <w:hideMark/>
          </w:tcPr>
          <w:p w:rsidR="00754973" w:rsidRPr="00517B76" w:rsidRDefault="00754973" w:rsidP="00754973">
            <w:pPr>
              <w:rPr>
                <w:color w:val="000000"/>
                <w:sz w:val="22"/>
                <w:szCs w:val="22"/>
              </w:rPr>
            </w:pPr>
            <w:r w:rsidRPr="00517B76">
              <w:rPr>
                <w:color w:val="000000"/>
                <w:sz w:val="22"/>
                <w:szCs w:val="22"/>
              </w:rPr>
              <w:t> </w:t>
            </w:r>
          </w:p>
        </w:tc>
      </w:tr>
      <w:tr w:rsidR="00754973" w:rsidRPr="00517B76" w:rsidTr="00754973">
        <w:trPr>
          <w:trHeight w:val="250"/>
        </w:trPr>
        <w:tc>
          <w:tcPr>
            <w:tcW w:w="6201" w:type="dxa"/>
            <w:tcBorders>
              <w:top w:val="nil"/>
              <w:left w:val="single" w:sz="8" w:space="0" w:color="auto"/>
              <w:bottom w:val="nil"/>
              <w:right w:val="nil"/>
            </w:tcBorders>
            <w:shd w:val="clear" w:color="auto" w:fill="auto"/>
            <w:noWrap/>
            <w:vAlign w:val="bottom"/>
            <w:hideMark/>
          </w:tcPr>
          <w:p w:rsidR="00754973" w:rsidRPr="00517B76" w:rsidRDefault="00754973" w:rsidP="00754973">
            <w:pPr>
              <w:jc w:val="center"/>
              <w:rPr>
                <w:color w:val="000000"/>
                <w:sz w:val="22"/>
                <w:szCs w:val="22"/>
              </w:rPr>
            </w:pPr>
            <w:r w:rsidRPr="00517B76">
              <w:rPr>
                <w:color w:val="000000"/>
                <w:sz w:val="22"/>
                <w:szCs w:val="22"/>
              </w:rPr>
              <w:t>TOTAL CURR. &amp; ACCRUED LIAB.</w:t>
            </w:r>
          </w:p>
        </w:tc>
        <w:tc>
          <w:tcPr>
            <w:tcW w:w="3339" w:type="dxa"/>
            <w:tcBorders>
              <w:top w:val="nil"/>
              <w:left w:val="nil"/>
              <w:bottom w:val="nil"/>
              <w:right w:val="single" w:sz="8" w:space="0" w:color="auto"/>
            </w:tcBorders>
            <w:shd w:val="clear" w:color="auto" w:fill="auto"/>
            <w:noWrap/>
            <w:vAlign w:val="bottom"/>
            <w:hideMark/>
          </w:tcPr>
          <w:p w:rsidR="00754973" w:rsidRPr="00517B76" w:rsidRDefault="00754973" w:rsidP="00754973">
            <w:pPr>
              <w:jc w:val="right"/>
              <w:rPr>
                <w:color w:val="000000"/>
                <w:sz w:val="22"/>
                <w:szCs w:val="22"/>
                <w:u w:val="double"/>
              </w:rPr>
            </w:pPr>
            <w:r w:rsidRPr="00517B76">
              <w:rPr>
                <w:color w:val="000000"/>
                <w:sz w:val="22"/>
                <w:szCs w:val="22"/>
                <w:u w:val="double"/>
              </w:rPr>
              <w:t xml:space="preserve">$204,333 </w:t>
            </w:r>
          </w:p>
        </w:tc>
      </w:tr>
      <w:tr w:rsidR="00754973" w:rsidRPr="00517B76" w:rsidTr="00754973">
        <w:trPr>
          <w:trHeight w:val="250"/>
        </w:trPr>
        <w:tc>
          <w:tcPr>
            <w:tcW w:w="6201" w:type="dxa"/>
            <w:tcBorders>
              <w:top w:val="nil"/>
              <w:left w:val="single" w:sz="8" w:space="0" w:color="auto"/>
              <w:bottom w:val="nil"/>
              <w:right w:val="nil"/>
            </w:tcBorders>
            <w:shd w:val="clear" w:color="auto" w:fill="auto"/>
            <w:noWrap/>
            <w:vAlign w:val="bottom"/>
            <w:hideMark/>
          </w:tcPr>
          <w:p w:rsidR="00754973" w:rsidRPr="00517B76" w:rsidRDefault="00754973" w:rsidP="00754973">
            <w:pPr>
              <w:rPr>
                <w:color w:val="000000"/>
                <w:sz w:val="22"/>
                <w:szCs w:val="22"/>
              </w:rPr>
            </w:pPr>
            <w:r w:rsidRPr="00517B76">
              <w:rPr>
                <w:color w:val="000000"/>
                <w:sz w:val="22"/>
                <w:szCs w:val="22"/>
              </w:rPr>
              <w:t> </w:t>
            </w:r>
          </w:p>
        </w:tc>
        <w:tc>
          <w:tcPr>
            <w:tcW w:w="3339" w:type="dxa"/>
            <w:tcBorders>
              <w:top w:val="nil"/>
              <w:left w:val="nil"/>
              <w:bottom w:val="nil"/>
              <w:right w:val="single" w:sz="8" w:space="0" w:color="auto"/>
            </w:tcBorders>
            <w:shd w:val="clear" w:color="auto" w:fill="auto"/>
            <w:noWrap/>
            <w:vAlign w:val="bottom"/>
            <w:hideMark/>
          </w:tcPr>
          <w:p w:rsidR="00754973" w:rsidRPr="00517B76" w:rsidRDefault="00754973" w:rsidP="00754973">
            <w:pPr>
              <w:rPr>
                <w:color w:val="000000"/>
                <w:sz w:val="22"/>
                <w:szCs w:val="22"/>
              </w:rPr>
            </w:pPr>
            <w:r w:rsidRPr="00517B76">
              <w:rPr>
                <w:color w:val="000000"/>
                <w:sz w:val="22"/>
                <w:szCs w:val="22"/>
              </w:rPr>
              <w:t> </w:t>
            </w:r>
          </w:p>
        </w:tc>
      </w:tr>
      <w:tr w:rsidR="00754973" w:rsidRPr="00517B76" w:rsidTr="00754973">
        <w:trPr>
          <w:trHeight w:val="264"/>
        </w:trPr>
        <w:tc>
          <w:tcPr>
            <w:tcW w:w="6201" w:type="dxa"/>
            <w:tcBorders>
              <w:top w:val="nil"/>
              <w:left w:val="single" w:sz="8" w:space="0" w:color="auto"/>
              <w:bottom w:val="single" w:sz="8" w:space="0" w:color="auto"/>
              <w:right w:val="nil"/>
            </w:tcBorders>
            <w:shd w:val="clear" w:color="auto" w:fill="auto"/>
            <w:noWrap/>
            <w:vAlign w:val="bottom"/>
            <w:hideMark/>
          </w:tcPr>
          <w:p w:rsidR="00754973" w:rsidRPr="00517B76" w:rsidRDefault="00754973" w:rsidP="00754973">
            <w:pPr>
              <w:jc w:val="center"/>
              <w:rPr>
                <w:color w:val="000000"/>
                <w:sz w:val="22"/>
                <w:szCs w:val="22"/>
              </w:rPr>
            </w:pPr>
            <w:r w:rsidRPr="00517B76">
              <w:rPr>
                <w:color w:val="000000"/>
                <w:sz w:val="22"/>
                <w:szCs w:val="22"/>
              </w:rPr>
              <w:t xml:space="preserve">NET WORKING CAPITAL INCLUDED IN RATE BASE </w:t>
            </w:r>
          </w:p>
        </w:tc>
        <w:tc>
          <w:tcPr>
            <w:tcW w:w="3339" w:type="dxa"/>
            <w:tcBorders>
              <w:top w:val="nil"/>
              <w:left w:val="nil"/>
              <w:bottom w:val="single" w:sz="8" w:space="0" w:color="auto"/>
              <w:right w:val="single" w:sz="8" w:space="0" w:color="auto"/>
            </w:tcBorders>
            <w:shd w:val="clear" w:color="auto" w:fill="auto"/>
            <w:noWrap/>
            <w:vAlign w:val="bottom"/>
            <w:hideMark/>
          </w:tcPr>
          <w:p w:rsidR="00754973" w:rsidRPr="00517B76" w:rsidRDefault="00754973" w:rsidP="00754973">
            <w:pPr>
              <w:jc w:val="right"/>
              <w:rPr>
                <w:color w:val="000000"/>
                <w:sz w:val="22"/>
                <w:szCs w:val="22"/>
                <w:u w:val="double"/>
              </w:rPr>
            </w:pPr>
            <w:r w:rsidRPr="00517B76">
              <w:rPr>
                <w:color w:val="000000"/>
                <w:sz w:val="22"/>
                <w:szCs w:val="22"/>
                <w:u w:val="double"/>
              </w:rPr>
              <w:t>$147,518</w:t>
            </w:r>
          </w:p>
        </w:tc>
      </w:tr>
    </w:tbl>
    <w:p w:rsidR="00754973" w:rsidRPr="00517B76" w:rsidRDefault="00754973" w:rsidP="00754973">
      <w:r w:rsidRPr="00517B76">
        <w:t>Source: Sebring’s proposed 2020 PTY Working Capital as shown on Revised MFR Schedule G1-3.</w:t>
      </w:r>
    </w:p>
    <w:p w:rsidR="00754973" w:rsidRDefault="00754973" w:rsidP="00754973">
      <w:r w:rsidRPr="00517B76">
        <w:t>*May not sum due to rounding.</w:t>
      </w:r>
    </w:p>
    <w:p w:rsidR="00754973" w:rsidRDefault="00754973" w:rsidP="00754973"/>
    <w:p w:rsidR="00754973" w:rsidRPr="00517B76" w:rsidRDefault="00754973" w:rsidP="00754973"/>
    <w:p w:rsidR="00754973" w:rsidRDefault="00754973" w:rsidP="00754973">
      <w:pPr>
        <w:pStyle w:val="BodyText"/>
      </w:pPr>
    </w:p>
    <w:p w:rsidR="00754973" w:rsidRDefault="00754973" w:rsidP="00754973">
      <w:pPr>
        <w:pStyle w:val="BodyText"/>
        <w:sectPr w:rsidR="00754973" w:rsidSect="0068481F">
          <w:headerReference w:type="default" r:id="rId19"/>
          <w:pgSz w:w="12240" w:h="15840" w:code="1"/>
          <w:pgMar w:top="1584" w:right="1440" w:bottom="1440" w:left="1440" w:header="720" w:footer="720" w:gutter="0"/>
          <w:cols w:space="720"/>
          <w:formProt w:val="0"/>
          <w:docGrid w:linePitch="360"/>
        </w:sectPr>
      </w:pPr>
    </w:p>
    <w:p w:rsidR="00754973" w:rsidRDefault="00754973" w:rsidP="00754973">
      <w:pPr>
        <w:pStyle w:val="IssueHeading"/>
      </w:pPr>
      <w:r>
        <w:lastRenderedPageBreak/>
        <w:fldChar w:fldCharType="begin"/>
      </w:r>
      <w:r>
        <w:instrText xml:space="preserve"> TC "</w:instrText>
      </w:r>
      <w:bookmarkStart w:id="46" w:name="_Toc28007742"/>
      <w:r>
        <w:tab/>
        <w:instrText>Schedule No. 2</w:instrText>
      </w:r>
      <w:r>
        <w:tab/>
      </w:r>
      <w:r w:rsidR="00716F30">
        <w:instrText>48</w:instrText>
      </w:r>
      <w:bookmarkEnd w:id="46"/>
      <w:r>
        <w:instrText>" \l 1 \n</w:instrText>
      </w:r>
      <w:r>
        <w:fldChar w:fldCharType="end"/>
      </w:r>
    </w:p>
    <w:tbl>
      <w:tblPr>
        <w:tblW w:w="14279" w:type="dxa"/>
        <w:jc w:val="center"/>
        <w:tblLook w:val="04A0" w:firstRow="1" w:lastRow="0" w:firstColumn="1" w:lastColumn="0" w:noHBand="0" w:noVBand="1"/>
      </w:tblPr>
      <w:tblGrid>
        <w:gridCol w:w="2329"/>
        <w:gridCol w:w="1127"/>
        <w:gridCol w:w="1240"/>
        <w:gridCol w:w="671"/>
        <w:gridCol w:w="1140"/>
        <w:gridCol w:w="1193"/>
        <w:gridCol w:w="1300"/>
        <w:gridCol w:w="1125"/>
        <w:gridCol w:w="1260"/>
        <w:gridCol w:w="917"/>
        <w:gridCol w:w="815"/>
        <w:gridCol w:w="1162"/>
      </w:tblGrid>
      <w:tr w:rsidR="00754973" w:rsidTr="00754973">
        <w:trPr>
          <w:trHeight w:val="297"/>
          <w:jc w:val="center"/>
        </w:trPr>
        <w:tc>
          <w:tcPr>
            <w:tcW w:w="14279" w:type="dxa"/>
            <w:gridSpan w:val="12"/>
            <w:tcBorders>
              <w:top w:val="nil"/>
              <w:left w:val="nil"/>
              <w:bottom w:val="nil"/>
              <w:right w:val="nil"/>
            </w:tcBorders>
            <w:shd w:val="clear" w:color="auto" w:fill="auto"/>
            <w:noWrap/>
            <w:vAlign w:val="bottom"/>
            <w:hideMark/>
          </w:tcPr>
          <w:p w:rsidR="00754973" w:rsidRPr="00834EC9" w:rsidRDefault="00754973" w:rsidP="00754973">
            <w:pPr>
              <w:jc w:val="center"/>
              <w:rPr>
                <w:rFonts w:ascii="Arial" w:hAnsi="Arial" w:cs="Arial"/>
                <w:sz w:val="20"/>
                <w:szCs w:val="20"/>
              </w:rPr>
            </w:pPr>
            <w:r w:rsidRPr="00834EC9">
              <w:rPr>
                <w:rFonts w:ascii="Arial" w:hAnsi="Arial" w:cs="Arial"/>
                <w:b/>
              </w:rPr>
              <w:t>Sebring Gas System</w:t>
            </w:r>
          </w:p>
        </w:tc>
      </w:tr>
      <w:tr w:rsidR="00754973" w:rsidTr="00754973">
        <w:trPr>
          <w:trHeight w:val="315"/>
          <w:jc w:val="center"/>
        </w:trPr>
        <w:tc>
          <w:tcPr>
            <w:tcW w:w="14279" w:type="dxa"/>
            <w:gridSpan w:val="12"/>
            <w:tcBorders>
              <w:top w:val="nil"/>
              <w:left w:val="nil"/>
              <w:bottom w:val="nil"/>
              <w:right w:val="nil"/>
            </w:tcBorders>
            <w:shd w:val="clear" w:color="auto" w:fill="auto"/>
            <w:noWrap/>
            <w:vAlign w:val="bottom"/>
            <w:hideMark/>
          </w:tcPr>
          <w:p w:rsidR="00754973" w:rsidRPr="00834EC9" w:rsidRDefault="00754973" w:rsidP="00754973">
            <w:pPr>
              <w:jc w:val="center"/>
              <w:rPr>
                <w:rFonts w:ascii="Arial" w:hAnsi="Arial" w:cs="Arial"/>
                <w:sz w:val="20"/>
                <w:szCs w:val="20"/>
              </w:rPr>
            </w:pPr>
            <w:r w:rsidRPr="00834EC9">
              <w:rPr>
                <w:rFonts w:ascii="Arial" w:hAnsi="Arial" w:cs="Arial"/>
                <w:b/>
              </w:rPr>
              <w:t>Docket No. 20190083-GU</w:t>
            </w:r>
          </w:p>
        </w:tc>
      </w:tr>
      <w:tr w:rsidR="00754973" w:rsidTr="00754973">
        <w:trPr>
          <w:trHeight w:val="315"/>
          <w:jc w:val="center"/>
        </w:trPr>
        <w:tc>
          <w:tcPr>
            <w:tcW w:w="14279" w:type="dxa"/>
            <w:gridSpan w:val="12"/>
            <w:tcBorders>
              <w:top w:val="nil"/>
              <w:left w:val="nil"/>
              <w:bottom w:val="nil"/>
              <w:right w:val="nil"/>
            </w:tcBorders>
            <w:shd w:val="clear" w:color="auto" w:fill="auto"/>
            <w:noWrap/>
            <w:vAlign w:val="bottom"/>
            <w:hideMark/>
          </w:tcPr>
          <w:p w:rsidR="00754973" w:rsidRPr="00834EC9" w:rsidRDefault="00754973" w:rsidP="00754973">
            <w:pPr>
              <w:jc w:val="center"/>
              <w:rPr>
                <w:rFonts w:ascii="Arial" w:hAnsi="Arial" w:cs="Arial"/>
                <w:sz w:val="20"/>
                <w:szCs w:val="20"/>
              </w:rPr>
            </w:pPr>
            <w:r w:rsidRPr="00834EC9">
              <w:rPr>
                <w:rFonts w:ascii="Arial" w:hAnsi="Arial" w:cs="Arial"/>
                <w:b/>
              </w:rPr>
              <w:t>Projected Test Year 12/31/2020</w:t>
            </w:r>
          </w:p>
        </w:tc>
      </w:tr>
      <w:tr w:rsidR="00754973" w:rsidTr="00754973">
        <w:trPr>
          <w:trHeight w:val="315"/>
          <w:jc w:val="center"/>
        </w:trPr>
        <w:tc>
          <w:tcPr>
            <w:tcW w:w="14279" w:type="dxa"/>
            <w:gridSpan w:val="12"/>
            <w:tcBorders>
              <w:top w:val="nil"/>
              <w:left w:val="nil"/>
              <w:bottom w:val="nil"/>
              <w:right w:val="nil"/>
            </w:tcBorders>
            <w:shd w:val="clear" w:color="auto" w:fill="auto"/>
            <w:noWrap/>
            <w:vAlign w:val="bottom"/>
            <w:hideMark/>
          </w:tcPr>
          <w:p w:rsidR="00754973" w:rsidRPr="00834EC9" w:rsidRDefault="00754973" w:rsidP="00754973">
            <w:pPr>
              <w:jc w:val="center"/>
              <w:rPr>
                <w:rFonts w:ascii="Arial" w:hAnsi="Arial" w:cs="Arial"/>
                <w:sz w:val="20"/>
                <w:szCs w:val="20"/>
              </w:rPr>
            </w:pPr>
            <w:r w:rsidRPr="00834EC9">
              <w:rPr>
                <w:rFonts w:ascii="Arial" w:hAnsi="Arial" w:cs="Arial"/>
                <w:b/>
              </w:rPr>
              <w:t>Capital Structure – 13-Month Average</w:t>
            </w:r>
          </w:p>
        </w:tc>
      </w:tr>
      <w:tr w:rsidR="00754973" w:rsidTr="00754973">
        <w:trPr>
          <w:trHeight w:val="300"/>
          <w:jc w:val="center"/>
        </w:trPr>
        <w:tc>
          <w:tcPr>
            <w:tcW w:w="2329"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1127"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1240"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671"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1140"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1193"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1300"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1125"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1260"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917"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815"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1162"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r>
      <w:tr w:rsidR="00754973" w:rsidTr="00754973">
        <w:trPr>
          <w:trHeight w:val="300"/>
          <w:jc w:val="center"/>
        </w:trPr>
        <w:tc>
          <w:tcPr>
            <w:tcW w:w="2329"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779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973" w:rsidRDefault="00754973" w:rsidP="00754973">
            <w:pPr>
              <w:jc w:val="center"/>
              <w:rPr>
                <w:rFonts w:ascii="Calibri" w:hAnsi="Calibri"/>
                <w:b/>
                <w:bCs/>
                <w:sz w:val="20"/>
                <w:szCs w:val="20"/>
              </w:rPr>
            </w:pPr>
            <w:r>
              <w:rPr>
                <w:rFonts w:ascii="Calibri" w:hAnsi="Calibri"/>
                <w:b/>
                <w:bCs/>
                <w:sz w:val="20"/>
                <w:szCs w:val="20"/>
              </w:rPr>
              <w:t>COMPANY PROPOSED</w:t>
            </w:r>
          </w:p>
        </w:tc>
        <w:tc>
          <w:tcPr>
            <w:tcW w:w="1260" w:type="dxa"/>
            <w:tcBorders>
              <w:top w:val="nil"/>
              <w:left w:val="nil"/>
              <w:bottom w:val="nil"/>
              <w:right w:val="nil"/>
            </w:tcBorders>
            <w:shd w:val="clear" w:color="auto" w:fill="auto"/>
            <w:noWrap/>
            <w:vAlign w:val="bottom"/>
            <w:hideMark/>
          </w:tcPr>
          <w:p w:rsidR="00754973" w:rsidRDefault="00754973" w:rsidP="00754973">
            <w:pPr>
              <w:rPr>
                <w:rFonts w:ascii="Calibri" w:hAnsi="Calibri"/>
                <w:b/>
                <w:bCs/>
                <w:sz w:val="20"/>
                <w:szCs w:val="20"/>
              </w:rPr>
            </w:pPr>
          </w:p>
        </w:tc>
        <w:tc>
          <w:tcPr>
            <w:tcW w:w="917"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815"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1162"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r>
      <w:tr w:rsidR="00754973" w:rsidTr="00754973">
        <w:trPr>
          <w:trHeight w:val="300"/>
          <w:jc w:val="center"/>
        </w:trPr>
        <w:tc>
          <w:tcPr>
            <w:tcW w:w="2329"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1127" w:type="dxa"/>
            <w:tcBorders>
              <w:top w:val="nil"/>
              <w:left w:val="single" w:sz="4" w:space="0" w:color="auto"/>
              <w:bottom w:val="nil"/>
              <w:right w:val="nil"/>
            </w:tcBorders>
            <w:shd w:val="clear" w:color="auto" w:fill="auto"/>
            <w:noWrap/>
            <w:vAlign w:val="bottom"/>
            <w:hideMark/>
          </w:tcPr>
          <w:p w:rsidR="00754973" w:rsidRDefault="00754973" w:rsidP="00754973">
            <w:pPr>
              <w:jc w:val="center"/>
              <w:rPr>
                <w:rFonts w:ascii="Calibri" w:hAnsi="Calibri"/>
                <w:b/>
                <w:bCs/>
                <w:sz w:val="20"/>
                <w:szCs w:val="20"/>
              </w:rPr>
            </w:pPr>
            <w:r>
              <w:rPr>
                <w:rFonts w:ascii="Calibri" w:hAnsi="Calibri"/>
                <w:b/>
                <w:bCs/>
                <w:sz w:val="20"/>
                <w:szCs w:val="20"/>
              </w:rPr>
              <w:t>PER</w:t>
            </w:r>
          </w:p>
        </w:tc>
        <w:tc>
          <w:tcPr>
            <w:tcW w:w="1240" w:type="dxa"/>
            <w:tcBorders>
              <w:top w:val="nil"/>
              <w:left w:val="nil"/>
              <w:bottom w:val="nil"/>
              <w:right w:val="nil"/>
            </w:tcBorders>
            <w:shd w:val="clear" w:color="auto" w:fill="auto"/>
            <w:noWrap/>
            <w:vAlign w:val="bottom"/>
            <w:hideMark/>
          </w:tcPr>
          <w:p w:rsidR="00754973" w:rsidRDefault="00754973" w:rsidP="00754973">
            <w:pPr>
              <w:jc w:val="center"/>
              <w:rPr>
                <w:rFonts w:ascii="Calibri" w:hAnsi="Calibri"/>
                <w:b/>
                <w:bCs/>
                <w:sz w:val="20"/>
                <w:szCs w:val="20"/>
              </w:rPr>
            </w:pPr>
            <w:r>
              <w:rPr>
                <w:rFonts w:ascii="Calibri" w:hAnsi="Calibri"/>
                <w:b/>
                <w:bCs/>
                <w:sz w:val="20"/>
                <w:szCs w:val="20"/>
              </w:rPr>
              <w:t>Specific</w:t>
            </w:r>
          </w:p>
        </w:tc>
        <w:tc>
          <w:tcPr>
            <w:tcW w:w="671" w:type="dxa"/>
            <w:tcBorders>
              <w:top w:val="nil"/>
              <w:left w:val="nil"/>
              <w:bottom w:val="nil"/>
              <w:right w:val="nil"/>
            </w:tcBorders>
            <w:shd w:val="clear" w:color="auto" w:fill="auto"/>
            <w:noWrap/>
            <w:vAlign w:val="bottom"/>
            <w:hideMark/>
          </w:tcPr>
          <w:p w:rsidR="00754973" w:rsidRDefault="00754973" w:rsidP="00754973">
            <w:pPr>
              <w:jc w:val="center"/>
              <w:rPr>
                <w:rFonts w:ascii="Calibri" w:hAnsi="Calibri"/>
                <w:b/>
                <w:bCs/>
                <w:sz w:val="20"/>
                <w:szCs w:val="20"/>
              </w:rPr>
            </w:pPr>
            <w:r>
              <w:rPr>
                <w:rFonts w:ascii="Calibri" w:hAnsi="Calibri"/>
                <w:b/>
                <w:bCs/>
                <w:sz w:val="20"/>
                <w:szCs w:val="20"/>
              </w:rPr>
              <w:t>PRO</w:t>
            </w:r>
          </w:p>
        </w:tc>
        <w:tc>
          <w:tcPr>
            <w:tcW w:w="1140" w:type="dxa"/>
            <w:tcBorders>
              <w:top w:val="nil"/>
              <w:left w:val="nil"/>
              <w:bottom w:val="nil"/>
              <w:right w:val="nil"/>
            </w:tcBorders>
            <w:shd w:val="clear" w:color="auto" w:fill="auto"/>
            <w:noWrap/>
            <w:vAlign w:val="bottom"/>
            <w:hideMark/>
          </w:tcPr>
          <w:p w:rsidR="00754973" w:rsidRDefault="00754973" w:rsidP="00754973">
            <w:pPr>
              <w:jc w:val="center"/>
              <w:rPr>
                <w:rFonts w:ascii="Calibri" w:hAnsi="Calibri"/>
                <w:b/>
                <w:bCs/>
                <w:sz w:val="20"/>
                <w:szCs w:val="20"/>
              </w:rPr>
            </w:pPr>
          </w:p>
        </w:tc>
        <w:tc>
          <w:tcPr>
            <w:tcW w:w="1193" w:type="dxa"/>
            <w:tcBorders>
              <w:top w:val="nil"/>
              <w:left w:val="single" w:sz="4" w:space="0" w:color="auto"/>
              <w:bottom w:val="nil"/>
              <w:right w:val="nil"/>
            </w:tcBorders>
            <w:shd w:val="clear" w:color="auto" w:fill="auto"/>
            <w:noWrap/>
            <w:vAlign w:val="bottom"/>
            <w:hideMark/>
          </w:tcPr>
          <w:p w:rsidR="00754973" w:rsidRDefault="00754973" w:rsidP="00754973">
            <w:pPr>
              <w:jc w:val="center"/>
              <w:rPr>
                <w:rFonts w:ascii="Calibri" w:hAnsi="Calibri"/>
                <w:b/>
                <w:bCs/>
                <w:sz w:val="20"/>
                <w:szCs w:val="20"/>
              </w:rPr>
            </w:pPr>
            <w:r>
              <w:rPr>
                <w:rFonts w:ascii="Calibri" w:hAnsi="Calibri"/>
                <w:b/>
                <w:bCs/>
                <w:sz w:val="20"/>
                <w:szCs w:val="20"/>
              </w:rPr>
              <w:t> </w:t>
            </w:r>
          </w:p>
        </w:tc>
        <w:tc>
          <w:tcPr>
            <w:tcW w:w="1300" w:type="dxa"/>
            <w:tcBorders>
              <w:top w:val="nil"/>
              <w:left w:val="nil"/>
              <w:bottom w:val="nil"/>
              <w:right w:val="nil"/>
            </w:tcBorders>
            <w:shd w:val="clear" w:color="auto" w:fill="auto"/>
            <w:noWrap/>
            <w:vAlign w:val="bottom"/>
            <w:hideMark/>
          </w:tcPr>
          <w:p w:rsidR="00754973" w:rsidRDefault="00754973" w:rsidP="00754973">
            <w:pPr>
              <w:jc w:val="center"/>
              <w:rPr>
                <w:rFonts w:ascii="Calibri" w:hAnsi="Calibri"/>
                <w:b/>
                <w:bCs/>
                <w:sz w:val="20"/>
                <w:szCs w:val="20"/>
              </w:rPr>
            </w:pPr>
            <w:r>
              <w:rPr>
                <w:rFonts w:ascii="Calibri" w:hAnsi="Calibri"/>
                <w:b/>
                <w:bCs/>
                <w:sz w:val="20"/>
                <w:szCs w:val="20"/>
              </w:rPr>
              <w:t>COST</w:t>
            </w:r>
          </w:p>
        </w:tc>
        <w:tc>
          <w:tcPr>
            <w:tcW w:w="1125" w:type="dxa"/>
            <w:tcBorders>
              <w:top w:val="nil"/>
              <w:left w:val="nil"/>
              <w:bottom w:val="nil"/>
              <w:right w:val="single" w:sz="4" w:space="0" w:color="auto"/>
            </w:tcBorders>
            <w:shd w:val="clear" w:color="auto" w:fill="auto"/>
            <w:noWrap/>
            <w:vAlign w:val="bottom"/>
            <w:hideMark/>
          </w:tcPr>
          <w:p w:rsidR="00754973" w:rsidRDefault="00754973" w:rsidP="00754973">
            <w:pPr>
              <w:jc w:val="center"/>
              <w:rPr>
                <w:rFonts w:ascii="Calibri" w:hAnsi="Calibri"/>
                <w:b/>
                <w:bCs/>
                <w:sz w:val="20"/>
                <w:szCs w:val="20"/>
              </w:rPr>
            </w:pPr>
            <w:r>
              <w:rPr>
                <w:rFonts w:ascii="Calibri" w:hAnsi="Calibri"/>
                <w:b/>
                <w:bCs/>
                <w:sz w:val="20"/>
                <w:szCs w:val="20"/>
              </w:rPr>
              <w:t>WEIGHTED</w:t>
            </w:r>
          </w:p>
        </w:tc>
        <w:tc>
          <w:tcPr>
            <w:tcW w:w="1260"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917"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815"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1162"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r>
      <w:tr w:rsidR="00754973" w:rsidTr="00754973">
        <w:trPr>
          <w:trHeight w:val="300"/>
          <w:jc w:val="center"/>
        </w:trPr>
        <w:tc>
          <w:tcPr>
            <w:tcW w:w="2329"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1127" w:type="dxa"/>
            <w:tcBorders>
              <w:top w:val="nil"/>
              <w:left w:val="single" w:sz="4" w:space="0" w:color="auto"/>
              <w:bottom w:val="single" w:sz="4" w:space="0" w:color="auto"/>
              <w:right w:val="nil"/>
            </w:tcBorders>
            <w:shd w:val="clear" w:color="auto" w:fill="auto"/>
            <w:noWrap/>
            <w:vAlign w:val="bottom"/>
            <w:hideMark/>
          </w:tcPr>
          <w:p w:rsidR="00754973" w:rsidRDefault="00754973" w:rsidP="00754973">
            <w:pPr>
              <w:jc w:val="center"/>
              <w:rPr>
                <w:rFonts w:ascii="Calibri" w:hAnsi="Calibri"/>
                <w:b/>
                <w:bCs/>
                <w:sz w:val="20"/>
                <w:szCs w:val="20"/>
              </w:rPr>
            </w:pPr>
            <w:r>
              <w:rPr>
                <w:rFonts w:ascii="Calibri" w:hAnsi="Calibri"/>
                <w:b/>
                <w:bCs/>
                <w:sz w:val="20"/>
                <w:szCs w:val="20"/>
              </w:rPr>
              <w:t>BOOKS</w:t>
            </w:r>
          </w:p>
        </w:tc>
        <w:tc>
          <w:tcPr>
            <w:tcW w:w="1240" w:type="dxa"/>
            <w:tcBorders>
              <w:top w:val="nil"/>
              <w:left w:val="nil"/>
              <w:bottom w:val="single" w:sz="4" w:space="0" w:color="auto"/>
              <w:right w:val="nil"/>
            </w:tcBorders>
            <w:shd w:val="clear" w:color="auto" w:fill="auto"/>
            <w:noWrap/>
            <w:vAlign w:val="bottom"/>
            <w:hideMark/>
          </w:tcPr>
          <w:p w:rsidR="00754973" w:rsidRDefault="00754973" w:rsidP="00754973">
            <w:pPr>
              <w:jc w:val="center"/>
              <w:rPr>
                <w:rFonts w:ascii="Calibri" w:hAnsi="Calibri"/>
                <w:b/>
                <w:bCs/>
                <w:sz w:val="20"/>
                <w:szCs w:val="20"/>
              </w:rPr>
            </w:pPr>
            <w:r>
              <w:rPr>
                <w:rFonts w:ascii="Calibri" w:hAnsi="Calibri"/>
                <w:b/>
                <w:bCs/>
                <w:sz w:val="20"/>
                <w:szCs w:val="20"/>
              </w:rPr>
              <w:t>Adjustment</w:t>
            </w:r>
          </w:p>
        </w:tc>
        <w:tc>
          <w:tcPr>
            <w:tcW w:w="671" w:type="dxa"/>
            <w:tcBorders>
              <w:top w:val="nil"/>
              <w:left w:val="nil"/>
              <w:bottom w:val="single" w:sz="4" w:space="0" w:color="auto"/>
              <w:right w:val="nil"/>
            </w:tcBorders>
            <w:shd w:val="clear" w:color="auto" w:fill="auto"/>
            <w:noWrap/>
            <w:vAlign w:val="bottom"/>
            <w:hideMark/>
          </w:tcPr>
          <w:p w:rsidR="00754973" w:rsidRDefault="00754973" w:rsidP="00754973">
            <w:pPr>
              <w:jc w:val="center"/>
              <w:rPr>
                <w:rFonts w:ascii="Calibri" w:hAnsi="Calibri"/>
                <w:b/>
                <w:bCs/>
                <w:sz w:val="20"/>
                <w:szCs w:val="20"/>
              </w:rPr>
            </w:pPr>
            <w:r>
              <w:rPr>
                <w:rFonts w:ascii="Calibri" w:hAnsi="Calibri"/>
                <w:b/>
                <w:bCs/>
                <w:sz w:val="20"/>
                <w:szCs w:val="20"/>
              </w:rPr>
              <w:t>RATA</w:t>
            </w:r>
          </w:p>
        </w:tc>
        <w:tc>
          <w:tcPr>
            <w:tcW w:w="1140" w:type="dxa"/>
            <w:tcBorders>
              <w:top w:val="nil"/>
              <w:left w:val="nil"/>
              <w:bottom w:val="single" w:sz="4" w:space="0" w:color="auto"/>
              <w:right w:val="single" w:sz="4" w:space="0" w:color="auto"/>
            </w:tcBorders>
            <w:shd w:val="clear" w:color="auto" w:fill="auto"/>
            <w:noWrap/>
            <w:vAlign w:val="bottom"/>
            <w:hideMark/>
          </w:tcPr>
          <w:p w:rsidR="00754973" w:rsidRDefault="00754973" w:rsidP="00754973">
            <w:pPr>
              <w:jc w:val="center"/>
              <w:rPr>
                <w:rFonts w:ascii="Calibri" w:hAnsi="Calibri"/>
                <w:b/>
                <w:bCs/>
                <w:sz w:val="20"/>
                <w:szCs w:val="20"/>
              </w:rPr>
            </w:pPr>
            <w:r>
              <w:rPr>
                <w:rFonts w:ascii="Calibri" w:hAnsi="Calibri"/>
                <w:b/>
                <w:bCs/>
                <w:sz w:val="20"/>
                <w:szCs w:val="20"/>
              </w:rPr>
              <w:t>ADJUSTED</w:t>
            </w:r>
          </w:p>
        </w:tc>
        <w:tc>
          <w:tcPr>
            <w:tcW w:w="1193" w:type="dxa"/>
            <w:tcBorders>
              <w:top w:val="nil"/>
              <w:left w:val="nil"/>
              <w:bottom w:val="single" w:sz="4" w:space="0" w:color="auto"/>
              <w:right w:val="nil"/>
            </w:tcBorders>
            <w:shd w:val="clear" w:color="auto" w:fill="auto"/>
            <w:noWrap/>
            <w:vAlign w:val="bottom"/>
            <w:hideMark/>
          </w:tcPr>
          <w:p w:rsidR="00754973" w:rsidRDefault="00754973" w:rsidP="00754973">
            <w:pPr>
              <w:jc w:val="center"/>
              <w:rPr>
                <w:rFonts w:ascii="Calibri" w:hAnsi="Calibri"/>
                <w:b/>
                <w:bCs/>
                <w:sz w:val="20"/>
                <w:szCs w:val="20"/>
              </w:rPr>
            </w:pPr>
            <w:r>
              <w:rPr>
                <w:rFonts w:ascii="Calibri" w:hAnsi="Calibri"/>
                <w:b/>
                <w:bCs/>
                <w:sz w:val="20"/>
                <w:szCs w:val="20"/>
              </w:rPr>
              <w:t>RATIO</w:t>
            </w:r>
          </w:p>
        </w:tc>
        <w:tc>
          <w:tcPr>
            <w:tcW w:w="1300" w:type="dxa"/>
            <w:tcBorders>
              <w:top w:val="nil"/>
              <w:left w:val="nil"/>
              <w:bottom w:val="single" w:sz="4" w:space="0" w:color="auto"/>
              <w:right w:val="nil"/>
            </w:tcBorders>
            <w:shd w:val="clear" w:color="auto" w:fill="auto"/>
            <w:noWrap/>
            <w:vAlign w:val="bottom"/>
            <w:hideMark/>
          </w:tcPr>
          <w:p w:rsidR="00754973" w:rsidRDefault="00754973" w:rsidP="00754973">
            <w:pPr>
              <w:jc w:val="center"/>
              <w:rPr>
                <w:rFonts w:ascii="Calibri" w:hAnsi="Calibri"/>
                <w:b/>
                <w:bCs/>
                <w:sz w:val="20"/>
                <w:szCs w:val="20"/>
              </w:rPr>
            </w:pPr>
            <w:r>
              <w:rPr>
                <w:rFonts w:ascii="Calibri" w:hAnsi="Calibri"/>
                <w:b/>
                <w:bCs/>
                <w:sz w:val="20"/>
                <w:szCs w:val="20"/>
              </w:rPr>
              <w:t>RATE</w:t>
            </w:r>
          </w:p>
        </w:tc>
        <w:tc>
          <w:tcPr>
            <w:tcW w:w="1125" w:type="dxa"/>
            <w:tcBorders>
              <w:top w:val="nil"/>
              <w:left w:val="nil"/>
              <w:bottom w:val="single" w:sz="4" w:space="0" w:color="auto"/>
              <w:right w:val="single" w:sz="4" w:space="0" w:color="auto"/>
            </w:tcBorders>
            <w:shd w:val="clear" w:color="auto" w:fill="auto"/>
            <w:noWrap/>
            <w:vAlign w:val="bottom"/>
            <w:hideMark/>
          </w:tcPr>
          <w:p w:rsidR="00754973" w:rsidRDefault="00754973" w:rsidP="00754973">
            <w:pPr>
              <w:jc w:val="center"/>
              <w:rPr>
                <w:rFonts w:ascii="Calibri" w:hAnsi="Calibri"/>
                <w:b/>
                <w:bCs/>
                <w:sz w:val="20"/>
                <w:szCs w:val="20"/>
              </w:rPr>
            </w:pPr>
            <w:r>
              <w:rPr>
                <w:rFonts w:ascii="Calibri" w:hAnsi="Calibri"/>
                <w:b/>
                <w:bCs/>
                <w:sz w:val="20"/>
                <w:szCs w:val="20"/>
              </w:rPr>
              <w:t>COST</w:t>
            </w:r>
          </w:p>
        </w:tc>
        <w:tc>
          <w:tcPr>
            <w:tcW w:w="1260"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917"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815"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1162"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r>
      <w:tr w:rsidR="00754973" w:rsidTr="00754973">
        <w:trPr>
          <w:trHeight w:val="300"/>
          <w:jc w:val="center"/>
        </w:trPr>
        <w:tc>
          <w:tcPr>
            <w:tcW w:w="2329"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r>
              <w:rPr>
                <w:rFonts w:ascii="Calibri" w:hAnsi="Calibri"/>
                <w:sz w:val="20"/>
                <w:szCs w:val="20"/>
              </w:rPr>
              <w:t>COMMON EQUITY</w:t>
            </w:r>
          </w:p>
        </w:tc>
        <w:tc>
          <w:tcPr>
            <w:tcW w:w="1127" w:type="dxa"/>
            <w:tcBorders>
              <w:top w:val="nil"/>
              <w:left w:val="single" w:sz="4" w:space="0" w:color="auto"/>
              <w:bottom w:val="nil"/>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 xml:space="preserve">$1,746,957 </w:t>
            </w:r>
          </w:p>
        </w:tc>
        <w:tc>
          <w:tcPr>
            <w:tcW w:w="1240" w:type="dxa"/>
            <w:tcBorders>
              <w:top w:val="nil"/>
              <w:left w:val="nil"/>
              <w:bottom w:val="nil"/>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 xml:space="preserve">$0 </w:t>
            </w:r>
          </w:p>
        </w:tc>
        <w:tc>
          <w:tcPr>
            <w:tcW w:w="671"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1140" w:type="dxa"/>
            <w:tcBorders>
              <w:top w:val="nil"/>
              <w:left w:val="nil"/>
              <w:bottom w:val="nil"/>
              <w:right w:val="single" w:sz="4" w:space="0" w:color="auto"/>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 xml:space="preserve">$1,746,957 </w:t>
            </w:r>
          </w:p>
        </w:tc>
        <w:tc>
          <w:tcPr>
            <w:tcW w:w="1193" w:type="dxa"/>
            <w:tcBorders>
              <w:top w:val="nil"/>
              <w:left w:val="nil"/>
              <w:bottom w:val="nil"/>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34.63%</w:t>
            </w:r>
          </w:p>
        </w:tc>
        <w:tc>
          <w:tcPr>
            <w:tcW w:w="1300" w:type="dxa"/>
            <w:tcBorders>
              <w:top w:val="nil"/>
              <w:left w:val="nil"/>
              <w:bottom w:val="nil"/>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12.50%</w:t>
            </w:r>
          </w:p>
        </w:tc>
        <w:tc>
          <w:tcPr>
            <w:tcW w:w="1125" w:type="dxa"/>
            <w:tcBorders>
              <w:top w:val="nil"/>
              <w:left w:val="nil"/>
              <w:bottom w:val="nil"/>
              <w:right w:val="single" w:sz="4" w:space="0" w:color="auto"/>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4.33%</w:t>
            </w:r>
          </w:p>
        </w:tc>
        <w:tc>
          <w:tcPr>
            <w:tcW w:w="1260"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917"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815"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1162"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r>
      <w:tr w:rsidR="00754973" w:rsidTr="00754973">
        <w:trPr>
          <w:trHeight w:val="300"/>
          <w:jc w:val="center"/>
        </w:trPr>
        <w:tc>
          <w:tcPr>
            <w:tcW w:w="2329"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r>
              <w:rPr>
                <w:rFonts w:ascii="Calibri" w:hAnsi="Calibri"/>
                <w:sz w:val="20"/>
                <w:szCs w:val="20"/>
              </w:rPr>
              <w:t>LONG TERM DEBT</w:t>
            </w:r>
          </w:p>
        </w:tc>
        <w:tc>
          <w:tcPr>
            <w:tcW w:w="1127" w:type="dxa"/>
            <w:tcBorders>
              <w:top w:val="nil"/>
              <w:left w:val="single" w:sz="4" w:space="0" w:color="auto"/>
              <w:bottom w:val="nil"/>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 xml:space="preserve">$2,760,453 </w:t>
            </w:r>
          </w:p>
        </w:tc>
        <w:tc>
          <w:tcPr>
            <w:tcW w:w="1240" w:type="dxa"/>
            <w:tcBorders>
              <w:top w:val="nil"/>
              <w:left w:val="nil"/>
              <w:bottom w:val="nil"/>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 xml:space="preserve">$0 </w:t>
            </w:r>
          </w:p>
        </w:tc>
        <w:tc>
          <w:tcPr>
            <w:tcW w:w="671"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1140" w:type="dxa"/>
            <w:tcBorders>
              <w:top w:val="nil"/>
              <w:left w:val="nil"/>
              <w:bottom w:val="nil"/>
              <w:right w:val="single" w:sz="4" w:space="0" w:color="auto"/>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 xml:space="preserve">$2,760,453 </w:t>
            </w:r>
          </w:p>
        </w:tc>
        <w:tc>
          <w:tcPr>
            <w:tcW w:w="1193" w:type="dxa"/>
            <w:tcBorders>
              <w:top w:val="nil"/>
              <w:left w:val="nil"/>
              <w:bottom w:val="nil"/>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54.72%</w:t>
            </w:r>
          </w:p>
        </w:tc>
        <w:tc>
          <w:tcPr>
            <w:tcW w:w="1300" w:type="dxa"/>
            <w:tcBorders>
              <w:top w:val="nil"/>
              <w:left w:val="nil"/>
              <w:bottom w:val="nil"/>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5.95%</w:t>
            </w:r>
          </w:p>
        </w:tc>
        <w:tc>
          <w:tcPr>
            <w:tcW w:w="1125" w:type="dxa"/>
            <w:tcBorders>
              <w:top w:val="nil"/>
              <w:left w:val="nil"/>
              <w:bottom w:val="nil"/>
              <w:right w:val="single" w:sz="4" w:space="0" w:color="auto"/>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3.26%</w:t>
            </w:r>
          </w:p>
        </w:tc>
        <w:tc>
          <w:tcPr>
            <w:tcW w:w="1260"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917"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815"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1162"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r>
      <w:tr w:rsidR="00754973" w:rsidTr="00754973">
        <w:trPr>
          <w:trHeight w:val="300"/>
          <w:jc w:val="center"/>
        </w:trPr>
        <w:tc>
          <w:tcPr>
            <w:tcW w:w="2329"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r>
              <w:rPr>
                <w:rFonts w:ascii="Calibri" w:hAnsi="Calibri"/>
                <w:sz w:val="20"/>
                <w:szCs w:val="20"/>
              </w:rPr>
              <w:t>SHORT TERM DEBT</w:t>
            </w:r>
          </w:p>
        </w:tc>
        <w:tc>
          <w:tcPr>
            <w:tcW w:w="1127" w:type="dxa"/>
            <w:tcBorders>
              <w:top w:val="nil"/>
              <w:left w:val="single" w:sz="4" w:space="0" w:color="auto"/>
              <w:bottom w:val="nil"/>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 xml:space="preserve">$38,077 </w:t>
            </w:r>
          </w:p>
        </w:tc>
        <w:tc>
          <w:tcPr>
            <w:tcW w:w="1240" w:type="dxa"/>
            <w:tcBorders>
              <w:top w:val="nil"/>
              <w:left w:val="nil"/>
              <w:bottom w:val="nil"/>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 xml:space="preserve">$0 </w:t>
            </w:r>
          </w:p>
        </w:tc>
        <w:tc>
          <w:tcPr>
            <w:tcW w:w="671"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1140" w:type="dxa"/>
            <w:tcBorders>
              <w:top w:val="nil"/>
              <w:left w:val="nil"/>
              <w:bottom w:val="nil"/>
              <w:right w:val="single" w:sz="4" w:space="0" w:color="auto"/>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 xml:space="preserve">$38,077 </w:t>
            </w:r>
          </w:p>
        </w:tc>
        <w:tc>
          <w:tcPr>
            <w:tcW w:w="1193" w:type="dxa"/>
            <w:tcBorders>
              <w:top w:val="nil"/>
              <w:left w:val="nil"/>
              <w:bottom w:val="nil"/>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0.75%</w:t>
            </w:r>
          </w:p>
        </w:tc>
        <w:tc>
          <w:tcPr>
            <w:tcW w:w="1300" w:type="dxa"/>
            <w:tcBorders>
              <w:top w:val="nil"/>
              <w:left w:val="nil"/>
              <w:bottom w:val="nil"/>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6.00%</w:t>
            </w:r>
          </w:p>
        </w:tc>
        <w:tc>
          <w:tcPr>
            <w:tcW w:w="1125" w:type="dxa"/>
            <w:tcBorders>
              <w:top w:val="nil"/>
              <w:left w:val="nil"/>
              <w:bottom w:val="nil"/>
              <w:right w:val="single" w:sz="4" w:space="0" w:color="auto"/>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0.05%</w:t>
            </w:r>
          </w:p>
        </w:tc>
        <w:tc>
          <w:tcPr>
            <w:tcW w:w="1260"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917"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815"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1162"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r>
      <w:tr w:rsidR="00754973" w:rsidTr="00754973">
        <w:trPr>
          <w:trHeight w:val="300"/>
          <w:jc w:val="center"/>
        </w:trPr>
        <w:tc>
          <w:tcPr>
            <w:tcW w:w="2329"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r>
              <w:rPr>
                <w:rFonts w:ascii="Calibri" w:hAnsi="Calibri"/>
                <w:sz w:val="20"/>
                <w:szCs w:val="20"/>
              </w:rPr>
              <w:t>CUSTOMER DEPOSITS</w:t>
            </w:r>
          </w:p>
        </w:tc>
        <w:tc>
          <w:tcPr>
            <w:tcW w:w="1127" w:type="dxa"/>
            <w:tcBorders>
              <w:top w:val="nil"/>
              <w:left w:val="single" w:sz="4" w:space="0" w:color="auto"/>
              <w:bottom w:val="nil"/>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 xml:space="preserve">$156,205 </w:t>
            </w:r>
          </w:p>
        </w:tc>
        <w:tc>
          <w:tcPr>
            <w:tcW w:w="1240" w:type="dxa"/>
            <w:tcBorders>
              <w:top w:val="nil"/>
              <w:left w:val="nil"/>
              <w:bottom w:val="nil"/>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 xml:space="preserve">$0 </w:t>
            </w:r>
          </w:p>
        </w:tc>
        <w:tc>
          <w:tcPr>
            <w:tcW w:w="671"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1140" w:type="dxa"/>
            <w:tcBorders>
              <w:top w:val="nil"/>
              <w:left w:val="nil"/>
              <w:bottom w:val="nil"/>
              <w:right w:val="single" w:sz="4" w:space="0" w:color="auto"/>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 xml:space="preserve">$156,205 </w:t>
            </w:r>
          </w:p>
        </w:tc>
        <w:tc>
          <w:tcPr>
            <w:tcW w:w="1193" w:type="dxa"/>
            <w:tcBorders>
              <w:top w:val="nil"/>
              <w:left w:val="nil"/>
              <w:bottom w:val="nil"/>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3.10%</w:t>
            </w:r>
          </w:p>
        </w:tc>
        <w:tc>
          <w:tcPr>
            <w:tcW w:w="1300" w:type="dxa"/>
            <w:tcBorders>
              <w:top w:val="nil"/>
              <w:left w:val="nil"/>
              <w:bottom w:val="nil"/>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2.86%</w:t>
            </w:r>
          </w:p>
        </w:tc>
        <w:tc>
          <w:tcPr>
            <w:tcW w:w="1125" w:type="dxa"/>
            <w:tcBorders>
              <w:top w:val="nil"/>
              <w:left w:val="nil"/>
              <w:bottom w:val="nil"/>
              <w:right w:val="single" w:sz="4" w:space="0" w:color="auto"/>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0.09%</w:t>
            </w:r>
          </w:p>
        </w:tc>
        <w:tc>
          <w:tcPr>
            <w:tcW w:w="1260"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917"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815"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1162"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r>
      <w:tr w:rsidR="00754973" w:rsidTr="00754973">
        <w:trPr>
          <w:trHeight w:val="300"/>
          <w:jc w:val="center"/>
        </w:trPr>
        <w:tc>
          <w:tcPr>
            <w:tcW w:w="2329"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r>
              <w:rPr>
                <w:rFonts w:ascii="Calibri" w:hAnsi="Calibri"/>
                <w:sz w:val="20"/>
                <w:szCs w:val="20"/>
              </w:rPr>
              <w:t>DEFERRED INCOME TAX</w:t>
            </w:r>
          </w:p>
        </w:tc>
        <w:tc>
          <w:tcPr>
            <w:tcW w:w="1127" w:type="dxa"/>
            <w:tcBorders>
              <w:top w:val="nil"/>
              <w:left w:val="single" w:sz="4" w:space="0" w:color="auto"/>
              <w:bottom w:val="single" w:sz="4" w:space="0" w:color="auto"/>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 xml:space="preserve">$342,671 </w:t>
            </w:r>
          </w:p>
        </w:tc>
        <w:tc>
          <w:tcPr>
            <w:tcW w:w="1240" w:type="dxa"/>
            <w:tcBorders>
              <w:top w:val="nil"/>
              <w:left w:val="nil"/>
              <w:bottom w:val="single" w:sz="4" w:space="0" w:color="auto"/>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 xml:space="preserve">$0 </w:t>
            </w:r>
          </w:p>
        </w:tc>
        <w:tc>
          <w:tcPr>
            <w:tcW w:w="671" w:type="dxa"/>
            <w:tcBorders>
              <w:top w:val="nil"/>
              <w:left w:val="nil"/>
              <w:bottom w:val="single" w:sz="4" w:space="0" w:color="auto"/>
              <w:right w:val="nil"/>
            </w:tcBorders>
            <w:shd w:val="clear" w:color="auto" w:fill="auto"/>
            <w:noWrap/>
            <w:vAlign w:val="bottom"/>
            <w:hideMark/>
          </w:tcPr>
          <w:p w:rsidR="00754973" w:rsidRDefault="00754973" w:rsidP="00754973">
            <w:pPr>
              <w:rPr>
                <w:rFonts w:ascii="Calibri" w:hAnsi="Calibri"/>
                <w:sz w:val="20"/>
                <w:szCs w:val="20"/>
              </w:rPr>
            </w:pPr>
            <w:r>
              <w:rPr>
                <w:rFonts w:ascii="Calibri" w:hAnsi="Calibri"/>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 xml:space="preserve">$342,671 </w:t>
            </w:r>
          </w:p>
        </w:tc>
        <w:tc>
          <w:tcPr>
            <w:tcW w:w="1193" w:type="dxa"/>
            <w:tcBorders>
              <w:top w:val="nil"/>
              <w:left w:val="nil"/>
              <w:bottom w:val="nil"/>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6.79%</w:t>
            </w:r>
          </w:p>
        </w:tc>
        <w:tc>
          <w:tcPr>
            <w:tcW w:w="1300" w:type="dxa"/>
            <w:tcBorders>
              <w:top w:val="nil"/>
              <w:left w:val="nil"/>
              <w:bottom w:val="single" w:sz="4" w:space="0" w:color="auto"/>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0.00%</w:t>
            </w:r>
          </w:p>
        </w:tc>
        <w:tc>
          <w:tcPr>
            <w:tcW w:w="1125" w:type="dxa"/>
            <w:tcBorders>
              <w:top w:val="nil"/>
              <w:left w:val="nil"/>
              <w:bottom w:val="nil"/>
              <w:right w:val="single" w:sz="4" w:space="0" w:color="auto"/>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0.00%</w:t>
            </w:r>
          </w:p>
        </w:tc>
        <w:tc>
          <w:tcPr>
            <w:tcW w:w="1260"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917"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815"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1162"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r>
      <w:tr w:rsidR="00754973" w:rsidTr="00754973">
        <w:trPr>
          <w:trHeight w:val="300"/>
          <w:jc w:val="center"/>
        </w:trPr>
        <w:tc>
          <w:tcPr>
            <w:tcW w:w="2329"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1127" w:type="dxa"/>
            <w:tcBorders>
              <w:top w:val="nil"/>
              <w:left w:val="single" w:sz="4" w:space="0" w:color="auto"/>
              <w:bottom w:val="single" w:sz="4" w:space="0" w:color="auto"/>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 xml:space="preserve">$5,044,363 </w:t>
            </w:r>
          </w:p>
        </w:tc>
        <w:tc>
          <w:tcPr>
            <w:tcW w:w="1240" w:type="dxa"/>
            <w:tcBorders>
              <w:top w:val="nil"/>
              <w:left w:val="nil"/>
              <w:bottom w:val="single" w:sz="4" w:space="0" w:color="auto"/>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 xml:space="preserve">$0 </w:t>
            </w:r>
          </w:p>
        </w:tc>
        <w:tc>
          <w:tcPr>
            <w:tcW w:w="671" w:type="dxa"/>
            <w:tcBorders>
              <w:top w:val="nil"/>
              <w:left w:val="nil"/>
              <w:bottom w:val="single" w:sz="4" w:space="0" w:color="auto"/>
              <w:right w:val="nil"/>
            </w:tcBorders>
            <w:shd w:val="clear" w:color="auto" w:fill="auto"/>
            <w:noWrap/>
            <w:vAlign w:val="bottom"/>
            <w:hideMark/>
          </w:tcPr>
          <w:p w:rsidR="00754973" w:rsidRDefault="00754973" w:rsidP="00754973">
            <w:pPr>
              <w:rPr>
                <w:rFonts w:ascii="Calibri" w:hAnsi="Calibri"/>
                <w:sz w:val="20"/>
                <w:szCs w:val="20"/>
              </w:rPr>
            </w:pPr>
            <w:r>
              <w:rPr>
                <w:rFonts w:ascii="Calibri" w:hAnsi="Calibri"/>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 xml:space="preserve">$5,044,363 </w:t>
            </w:r>
          </w:p>
        </w:tc>
        <w:tc>
          <w:tcPr>
            <w:tcW w:w="1193" w:type="dxa"/>
            <w:tcBorders>
              <w:top w:val="single" w:sz="4" w:space="0" w:color="auto"/>
              <w:left w:val="nil"/>
              <w:bottom w:val="single" w:sz="4" w:space="0" w:color="auto"/>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100.00%</w:t>
            </w:r>
          </w:p>
        </w:tc>
        <w:tc>
          <w:tcPr>
            <w:tcW w:w="1300" w:type="dxa"/>
            <w:tcBorders>
              <w:top w:val="nil"/>
              <w:left w:val="nil"/>
              <w:bottom w:val="single" w:sz="4" w:space="0" w:color="auto"/>
              <w:right w:val="nil"/>
            </w:tcBorders>
            <w:shd w:val="clear" w:color="auto" w:fill="auto"/>
            <w:noWrap/>
            <w:vAlign w:val="bottom"/>
            <w:hideMark/>
          </w:tcPr>
          <w:p w:rsidR="00754973" w:rsidRDefault="00754973" w:rsidP="00754973">
            <w:pPr>
              <w:rPr>
                <w:rFonts w:ascii="Calibri" w:hAnsi="Calibri"/>
                <w:sz w:val="20"/>
                <w:szCs w:val="20"/>
              </w:rPr>
            </w:pPr>
            <w:r>
              <w:rPr>
                <w:rFonts w:ascii="Calibri" w:hAnsi="Calibri"/>
                <w:sz w:val="20"/>
                <w:szCs w:val="20"/>
              </w:rPr>
              <w:t> </w:t>
            </w:r>
          </w:p>
        </w:tc>
        <w:tc>
          <w:tcPr>
            <w:tcW w:w="1125" w:type="dxa"/>
            <w:tcBorders>
              <w:top w:val="single" w:sz="4" w:space="0" w:color="auto"/>
              <w:left w:val="nil"/>
              <w:bottom w:val="single" w:sz="4" w:space="0" w:color="auto"/>
              <w:right w:val="single" w:sz="4" w:space="0" w:color="auto"/>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7.72%</w:t>
            </w:r>
          </w:p>
        </w:tc>
        <w:tc>
          <w:tcPr>
            <w:tcW w:w="1260"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917"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815"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1162"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r>
      <w:tr w:rsidR="00754973" w:rsidTr="00754973">
        <w:trPr>
          <w:trHeight w:val="300"/>
          <w:jc w:val="center"/>
        </w:trPr>
        <w:tc>
          <w:tcPr>
            <w:tcW w:w="2329"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1127"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1240"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671"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1140"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1193"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1300"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1125"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1260"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917"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815"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1162"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r>
      <w:tr w:rsidR="00754973" w:rsidTr="00754973">
        <w:trPr>
          <w:trHeight w:val="300"/>
          <w:jc w:val="center"/>
        </w:trPr>
        <w:tc>
          <w:tcPr>
            <w:tcW w:w="2329"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1127"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1240"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671"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1140"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1193"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1300"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1125"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1260"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917"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815"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1162"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r>
      <w:tr w:rsidR="00754973" w:rsidTr="00754973">
        <w:trPr>
          <w:trHeight w:val="315"/>
          <w:jc w:val="center"/>
        </w:trPr>
        <w:tc>
          <w:tcPr>
            <w:tcW w:w="2329"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417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973" w:rsidRDefault="00754973" w:rsidP="00754973">
            <w:pPr>
              <w:jc w:val="center"/>
              <w:rPr>
                <w:rFonts w:ascii="Calibri" w:hAnsi="Calibri"/>
                <w:b/>
                <w:bCs/>
                <w:sz w:val="20"/>
                <w:szCs w:val="20"/>
              </w:rPr>
            </w:pPr>
            <w:r>
              <w:rPr>
                <w:rFonts w:ascii="Calibri" w:hAnsi="Calibri"/>
                <w:b/>
                <w:bCs/>
                <w:sz w:val="20"/>
                <w:szCs w:val="20"/>
              </w:rPr>
              <w:t>COMPANY AS FILED</w:t>
            </w:r>
          </w:p>
        </w:tc>
        <w:tc>
          <w:tcPr>
            <w:tcW w:w="7772" w:type="dxa"/>
            <w:gridSpan w:val="7"/>
            <w:tcBorders>
              <w:top w:val="single" w:sz="4" w:space="0" w:color="auto"/>
              <w:left w:val="nil"/>
              <w:bottom w:val="single" w:sz="4" w:space="0" w:color="auto"/>
              <w:right w:val="single" w:sz="4" w:space="0" w:color="000000"/>
            </w:tcBorders>
            <w:shd w:val="clear" w:color="auto" w:fill="auto"/>
            <w:noWrap/>
            <w:vAlign w:val="bottom"/>
            <w:hideMark/>
          </w:tcPr>
          <w:p w:rsidR="00754973" w:rsidRDefault="00754973" w:rsidP="00754973">
            <w:pPr>
              <w:jc w:val="center"/>
              <w:rPr>
                <w:rFonts w:ascii="Calibri" w:hAnsi="Calibri"/>
                <w:b/>
                <w:bCs/>
                <w:sz w:val="20"/>
                <w:szCs w:val="20"/>
              </w:rPr>
            </w:pPr>
            <w:r>
              <w:rPr>
                <w:rFonts w:ascii="Calibri" w:hAnsi="Calibri"/>
                <w:b/>
                <w:bCs/>
                <w:sz w:val="20"/>
                <w:szCs w:val="20"/>
              </w:rPr>
              <w:t>STAFF RECOMMENDED ADJUSTMENTS</w:t>
            </w:r>
          </w:p>
        </w:tc>
      </w:tr>
      <w:tr w:rsidR="00754973" w:rsidTr="00754973">
        <w:trPr>
          <w:trHeight w:val="315"/>
          <w:jc w:val="center"/>
        </w:trPr>
        <w:tc>
          <w:tcPr>
            <w:tcW w:w="2329"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1127" w:type="dxa"/>
            <w:tcBorders>
              <w:top w:val="nil"/>
              <w:left w:val="single" w:sz="4" w:space="0" w:color="auto"/>
              <w:bottom w:val="nil"/>
              <w:right w:val="nil"/>
            </w:tcBorders>
            <w:shd w:val="clear" w:color="auto" w:fill="auto"/>
            <w:noWrap/>
            <w:vAlign w:val="bottom"/>
            <w:hideMark/>
          </w:tcPr>
          <w:p w:rsidR="00754973" w:rsidRDefault="00754973" w:rsidP="00754973">
            <w:pPr>
              <w:jc w:val="center"/>
              <w:rPr>
                <w:rFonts w:ascii="Calibri" w:hAnsi="Calibri"/>
                <w:b/>
                <w:bCs/>
                <w:sz w:val="20"/>
                <w:szCs w:val="20"/>
              </w:rPr>
            </w:pPr>
            <w:r>
              <w:rPr>
                <w:rFonts w:ascii="Calibri" w:hAnsi="Calibri"/>
                <w:b/>
                <w:bCs/>
                <w:sz w:val="20"/>
                <w:szCs w:val="20"/>
              </w:rPr>
              <w:t>PER</w:t>
            </w:r>
          </w:p>
        </w:tc>
        <w:tc>
          <w:tcPr>
            <w:tcW w:w="1240" w:type="dxa"/>
            <w:tcBorders>
              <w:top w:val="nil"/>
              <w:left w:val="nil"/>
              <w:bottom w:val="nil"/>
              <w:right w:val="nil"/>
            </w:tcBorders>
            <w:shd w:val="clear" w:color="auto" w:fill="auto"/>
            <w:noWrap/>
            <w:vAlign w:val="bottom"/>
            <w:hideMark/>
          </w:tcPr>
          <w:p w:rsidR="00754973" w:rsidRDefault="00754973" w:rsidP="00754973">
            <w:pPr>
              <w:jc w:val="center"/>
              <w:rPr>
                <w:rFonts w:ascii="Calibri" w:hAnsi="Calibri"/>
                <w:b/>
                <w:bCs/>
                <w:sz w:val="20"/>
                <w:szCs w:val="20"/>
              </w:rPr>
            </w:pPr>
            <w:r>
              <w:rPr>
                <w:rFonts w:ascii="Calibri" w:hAnsi="Calibri"/>
                <w:b/>
                <w:bCs/>
                <w:sz w:val="20"/>
                <w:szCs w:val="20"/>
              </w:rPr>
              <w:t>Specific</w:t>
            </w:r>
          </w:p>
        </w:tc>
        <w:tc>
          <w:tcPr>
            <w:tcW w:w="671" w:type="dxa"/>
            <w:tcBorders>
              <w:top w:val="nil"/>
              <w:left w:val="nil"/>
              <w:bottom w:val="nil"/>
              <w:right w:val="nil"/>
            </w:tcBorders>
            <w:shd w:val="clear" w:color="auto" w:fill="auto"/>
            <w:noWrap/>
            <w:vAlign w:val="bottom"/>
            <w:hideMark/>
          </w:tcPr>
          <w:p w:rsidR="00754973" w:rsidRDefault="00754973" w:rsidP="00754973">
            <w:pPr>
              <w:jc w:val="center"/>
              <w:rPr>
                <w:rFonts w:ascii="Calibri" w:hAnsi="Calibri"/>
                <w:b/>
                <w:bCs/>
                <w:sz w:val="20"/>
                <w:szCs w:val="20"/>
              </w:rPr>
            </w:pPr>
            <w:r>
              <w:rPr>
                <w:rFonts w:ascii="Calibri" w:hAnsi="Calibri"/>
                <w:b/>
                <w:bCs/>
                <w:sz w:val="20"/>
                <w:szCs w:val="20"/>
              </w:rPr>
              <w:t>PRO</w:t>
            </w:r>
          </w:p>
        </w:tc>
        <w:tc>
          <w:tcPr>
            <w:tcW w:w="1140" w:type="dxa"/>
            <w:tcBorders>
              <w:top w:val="nil"/>
              <w:left w:val="nil"/>
              <w:bottom w:val="nil"/>
              <w:right w:val="single" w:sz="4" w:space="0" w:color="auto"/>
            </w:tcBorders>
            <w:shd w:val="clear" w:color="auto" w:fill="auto"/>
            <w:noWrap/>
            <w:vAlign w:val="bottom"/>
            <w:hideMark/>
          </w:tcPr>
          <w:p w:rsidR="00754973" w:rsidRDefault="00754973" w:rsidP="00754973">
            <w:pPr>
              <w:jc w:val="center"/>
              <w:rPr>
                <w:rFonts w:ascii="Calibri" w:hAnsi="Calibri"/>
                <w:b/>
                <w:bCs/>
                <w:sz w:val="20"/>
                <w:szCs w:val="20"/>
              </w:rPr>
            </w:pPr>
            <w:r>
              <w:rPr>
                <w:rFonts w:ascii="Calibri" w:hAnsi="Calibri"/>
                <w:b/>
                <w:bCs/>
                <w:sz w:val="20"/>
                <w:szCs w:val="20"/>
              </w:rPr>
              <w:t> </w:t>
            </w:r>
          </w:p>
        </w:tc>
        <w:tc>
          <w:tcPr>
            <w:tcW w:w="1193" w:type="dxa"/>
            <w:tcBorders>
              <w:top w:val="nil"/>
              <w:left w:val="nil"/>
              <w:bottom w:val="nil"/>
              <w:right w:val="nil"/>
            </w:tcBorders>
            <w:shd w:val="clear" w:color="auto" w:fill="auto"/>
            <w:noWrap/>
            <w:vAlign w:val="bottom"/>
            <w:hideMark/>
          </w:tcPr>
          <w:p w:rsidR="00754973" w:rsidRDefault="00754973" w:rsidP="00754973">
            <w:pPr>
              <w:jc w:val="center"/>
              <w:rPr>
                <w:rFonts w:ascii="Calibri" w:hAnsi="Calibri"/>
                <w:b/>
                <w:bCs/>
                <w:sz w:val="20"/>
                <w:szCs w:val="20"/>
              </w:rPr>
            </w:pPr>
            <w:r>
              <w:rPr>
                <w:rFonts w:ascii="Calibri" w:hAnsi="Calibri"/>
                <w:b/>
                <w:bCs/>
                <w:sz w:val="20"/>
                <w:szCs w:val="20"/>
              </w:rPr>
              <w:t>Specific</w:t>
            </w:r>
          </w:p>
        </w:tc>
        <w:tc>
          <w:tcPr>
            <w:tcW w:w="1300" w:type="dxa"/>
            <w:tcBorders>
              <w:top w:val="nil"/>
              <w:left w:val="nil"/>
              <w:bottom w:val="nil"/>
              <w:right w:val="nil"/>
            </w:tcBorders>
            <w:shd w:val="clear" w:color="auto" w:fill="auto"/>
            <w:noWrap/>
            <w:vAlign w:val="bottom"/>
            <w:hideMark/>
          </w:tcPr>
          <w:p w:rsidR="00754973" w:rsidRDefault="00754973" w:rsidP="00754973">
            <w:pPr>
              <w:jc w:val="center"/>
              <w:rPr>
                <w:rFonts w:ascii="Calibri" w:hAnsi="Calibri"/>
                <w:b/>
                <w:bCs/>
                <w:sz w:val="20"/>
                <w:szCs w:val="20"/>
              </w:rPr>
            </w:pPr>
            <w:r>
              <w:rPr>
                <w:rFonts w:ascii="Calibri" w:hAnsi="Calibri"/>
                <w:b/>
                <w:bCs/>
                <w:sz w:val="20"/>
                <w:szCs w:val="20"/>
              </w:rPr>
              <w:t>ADJUSTED</w:t>
            </w:r>
          </w:p>
        </w:tc>
        <w:tc>
          <w:tcPr>
            <w:tcW w:w="1125" w:type="dxa"/>
            <w:tcBorders>
              <w:top w:val="nil"/>
              <w:left w:val="nil"/>
              <w:bottom w:val="nil"/>
              <w:right w:val="nil"/>
            </w:tcBorders>
            <w:shd w:val="clear" w:color="auto" w:fill="auto"/>
            <w:noWrap/>
            <w:vAlign w:val="bottom"/>
            <w:hideMark/>
          </w:tcPr>
          <w:p w:rsidR="00754973" w:rsidRDefault="00754973" w:rsidP="00754973">
            <w:pPr>
              <w:jc w:val="center"/>
              <w:rPr>
                <w:rFonts w:ascii="Calibri" w:hAnsi="Calibri"/>
                <w:b/>
                <w:bCs/>
                <w:sz w:val="20"/>
                <w:szCs w:val="20"/>
              </w:rPr>
            </w:pPr>
            <w:r>
              <w:rPr>
                <w:rFonts w:ascii="Calibri" w:hAnsi="Calibri"/>
                <w:b/>
                <w:bCs/>
                <w:sz w:val="20"/>
                <w:szCs w:val="20"/>
              </w:rPr>
              <w:t>PRO</w:t>
            </w:r>
          </w:p>
        </w:tc>
        <w:tc>
          <w:tcPr>
            <w:tcW w:w="1260" w:type="dxa"/>
            <w:tcBorders>
              <w:top w:val="nil"/>
              <w:left w:val="nil"/>
              <w:bottom w:val="nil"/>
              <w:right w:val="nil"/>
            </w:tcBorders>
            <w:shd w:val="clear" w:color="auto" w:fill="auto"/>
            <w:noWrap/>
            <w:vAlign w:val="bottom"/>
            <w:hideMark/>
          </w:tcPr>
          <w:p w:rsidR="00754973" w:rsidRDefault="00754973" w:rsidP="00754973">
            <w:pPr>
              <w:jc w:val="center"/>
              <w:rPr>
                <w:rFonts w:ascii="Calibri" w:hAnsi="Calibri"/>
                <w:b/>
                <w:bCs/>
                <w:sz w:val="20"/>
                <w:szCs w:val="20"/>
              </w:rPr>
            </w:pPr>
            <w:r>
              <w:rPr>
                <w:rFonts w:ascii="Calibri" w:hAnsi="Calibri"/>
                <w:b/>
                <w:bCs/>
                <w:sz w:val="20"/>
                <w:szCs w:val="20"/>
              </w:rPr>
              <w:t>Reconciled to</w:t>
            </w:r>
          </w:p>
        </w:tc>
        <w:tc>
          <w:tcPr>
            <w:tcW w:w="917" w:type="dxa"/>
            <w:tcBorders>
              <w:top w:val="nil"/>
              <w:left w:val="nil"/>
              <w:bottom w:val="nil"/>
              <w:right w:val="nil"/>
            </w:tcBorders>
            <w:shd w:val="clear" w:color="auto" w:fill="auto"/>
            <w:noWrap/>
            <w:vAlign w:val="bottom"/>
            <w:hideMark/>
          </w:tcPr>
          <w:p w:rsidR="00754973" w:rsidRDefault="00754973" w:rsidP="00754973">
            <w:pPr>
              <w:jc w:val="center"/>
              <w:rPr>
                <w:rFonts w:ascii="Calibri" w:hAnsi="Calibri"/>
                <w:b/>
                <w:bCs/>
                <w:sz w:val="20"/>
                <w:szCs w:val="20"/>
              </w:rPr>
            </w:pPr>
          </w:p>
        </w:tc>
        <w:tc>
          <w:tcPr>
            <w:tcW w:w="815" w:type="dxa"/>
            <w:tcBorders>
              <w:top w:val="nil"/>
              <w:left w:val="nil"/>
              <w:bottom w:val="nil"/>
              <w:right w:val="nil"/>
            </w:tcBorders>
            <w:shd w:val="clear" w:color="auto" w:fill="auto"/>
            <w:noWrap/>
            <w:vAlign w:val="bottom"/>
            <w:hideMark/>
          </w:tcPr>
          <w:p w:rsidR="00754973" w:rsidRDefault="00754973" w:rsidP="00754973">
            <w:pPr>
              <w:jc w:val="center"/>
              <w:rPr>
                <w:rFonts w:ascii="Calibri" w:hAnsi="Calibri"/>
                <w:b/>
                <w:bCs/>
                <w:sz w:val="20"/>
                <w:szCs w:val="20"/>
              </w:rPr>
            </w:pPr>
            <w:r>
              <w:rPr>
                <w:rFonts w:ascii="Calibri" w:hAnsi="Calibri"/>
                <w:b/>
                <w:bCs/>
                <w:sz w:val="20"/>
                <w:szCs w:val="20"/>
              </w:rPr>
              <w:t>COST</w:t>
            </w:r>
          </w:p>
        </w:tc>
        <w:tc>
          <w:tcPr>
            <w:tcW w:w="1162" w:type="dxa"/>
            <w:tcBorders>
              <w:top w:val="nil"/>
              <w:left w:val="nil"/>
              <w:bottom w:val="nil"/>
              <w:right w:val="single" w:sz="4" w:space="0" w:color="auto"/>
            </w:tcBorders>
            <w:shd w:val="clear" w:color="auto" w:fill="auto"/>
            <w:noWrap/>
            <w:vAlign w:val="bottom"/>
            <w:hideMark/>
          </w:tcPr>
          <w:p w:rsidR="00754973" w:rsidRDefault="00754973" w:rsidP="00754973">
            <w:pPr>
              <w:jc w:val="center"/>
              <w:rPr>
                <w:rFonts w:ascii="Calibri" w:hAnsi="Calibri"/>
                <w:b/>
                <w:bCs/>
                <w:sz w:val="20"/>
                <w:szCs w:val="20"/>
              </w:rPr>
            </w:pPr>
            <w:r>
              <w:rPr>
                <w:rFonts w:ascii="Calibri" w:hAnsi="Calibri"/>
                <w:b/>
                <w:bCs/>
                <w:sz w:val="20"/>
                <w:szCs w:val="20"/>
              </w:rPr>
              <w:t>WEIGHTED</w:t>
            </w:r>
          </w:p>
        </w:tc>
      </w:tr>
      <w:tr w:rsidR="00754973" w:rsidTr="00754973">
        <w:trPr>
          <w:trHeight w:val="315"/>
          <w:jc w:val="center"/>
        </w:trPr>
        <w:tc>
          <w:tcPr>
            <w:tcW w:w="2329"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1127" w:type="dxa"/>
            <w:tcBorders>
              <w:top w:val="nil"/>
              <w:left w:val="single" w:sz="4" w:space="0" w:color="auto"/>
              <w:bottom w:val="single" w:sz="4" w:space="0" w:color="auto"/>
              <w:right w:val="nil"/>
            </w:tcBorders>
            <w:shd w:val="clear" w:color="auto" w:fill="auto"/>
            <w:noWrap/>
            <w:vAlign w:val="bottom"/>
            <w:hideMark/>
          </w:tcPr>
          <w:p w:rsidR="00754973" w:rsidRDefault="00754973" w:rsidP="00754973">
            <w:pPr>
              <w:jc w:val="center"/>
              <w:rPr>
                <w:rFonts w:ascii="Calibri" w:hAnsi="Calibri"/>
                <w:b/>
                <w:bCs/>
                <w:sz w:val="20"/>
                <w:szCs w:val="20"/>
              </w:rPr>
            </w:pPr>
            <w:r>
              <w:rPr>
                <w:rFonts w:ascii="Calibri" w:hAnsi="Calibri"/>
                <w:b/>
                <w:bCs/>
                <w:sz w:val="20"/>
                <w:szCs w:val="20"/>
              </w:rPr>
              <w:t>BOOKS</w:t>
            </w:r>
          </w:p>
        </w:tc>
        <w:tc>
          <w:tcPr>
            <w:tcW w:w="1240" w:type="dxa"/>
            <w:tcBorders>
              <w:top w:val="nil"/>
              <w:left w:val="nil"/>
              <w:bottom w:val="single" w:sz="4" w:space="0" w:color="auto"/>
              <w:right w:val="nil"/>
            </w:tcBorders>
            <w:shd w:val="clear" w:color="auto" w:fill="auto"/>
            <w:noWrap/>
            <w:vAlign w:val="bottom"/>
            <w:hideMark/>
          </w:tcPr>
          <w:p w:rsidR="00754973" w:rsidRDefault="00754973" w:rsidP="00754973">
            <w:pPr>
              <w:jc w:val="center"/>
              <w:rPr>
                <w:rFonts w:ascii="Calibri" w:hAnsi="Calibri"/>
                <w:b/>
                <w:bCs/>
                <w:sz w:val="20"/>
                <w:szCs w:val="20"/>
              </w:rPr>
            </w:pPr>
            <w:r>
              <w:rPr>
                <w:rFonts w:ascii="Calibri" w:hAnsi="Calibri"/>
                <w:b/>
                <w:bCs/>
                <w:sz w:val="20"/>
                <w:szCs w:val="20"/>
              </w:rPr>
              <w:t>Adjustment</w:t>
            </w:r>
          </w:p>
        </w:tc>
        <w:tc>
          <w:tcPr>
            <w:tcW w:w="671" w:type="dxa"/>
            <w:tcBorders>
              <w:top w:val="nil"/>
              <w:left w:val="nil"/>
              <w:bottom w:val="single" w:sz="4" w:space="0" w:color="auto"/>
              <w:right w:val="nil"/>
            </w:tcBorders>
            <w:shd w:val="clear" w:color="auto" w:fill="auto"/>
            <w:noWrap/>
            <w:vAlign w:val="bottom"/>
            <w:hideMark/>
          </w:tcPr>
          <w:p w:rsidR="00754973" w:rsidRDefault="00754973" w:rsidP="00754973">
            <w:pPr>
              <w:jc w:val="center"/>
              <w:rPr>
                <w:rFonts w:ascii="Calibri" w:hAnsi="Calibri"/>
                <w:b/>
                <w:bCs/>
                <w:sz w:val="20"/>
                <w:szCs w:val="20"/>
              </w:rPr>
            </w:pPr>
            <w:r>
              <w:rPr>
                <w:rFonts w:ascii="Calibri" w:hAnsi="Calibri"/>
                <w:b/>
                <w:bCs/>
                <w:sz w:val="20"/>
                <w:szCs w:val="20"/>
              </w:rPr>
              <w:t>RATA</w:t>
            </w:r>
          </w:p>
        </w:tc>
        <w:tc>
          <w:tcPr>
            <w:tcW w:w="1140" w:type="dxa"/>
            <w:tcBorders>
              <w:top w:val="nil"/>
              <w:left w:val="nil"/>
              <w:bottom w:val="single" w:sz="4" w:space="0" w:color="auto"/>
              <w:right w:val="single" w:sz="4" w:space="0" w:color="auto"/>
            </w:tcBorders>
            <w:shd w:val="clear" w:color="auto" w:fill="auto"/>
            <w:noWrap/>
            <w:vAlign w:val="bottom"/>
            <w:hideMark/>
          </w:tcPr>
          <w:p w:rsidR="00754973" w:rsidRDefault="00754973" w:rsidP="00754973">
            <w:pPr>
              <w:jc w:val="center"/>
              <w:rPr>
                <w:rFonts w:ascii="Calibri" w:hAnsi="Calibri"/>
                <w:b/>
                <w:bCs/>
                <w:sz w:val="20"/>
                <w:szCs w:val="20"/>
              </w:rPr>
            </w:pPr>
            <w:r>
              <w:rPr>
                <w:rFonts w:ascii="Calibri" w:hAnsi="Calibri"/>
                <w:b/>
                <w:bCs/>
                <w:sz w:val="20"/>
                <w:szCs w:val="20"/>
              </w:rPr>
              <w:t>ADJUSTED</w:t>
            </w:r>
          </w:p>
        </w:tc>
        <w:tc>
          <w:tcPr>
            <w:tcW w:w="1193" w:type="dxa"/>
            <w:tcBorders>
              <w:top w:val="nil"/>
              <w:left w:val="nil"/>
              <w:bottom w:val="single" w:sz="4" w:space="0" w:color="auto"/>
              <w:right w:val="nil"/>
            </w:tcBorders>
            <w:shd w:val="clear" w:color="auto" w:fill="auto"/>
            <w:noWrap/>
            <w:vAlign w:val="bottom"/>
            <w:hideMark/>
          </w:tcPr>
          <w:p w:rsidR="00754973" w:rsidRDefault="00754973" w:rsidP="00754973">
            <w:pPr>
              <w:jc w:val="center"/>
              <w:rPr>
                <w:rFonts w:ascii="Calibri" w:hAnsi="Calibri"/>
                <w:b/>
                <w:bCs/>
                <w:sz w:val="20"/>
                <w:szCs w:val="20"/>
              </w:rPr>
            </w:pPr>
            <w:r>
              <w:rPr>
                <w:rFonts w:ascii="Calibri" w:hAnsi="Calibri"/>
                <w:b/>
                <w:bCs/>
                <w:sz w:val="20"/>
                <w:szCs w:val="20"/>
              </w:rPr>
              <w:t>Adjustment</w:t>
            </w:r>
          </w:p>
        </w:tc>
        <w:tc>
          <w:tcPr>
            <w:tcW w:w="1300" w:type="dxa"/>
            <w:tcBorders>
              <w:top w:val="nil"/>
              <w:left w:val="nil"/>
              <w:bottom w:val="single" w:sz="4" w:space="0" w:color="auto"/>
              <w:right w:val="nil"/>
            </w:tcBorders>
            <w:shd w:val="clear" w:color="auto" w:fill="auto"/>
            <w:noWrap/>
            <w:vAlign w:val="bottom"/>
            <w:hideMark/>
          </w:tcPr>
          <w:p w:rsidR="00754973" w:rsidRDefault="00754973" w:rsidP="00754973">
            <w:pPr>
              <w:jc w:val="center"/>
              <w:rPr>
                <w:rFonts w:ascii="Calibri" w:hAnsi="Calibri"/>
                <w:b/>
                <w:bCs/>
                <w:sz w:val="20"/>
                <w:szCs w:val="20"/>
              </w:rPr>
            </w:pPr>
            <w:r>
              <w:rPr>
                <w:rFonts w:ascii="Calibri" w:hAnsi="Calibri"/>
                <w:b/>
                <w:bCs/>
                <w:sz w:val="20"/>
                <w:szCs w:val="20"/>
              </w:rPr>
              <w:t>BALANCE</w:t>
            </w:r>
          </w:p>
        </w:tc>
        <w:tc>
          <w:tcPr>
            <w:tcW w:w="1125" w:type="dxa"/>
            <w:tcBorders>
              <w:top w:val="nil"/>
              <w:left w:val="nil"/>
              <w:bottom w:val="single" w:sz="4" w:space="0" w:color="auto"/>
              <w:right w:val="nil"/>
            </w:tcBorders>
            <w:shd w:val="clear" w:color="auto" w:fill="auto"/>
            <w:noWrap/>
            <w:vAlign w:val="bottom"/>
            <w:hideMark/>
          </w:tcPr>
          <w:p w:rsidR="00754973" w:rsidRDefault="00754973" w:rsidP="00754973">
            <w:pPr>
              <w:jc w:val="center"/>
              <w:rPr>
                <w:rFonts w:ascii="Calibri" w:hAnsi="Calibri"/>
                <w:b/>
                <w:bCs/>
                <w:sz w:val="20"/>
                <w:szCs w:val="20"/>
              </w:rPr>
            </w:pPr>
            <w:r>
              <w:rPr>
                <w:rFonts w:ascii="Calibri" w:hAnsi="Calibri"/>
                <w:b/>
                <w:bCs/>
                <w:sz w:val="20"/>
                <w:szCs w:val="20"/>
              </w:rPr>
              <w:t>RATA</w:t>
            </w:r>
          </w:p>
        </w:tc>
        <w:tc>
          <w:tcPr>
            <w:tcW w:w="1260" w:type="dxa"/>
            <w:tcBorders>
              <w:top w:val="nil"/>
              <w:left w:val="nil"/>
              <w:bottom w:val="single" w:sz="4" w:space="0" w:color="auto"/>
              <w:right w:val="nil"/>
            </w:tcBorders>
            <w:shd w:val="clear" w:color="auto" w:fill="auto"/>
            <w:noWrap/>
            <w:vAlign w:val="bottom"/>
            <w:hideMark/>
          </w:tcPr>
          <w:p w:rsidR="00754973" w:rsidRDefault="00754973" w:rsidP="00754973">
            <w:pPr>
              <w:jc w:val="center"/>
              <w:rPr>
                <w:rFonts w:ascii="Calibri" w:hAnsi="Calibri"/>
                <w:b/>
                <w:bCs/>
                <w:sz w:val="20"/>
                <w:szCs w:val="20"/>
              </w:rPr>
            </w:pPr>
            <w:r>
              <w:rPr>
                <w:rFonts w:ascii="Calibri" w:hAnsi="Calibri"/>
                <w:b/>
                <w:bCs/>
                <w:sz w:val="20"/>
                <w:szCs w:val="20"/>
              </w:rPr>
              <w:t>Rate Base</w:t>
            </w:r>
          </w:p>
        </w:tc>
        <w:tc>
          <w:tcPr>
            <w:tcW w:w="917" w:type="dxa"/>
            <w:tcBorders>
              <w:top w:val="nil"/>
              <w:left w:val="nil"/>
              <w:bottom w:val="single" w:sz="4" w:space="0" w:color="auto"/>
              <w:right w:val="nil"/>
            </w:tcBorders>
            <w:shd w:val="clear" w:color="auto" w:fill="auto"/>
            <w:noWrap/>
            <w:vAlign w:val="bottom"/>
            <w:hideMark/>
          </w:tcPr>
          <w:p w:rsidR="00754973" w:rsidRDefault="00754973" w:rsidP="00754973">
            <w:pPr>
              <w:jc w:val="center"/>
              <w:rPr>
                <w:rFonts w:ascii="Calibri" w:hAnsi="Calibri"/>
                <w:b/>
                <w:bCs/>
                <w:sz w:val="20"/>
                <w:szCs w:val="20"/>
              </w:rPr>
            </w:pPr>
            <w:r>
              <w:rPr>
                <w:rFonts w:ascii="Calibri" w:hAnsi="Calibri"/>
                <w:b/>
                <w:bCs/>
                <w:sz w:val="20"/>
                <w:szCs w:val="20"/>
              </w:rPr>
              <w:t>RATIO</w:t>
            </w:r>
          </w:p>
        </w:tc>
        <w:tc>
          <w:tcPr>
            <w:tcW w:w="815" w:type="dxa"/>
            <w:tcBorders>
              <w:top w:val="nil"/>
              <w:left w:val="nil"/>
              <w:bottom w:val="single" w:sz="4" w:space="0" w:color="auto"/>
              <w:right w:val="nil"/>
            </w:tcBorders>
            <w:shd w:val="clear" w:color="auto" w:fill="auto"/>
            <w:noWrap/>
            <w:vAlign w:val="bottom"/>
            <w:hideMark/>
          </w:tcPr>
          <w:p w:rsidR="00754973" w:rsidRDefault="00754973" w:rsidP="00754973">
            <w:pPr>
              <w:jc w:val="center"/>
              <w:rPr>
                <w:rFonts w:ascii="Calibri" w:hAnsi="Calibri"/>
                <w:b/>
                <w:bCs/>
                <w:sz w:val="20"/>
                <w:szCs w:val="20"/>
              </w:rPr>
            </w:pPr>
            <w:r>
              <w:rPr>
                <w:rFonts w:ascii="Calibri" w:hAnsi="Calibri"/>
                <w:b/>
                <w:bCs/>
                <w:sz w:val="20"/>
                <w:szCs w:val="20"/>
              </w:rPr>
              <w:t>RATE</w:t>
            </w:r>
          </w:p>
        </w:tc>
        <w:tc>
          <w:tcPr>
            <w:tcW w:w="1162" w:type="dxa"/>
            <w:tcBorders>
              <w:top w:val="nil"/>
              <w:left w:val="nil"/>
              <w:bottom w:val="single" w:sz="4" w:space="0" w:color="auto"/>
              <w:right w:val="single" w:sz="4" w:space="0" w:color="auto"/>
            </w:tcBorders>
            <w:shd w:val="clear" w:color="auto" w:fill="auto"/>
            <w:noWrap/>
            <w:vAlign w:val="bottom"/>
            <w:hideMark/>
          </w:tcPr>
          <w:p w:rsidR="00754973" w:rsidRDefault="00754973" w:rsidP="00754973">
            <w:pPr>
              <w:jc w:val="center"/>
              <w:rPr>
                <w:rFonts w:ascii="Calibri" w:hAnsi="Calibri"/>
                <w:b/>
                <w:bCs/>
                <w:sz w:val="20"/>
                <w:szCs w:val="20"/>
              </w:rPr>
            </w:pPr>
            <w:r>
              <w:rPr>
                <w:rFonts w:ascii="Calibri" w:hAnsi="Calibri"/>
                <w:b/>
                <w:bCs/>
                <w:sz w:val="20"/>
                <w:szCs w:val="20"/>
              </w:rPr>
              <w:t>AVG COST</w:t>
            </w:r>
          </w:p>
        </w:tc>
      </w:tr>
      <w:tr w:rsidR="00754973" w:rsidTr="00754973">
        <w:trPr>
          <w:trHeight w:val="315"/>
          <w:jc w:val="center"/>
        </w:trPr>
        <w:tc>
          <w:tcPr>
            <w:tcW w:w="2329"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r>
              <w:rPr>
                <w:rFonts w:ascii="Calibri" w:hAnsi="Calibri"/>
                <w:sz w:val="20"/>
                <w:szCs w:val="20"/>
              </w:rPr>
              <w:t>COMMON EQUITY</w:t>
            </w:r>
          </w:p>
        </w:tc>
        <w:tc>
          <w:tcPr>
            <w:tcW w:w="1127" w:type="dxa"/>
            <w:tcBorders>
              <w:top w:val="nil"/>
              <w:left w:val="single" w:sz="4" w:space="0" w:color="auto"/>
              <w:bottom w:val="nil"/>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 xml:space="preserve">$1,746,957 </w:t>
            </w:r>
          </w:p>
        </w:tc>
        <w:tc>
          <w:tcPr>
            <w:tcW w:w="1240" w:type="dxa"/>
            <w:tcBorders>
              <w:top w:val="nil"/>
              <w:left w:val="nil"/>
              <w:bottom w:val="nil"/>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 xml:space="preserve">$0 </w:t>
            </w:r>
          </w:p>
        </w:tc>
        <w:tc>
          <w:tcPr>
            <w:tcW w:w="671"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1140" w:type="dxa"/>
            <w:tcBorders>
              <w:top w:val="nil"/>
              <w:left w:val="nil"/>
              <w:bottom w:val="nil"/>
              <w:right w:val="single" w:sz="4" w:space="0" w:color="auto"/>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 xml:space="preserve">$1,746,957 </w:t>
            </w:r>
          </w:p>
        </w:tc>
        <w:tc>
          <w:tcPr>
            <w:tcW w:w="1193"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r>
              <w:rPr>
                <w:rFonts w:ascii="Calibri" w:hAnsi="Calibri"/>
                <w:sz w:val="20"/>
                <w:szCs w:val="20"/>
              </w:rPr>
              <w:t> </w:t>
            </w:r>
          </w:p>
        </w:tc>
        <w:tc>
          <w:tcPr>
            <w:tcW w:w="1300" w:type="dxa"/>
            <w:tcBorders>
              <w:top w:val="nil"/>
              <w:left w:val="nil"/>
              <w:bottom w:val="nil"/>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 xml:space="preserve">$1,746,957 </w:t>
            </w:r>
          </w:p>
        </w:tc>
        <w:tc>
          <w:tcPr>
            <w:tcW w:w="1125" w:type="dxa"/>
            <w:tcBorders>
              <w:top w:val="nil"/>
              <w:left w:val="nil"/>
              <w:bottom w:val="nil"/>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color w:val="FF0000"/>
                <w:sz w:val="20"/>
                <w:szCs w:val="20"/>
              </w:rPr>
              <w:t>($7,807)</w:t>
            </w:r>
          </w:p>
        </w:tc>
        <w:tc>
          <w:tcPr>
            <w:tcW w:w="1260" w:type="dxa"/>
            <w:tcBorders>
              <w:top w:val="nil"/>
              <w:left w:val="nil"/>
              <w:bottom w:val="nil"/>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 xml:space="preserve">$1,739,150 </w:t>
            </w:r>
          </w:p>
        </w:tc>
        <w:tc>
          <w:tcPr>
            <w:tcW w:w="917" w:type="dxa"/>
            <w:tcBorders>
              <w:top w:val="nil"/>
              <w:left w:val="nil"/>
              <w:bottom w:val="nil"/>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34.64%</w:t>
            </w:r>
          </w:p>
        </w:tc>
        <w:tc>
          <w:tcPr>
            <w:tcW w:w="815" w:type="dxa"/>
            <w:tcBorders>
              <w:top w:val="nil"/>
              <w:left w:val="nil"/>
              <w:bottom w:val="nil"/>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10.00%</w:t>
            </w:r>
          </w:p>
        </w:tc>
        <w:tc>
          <w:tcPr>
            <w:tcW w:w="1162" w:type="dxa"/>
            <w:tcBorders>
              <w:top w:val="nil"/>
              <w:left w:val="nil"/>
              <w:bottom w:val="nil"/>
              <w:right w:val="single" w:sz="4" w:space="0" w:color="auto"/>
            </w:tcBorders>
            <w:shd w:val="clear" w:color="auto" w:fill="auto"/>
            <w:noWrap/>
            <w:hideMark/>
          </w:tcPr>
          <w:p w:rsidR="00754973" w:rsidRPr="004C5F04" w:rsidRDefault="00754973" w:rsidP="00754973">
            <w:pPr>
              <w:jc w:val="right"/>
              <w:rPr>
                <w:rFonts w:ascii="Calibri" w:hAnsi="Calibri"/>
                <w:sz w:val="20"/>
                <w:szCs w:val="20"/>
              </w:rPr>
            </w:pPr>
            <w:r w:rsidRPr="004C5F04">
              <w:rPr>
                <w:rFonts w:ascii="Calibri" w:hAnsi="Calibri"/>
                <w:sz w:val="20"/>
                <w:szCs w:val="20"/>
              </w:rPr>
              <w:t>3.46%</w:t>
            </w:r>
          </w:p>
        </w:tc>
      </w:tr>
      <w:tr w:rsidR="00754973" w:rsidTr="00754973">
        <w:trPr>
          <w:trHeight w:val="315"/>
          <w:jc w:val="center"/>
        </w:trPr>
        <w:tc>
          <w:tcPr>
            <w:tcW w:w="2329"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r>
              <w:rPr>
                <w:rFonts w:ascii="Calibri" w:hAnsi="Calibri"/>
                <w:sz w:val="20"/>
                <w:szCs w:val="20"/>
              </w:rPr>
              <w:t>LONG TERM DEBT</w:t>
            </w:r>
          </w:p>
        </w:tc>
        <w:tc>
          <w:tcPr>
            <w:tcW w:w="1127" w:type="dxa"/>
            <w:tcBorders>
              <w:top w:val="nil"/>
              <w:left w:val="single" w:sz="4" w:space="0" w:color="auto"/>
              <w:bottom w:val="nil"/>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 xml:space="preserve">$2,760,453 </w:t>
            </w:r>
          </w:p>
        </w:tc>
        <w:tc>
          <w:tcPr>
            <w:tcW w:w="1240" w:type="dxa"/>
            <w:tcBorders>
              <w:top w:val="nil"/>
              <w:left w:val="nil"/>
              <w:bottom w:val="nil"/>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 xml:space="preserve">$0 </w:t>
            </w:r>
          </w:p>
        </w:tc>
        <w:tc>
          <w:tcPr>
            <w:tcW w:w="671"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1140" w:type="dxa"/>
            <w:tcBorders>
              <w:top w:val="nil"/>
              <w:left w:val="nil"/>
              <w:bottom w:val="nil"/>
              <w:right w:val="single" w:sz="4" w:space="0" w:color="auto"/>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 xml:space="preserve">$2,760,453 </w:t>
            </w:r>
          </w:p>
        </w:tc>
        <w:tc>
          <w:tcPr>
            <w:tcW w:w="1193"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r>
              <w:rPr>
                <w:rFonts w:ascii="Calibri" w:hAnsi="Calibri"/>
                <w:sz w:val="20"/>
                <w:szCs w:val="20"/>
              </w:rPr>
              <w:t> </w:t>
            </w:r>
          </w:p>
        </w:tc>
        <w:tc>
          <w:tcPr>
            <w:tcW w:w="1300" w:type="dxa"/>
            <w:tcBorders>
              <w:top w:val="nil"/>
              <w:left w:val="nil"/>
              <w:bottom w:val="nil"/>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 xml:space="preserve">$2,760,453 </w:t>
            </w:r>
          </w:p>
        </w:tc>
        <w:tc>
          <w:tcPr>
            <w:tcW w:w="1125" w:type="dxa"/>
            <w:tcBorders>
              <w:top w:val="nil"/>
              <w:left w:val="nil"/>
              <w:bottom w:val="nil"/>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color w:val="FF0000"/>
                <w:sz w:val="20"/>
                <w:szCs w:val="20"/>
              </w:rPr>
              <w:t>($12,336)</w:t>
            </w:r>
          </w:p>
        </w:tc>
        <w:tc>
          <w:tcPr>
            <w:tcW w:w="1260" w:type="dxa"/>
            <w:tcBorders>
              <w:top w:val="nil"/>
              <w:left w:val="nil"/>
              <w:bottom w:val="nil"/>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 xml:space="preserve">$2,748,117 </w:t>
            </w:r>
          </w:p>
        </w:tc>
        <w:tc>
          <w:tcPr>
            <w:tcW w:w="917" w:type="dxa"/>
            <w:tcBorders>
              <w:top w:val="nil"/>
              <w:left w:val="nil"/>
              <w:bottom w:val="nil"/>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54.73%</w:t>
            </w:r>
          </w:p>
        </w:tc>
        <w:tc>
          <w:tcPr>
            <w:tcW w:w="815" w:type="dxa"/>
            <w:tcBorders>
              <w:top w:val="nil"/>
              <w:left w:val="nil"/>
              <w:bottom w:val="nil"/>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5.25%</w:t>
            </w:r>
          </w:p>
        </w:tc>
        <w:tc>
          <w:tcPr>
            <w:tcW w:w="1162" w:type="dxa"/>
            <w:tcBorders>
              <w:top w:val="nil"/>
              <w:left w:val="nil"/>
              <w:bottom w:val="nil"/>
              <w:right w:val="single" w:sz="4" w:space="0" w:color="auto"/>
            </w:tcBorders>
            <w:shd w:val="clear" w:color="auto" w:fill="auto"/>
            <w:noWrap/>
            <w:hideMark/>
          </w:tcPr>
          <w:p w:rsidR="00754973" w:rsidRPr="004C5F04" w:rsidRDefault="00754973" w:rsidP="00754973">
            <w:pPr>
              <w:jc w:val="right"/>
              <w:rPr>
                <w:rFonts w:ascii="Calibri" w:hAnsi="Calibri"/>
                <w:sz w:val="20"/>
                <w:szCs w:val="20"/>
              </w:rPr>
            </w:pPr>
            <w:r w:rsidRPr="004C5F04">
              <w:rPr>
                <w:rFonts w:ascii="Calibri" w:hAnsi="Calibri"/>
                <w:sz w:val="20"/>
                <w:szCs w:val="20"/>
              </w:rPr>
              <w:t>2.87%</w:t>
            </w:r>
          </w:p>
        </w:tc>
      </w:tr>
      <w:tr w:rsidR="00754973" w:rsidTr="00754973">
        <w:trPr>
          <w:trHeight w:val="315"/>
          <w:jc w:val="center"/>
        </w:trPr>
        <w:tc>
          <w:tcPr>
            <w:tcW w:w="2329"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r>
              <w:rPr>
                <w:rFonts w:ascii="Calibri" w:hAnsi="Calibri"/>
                <w:sz w:val="20"/>
                <w:szCs w:val="20"/>
              </w:rPr>
              <w:t>SHORT TERM DEBT</w:t>
            </w:r>
          </w:p>
        </w:tc>
        <w:tc>
          <w:tcPr>
            <w:tcW w:w="1127" w:type="dxa"/>
            <w:tcBorders>
              <w:top w:val="nil"/>
              <w:left w:val="single" w:sz="4" w:space="0" w:color="auto"/>
              <w:bottom w:val="nil"/>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 xml:space="preserve">$38,077 </w:t>
            </w:r>
          </w:p>
        </w:tc>
        <w:tc>
          <w:tcPr>
            <w:tcW w:w="1240" w:type="dxa"/>
            <w:tcBorders>
              <w:top w:val="nil"/>
              <w:left w:val="nil"/>
              <w:bottom w:val="nil"/>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 xml:space="preserve">$0 </w:t>
            </w:r>
          </w:p>
        </w:tc>
        <w:tc>
          <w:tcPr>
            <w:tcW w:w="671"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1140" w:type="dxa"/>
            <w:tcBorders>
              <w:top w:val="nil"/>
              <w:left w:val="nil"/>
              <w:bottom w:val="nil"/>
              <w:right w:val="single" w:sz="4" w:space="0" w:color="auto"/>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 xml:space="preserve">$38,077 </w:t>
            </w:r>
          </w:p>
        </w:tc>
        <w:tc>
          <w:tcPr>
            <w:tcW w:w="1193"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r>
              <w:rPr>
                <w:rFonts w:ascii="Calibri" w:hAnsi="Calibri"/>
                <w:sz w:val="20"/>
                <w:szCs w:val="20"/>
              </w:rPr>
              <w:t> </w:t>
            </w:r>
          </w:p>
        </w:tc>
        <w:tc>
          <w:tcPr>
            <w:tcW w:w="1300" w:type="dxa"/>
            <w:tcBorders>
              <w:top w:val="nil"/>
              <w:left w:val="nil"/>
              <w:bottom w:val="nil"/>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 xml:space="preserve">$38,077 </w:t>
            </w:r>
          </w:p>
        </w:tc>
        <w:tc>
          <w:tcPr>
            <w:tcW w:w="1125" w:type="dxa"/>
            <w:tcBorders>
              <w:top w:val="nil"/>
              <w:left w:val="nil"/>
              <w:bottom w:val="nil"/>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color w:val="FF0000"/>
                <w:sz w:val="20"/>
                <w:szCs w:val="20"/>
              </w:rPr>
              <w:t>($170)</w:t>
            </w:r>
          </w:p>
        </w:tc>
        <w:tc>
          <w:tcPr>
            <w:tcW w:w="1260" w:type="dxa"/>
            <w:tcBorders>
              <w:top w:val="nil"/>
              <w:left w:val="nil"/>
              <w:bottom w:val="nil"/>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 xml:space="preserve">$37,907 </w:t>
            </w:r>
          </w:p>
        </w:tc>
        <w:tc>
          <w:tcPr>
            <w:tcW w:w="917" w:type="dxa"/>
            <w:tcBorders>
              <w:top w:val="nil"/>
              <w:left w:val="nil"/>
              <w:bottom w:val="nil"/>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0.75%</w:t>
            </w:r>
          </w:p>
        </w:tc>
        <w:tc>
          <w:tcPr>
            <w:tcW w:w="815" w:type="dxa"/>
            <w:tcBorders>
              <w:top w:val="nil"/>
              <w:left w:val="nil"/>
              <w:bottom w:val="nil"/>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5.25%</w:t>
            </w:r>
          </w:p>
        </w:tc>
        <w:tc>
          <w:tcPr>
            <w:tcW w:w="1162" w:type="dxa"/>
            <w:tcBorders>
              <w:top w:val="nil"/>
              <w:left w:val="nil"/>
              <w:bottom w:val="nil"/>
              <w:right w:val="single" w:sz="4" w:space="0" w:color="auto"/>
            </w:tcBorders>
            <w:shd w:val="clear" w:color="auto" w:fill="auto"/>
            <w:noWrap/>
            <w:hideMark/>
          </w:tcPr>
          <w:p w:rsidR="00754973" w:rsidRPr="004C5F04" w:rsidRDefault="00754973" w:rsidP="00754973">
            <w:pPr>
              <w:jc w:val="right"/>
              <w:rPr>
                <w:rFonts w:ascii="Calibri" w:hAnsi="Calibri"/>
                <w:sz w:val="20"/>
                <w:szCs w:val="20"/>
              </w:rPr>
            </w:pPr>
            <w:r w:rsidRPr="004C5F04">
              <w:rPr>
                <w:rFonts w:ascii="Calibri" w:hAnsi="Calibri"/>
                <w:sz w:val="20"/>
                <w:szCs w:val="20"/>
              </w:rPr>
              <w:t>0.04%</w:t>
            </w:r>
          </w:p>
        </w:tc>
      </w:tr>
      <w:tr w:rsidR="00754973" w:rsidTr="00754973">
        <w:trPr>
          <w:trHeight w:val="315"/>
          <w:jc w:val="center"/>
        </w:trPr>
        <w:tc>
          <w:tcPr>
            <w:tcW w:w="2329"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r>
              <w:rPr>
                <w:rFonts w:ascii="Calibri" w:hAnsi="Calibri"/>
                <w:sz w:val="20"/>
                <w:szCs w:val="20"/>
              </w:rPr>
              <w:t>CUSTOMER DEPOSITS</w:t>
            </w:r>
          </w:p>
        </w:tc>
        <w:tc>
          <w:tcPr>
            <w:tcW w:w="1127" w:type="dxa"/>
            <w:tcBorders>
              <w:top w:val="nil"/>
              <w:left w:val="single" w:sz="4" w:space="0" w:color="auto"/>
              <w:bottom w:val="nil"/>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 xml:space="preserve">$156,205 </w:t>
            </w:r>
          </w:p>
        </w:tc>
        <w:tc>
          <w:tcPr>
            <w:tcW w:w="1240" w:type="dxa"/>
            <w:tcBorders>
              <w:top w:val="nil"/>
              <w:left w:val="nil"/>
              <w:bottom w:val="nil"/>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 xml:space="preserve">$0 </w:t>
            </w:r>
          </w:p>
        </w:tc>
        <w:tc>
          <w:tcPr>
            <w:tcW w:w="671"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1140" w:type="dxa"/>
            <w:tcBorders>
              <w:top w:val="nil"/>
              <w:left w:val="nil"/>
              <w:bottom w:val="nil"/>
              <w:right w:val="single" w:sz="4" w:space="0" w:color="auto"/>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 xml:space="preserve">$156,205 </w:t>
            </w:r>
          </w:p>
        </w:tc>
        <w:tc>
          <w:tcPr>
            <w:tcW w:w="1193"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r>
              <w:rPr>
                <w:rFonts w:ascii="Calibri" w:hAnsi="Calibri"/>
                <w:sz w:val="20"/>
                <w:szCs w:val="20"/>
              </w:rPr>
              <w:t> </w:t>
            </w:r>
          </w:p>
        </w:tc>
        <w:tc>
          <w:tcPr>
            <w:tcW w:w="1300" w:type="dxa"/>
            <w:tcBorders>
              <w:top w:val="nil"/>
              <w:left w:val="nil"/>
              <w:bottom w:val="nil"/>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 xml:space="preserve">$156,205 </w:t>
            </w:r>
          </w:p>
        </w:tc>
        <w:tc>
          <w:tcPr>
            <w:tcW w:w="1125" w:type="dxa"/>
            <w:tcBorders>
              <w:top w:val="nil"/>
              <w:left w:val="nil"/>
              <w:bottom w:val="nil"/>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color w:val="FF0000"/>
                <w:sz w:val="20"/>
                <w:szCs w:val="20"/>
              </w:rPr>
              <w:t>($698)</w:t>
            </w:r>
          </w:p>
        </w:tc>
        <w:tc>
          <w:tcPr>
            <w:tcW w:w="1260" w:type="dxa"/>
            <w:tcBorders>
              <w:top w:val="nil"/>
              <w:left w:val="nil"/>
              <w:bottom w:val="nil"/>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 xml:space="preserve">$155,507 </w:t>
            </w:r>
          </w:p>
        </w:tc>
        <w:tc>
          <w:tcPr>
            <w:tcW w:w="917" w:type="dxa"/>
            <w:tcBorders>
              <w:top w:val="nil"/>
              <w:left w:val="nil"/>
              <w:bottom w:val="nil"/>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3.10%</w:t>
            </w:r>
          </w:p>
        </w:tc>
        <w:tc>
          <w:tcPr>
            <w:tcW w:w="815" w:type="dxa"/>
            <w:tcBorders>
              <w:top w:val="nil"/>
              <w:left w:val="nil"/>
              <w:bottom w:val="nil"/>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2.86%</w:t>
            </w:r>
          </w:p>
        </w:tc>
        <w:tc>
          <w:tcPr>
            <w:tcW w:w="1162" w:type="dxa"/>
            <w:tcBorders>
              <w:top w:val="nil"/>
              <w:left w:val="nil"/>
              <w:bottom w:val="nil"/>
              <w:right w:val="single" w:sz="4" w:space="0" w:color="auto"/>
            </w:tcBorders>
            <w:shd w:val="clear" w:color="auto" w:fill="auto"/>
            <w:noWrap/>
            <w:hideMark/>
          </w:tcPr>
          <w:p w:rsidR="00754973" w:rsidRPr="004C5F04" w:rsidRDefault="00754973" w:rsidP="00754973">
            <w:pPr>
              <w:jc w:val="right"/>
              <w:rPr>
                <w:rFonts w:ascii="Calibri" w:hAnsi="Calibri"/>
                <w:sz w:val="20"/>
                <w:szCs w:val="20"/>
              </w:rPr>
            </w:pPr>
            <w:r w:rsidRPr="004C5F04">
              <w:rPr>
                <w:rFonts w:ascii="Calibri" w:hAnsi="Calibri"/>
                <w:sz w:val="20"/>
                <w:szCs w:val="20"/>
              </w:rPr>
              <w:t>0.09%</w:t>
            </w:r>
          </w:p>
        </w:tc>
      </w:tr>
      <w:tr w:rsidR="00754973" w:rsidTr="00754973">
        <w:trPr>
          <w:trHeight w:val="315"/>
          <w:jc w:val="center"/>
        </w:trPr>
        <w:tc>
          <w:tcPr>
            <w:tcW w:w="2329"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r>
              <w:rPr>
                <w:rFonts w:ascii="Calibri" w:hAnsi="Calibri"/>
                <w:sz w:val="20"/>
                <w:szCs w:val="20"/>
              </w:rPr>
              <w:t>DEFERRED INCOME TAX</w:t>
            </w:r>
          </w:p>
        </w:tc>
        <w:tc>
          <w:tcPr>
            <w:tcW w:w="1127" w:type="dxa"/>
            <w:tcBorders>
              <w:top w:val="nil"/>
              <w:left w:val="single" w:sz="4" w:space="0" w:color="auto"/>
              <w:bottom w:val="single" w:sz="4" w:space="0" w:color="auto"/>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 xml:space="preserve">$342,671 </w:t>
            </w:r>
          </w:p>
        </w:tc>
        <w:tc>
          <w:tcPr>
            <w:tcW w:w="1240" w:type="dxa"/>
            <w:tcBorders>
              <w:top w:val="nil"/>
              <w:left w:val="nil"/>
              <w:bottom w:val="single" w:sz="4" w:space="0" w:color="auto"/>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 xml:space="preserve">$0 </w:t>
            </w:r>
          </w:p>
        </w:tc>
        <w:tc>
          <w:tcPr>
            <w:tcW w:w="671" w:type="dxa"/>
            <w:tcBorders>
              <w:top w:val="nil"/>
              <w:left w:val="nil"/>
              <w:bottom w:val="single" w:sz="4" w:space="0" w:color="auto"/>
              <w:right w:val="nil"/>
            </w:tcBorders>
            <w:shd w:val="clear" w:color="auto" w:fill="auto"/>
            <w:noWrap/>
            <w:vAlign w:val="bottom"/>
            <w:hideMark/>
          </w:tcPr>
          <w:p w:rsidR="00754973" w:rsidRDefault="00754973" w:rsidP="00754973">
            <w:pPr>
              <w:rPr>
                <w:rFonts w:ascii="Calibri" w:hAnsi="Calibri"/>
                <w:sz w:val="20"/>
                <w:szCs w:val="20"/>
              </w:rPr>
            </w:pPr>
            <w:r>
              <w:rPr>
                <w:rFonts w:ascii="Calibri" w:hAnsi="Calibri"/>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 xml:space="preserve">$342,671 </w:t>
            </w:r>
          </w:p>
        </w:tc>
        <w:tc>
          <w:tcPr>
            <w:tcW w:w="1193" w:type="dxa"/>
            <w:tcBorders>
              <w:top w:val="nil"/>
              <w:left w:val="nil"/>
              <w:bottom w:val="single" w:sz="4" w:space="0" w:color="auto"/>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color w:val="FF0000"/>
                <w:sz w:val="20"/>
                <w:szCs w:val="20"/>
              </w:rPr>
              <w:t>($470)</w:t>
            </w:r>
          </w:p>
        </w:tc>
        <w:tc>
          <w:tcPr>
            <w:tcW w:w="1300" w:type="dxa"/>
            <w:tcBorders>
              <w:top w:val="nil"/>
              <w:left w:val="nil"/>
              <w:bottom w:val="single" w:sz="4" w:space="0" w:color="auto"/>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 xml:space="preserve">$342,201 </w:t>
            </w:r>
          </w:p>
        </w:tc>
        <w:tc>
          <w:tcPr>
            <w:tcW w:w="1125" w:type="dxa"/>
            <w:tcBorders>
              <w:top w:val="nil"/>
              <w:left w:val="nil"/>
              <w:bottom w:val="single" w:sz="4" w:space="0" w:color="auto"/>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color w:val="FF0000"/>
                <w:sz w:val="20"/>
                <w:szCs w:val="20"/>
              </w:rPr>
              <w:t>($1,529)</w:t>
            </w:r>
          </w:p>
        </w:tc>
        <w:tc>
          <w:tcPr>
            <w:tcW w:w="1260" w:type="dxa"/>
            <w:tcBorders>
              <w:top w:val="nil"/>
              <w:left w:val="nil"/>
              <w:bottom w:val="single" w:sz="4" w:space="0" w:color="auto"/>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 xml:space="preserve">$340,672 </w:t>
            </w:r>
          </w:p>
        </w:tc>
        <w:tc>
          <w:tcPr>
            <w:tcW w:w="917" w:type="dxa"/>
            <w:tcBorders>
              <w:top w:val="nil"/>
              <w:left w:val="nil"/>
              <w:bottom w:val="single" w:sz="4" w:space="0" w:color="auto"/>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6.78%</w:t>
            </w:r>
          </w:p>
        </w:tc>
        <w:tc>
          <w:tcPr>
            <w:tcW w:w="815" w:type="dxa"/>
            <w:tcBorders>
              <w:top w:val="nil"/>
              <w:left w:val="nil"/>
              <w:bottom w:val="single" w:sz="4" w:space="0" w:color="auto"/>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0.00%</w:t>
            </w:r>
          </w:p>
        </w:tc>
        <w:tc>
          <w:tcPr>
            <w:tcW w:w="1162" w:type="dxa"/>
            <w:tcBorders>
              <w:top w:val="nil"/>
              <w:left w:val="nil"/>
              <w:bottom w:val="single" w:sz="4" w:space="0" w:color="auto"/>
              <w:right w:val="single" w:sz="4" w:space="0" w:color="auto"/>
            </w:tcBorders>
            <w:shd w:val="clear" w:color="auto" w:fill="auto"/>
            <w:noWrap/>
            <w:hideMark/>
          </w:tcPr>
          <w:p w:rsidR="00754973" w:rsidRPr="004C5F04" w:rsidRDefault="00754973" w:rsidP="00754973">
            <w:pPr>
              <w:jc w:val="right"/>
              <w:rPr>
                <w:rFonts w:ascii="Calibri" w:hAnsi="Calibri"/>
                <w:sz w:val="20"/>
                <w:szCs w:val="20"/>
              </w:rPr>
            </w:pPr>
            <w:r w:rsidRPr="004C5F04">
              <w:rPr>
                <w:rFonts w:ascii="Calibri" w:hAnsi="Calibri"/>
                <w:sz w:val="20"/>
                <w:szCs w:val="20"/>
              </w:rPr>
              <w:t>0.00%</w:t>
            </w:r>
          </w:p>
        </w:tc>
      </w:tr>
      <w:tr w:rsidR="00754973" w:rsidTr="00754973">
        <w:trPr>
          <w:trHeight w:val="330"/>
          <w:jc w:val="center"/>
        </w:trPr>
        <w:tc>
          <w:tcPr>
            <w:tcW w:w="2329" w:type="dxa"/>
            <w:tcBorders>
              <w:top w:val="nil"/>
              <w:left w:val="nil"/>
              <w:bottom w:val="nil"/>
              <w:right w:val="nil"/>
            </w:tcBorders>
            <w:shd w:val="clear" w:color="auto" w:fill="auto"/>
            <w:noWrap/>
            <w:vAlign w:val="bottom"/>
            <w:hideMark/>
          </w:tcPr>
          <w:p w:rsidR="00754973" w:rsidRDefault="00754973" w:rsidP="00754973">
            <w:pPr>
              <w:rPr>
                <w:rFonts w:ascii="Calibri" w:hAnsi="Calibri"/>
                <w:sz w:val="20"/>
                <w:szCs w:val="20"/>
              </w:rPr>
            </w:pPr>
          </w:p>
        </w:tc>
        <w:tc>
          <w:tcPr>
            <w:tcW w:w="1127" w:type="dxa"/>
            <w:tcBorders>
              <w:top w:val="nil"/>
              <w:left w:val="single" w:sz="4" w:space="0" w:color="auto"/>
              <w:bottom w:val="double" w:sz="6" w:space="0" w:color="auto"/>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 xml:space="preserve">$5,044,363 </w:t>
            </w:r>
          </w:p>
        </w:tc>
        <w:tc>
          <w:tcPr>
            <w:tcW w:w="1240" w:type="dxa"/>
            <w:tcBorders>
              <w:top w:val="nil"/>
              <w:left w:val="nil"/>
              <w:bottom w:val="double" w:sz="6" w:space="0" w:color="auto"/>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 xml:space="preserve">$0 </w:t>
            </w:r>
          </w:p>
        </w:tc>
        <w:tc>
          <w:tcPr>
            <w:tcW w:w="671" w:type="dxa"/>
            <w:tcBorders>
              <w:top w:val="nil"/>
              <w:left w:val="nil"/>
              <w:bottom w:val="double" w:sz="6" w:space="0" w:color="auto"/>
              <w:right w:val="nil"/>
            </w:tcBorders>
            <w:shd w:val="clear" w:color="auto" w:fill="auto"/>
            <w:noWrap/>
            <w:vAlign w:val="bottom"/>
            <w:hideMark/>
          </w:tcPr>
          <w:p w:rsidR="00754973" w:rsidRDefault="00754973" w:rsidP="00754973">
            <w:pPr>
              <w:rPr>
                <w:rFonts w:ascii="Calibri" w:hAnsi="Calibri"/>
                <w:sz w:val="20"/>
                <w:szCs w:val="20"/>
              </w:rPr>
            </w:pPr>
            <w:r>
              <w:rPr>
                <w:rFonts w:ascii="Calibri" w:hAnsi="Calibri"/>
                <w:sz w:val="20"/>
                <w:szCs w:val="20"/>
              </w:rPr>
              <w:t> </w:t>
            </w:r>
          </w:p>
        </w:tc>
        <w:tc>
          <w:tcPr>
            <w:tcW w:w="1140" w:type="dxa"/>
            <w:tcBorders>
              <w:top w:val="nil"/>
              <w:left w:val="nil"/>
              <w:bottom w:val="double" w:sz="6" w:space="0" w:color="auto"/>
              <w:right w:val="single" w:sz="4" w:space="0" w:color="auto"/>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 xml:space="preserve">$5,044,363 </w:t>
            </w:r>
          </w:p>
        </w:tc>
        <w:tc>
          <w:tcPr>
            <w:tcW w:w="1193" w:type="dxa"/>
            <w:tcBorders>
              <w:top w:val="nil"/>
              <w:left w:val="nil"/>
              <w:bottom w:val="double" w:sz="6" w:space="0" w:color="auto"/>
              <w:right w:val="nil"/>
            </w:tcBorders>
            <w:shd w:val="clear" w:color="auto" w:fill="auto"/>
            <w:noWrap/>
            <w:vAlign w:val="bottom"/>
            <w:hideMark/>
          </w:tcPr>
          <w:p w:rsidR="00754973" w:rsidRDefault="00754973" w:rsidP="00754973">
            <w:pPr>
              <w:rPr>
                <w:rFonts w:ascii="Calibri" w:hAnsi="Calibri"/>
                <w:sz w:val="20"/>
                <w:szCs w:val="20"/>
              </w:rPr>
            </w:pPr>
            <w:r>
              <w:rPr>
                <w:rFonts w:ascii="Calibri" w:hAnsi="Calibri"/>
                <w:sz w:val="20"/>
                <w:szCs w:val="20"/>
              </w:rPr>
              <w:t> </w:t>
            </w:r>
          </w:p>
        </w:tc>
        <w:tc>
          <w:tcPr>
            <w:tcW w:w="1300" w:type="dxa"/>
            <w:tcBorders>
              <w:top w:val="nil"/>
              <w:left w:val="nil"/>
              <w:bottom w:val="double" w:sz="6" w:space="0" w:color="auto"/>
              <w:right w:val="nil"/>
            </w:tcBorders>
            <w:shd w:val="clear" w:color="auto" w:fill="auto"/>
            <w:noWrap/>
            <w:vAlign w:val="bottom"/>
            <w:hideMark/>
          </w:tcPr>
          <w:p w:rsidR="00754973" w:rsidRDefault="00754973" w:rsidP="00754973">
            <w:pPr>
              <w:rPr>
                <w:rFonts w:ascii="Calibri" w:hAnsi="Calibri"/>
                <w:sz w:val="20"/>
                <w:szCs w:val="20"/>
              </w:rPr>
            </w:pPr>
            <w:r>
              <w:rPr>
                <w:rFonts w:ascii="Calibri" w:hAnsi="Calibri"/>
                <w:sz w:val="20"/>
                <w:szCs w:val="20"/>
              </w:rPr>
              <w:t> </w:t>
            </w:r>
          </w:p>
        </w:tc>
        <w:tc>
          <w:tcPr>
            <w:tcW w:w="1125" w:type="dxa"/>
            <w:tcBorders>
              <w:top w:val="nil"/>
              <w:left w:val="nil"/>
              <w:bottom w:val="double" w:sz="6" w:space="0" w:color="auto"/>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color w:val="FF0000"/>
                <w:sz w:val="20"/>
                <w:szCs w:val="20"/>
              </w:rPr>
              <w:t>($22,540)</w:t>
            </w:r>
          </w:p>
        </w:tc>
        <w:tc>
          <w:tcPr>
            <w:tcW w:w="1260" w:type="dxa"/>
            <w:tcBorders>
              <w:top w:val="nil"/>
              <w:left w:val="nil"/>
              <w:bottom w:val="double" w:sz="6" w:space="0" w:color="auto"/>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 xml:space="preserve">$5,021,353 </w:t>
            </w:r>
          </w:p>
        </w:tc>
        <w:tc>
          <w:tcPr>
            <w:tcW w:w="917" w:type="dxa"/>
            <w:tcBorders>
              <w:top w:val="nil"/>
              <w:left w:val="nil"/>
              <w:bottom w:val="double" w:sz="6" w:space="0" w:color="auto"/>
              <w:right w:val="nil"/>
            </w:tcBorders>
            <w:shd w:val="clear" w:color="auto" w:fill="auto"/>
            <w:noWrap/>
            <w:vAlign w:val="bottom"/>
            <w:hideMark/>
          </w:tcPr>
          <w:p w:rsidR="00754973" w:rsidRDefault="00754973" w:rsidP="00754973">
            <w:pPr>
              <w:jc w:val="right"/>
              <w:rPr>
                <w:rFonts w:ascii="Calibri" w:hAnsi="Calibri"/>
                <w:sz w:val="20"/>
                <w:szCs w:val="20"/>
              </w:rPr>
            </w:pPr>
            <w:r>
              <w:rPr>
                <w:rFonts w:ascii="Calibri" w:hAnsi="Calibri"/>
                <w:sz w:val="20"/>
                <w:szCs w:val="20"/>
              </w:rPr>
              <w:t>100.00%</w:t>
            </w:r>
          </w:p>
        </w:tc>
        <w:tc>
          <w:tcPr>
            <w:tcW w:w="815" w:type="dxa"/>
            <w:tcBorders>
              <w:top w:val="nil"/>
              <w:left w:val="nil"/>
              <w:bottom w:val="double" w:sz="6" w:space="0" w:color="auto"/>
              <w:right w:val="nil"/>
            </w:tcBorders>
            <w:shd w:val="clear" w:color="auto" w:fill="auto"/>
            <w:noWrap/>
            <w:vAlign w:val="bottom"/>
            <w:hideMark/>
          </w:tcPr>
          <w:p w:rsidR="00754973" w:rsidRDefault="00754973" w:rsidP="00754973">
            <w:pPr>
              <w:rPr>
                <w:rFonts w:ascii="Calibri" w:hAnsi="Calibri"/>
                <w:sz w:val="20"/>
                <w:szCs w:val="20"/>
              </w:rPr>
            </w:pPr>
            <w:r>
              <w:rPr>
                <w:rFonts w:ascii="Calibri" w:hAnsi="Calibri"/>
                <w:sz w:val="20"/>
                <w:szCs w:val="20"/>
              </w:rPr>
              <w:t> </w:t>
            </w:r>
          </w:p>
        </w:tc>
        <w:tc>
          <w:tcPr>
            <w:tcW w:w="1162" w:type="dxa"/>
            <w:tcBorders>
              <w:top w:val="nil"/>
              <w:left w:val="nil"/>
              <w:bottom w:val="double" w:sz="6" w:space="0" w:color="auto"/>
              <w:right w:val="single" w:sz="4" w:space="0" w:color="auto"/>
            </w:tcBorders>
            <w:shd w:val="clear" w:color="auto" w:fill="auto"/>
            <w:noWrap/>
            <w:hideMark/>
          </w:tcPr>
          <w:p w:rsidR="00754973" w:rsidRPr="004C5F04" w:rsidRDefault="00754973" w:rsidP="00754973">
            <w:pPr>
              <w:jc w:val="right"/>
              <w:rPr>
                <w:rFonts w:ascii="Calibri" w:hAnsi="Calibri"/>
                <w:sz w:val="20"/>
                <w:szCs w:val="20"/>
              </w:rPr>
            </w:pPr>
            <w:r w:rsidRPr="004C5F04">
              <w:rPr>
                <w:rFonts w:ascii="Calibri" w:hAnsi="Calibri"/>
                <w:sz w:val="20"/>
                <w:szCs w:val="20"/>
              </w:rPr>
              <w:t>6.46%</w:t>
            </w:r>
          </w:p>
        </w:tc>
      </w:tr>
    </w:tbl>
    <w:p w:rsidR="00754973" w:rsidRDefault="00754973" w:rsidP="00754973">
      <w:pPr>
        <w:pStyle w:val="BodyText"/>
        <w:sectPr w:rsidR="00754973" w:rsidSect="0039453A">
          <w:headerReference w:type="even" r:id="rId20"/>
          <w:headerReference w:type="default" r:id="rId21"/>
          <w:headerReference w:type="first" r:id="rId22"/>
          <w:pgSz w:w="15840" w:h="12240" w:orient="landscape" w:code="1"/>
          <w:pgMar w:top="1440" w:right="1584" w:bottom="1440" w:left="1440" w:header="720" w:footer="720" w:gutter="0"/>
          <w:cols w:space="720"/>
          <w:formProt w:val="0"/>
          <w:docGrid w:linePitch="360"/>
        </w:sectPr>
      </w:pPr>
    </w:p>
    <w:p w:rsidR="00A40ECA" w:rsidRDefault="00A40ECA" w:rsidP="00A40ECA">
      <w:pPr>
        <w:pStyle w:val="IssueHeading"/>
      </w:pPr>
      <w:r>
        <w:lastRenderedPageBreak/>
        <w:fldChar w:fldCharType="begin"/>
      </w:r>
      <w:r>
        <w:instrText xml:space="preserve"> TC "</w:instrText>
      </w:r>
      <w:bookmarkStart w:id="47" w:name="_Toc28007743"/>
      <w:r>
        <w:tab/>
        <w:instrText>Schedule No. 3</w:instrText>
      </w:r>
      <w:r>
        <w:tab/>
        <w:instrText>49</w:instrText>
      </w:r>
      <w:bookmarkEnd w:id="47"/>
      <w:r>
        <w:instrText>" \l 1 \n</w:instrText>
      </w:r>
      <w:r>
        <w:fldChar w:fldCharType="end"/>
      </w:r>
    </w:p>
    <w:p w:rsidR="00A40ECA" w:rsidRPr="000C71D1" w:rsidRDefault="00A40ECA" w:rsidP="00A40ECA">
      <w:pPr>
        <w:jc w:val="center"/>
        <w:rPr>
          <w:rFonts w:ascii="Arial" w:hAnsi="Arial" w:cs="Arial"/>
          <w:b/>
        </w:rPr>
      </w:pPr>
      <w:r w:rsidRPr="000C71D1">
        <w:rPr>
          <w:rFonts w:ascii="Arial" w:hAnsi="Arial" w:cs="Arial"/>
          <w:b/>
        </w:rPr>
        <w:t>Sebring Gas System</w:t>
      </w:r>
    </w:p>
    <w:p w:rsidR="00A40ECA" w:rsidRPr="000C71D1" w:rsidRDefault="00A40ECA" w:rsidP="00A40ECA">
      <w:pPr>
        <w:jc w:val="center"/>
        <w:rPr>
          <w:rFonts w:ascii="Arial" w:hAnsi="Arial" w:cs="Arial"/>
          <w:b/>
        </w:rPr>
      </w:pPr>
      <w:r w:rsidRPr="000C71D1">
        <w:rPr>
          <w:rFonts w:ascii="Arial" w:hAnsi="Arial" w:cs="Arial"/>
          <w:b/>
        </w:rPr>
        <w:t>Docket No.20190083-GU</w:t>
      </w:r>
    </w:p>
    <w:p w:rsidR="00A40ECA" w:rsidRPr="000C71D1" w:rsidRDefault="00A40ECA" w:rsidP="00A40ECA">
      <w:pPr>
        <w:jc w:val="center"/>
        <w:rPr>
          <w:rFonts w:ascii="Arial" w:hAnsi="Arial" w:cs="Arial"/>
          <w:b/>
        </w:rPr>
      </w:pPr>
      <w:r w:rsidRPr="000C71D1">
        <w:rPr>
          <w:rFonts w:ascii="Arial" w:hAnsi="Arial" w:cs="Arial"/>
          <w:b/>
        </w:rPr>
        <w:t>2020 Projected Test Year</w:t>
      </w:r>
    </w:p>
    <w:p w:rsidR="00A40ECA" w:rsidRPr="000C71D1" w:rsidRDefault="00A40ECA" w:rsidP="00A40ECA">
      <w:pPr>
        <w:jc w:val="center"/>
        <w:rPr>
          <w:rFonts w:ascii="Arial" w:hAnsi="Arial" w:cs="Arial"/>
          <w:b/>
        </w:rPr>
      </w:pPr>
      <w:r w:rsidRPr="000C71D1">
        <w:rPr>
          <w:rFonts w:ascii="Arial" w:hAnsi="Arial" w:cs="Arial"/>
          <w:b/>
        </w:rPr>
        <w:t>Net Operating Income</w:t>
      </w:r>
    </w:p>
    <w:tbl>
      <w:tblPr>
        <w:tblW w:w="10024" w:type="dxa"/>
        <w:tblInd w:w="93" w:type="dxa"/>
        <w:tblLook w:val="04A0" w:firstRow="1" w:lastRow="0" w:firstColumn="1" w:lastColumn="0" w:noHBand="0" w:noVBand="1"/>
      </w:tblPr>
      <w:tblGrid>
        <w:gridCol w:w="4882"/>
        <w:gridCol w:w="1517"/>
        <w:gridCol w:w="1028"/>
        <w:gridCol w:w="1066"/>
        <w:gridCol w:w="1531"/>
      </w:tblGrid>
      <w:tr w:rsidR="00A40ECA" w:rsidRPr="006F3123" w:rsidTr="00FF33DA">
        <w:trPr>
          <w:trHeight w:val="353"/>
        </w:trPr>
        <w:tc>
          <w:tcPr>
            <w:tcW w:w="4882" w:type="dxa"/>
            <w:tcBorders>
              <w:top w:val="single" w:sz="8" w:space="0" w:color="auto"/>
              <w:left w:val="single" w:sz="8" w:space="0" w:color="auto"/>
              <w:bottom w:val="nil"/>
              <w:right w:val="nil"/>
            </w:tcBorders>
            <w:shd w:val="clear" w:color="auto" w:fill="auto"/>
            <w:noWrap/>
            <w:vAlign w:val="center"/>
            <w:hideMark/>
          </w:tcPr>
          <w:p w:rsidR="00A40ECA" w:rsidRPr="006F3123" w:rsidRDefault="00A40ECA" w:rsidP="00FF33DA">
            <w:pPr>
              <w:rPr>
                <w:color w:val="000000"/>
              </w:rPr>
            </w:pPr>
            <w:r w:rsidRPr="006F3123">
              <w:rPr>
                <w:color w:val="000000"/>
              </w:rPr>
              <w:t> </w:t>
            </w:r>
          </w:p>
        </w:tc>
        <w:tc>
          <w:tcPr>
            <w:tcW w:w="1517" w:type="dxa"/>
            <w:tcBorders>
              <w:top w:val="single" w:sz="8" w:space="0" w:color="auto"/>
              <w:left w:val="nil"/>
              <w:bottom w:val="single" w:sz="8" w:space="0" w:color="auto"/>
              <w:right w:val="nil"/>
            </w:tcBorders>
            <w:shd w:val="clear" w:color="auto" w:fill="auto"/>
            <w:noWrap/>
            <w:vAlign w:val="center"/>
            <w:hideMark/>
          </w:tcPr>
          <w:p w:rsidR="00A40ECA" w:rsidRPr="006F3123" w:rsidRDefault="00A40ECA" w:rsidP="00FF33DA">
            <w:pPr>
              <w:jc w:val="center"/>
              <w:rPr>
                <w:color w:val="000000"/>
              </w:rPr>
            </w:pPr>
            <w:r w:rsidRPr="006F3123">
              <w:rPr>
                <w:color w:val="000000"/>
              </w:rPr>
              <w:t>COMPANY</w:t>
            </w:r>
          </w:p>
        </w:tc>
        <w:tc>
          <w:tcPr>
            <w:tcW w:w="1028" w:type="dxa"/>
            <w:tcBorders>
              <w:top w:val="single" w:sz="8" w:space="0" w:color="auto"/>
              <w:left w:val="nil"/>
              <w:bottom w:val="nil"/>
              <w:right w:val="nil"/>
            </w:tcBorders>
            <w:shd w:val="clear" w:color="auto" w:fill="auto"/>
            <w:noWrap/>
            <w:vAlign w:val="center"/>
            <w:hideMark/>
          </w:tcPr>
          <w:p w:rsidR="00A40ECA" w:rsidRPr="006F3123" w:rsidRDefault="00A40ECA" w:rsidP="00FF33DA">
            <w:pPr>
              <w:rPr>
                <w:color w:val="000000"/>
              </w:rPr>
            </w:pPr>
            <w:r w:rsidRPr="006F3123">
              <w:rPr>
                <w:color w:val="000000"/>
              </w:rPr>
              <w:t> </w:t>
            </w:r>
          </w:p>
        </w:tc>
        <w:tc>
          <w:tcPr>
            <w:tcW w:w="2597"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40ECA" w:rsidRPr="006F3123" w:rsidRDefault="00A40ECA" w:rsidP="00FF33DA">
            <w:pPr>
              <w:jc w:val="center"/>
              <w:rPr>
                <w:color w:val="000000"/>
              </w:rPr>
            </w:pPr>
            <w:r w:rsidRPr="006F3123">
              <w:rPr>
                <w:color w:val="000000"/>
              </w:rPr>
              <w:t>STAFF</w:t>
            </w:r>
          </w:p>
        </w:tc>
      </w:tr>
      <w:tr w:rsidR="00A40ECA" w:rsidRPr="006F3123" w:rsidTr="00FF33DA">
        <w:trPr>
          <w:trHeight w:val="1011"/>
        </w:trPr>
        <w:tc>
          <w:tcPr>
            <w:tcW w:w="4882" w:type="dxa"/>
            <w:tcBorders>
              <w:top w:val="nil"/>
              <w:left w:val="single" w:sz="8" w:space="0" w:color="auto"/>
              <w:bottom w:val="nil"/>
              <w:right w:val="nil"/>
            </w:tcBorders>
            <w:shd w:val="clear" w:color="auto" w:fill="auto"/>
            <w:noWrap/>
            <w:vAlign w:val="center"/>
            <w:hideMark/>
          </w:tcPr>
          <w:p w:rsidR="00A40ECA" w:rsidRPr="006F3123" w:rsidRDefault="00A40ECA" w:rsidP="00FF33DA">
            <w:pPr>
              <w:rPr>
                <w:color w:val="000000"/>
              </w:rPr>
            </w:pPr>
            <w:r w:rsidRPr="006F3123">
              <w:rPr>
                <w:color w:val="000000"/>
              </w:rPr>
              <w:t> </w:t>
            </w:r>
          </w:p>
        </w:tc>
        <w:tc>
          <w:tcPr>
            <w:tcW w:w="1517" w:type="dxa"/>
            <w:tcBorders>
              <w:top w:val="nil"/>
              <w:left w:val="nil"/>
              <w:bottom w:val="nil"/>
              <w:right w:val="nil"/>
            </w:tcBorders>
            <w:shd w:val="clear" w:color="auto" w:fill="auto"/>
            <w:vAlign w:val="center"/>
            <w:hideMark/>
          </w:tcPr>
          <w:p w:rsidR="00A40ECA" w:rsidRPr="006F3123" w:rsidRDefault="00A40ECA" w:rsidP="00FF33DA">
            <w:pPr>
              <w:jc w:val="center"/>
              <w:rPr>
                <w:color w:val="000000"/>
                <w:u w:val="single"/>
              </w:rPr>
            </w:pPr>
            <w:r w:rsidRPr="006F3123">
              <w:rPr>
                <w:color w:val="000000"/>
                <w:u w:val="single"/>
              </w:rPr>
              <w:t>PTY 2020</w:t>
            </w:r>
          </w:p>
        </w:tc>
        <w:tc>
          <w:tcPr>
            <w:tcW w:w="1028" w:type="dxa"/>
            <w:tcBorders>
              <w:top w:val="nil"/>
              <w:left w:val="nil"/>
              <w:bottom w:val="nil"/>
              <w:right w:val="nil"/>
            </w:tcBorders>
            <w:shd w:val="clear" w:color="auto" w:fill="auto"/>
            <w:vAlign w:val="bottom"/>
            <w:hideMark/>
          </w:tcPr>
          <w:p w:rsidR="00A40ECA" w:rsidRPr="006F3123" w:rsidRDefault="00A40ECA" w:rsidP="00FF33DA">
            <w:pPr>
              <w:rPr>
                <w:color w:val="000000"/>
                <w:sz w:val="22"/>
                <w:szCs w:val="22"/>
              </w:rPr>
            </w:pPr>
          </w:p>
        </w:tc>
        <w:tc>
          <w:tcPr>
            <w:tcW w:w="1066" w:type="dxa"/>
            <w:tcBorders>
              <w:top w:val="nil"/>
              <w:left w:val="nil"/>
              <w:bottom w:val="nil"/>
              <w:right w:val="nil"/>
            </w:tcBorders>
            <w:shd w:val="clear" w:color="auto" w:fill="auto"/>
            <w:vAlign w:val="center"/>
            <w:hideMark/>
          </w:tcPr>
          <w:p w:rsidR="00A40ECA" w:rsidRPr="006F3123" w:rsidRDefault="00A40ECA" w:rsidP="00FF33DA">
            <w:pPr>
              <w:jc w:val="center"/>
              <w:rPr>
                <w:color w:val="000000"/>
              </w:rPr>
            </w:pPr>
            <w:r w:rsidRPr="006F3123">
              <w:rPr>
                <w:color w:val="000000"/>
              </w:rPr>
              <w:t xml:space="preserve">STAFF </w:t>
            </w:r>
            <w:r w:rsidRPr="006F3123">
              <w:rPr>
                <w:color w:val="000000"/>
                <w:u w:val="single"/>
              </w:rPr>
              <w:t>ADJS.</w:t>
            </w:r>
          </w:p>
        </w:tc>
        <w:tc>
          <w:tcPr>
            <w:tcW w:w="1531" w:type="dxa"/>
            <w:tcBorders>
              <w:top w:val="nil"/>
              <w:left w:val="nil"/>
              <w:bottom w:val="nil"/>
              <w:right w:val="single" w:sz="8" w:space="0" w:color="auto"/>
            </w:tcBorders>
            <w:shd w:val="clear" w:color="auto" w:fill="auto"/>
            <w:vAlign w:val="center"/>
            <w:hideMark/>
          </w:tcPr>
          <w:p w:rsidR="00A40ECA" w:rsidRPr="006F3123" w:rsidRDefault="00A40ECA" w:rsidP="00FF33DA">
            <w:pPr>
              <w:jc w:val="center"/>
              <w:rPr>
                <w:color w:val="000000"/>
              </w:rPr>
            </w:pPr>
            <w:r w:rsidRPr="006F3123">
              <w:rPr>
                <w:color w:val="000000"/>
              </w:rPr>
              <w:t xml:space="preserve">STAFF </w:t>
            </w:r>
            <w:r w:rsidRPr="006F3123">
              <w:rPr>
                <w:color w:val="000000"/>
                <w:u w:val="single"/>
              </w:rPr>
              <w:t>ADJUSTED</w:t>
            </w:r>
          </w:p>
        </w:tc>
      </w:tr>
      <w:tr w:rsidR="00A40ECA" w:rsidRPr="006F3123" w:rsidTr="00FF33DA">
        <w:trPr>
          <w:trHeight w:val="337"/>
        </w:trPr>
        <w:tc>
          <w:tcPr>
            <w:tcW w:w="4882" w:type="dxa"/>
            <w:tcBorders>
              <w:top w:val="nil"/>
              <w:left w:val="single" w:sz="8" w:space="0" w:color="auto"/>
              <w:bottom w:val="nil"/>
              <w:right w:val="nil"/>
            </w:tcBorders>
            <w:shd w:val="clear" w:color="auto" w:fill="auto"/>
            <w:noWrap/>
            <w:vAlign w:val="center"/>
            <w:hideMark/>
          </w:tcPr>
          <w:p w:rsidR="00A40ECA" w:rsidRPr="006F3123" w:rsidRDefault="00A40ECA" w:rsidP="00FF33DA">
            <w:pPr>
              <w:rPr>
                <w:color w:val="000000"/>
              </w:rPr>
            </w:pPr>
            <w:r w:rsidRPr="006F3123">
              <w:rPr>
                <w:color w:val="000000"/>
              </w:rPr>
              <w:t>OPERATING REVENUES</w:t>
            </w:r>
          </w:p>
        </w:tc>
        <w:tc>
          <w:tcPr>
            <w:tcW w:w="1517" w:type="dxa"/>
            <w:tcBorders>
              <w:top w:val="nil"/>
              <w:left w:val="nil"/>
              <w:bottom w:val="nil"/>
              <w:right w:val="nil"/>
            </w:tcBorders>
            <w:shd w:val="clear" w:color="auto" w:fill="auto"/>
            <w:noWrap/>
            <w:vAlign w:val="center"/>
            <w:hideMark/>
          </w:tcPr>
          <w:p w:rsidR="00A40ECA" w:rsidRPr="006F3123" w:rsidRDefault="00A40ECA" w:rsidP="00FF33DA">
            <w:pPr>
              <w:jc w:val="right"/>
              <w:rPr>
                <w:color w:val="000000"/>
              </w:rPr>
            </w:pPr>
            <w:r w:rsidRPr="006F3123">
              <w:rPr>
                <w:color w:val="000000"/>
              </w:rPr>
              <w:t xml:space="preserve">$1,033,155 </w:t>
            </w:r>
          </w:p>
        </w:tc>
        <w:tc>
          <w:tcPr>
            <w:tcW w:w="1028" w:type="dxa"/>
            <w:tcBorders>
              <w:top w:val="nil"/>
              <w:left w:val="nil"/>
              <w:bottom w:val="nil"/>
              <w:right w:val="nil"/>
            </w:tcBorders>
            <w:shd w:val="clear" w:color="auto" w:fill="auto"/>
            <w:noWrap/>
            <w:vAlign w:val="bottom"/>
            <w:hideMark/>
          </w:tcPr>
          <w:p w:rsidR="00A40ECA" w:rsidRPr="006F3123" w:rsidRDefault="00A40ECA" w:rsidP="00FF33DA">
            <w:pPr>
              <w:rPr>
                <w:color w:val="000000"/>
                <w:sz w:val="22"/>
                <w:szCs w:val="22"/>
              </w:rPr>
            </w:pPr>
          </w:p>
        </w:tc>
        <w:tc>
          <w:tcPr>
            <w:tcW w:w="1066" w:type="dxa"/>
            <w:tcBorders>
              <w:top w:val="nil"/>
              <w:left w:val="nil"/>
              <w:bottom w:val="nil"/>
              <w:right w:val="nil"/>
            </w:tcBorders>
            <w:shd w:val="clear" w:color="auto" w:fill="auto"/>
            <w:noWrap/>
            <w:vAlign w:val="center"/>
            <w:hideMark/>
          </w:tcPr>
          <w:p w:rsidR="00A40ECA" w:rsidRPr="006F3123" w:rsidRDefault="00A40ECA" w:rsidP="00FF33DA">
            <w:pPr>
              <w:jc w:val="right"/>
              <w:rPr>
                <w:color w:val="000000"/>
              </w:rPr>
            </w:pPr>
            <w:r w:rsidRPr="006F3123">
              <w:rPr>
                <w:color w:val="000000"/>
              </w:rPr>
              <w:t xml:space="preserve">$0 </w:t>
            </w:r>
          </w:p>
        </w:tc>
        <w:tc>
          <w:tcPr>
            <w:tcW w:w="1531" w:type="dxa"/>
            <w:tcBorders>
              <w:top w:val="nil"/>
              <w:left w:val="nil"/>
              <w:bottom w:val="nil"/>
              <w:right w:val="single" w:sz="8" w:space="0" w:color="auto"/>
            </w:tcBorders>
            <w:shd w:val="clear" w:color="auto" w:fill="auto"/>
            <w:noWrap/>
            <w:vAlign w:val="center"/>
            <w:hideMark/>
          </w:tcPr>
          <w:p w:rsidR="00A40ECA" w:rsidRPr="006F3123" w:rsidRDefault="00A40ECA" w:rsidP="00FF33DA">
            <w:pPr>
              <w:jc w:val="right"/>
              <w:rPr>
                <w:color w:val="000000"/>
              </w:rPr>
            </w:pPr>
            <w:r w:rsidRPr="006F3123">
              <w:rPr>
                <w:color w:val="000000"/>
              </w:rPr>
              <w:t xml:space="preserve">$1,033,155 </w:t>
            </w:r>
          </w:p>
        </w:tc>
      </w:tr>
      <w:tr w:rsidR="00A40ECA" w:rsidRPr="006F3123" w:rsidTr="00FF33DA">
        <w:trPr>
          <w:trHeight w:val="337"/>
        </w:trPr>
        <w:tc>
          <w:tcPr>
            <w:tcW w:w="4882" w:type="dxa"/>
            <w:tcBorders>
              <w:top w:val="nil"/>
              <w:left w:val="single" w:sz="8" w:space="0" w:color="auto"/>
              <w:bottom w:val="nil"/>
              <w:right w:val="nil"/>
            </w:tcBorders>
            <w:shd w:val="clear" w:color="auto" w:fill="auto"/>
            <w:noWrap/>
            <w:vAlign w:val="center"/>
            <w:hideMark/>
          </w:tcPr>
          <w:p w:rsidR="00A40ECA" w:rsidRPr="006F3123" w:rsidRDefault="00A40ECA" w:rsidP="00FF33DA">
            <w:pPr>
              <w:rPr>
                <w:color w:val="000000"/>
              </w:rPr>
            </w:pPr>
            <w:r w:rsidRPr="006F3123">
              <w:rPr>
                <w:color w:val="000000"/>
              </w:rPr>
              <w:t>REVENUES DUE TO GROWTH</w:t>
            </w:r>
          </w:p>
        </w:tc>
        <w:tc>
          <w:tcPr>
            <w:tcW w:w="1517" w:type="dxa"/>
            <w:tcBorders>
              <w:top w:val="nil"/>
              <w:left w:val="nil"/>
              <w:bottom w:val="single" w:sz="4" w:space="0" w:color="auto"/>
              <w:right w:val="nil"/>
            </w:tcBorders>
            <w:shd w:val="clear" w:color="auto" w:fill="auto"/>
            <w:noWrap/>
            <w:vAlign w:val="center"/>
            <w:hideMark/>
          </w:tcPr>
          <w:p w:rsidR="00A40ECA" w:rsidRPr="006F3123" w:rsidRDefault="00A40ECA" w:rsidP="00FF33DA">
            <w:pPr>
              <w:jc w:val="right"/>
              <w:rPr>
                <w:color w:val="000000"/>
              </w:rPr>
            </w:pPr>
            <w:r w:rsidRPr="006F3123">
              <w:rPr>
                <w:color w:val="000000"/>
              </w:rPr>
              <w:t xml:space="preserve">153,045 </w:t>
            </w:r>
          </w:p>
        </w:tc>
        <w:tc>
          <w:tcPr>
            <w:tcW w:w="1028" w:type="dxa"/>
            <w:tcBorders>
              <w:top w:val="nil"/>
              <w:left w:val="nil"/>
              <w:bottom w:val="nil"/>
              <w:right w:val="nil"/>
            </w:tcBorders>
            <w:shd w:val="clear" w:color="auto" w:fill="auto"/>
            <w:noWrap/>
            <w:vAlign w:val="bottom"/>
            <w:hideMark/>
          </w:tcPr>
          <w:p w:rsidR="00A40ECA" w:rsidRPr="006F3123" w:rsidRDefault="00A40ECA" w:rsidP="00FF33DA">
            <w:pPr>
              <w:rPr>
                <w:color w:val="000000"/>
                <w:sz w:val="22"/>
                <w:szCs w:val="22"/>
              </w:rPr>
            </w:pPr>
          </w:p>
        </w:tc>
        <w:tc>
          <w:tcPr>
            <w:tcW w:w="1066" w:type="dxa"/>
            <w:tcBorders>
              <w:top w:val="nil"/>
              <w:left w:val="nil"/>
              <w:bottom w:val="single" w:sz="4" w:space="0" w:color="auto"/>
              <w:right w:val="nil"/>
            </w:tcBorders>
            <w:shd w:val="clear" w:color="auto" w:fill="auto"/>
            <w:noWrap/>
            <w:vAlign w:val="center"/>
            <w:hideMark/>
          </w:tcPr>
          <w:p w:rsidR="00A40ECA" w:rsidRPr="006F3123" w:rsidRDefault="00A40ECA" w:rsidP="00FF33DA">
            <w:pPr>
              <w:jc w:val="right"/>
              <w:rPr>
                <w:color w:val="000000"/>
              </w:rPr>
            </w:pPr>
            <w:r w:rsidRPr="006F3123">
              <w:rPr>
                <w:color w:val="000000"/>
              </w:rPr>
              <w:t xml:space="preserve">0 </w:t>
            </w:r>
          </w:p>
        </w:tc>
        <w:tc>
          <w:tcPr>
            <w:tcW w:w="1531" w:type="dxa"/>
            <w:tcBorders>
              <w:top w:val="nil"/>
              <w:left w:val="nil"/>
              <w:bottom w:val="single" w:sz="4" w:space="0" w:color="auto"/>
              <w:right w:val="single" w:sz="8" w:space="0" w:color="auto"/>
            </w:tcBorders>
            <w:shd w:val="clear" w:color="auto" w:fill="auto"/>
            <w:noWrap/>
            <w:vAlign w:val="center"/>
            <w:hideMark/>
          </w:tcPr>
          <w:p w:rsidR="00A40ECA" w:rsidRPr="006F3123" w:rsidRDefault="00A40ECA" w:rsidP="00FF33DA">
            <w:pPr>
              <w:jc w:val="right"/>
              <w:rPr>
                <w:color w:val="000000"/>
              </w:rPr>
            </w:pPr>
            <w:r w:rsidRPr="006F3123">
              <w:rPr>
                <w:color w:val="000000"/>
              </w:rPr>
              <w:t xml:space="preserve">153,045 </w:t>
            </w:r>
          </w:p>
        </w:tc>
      </w:tr>
      <w:tr w:rsidR="00A40ECA" w:rsidRPr="006F3123" w:rsidTr="00FF33DA">
        <w:trPr>
          <w:trHeight w:val="337"/>
        </w:trPr>
        <w:tc>
          <w:tcPr>
            <w:tcW w:w="4882" w:type="dxa"/>
            <w:tcBorders>
              <w:top w:val="nil"/>
              <w:left w:val="single" w:sz="8" w:space="0" w:color="auto"/>
              <w:bottom w:val="nil"/>
              <w:right w:val="nil"/>
            </w:tcBorders>
            <w:shd w:val="clear" w:color="auto" w:fill="auto"/>
            <w:noWrap/>
            <w:vAlign w:val="center"/>
            <w:hideMark/>
          </w:tcPr>
          <w:p w:rsidR="00A40ECA" w:rsidRPr="006F3123" w:rsidRDefault="00A40ECA" w:rsidP="00FF33DA">
            <w:pPr>
              <w:rPr>
                <w:color w:val="000000"/>
              </w:rPr>
            </w:pPr>
            <w:r w:rsidRPr="006F3123">
              <w:rPr>
                <w:color w:val="000000"/>
              </w:rPr>
              <w:t xml:space="preserve">    TOTAL OPERATING REVENUES </w:t>
            </w:r>
          </w:p>
        </w:tc>
        <w:tc>
          <w:tcPr>
            <w:tcW w:w="1517" w:type="dxa"/>
            <w:tcBorders>
              <w:top w:val="nil"/>
              <w:left w:val="nil"/>
              <w:bottom w:val="nil"/>
              <w:right w:val="nil"/>
            </w:tcBorders>
            <w:shd w:val="clear" w:color="auto" w:fill="auto"/>
            <w:noWrap/>
            <w:vAlign w:val="center"/>
            <w:hideMark/>
          </w:tcPr>
          <w:p w:rsidR="00A40ECA" w:rsidRPr="006F3123" w:rsidRDefault="00A40ECA" w:rsidP="00FF33DA">
            <w:pPr>
              <w:jc w:val="right"/>
              <w:rPr>
                <w:color w:val="000000"/>
              </w:rPr>
            </w:pPr>
            <w:r w:rsidRPr="006F3123">
              <w:rPr>
                <w:color w:val="000000"/>
              </w:rPr>
              <w:t xml:space="preserve">$1,186,200 </w:t>
            </w:r>
          </w:p>
        </w:tc>
        <w:tc>
          <w:tcPr>
            <w:tcW w:w="1028" w:type="dxa"/>
            <w:tcBorders>
              <w:top w:val="nil"/>
              <w:left w:val="nil"/>
              <w:bottom w:val="nil"/>
              <w:right w:val="nil"/>
            </w:tcBorders>
            <w:shd w:val="clear" w:color="auto" w:fill="auto"/>
            <w:noWrap/>
            <w:vAlign w:val="bottom"/>
            <w:hideMark/>
          </w:tcPr>
          <w:p w:rsidR="00A40ECA" w:rsidRPr="006F3123" w:rsidRDefault="00A40ECA" w:rsidP="00FF33DA">
            <w:pPr>
              <w:rPr>
                <w:color w:val="000000"/>
                <w:sz w:val="22"/>
                <w:szCs w:val="22"/>
              </w:rPr>
            </w:pPr>
          </w:p>
        </w:tc>
        <w:tc>
          <w:tcPr>
            <w:tcW w:w="1066" w:type="dxa"/>
            <w:tcBorders>
              <w:top w:val="nil"/>
              <w:left w:val="nil"/>
              <w:bottom w:val="nil"/>
              <w:right w:val="nil"/>
            </w:tcBorders>
            <w:shd w:val="clear" w:color="auto" w:fill="auto"/>
            <w:noWrap/>
            <w:vAlign w:val="center"/>
            <w:hideMark/>
          </w:tcPr>
          <w:p w:rsidR="00A40ECA" w:rsidRPr="006F3123" w:rsidRDefault="00A40ECA" w:rsidP="00FF33DA">
            <w:pPr>
              <w:jc w:val="right"/>
              <w:rPr>
                <w:color w:val="000000"/>
              </w:rPr>
            </w:pPr>
            <w:r w:rsidRPr="006F3123">
              <w:rPr>
                <w:color w:val="000000"/>
              </w:rPr>
              <w:t xml:space="preserve">$0 </w:t>
            </w:r>
          </w:p>
        </w:tc>
        <w:tc>
          <w:tcPr>
            <w:tcW w:w="1531" w:type="dxa"/>
            <w:tcBorders>
              <w:top w:val="nil"/>
              <w:left w:val="nil"/>
              <w:bottom w:val="nil"/>
              <w:right w:val="single" w:sz="8" w:space="0" w:color="auto"/>
            </w:tcBorders>
            <w:shd w:val="clear" w:color="auto" w:fill="auto"/>
            <w:noWrap/>
            <w:vAlign w:val="center"/>
            <w:hideMark/>
          </w:tcPr>
          <w:p w:rsidR="00A40ECA" w:rsidRPr="006F3123" w:rsidRDefault="00A40ECA" w:rsidP="00FF33DA">
            <w:pPr>
              <w:jc w:val="right"/>
              <w:rPr>
                <w:color w:val="000000"/>
              </w:rPr>
            </w:pPr>
            <w:r w:rsidRPr="006F3123">
              <w:rPr>
                <w:color w:val="000000"/>
              </w:rPr>
              <w:t xml:space="preserve">$1,186,200 </w:t>
            </w:r>
          </w:p>
        </w:tc>
      </w:tr>
      <w:tr w:rsidR="00A40ECA" w:rsidRPr="006F3123" w:rsidTr="00FF33DA">
        <w:trPr>
          <w:trHeight w:val="337"/>
        </w:trPr>
        <w:tc>
          <w:tcPr>
            <w:tcW w:w="4882" w:type="dxa"/>
            <w:tcBorders>
              <w:top w:val="nil"/>
              <w:left w:val="single" w:sz="8" w:space="0" w:color="auto"/>
              <w:bottom w:val="nil"/>
              <w:right w:val="nil"/>
            </w:tcBorders>
            <w:shd w:val="clear" w:color="auto" w:fill="auto"/>
            <w:noWrap/>
            <w:vAlign w:val="center"/>
            <w:hideMark/>
          </w:tcPr>
          <w:p w:rsidR="00A40ECA" w:rsidRPr="006F3123" w:rsidRDefault="00A40ECA" w:rsidP="00FF33DA">
            <w:pPr>
              <w:rPr>
                <w:color w:val="000000"/>
              </w:rPr>
            </w:pPr>
            <w:r w:rsidRPr="006F3123">
              <w:rPr>
                <w:color w:val="000000"/>
              </w:rPr>
              <w:t> </w:t>
            </w:r>
          </w:p>
        </w:tc>
        <w:tc>
          <w:tcPr>
            <w:tcW w:w="1517" w:type="dxa"/>
            <w:tcBorders>
              <w:top w:val="nil"/>
              <w:left w:val="nil"/>
              <w:bottom w:val="nil"/>
              <w:right w:val="nil"/>
            </w:tcBorders>
            <w:shd w:val="clear" w:color="auto" w:fill="auto"/>
            <w:noWrap/>
            <w:vAlign w:val="bottom"/>
            <w:hideMark/>
          </w:tcPr>
          <w:p w:rsidR="00A40ECA" w:rsidRPr="006F3123" w:rsidRDefault="00A40ECA" w:rsidP="00FF33DA">
            <w:pPr>
              <w:rPr>
                <w:color w:val="000000"/>
                <w:sz w:val="22"/>
                <w:szCs w:val="22"/>
              </w:rPr>
            </w:pPr>
          </w:p>
        </w:tc>
        <w:tc>
          <w:tcPr>
            <w:tcW w:w="1028" w:type="dxa"/>
            <w:tcBorders>
              <w:top w:val="nil"/>
              <w:left w:val="nil"/>
              <w:bottom w:val="nil"/>
              <w:right w:val="nil"/>
            </w:tcBorders>
            <w:shd w:val="clear" w:color="auto" w:fill="auto"/>
            <w:noWrap/>
            <w:vAlign w:val="bottom"/>
            <w:hideMark/>
          </w:tcPr>
          <w:p w:rsidR="00A40ECA" w:rsidRPr="006F3123" w:rsidRDefault="00A40ECA" w:rsidP="00FF33DA">
            <w:pPr>
              <w:rPr>
                <w:color w:val="000000"/>
                <w:sz w:val="22"/>
                <w:szCs w:val="22"/>
              </w:rPr>
            </w:pPr>
          </w:p>
        </w:tc>
        <w:tc>
          <w:tcPr>
            <w:tcW w:w="1066" w:type="dxa"/>
            <w:tcBorders>
              <w:top w:val="nil"/>
              <w:left w:val="nil"/>
              <w:bottom w:val="nil"/>
              <w:right w:val="nil"/>
            </w:tcBorders>
            <w:shd w:val="clear" w:color="auto" w:fill="auto"/>
            <w:noWrap/>
            <w:vAlign w:val="bottom"/>
            <w:hideMark/>
          </w:tcPr>
          <w:p w:rsidR="00A40ECA" w:rsidRPr="006F3123" w:rsidRDefault="00A40ECA" w:rsidP="00FF33DA">
            <w:pPr>
              <w:rPr>
                <w:color w:val="000000"/>
                <w:sz w:val="22"/>
                <w:szCs w:val="22"/>
              </w:rPr>
            </w:pPr>
          </w:p>
        </w:tc>
        <w:tc>
          <w:tcPr>
            <w:tcW w:w="1531" w:type="dxa"/>
            <w:tcBorders>
              <w:top w:val="nil"/>
              <w:left w:val="nil"/>
              <w:bottom w:val="nil"/>
              <w:right w:val="single" w:sz="8" w:space="0" w:color="auto"/>
            </w:tcBorders>
            <w:shd w:val="clear" w:color="auto" w:fill="auto"/>
            <w:noWrap/>
            <w:vAlign w:val="center"/>
            <w:hideMark/>
          </w:tcPr>
          <w:p w:rsidR="00A40ECA" w:rsidRPr="006F3123" w:rsidRDefault="00A40ECA" w:rsidP="00FF33DA">
            <w:pPr>
              <w:rPr>
                <w:color w:val="000000"/>
              </w:rPr>
            </w:pPr>
            <w:r w:rsidRPr="006F3123">
              <w:rPr>
                <w:color w:val="000000"/>
              </w:rPr>
              <w:t> </w:t>
            </w:r>
          </w:p>
        </w:tc>
      </w:tr>
      <w:tr w:rsidR="00A40ECA" w:rsidRPr="006F3123" w:rsidTr="00FF33DA">
        <w:trPr>
          <w:trHeight w:val="337"/>
        </w:trPr>
        <w:tc>
          <w:tcPr>
            <w:tcW w:w="4882" w:type="dxa"/>
            <w:tcBorders>
              <w:top w:val="nil"/>
              <w:left w:val="single" w:sz="8" w:space="0" w:color="auto"/>
              <w:bottom w:val="nil"/>
              <w:right w:val="nil"/>
            </w:tcBorders>
            <w:shd w:val="clear" w:color="auto" w:fill="auto"/>
            <w:noWrap/>
            <w:vAlign w:val="center"/>
            <w:hideMark/>
          </w:tcPr>
          <w:p w:rsidR="00A40ECA" w:rsidRPr="006F3123" w:rsidRDefault="00A40ECA" w:rsidP="00FF33DA">
            <w:pPr>
              <w:rPr>
                <w:b/>
                <w:bCs/>
                <w:color w:val="000000"/>
              </w:rPr>
            </w:pPr>
            <w:r w:rsidRPr="006F3123">
              <w:rPr>
                <w:b/>
                <w:bCs/>
                <w:color w:val="000000"/>
              </w:rPr>
              <w:t xml:space="preserve">OPERATING EXPENSES </w:t>
            </w:r>
          </w:p>
        </w:tc>
        <w:tc>
          <w:tcPr>
            <w:tcW w:w="1517" w:type="dxa"/>
            <w:tcBorders>
              <w:top w:val="nil"/>
              <w:left w:val="nil"/>
              <w:bottom w:val="nil"/>
              <w:right w:val="nil"/>
            </w:tcBorders>
            <w:shd w:val="clear" w:color="auto" w:fill="auto"/>
            <w:noWrap/>
            <w:vAlign w:val="bottom"/>
            <w:hideMark/>
          </w:tcPr>
          <w:p w:rsidR="00A40ECA" w:rsidRPr="006F3123" w:rsidRDefault="00A40ECA" w:rsidP="00FF33DA">
            <w:pPr>
              <w:rPr>
                <w:color w:val="000000"/>
                <w:sz w:val="22"/>
                <w:szCs w:val="22"/>
              </w:rPr>
            </w:pPr>
          </w:p>
        </w:tc>
        <w:tc>
          <w:tcPr>
            <w:tcW w:w="1028" w:type="dxa"/>
            <w:tcBorders>
              <w:top w:val="nil"/>
              <w:left w:val="nil"/>
              <w:bottom w:val="nil"/>
              <w:right w:val="nil"/>
            </w:tcBorders>
            <w:shd w:val="clear" w:color="auto" w:fill="auto"/>
            <w:noWrap/>
            <w:vAlign w:val="bottom"/>
            <w:hideMark/>
          </w:tcPr>
          <w:p w:rsidR="00A40ECA" w:rsidRPr="006F3123" w:rsidRDefault="00A40ECA" w:rsidP="00FF33DA">
            <w:pPr>
              <w:rPr>
                <w:color w:val="000000"/>
                <w:sz w:val="22"/>
                <w:szCs w:val="22"/>
              </w:rPr>
            </w:pPr>
          </w:p>
        </w:tc>
        <w:tc>
          <w:tcPr>
            <w:tcW w:w="1066" w:type="dxa"/>
            <w:tcBorders>
              <w:top w:val="nil"/>
              <w:left w:val="nil"/>
              <w:bottom w:val="nil"/>
              <w:right w:val="nil"/>
            </w:tcBorders>
            <w:shd w:val="clear" w:color="auto" w:fill="auto"/>
            <w:noWrap/>
            <w:vAlign w:val="bottom"/>
            <w:hideMark/>
          </w:tcPr>
          <w:p w:rsidR="00A40ECA" w:rsidRPr="006F3123" w:rsidRDefault="00A40ECA" w:rsidP="00FF33DA">
            <w:pPr>
              <w:rPr>
                <w:color w:val="000000"/>
                <w:sz w:val="22"/>
                <w:szCs w:val="22"/>
              </w:rPr>
            </w:pPr>
          </w:p>
        </w:tc>
        <w:tc>
          <w:tcPr>
            <w:tcW w:w="1531" w:type="dxa"/>
            <w:tcBorders>
              <w:top w:val="nil"/>
              <w:left w:val="nil"/>
              <w:bottom w:val="nil"/>
              <w:right w:val="single" w:sz="8" w:space="0" w:color="auto"/>
            </w:tcBorders>
            <w:shd w:val="clear" w:color="auto" w:fill="auto"/>
            <w:noWrap/>
            <w:vAlign w:val="center"/>
            <w:hideMark/>
          </w:tcPr>
          <w:p w:rsidR="00A40ECA" w:rsidRPr="006F3123" w:rsidRDefault="00A40ECA" w:rsidP="00FF33DA">
            <w:pPr>
              <w:rPr>
                <w:color w:val="000000"/>
              </w:rPr>
            </w:pPr>
            <w:r w:rsidRPr="006F3123">
              <w:rPr>
                <w:color w:val="000000"/>
              </w:rPr>
              <w:t> </w:t>
            </w:r>
          </w:p>
        </w:tc>
      </w:tr>
      <w:tr w:rsidR="00A40ECA" w:rsidRPr="006F3123" w:rsidTr="00FF33DA">
        <w:trPr>
          <w:trHeight w:val="337"/>
        </w:trPr>
        <w:tc>
          <w:tcPr>
            <w:tcW w:w="4882" w:type="dxa"/>
            <w:tcBorders>
              <w:top w:val="nil"/>
              <w:left w:val="single" w:sz="8" w:space="0" w:color="auto"/>
              <w:bottom w:val="nil"/>
              <w:right w:val="nil"/>
            </w:tcBorders>
            <w:shd w:val="clear" w:color="auto" w:fill="auto"/>
            <w:noWrap/>
            <w:vAlign w:val="center"/>
            <w:hideMark/>
          </w:tcPr>
          <w:p w:rsidR="00A40ECA" w:rsidRPr="006F3123" w:rsidRDefault="00A40ECA" w:rsidP="00FF33DA">
            <w:pPr>
              <w:rPr>
                <w:color w:val="000000"/>
              </w:rPr>
            </w:pPr>
            <w:r w:rsidRPr="006F3123">
              <w:rPr>
                <w:color w:val="000000"/>
              </w:rPr>
              <w:t>OPERATIONS AND MAINTENANCE</w:t>
            </w:r>
          </w:p>
        </w:tc>
        <w:tc>
          <w:tcPr>
            <w:tcW w:w="1517" w:type="dxa"/>
            <w:tcBorders>
              <w:top w:val="nil"/>
              <w:left w:val="nil"/>
              <w:bottom w:val="nil"/>
              <w:right w:val="nil"/>
            </w:tcBorders>
            <w:shd w:val="clear" w:color="auto" w:fill="auto"/>
            <w:noWrap/>
            <w:vAlign w:val="center"/>
            <w:hideMark/>
          </w:tcPr>
          <w:p w:rsidR="00A40ECA" w:rsidRPr="006F3123" w:rsidRDefault="00A40ECA" w:rsidP="00FF33DA">
            <w:pPr>
              <w:jc w:val="right"/>
              <w:rPr>
                <w:color w:val="000000"/>
              </w:rPr>
            </w:pPr>
            <w:r w:rsidRPr="006F3123">
              <w:rPr>
                <w:color w:val="000000"/>
              </w:rPr>
              <w:t xml:space="preserve">739,587 </w:t>
            </w:r>
          </w:p>
        </w:tc>
        <w:tc>
          <w:tcPr>
            <w:tcW w:w="1028" w:type="dxa"/>
            <w:tcBorders>
              <w:top w:val="nil"/>
              <w:left w:val="nil"/>
              <w:bottom w:val="nil"/>
              <w:right w:val="nil"/>
            </w:tcBorders>
            <w:shd w:val="clear" w:color="auto" w:fill="auto"/>
            <w:noWrap/>
            <w:vAlign w:val="bottom"/>
            <w:hideMark/>
          </w:tcPr>
          <w:p w:rsidR="00A40ECA" w:rsidRPr="006F3123" w:rsidRDefault="00A40ECA" w:rsidP="00FF33DA">
            <w:pPr>
              <w:rPr>
                <w:color w:val="000000"/>
                <w:sz w:val="22"/>
                <w:szCs w:val="22"/>
              </w:rPr>
            </w:pPr>
          </w:p>
        </w:tc>
        <w:tc>
          <w:tcPr>
            <w:tcW w:w="1066" w:type="dxa"/>
            <w:tcBorders>
              <w:top w:val="nil"/>
              <w:left w:val="nil"/>
              <w:bottom w:val="nil"/>
              <w:right w:val="nil"/>
            </w:tcBorders>
            <w:shd w:val="clear" w:color="auto" w:fill="auto"/>
            <w:noWrap/>
            <w:vAlign w:val="center"/>
            <w:hideMark/>
          </w:tcPr>
          <w:p w:rsidR="00A40ECA" w:rsidRPr="006F3123" w:rsidRDefault="00A40ECA" w:rsidP="00FF33DA">
            <w:pPr>
              <w:jc w:val="right"/>
              <w:rPr>
                <w:color w:val="000000"/>
              </w:rPr>
            </w:pPr>
            <w:r w:rsidRPr="006F3123">
              <w:rPr>
                <w:color w:val="000000"/>
              </w:rPr>
              <w:t xml:space="preserve">2,405 </w:t>
            </w:r>
          </w:p>
        </w:tc>
        <w:tc>
          <w:tcPr>
            <w:tcW w:w="1531" w:type="dxa"/>
            <w:tcBorders>
              <w:top w:val="nil"/>
              <w:left w:val="nil"/>
              <w:bottom w:val="nil"/>
              <w:right w:val="single" w:sz="8" w:space="0" w:color="auto"/>
            </w:tcBorders>
            <w:shd w:val="clear" w:color="auto" w:fill="auto"/>
            <w:noWrap/>
            <w:vAlign w:val="center"/>
            <w:hideMark/>
          </w:tcPr>
          <w:p w:rsidR="00A40ECA" w:rsidRPr="006F3123" w:rsidRDefault="00A40ECA" w:rsidP="00FF33DA">
            <w:pPr>
              <w:jc w:val="right"/>
              <w:rPr>
                <w:color w:val="000000"/>
              </w:rPr>
            </w:pPr>
            <w:r w:rsidRPr="006F3123">
              <w:rPr>
                <w:color w:val="000000"/>
              </w:rPr>
              <w:t xml:space="preserve">741,992 </w:t>
            </w:r>
          </w:p>
        </w:tc>
      </w:tr>
      <w:tr w:rsidR="00A40ECA" w:rsidRPr="006F3123" w:rsidTr="00FF33DA">
        <w:trPr>
          <w:trHeight w:val="337"/>
        </w:trPr>
        <w:tc>
          <w:tcPr>
            <w:tcW w:w="4882" w:type="dxa"/>
            <w:tcBorders>
              <w:top w:val="nil"/>
              <w:left w:val="single" w:sz="8" w:space="0" w:color="auto"/>
              <w:bottom w:val="nil"/>
              <w:right w:val="nil"/>
            </w:tcBorders>
            <w:shd w:val="clear" w:color="auto" w:fill="auto"/>
            <w:noWrap/>
            <w:vAlign w:val="center"/>
            <w:hideMark/>
          </w:tcPr>
          <w:p w:rsidR="00A40ECA" w:rsidRPr="006F3123" w:rsidRDefault="00A40ECA" w:rsidP="00FF33DA">
            <w:pPr>
              <w:rPr>
                <w:color w:val="000000"/>
              </w:rPr>
            </w:pPr>
            <w:r w:rsidRPr="006F3123">
              <w:rPr>
                <w:color w:val="000000"/>
              </w:rPr>
              <w:t xml:space="preserve">DEPRECIATION &amp;AMORTIZATION </w:t>
            </w:r>
          </w:p>
        </w:tc>
        <w:tc>
          <w:tcPr>
            <w:tcW w:w="1517" w:type="dxa"/>
            <w:tcBorders>
              <w:top w:val="nil"/>
              <w:left w:val="nil"/>
              <w:bottom w:val="nil"/>
              <w:right w:val="nil"/>
            </w:tcBorders>
            <w:shd w:val="clear" w:color="auto" w:fill="auto"/>
            <w:noWrap/>
            <w:vAlign w:val="center"/>
            <w:hideMark/>
          </w:tcPr>
          <w:p w:rsidR="00A40ECA" w:rsidRPr="006F3123" w:rsidRDefault="00A40ECA" w:rsidP="00FF33DA">
            <w:pPr>
              <w:jc w:val="right"/>
              <w:rPr>
                <w:color w:val="000000"/>
              </w:rPr>
            </w:pPr>
            <w:r w:rsidRPr="006F3123">
              <w:rPr>
                <w:color w:val="000000"/>
              </w:rPr>
              <w:t>26</w:t>
            </w:r>
            <w:r>
              <w:rPr>
                <w:color w:val="000000"/>
              </w:rPr>
              <w:t>0,594</w:t>
            </w:r>
            <w:r w:rsidRPr="006F3123">
              <w:rPr>
                <w:color w:val="000000"/>
              </w:rPr>
              <w:t xml:space="preserve"> </w:t>
            </w:r>
          </w:p>
        </w:tc>
        <w:tc>
          <w:tcPr>
            <w:tcW w:w="1028" w:type="dxa"/>
            <w:tcBorders>
              <w:top w:val="nil"/>
              <w:left w:val="nil"/>
              <w:bottom w:val="nil"/>
              <w:right w:val="nil"/>
            </w:tcBorders>
            <w:shd w:val="clear" w:color="auto" w:fill="auto"/>
            <w:noWrap/>
            <w:vAlign w:val="bottom"/>
            <w:hideMark/>
          </w:tcPr>
          <w:p w:rsidR="00A40ECA" w:rsidRPr="006F3123" w:rsidRDefault="00A40ECA" w:rsidP="00FF33DA">
            <w:pPr>
              <w:rPr>
                <w:color w:val="000000"/>
                <w:sz w:val="22"/>
                <w:szCs w:val="22"/>
              </w:rPr>
            </w:pPr>
          </w:p>
        </w:tc>
        <w:tc>
          <w:tcPr>
            <w:tcW w:w="1066" w:type="dxa"/>
            <w:tcBorders>
              <w:top w:val="nil"/>
              <w:left w:val="nil"/>
              <w:bottom w:val="nil"/>
              <w:right w:val="nil"/>
            </w:tcBorders>
            <w:shd w:val="clear" w:color="auto" w:fill="auto"/>
            <w:noWrap/>
            <w:vAlign w:val="center"/>
            <w:hideMark/>
          </w:tcPr>
          <w:p w:rsidR="00A40ECA" w:rsidRPr="006F3123" w:rsidRDefault="00A40ECA" w:rsidP="00FF33DA">
            <w:pPr>
              <w:jc w:val="right"/>
              <w:rPr>
                <w:color w:val="000000"/>
              </w:rPr>
            </w:pPr>
            <w:r>
              <w:rPr>
                <w:color w:val="000000"/>
              </w:rPr>
              <w:t>(</w:t>
            </w:r>
            <w:r w:rsidRPr="006F3123">
              <w:rPr>
                <w:color w:val="000000"/>
              </w:rPr>
              <w:t>542)</w:t>
            </w:r>
          </w:p>
        </w:tc>
        <w:tc>
          <w:tcPr>
            <w:tcW w:w="1531" w:type="dxa"/>
            <w:tcBorders>
              <w:top w:val="nil"/>
              <w:left w:val="nil"/>
              <w:bottom w:val="nil"/>
              <w:right w:val="single" w:sz="8" w:space="0" w:color="auto"/>
            </w:tcBorders>
            <w:shd w:val="clear" w:color="auto" w:fill="auto"/>
            <w:noWrap/>
            <w:vAlign w:val="center"/>
            <w:hideMark/>
          </w:tcPr>
          <w:p w:rsidR="00A40ECA" w:rsidRPr="006F3123" w:rsidRDefault="00A40ECA" w:rsidP="00FF33DA">
            <w:pPr>
              <w:jc w:val="right"/>
              <w:rPr>
                <w:color w:val="000000"/>
              </w:rPr>
            </w:pPr>
            <w:r w:rsidRPr="006F3123">
              <w:rPr>
                <w:color w:val="000000"/>
              </w:rPr>
              <w:t>26</w:t>
            </w:r>
            <w:r>
              <w:rPr>
                <w:color w:val="000000"/>
              </w:rPr>
              <w:t>0,052</w:t>
            </w:r>
            <w:r w:rsidRPr="006F3123">
              <w:rPr>
                <w:color w:val="000000"/>
              </w:rPr>
              <w:t xml:space="preserve"> </w:t>
            </w:r>
          </w:p>
        </w:tc>
      </w:tr>
      <w:tr w:rsidR="00A40ECA" w:rsidRPr="006F3123" w:rsidTr="00FF33DA">
        <w:trPr>
          <w:trHeight w:val="337"/>
        </w:trPr>
        <w:tc>
          <w:tcPr>
            <w:tcW w:w="4882" w:type="dxa"/>
            <w:tcBorders>
              <w:top w:val="nil"/>
              <w:left w:val="single" w:sz="8" w:space="0" w:color="auto"/>
              <w:bottom w:val="nil"/>
              <w:right w:val="nil"/>
            </w:tcBorders>
            <w:shd w:val="clear" w:color="auto" w:fill="auto"/>
            <w:noWrap/>
            <w:vAlign w:val="center"/>
            <w:hideMark/>
          </w:tcPr>
          <w:p w:rsidR="00A40ECA" w:rsidRPr="006F3123" w:rsidRDefault="00A40ECA" w:rsidP="00FF33DA">
            <w:pPr>
              <w:rPr>
                <w:color w:val="000000"/>
              </w:rPr>
            </w:pPr>
            <w:r w:rsidRPr="006F3123">
              <w:rPr>
                <w:color w:val="000000"/>
              </w:rPr>
              <w:t>TAXES OTHER THAN INCOME</w:t>
            </w:r>
          </w:p>
        </w:tc>
        <w:tc>
          <w:tcPr>
            <w:tcW w:w="1517" w:type="dxa"/>
            <w:tcBorders>
              <w:top w:val="nil"/>
              <w:left w:val="nil"/>
              <w:bottom w:val="nil"/>
              <w:right w:val="nil"/>
            </w:tcBorders>
            <w:shd w:val="clear" w:color="auto" w:fill="auto"/>
            <w:noWrap/>
            <w:vAlign w:val="center"/>
            <w:hideMark/>
          </w:tcPr>
          <w:p w:rsidR="00A40ECA" w:rsidRPr="006F3123" w:rsidRDefault="00A40ECA" w:rsidP="00FF33DA">
            <w:pPr>
              <w:jc w:val="right"/>
              <w:rPr>
                <w:color w:val="000000"/>
              </w:rPr>
            </w:pPr>
            <w:r w:rsidRPr="006F3123">
              <w:rPr>
                <w:color w:val="000000"/>
              </w:rPr>
              <w:t xml:space="preserve">22,931 </w:t>
            </w:r>
          </w:p>
        </w:tc>
        <w:tc>
          <w:tcPr>
            <w:tcW w:w="1028" w:type="dxa"/>
            <w:tcBorders>
              <w:top w:val="nil"/>
              <w:left w:val="nil"/>
              <w:bottom w:val="nil"/>
              <w:right w:val="nil"/>
            </w:tcBorders>
            <w:shd w:val="clear" w:color="auto" w:fill="auto"/>
            <w:noWrap/>
            <w:vAlign w:val="bottom"/>
            <w:hideMark/>
          </w:tcPr>
          <w:p w:rsidR="00A40ECA" w:rsidRPr="006F3123" w:rsidRDefault="00A40ECA" w:rsidP="00FF33DA">
            <w:pPr>
              <w:rPr>
                <w:color w:val="000000"/>
                <w:sz w:val="22"/>
                <w:szCs w:val="22"/>
              </w:rPr>
            </w:pPr>
          </w:p>
        </w:tc>
        <w:tc>
          <w:tcPr>
            <w:tcW w:w="1066" w:type="dxa"/>
            <w:tcBorders>
              <w:top w:val="nil"/>
              <w:left w:val="nil"/>
              <w:bottom w:val="nil"/>
              <w:right w:val="nil"/>
            </w:tcBorders>
            <w:shd w:val="clear" w:color="auto" w:fill="auto"/>
            <w:noWrap/>
            <w:vAlign w:val="center"/>
            <w:hideMark/>
          </w:tcPr>
          <w:p w:rsidR="00A40ECA" w:rsidRPr="006F3123" w:rsidRDefault="00A40ECA" w:rsidP="00FF33DA">
            <w:pPr>
              <w:jc w:val="right"/>
              <w:rPr>
                <w:color w:val="000000"/>
              </w:rPr>
            </w:pPr>
            <w:r>
              <w:rPr>
                <w:color w:val="000000"/>
              </w:rPr>
              <w:t>(463)</w:t>
            </w:r>
            <w:r w:rsidRPr="006F3123">
              <w:rPr>
                <w:color w:val="000000"/>
              </w:rPr>
              <w:t xml:space="preserve"> </w:t>
            </w:r>
          </w:p>
        </w:tc>
        <w:tc>
          <w:tcPr>
            <w:tcW w:w="1531" w:type="dxa"/>
            <w:tcBorders>
              <w:top w:val="nil"/>
              <w:left w:val="nil"/>
              <w:bottom w:val="nil"/>
              <w:right w:val="single" w:sz="8" w:space="0" w:color="auto"/>
            </w:tcBorders>
            <w:shd w:val="clear" w:color="auto" w:fill="auto"/>
            <w:noWrap/>
            <w:vAlign w:val="center"/>
            <w:hideMark/>
          </w:tcPr>
          <w:p w:rsidR="00A40ECA" w:rsidRPr="006F3123" w:rsidRDefault="00A40ECA" w:rsidP="00FF33DA">
            <w:pPr>
              <w:jc w:val="right"/>
              <w:rPr>
                <w:color w:val="000000"/>
              </w:rPr>
            </w:pPr>
            <w:r w:rsidRPr="006F3123">
              <w:rPr>
                <w:color w:val="000000"/>
              </w:rPr>
              <w:t>22,</w:t>
            </w:r>
            <w:r>
              <w:rPr>
                <w:color w:val="000000"/>
              </w:rPr>
              <w:t>468</w:t>
            </w:r>
            <w:r w:rsidRPr="006F3123">
              <w:rPr>
                <w:color w:val="000000"/>
              </w:rPr>
              <w:t xml:space="preserve"> </w:t>
            </w:r>
          </w:p>
        </w:tc>
      </w:tr>
      <w:tr w:rsidR="00A40ECA" w:rsidRPr="006F3123" w:rsidTr="00FF33DA">
        <w:trPr>
          <w:trHeight w:val="337"/>
        </w:trPr>
        <w:tc>
          <w:tcPr>
            <w:tcW w:w="4882" w:type="dxa"/>
            <w:tcBorders>
              <w:top w:val="nil"/>
              <w:left w:val="single" w:sz="8" w:space="0" w:color="auto"/>
              <w:bottom w:val="nil"/>
              <w:right w:val="nil"/>
            </w:tcBorders>
            <w:shd w:val="clear" w:color="auto" w:fill="auto"/>
            <w:noWrap/>
            <w:vAlign w:val="center"/>
            <w:hideMark/>
          </w:tcPr>
          <w:p w:rsidR="00A40ECA" w:rsidRPr="006F3123" w:rsidRDefault="00A40ECA" w:rsidP="00FF33DA">
            <w:pPr>
              <w:rPr>
                <w:color w:val="000000"/>
              </w:rPr>
            </w:pPr>
            <w:r w:rsidRPr="006F3123">
              <w:rPr>
                <w:color w:val="000000"/>
              </w:rPr>
              <w:t>CURRENT FEDERAL INCOME TAX EXP.</w:t>
            </w:r>
          </w:p>
        </w:tc>
        <w:tc>
          <w:tcPr>
            <w:tcW w:w="1517" w:type="dxa"/>
            <w:tcBorders>
              <w:top w:val="nil"/>
              <w:left w:val="nil"/>
              <w:bottom w:val="nil"/>
              <w:right w:val="nil"/>
            </w:tcBorders>
            <w:shd w:val="clear" w:color="auto" w:fill="auto"/>
            <w:noWrap/>
            <w:vAlign w:val="center"/>
            <w:hideMark/>
          </w:tcPr>
          <w:p w:rsidR="00A40ECA" w:rsidRPr="006F3123" w:rsidRDefault="00A40ECA" w:rsidP="00FF33DA">
            <w:pPr>
              <w:jc w:val="right"/>
              <w:rPr>
                <w:color w:val="000000"/>
              </w:rPr>
            </w:pPr>
            <w:r>
              <w:rPr>
                <w:color w:val="000000"/>
              </w:rPr>
              <w:t>(1,546</w:t>
            </w:r>
            <w:r w:rsidRPr="006F3123">
              <w:rPr>
                <w:color w:val="000000"/>
              </w:rPr>
              <w:t>)</w:t>
            </w:r>
          </w:p>
        </w:tc>
        <w:tc>
          <w:tcPr>
            <w:tcW w:w="1028" w:type="dxa"/>
            <w:tcBorders>
              <w:top w:val="nil"/>
              <w:left w:val="nil"/>
              <w:bottom w:val="nil"/>
              <w:right w:val="nil"/>
            </w:tcBorders>
            <w:shd w:val="clear" w:color="auto" w:fill="auto"/>
            <w:noWrap/>
            <w:vAlign w:val="bottom"/>
            <w:hideMark/>
          </w:tcPr>
          <w:p w:rsidR="00A40ECA" w:rsidRPr="006F3123" w:rsidRDefault="00A40ECA" w:rsidP="00FF33DA">
            <w:pPr>
              <w:rPr>
                <w:color w:val="000000"/>
                <w:sz w:val="22"/>
                <w:szCs w:val="22"/>
              </w:rPr>
            </w:pPr>
          </w:p>
        </w:tc>
        <w:tc>
          <w:tcPr>
            <w:tcW w:w="1066" w:type="dxa"/>
            <w:tcBorders>
              <w:top w:val="nil"/>
              <w:left w:val="nil"/>
              <w:bottom w:val="nil"/>
              <w:right w:val="nil"/>
            </w:tcBorders>
            <w:shd w:val="clear" w:color="auto" w:fill="auto"/>
            <w:noWrap/>
            <w:vAlign w:val="center"/>
            <w:hideMark/>
          </w:tcPr>
          <w:p w:rsidR="00A40ECA" w:rsidRPr="006F3123" w:rsidRDefault="00A40ECA" w:rsidP="00FF33DA">
            <w:pPr>
              <w:jc w:val="right"/>
              <w:rPr>
                <w:color w:val="000000"/>
              </w:rPr>
            </w:pPr>
            <w:r w:rsidRPr="006F3123">
              <w:rPr>
                <w:color w:val="000000"/>
              </w:rPr>
              <w:t xml:space="preserve">0 </w:t>
            </w:r>
          </w:p>
        </w:tc>
        <w:tc>
          <w:tcPr>
            <w:tcW w:w="1531" w:type="dxa"/>
            <w:tcBorders>
              <w:top w:val="nil"/>
              <w:left w:val="nil"/>
              <w:bottom w:val="nil"/>
              <w:right w:val="single" w:sz="8" w:space="0" w:color="auto"/>
            </w:tcBorders>
            <w:shd w:val="clear" w:color="auto" w:fill="auto"/>
            <w:noWrap/>
            <w:vAlign w:val="center"/>
            <w:hideMark/>
          </w:tcPr>
          <w:p w:rsidR="00A40ECA" w:rsidRPr="006F3123" w:rsidRDefault="00A40ECA" w:rsidP="00FF33DA">
            <w:pPr>
              <w:jc w:val="right"/>
              <w:rPr>
                <w:color w:val="000000"/>
              </w:rPr>
            </w:pPr>
            <w:r>
              <w:rPr>
                <w:color w:val="000000"/>
              </w:rPr>
              <w:t>(1,546</w:t>
            </w:r>
            <w:r w:rsidRPr="006F3123">
              <w:rPr>
                <w:color w:val="000000"/>
              </w:rPr>
              <w:t>)</w:t>
            </w:r>
          </w:p>
        </w:tc>
      </w:tr>
      <w:tr w:rsidR="00A40ECA" w:rsidRPr="006F3123" w:rsidTr="00FF33DA">
        <w:trPr>
          <w:trHeight w:val="337"/>
        </w:trPr>
        <w:tc>
          <w:tcPr>
            <w:tcW w:w="4882" w:type="dxa"/>
            <w:tcBorders>
              <w:top w:val="nil"/>
              <w:left w:val="single" w:sz="8" w:space="0" w:color="auto"/>
              <w:bottom w:val="nil"/>
              <w:right w:val="nil"/>
            </w:tcBorders>
            <w:shd w:val="clear" w:color="auto" w:fill="auto"/>
            <w:noWrap/>
            <w:vAlign w:val="center"/>
            <w:hideMark/>
          </w:tcPr>
          <w:p w:rsidR="00A40ECA" w:rsidRPr="006F3123" w:rsidRDefault="00A40ECA" w:rsidP="00FF33DA">
            <w:pPr>
              <w:rPr>
                <w:color w:val="000000"/>
              </w:rPr>
            </w:pPr>
            <w:r w:rsidRPr="006F3123">
              <w:rPr>
                <w:color w:val="000000"/>
              </w:rPr>
              <w:t>CURRENT STATE INCOME TAX EXP.</w:t>
            </w:r>
          </w:p>
        </w:tc>
        <w:tc>
          <w:tcPr>
            <w:tcW w:w="1517" w:type="dxa"/>
            <w:tcBorders>
              <w:top w:val="nil"/>
              <w:left w:val="nil"/>
              <w:bottom w:val="nil"/>
              <w:right w:val="nil"/>
            </w:tcBorders>
            <w:shd w:val="clear" w:color="auto" w:fill="auto"/>
            <w:noWrap/>
            <w:vAlign w:val="center"/>
            <w:hideMark/>
          </w:tcPr>
          <w:p w:rsidR="00A40ECA" w:rsidRPr="006F3123" w:rsidRDefault="00A40ECA" w:rsidP="00FF33DA">
            <w:pPr>
              <w:jc w:val="right"/>
              <w:rPr>
                <w:color w:val="000000"/>
              </w:rPr>
            </w:pPr>
            <w:r>
              <w:rPr>
                <w:color w:val="000000"/>
              </w:rPr>
              <w:t>(429</w:t>
            </w:r>
            <w:r w:rsidRPr="006F3123">
              <w:rPr>
                <w:color w:val="000000"/>
              </w:rPr>
              <w:t>)</w:t>
            </w:r>
          </w:p>
        </w:tc>
        <w:tc>
          <w:tcPr>
            <w:tcW w:w="1028" w:type="dxa"/>
            <w:tcBorders>
              <w:top w:val="nil"/>
              <w:left w:val="nil"/>
              <w:bottom w:val="nil"/>
              <w:right w:val="nil"/>
            </w:tcBorders>
            <w:shd w:val="clear" w:color="auto" w:fill="auto"/>
            <w:noWrap/>
            <w:vAlign w:val="bottom"/>
            <w:hideMark/>
          </w:tcPr>
          <w:p w:rsidR="00A40ECA" w:rsidRPr="006F3123" w:rsidRDefault="00A40ECA" w:rsidP="00FF33DA">
            <w:pPr>
              <w:rPr>
                <w:color w:val="000000"/>
                <w:sz w:val="22"/>
                <w:szCs w:val="22"/>
              </w:rPr>
            </w:pPr>
          </w:p>
        </w:tc>
        <w:tc>
          <w:tcPr>
            <w:tcW w:w="1066" w:type="dxa"/>
            <w:tcBorders>
              <w:top w:val="nil"/>
              <w:left w:val="nil"/>
              <w:bottom w:val="nil"/>
              <w:right w:val="nil"/>
            </w:tcBorders>
            <w:shd w:val="clear" w:color="auto" w:fill="auto"/>
            <w:noWrap/>
            <w:vAlign w:val="center"/>
            <w:hideMark/>
          </w:tcPr>
          <w:p w:rsidR="00A40ECA" w:rsidRPr="006F3123" w:rsidRDefault="00A40ECA" w:rsidP="00FF33DA">
            <w:pPr>
              <w:jc w:val="right"/>
              <w:rPr>
                <w:color w:val="000000"/>
              </w:rPr>
            </w:pPr>
            <w:r w:rsidRPr="006F3123">
              <w:rPr>
                <w:color w:val="000000"/>
              </w:rPr>
              <w:t xml:space="preserve">0 </w:t>
            </w:r>
          </w:p>
        </w:tc>
        <w:tc>
          <w:tcPr>
            <w:tcW w:w="1531" w:type="dxa"/>
            <w:tcBorders>
              <w:top w:val="nil"/>
              <w:left w:val="nil"/>
              <w:bottom w:val="nil"/>
              <w:right w:val="single" w:sz="8" w:space="0" w:color="auto"/>
            </w:tcBorders>
            <w:shd w:val="clear" w:color="auto" w:fill="auto"/>
            <w:noWrap/>
            <w:vAlign w:val="center"/>
            <w:hideMark/>
          </w:tcPr>
          <w:p w:rsidR="00A40ECA" w:rsidRPr="006F3123" w:rsidRDefault="00A40ECA" w:rsidP="00FF33DA">
            <w:pPr>
              <w:jc w:val="right"/>
              <w:rPr>
                <w:color w:val="000000"/>
              </w:rPr>
            </w:pPr>
            <w:r>
              <w:rPr>
                <w:color w:val="000000"/>
              </w:rPr>
              <w:t>(429</w:t>
            </w:r>
            <w:r w:rsidRPr="006F3123">
              <w:rPr>
                <w:color w:val="000000"/>
              </w:rPr>
              <w:t>)</w:t>
            </w:r>
          </w:p>
        </w:tc>
      </w:tr>
      <w:tr w:rsidR="00A40ECA" w:rsidRPr="006F3123" w:rsidTr="00FF33DA">
        <w:trPr>
          <w:trHeight w:val="337"/>
        </w:trPr>
        <w:tc>
          <w:tcPr>
            <w:tcW w:w="4882" w:type="dxa"/>
            <w:tcBorders>
              <w:top w:val="nil"/>
              <w:left w:val="single" w:sz="8" w:space="0" w:color="auto"/>
              <w:bottom w:val="nil"/>
              <w:right w:val="nil"/>
            </w:tcBorders>
            <w:shd w:val="clear" w:color="auto" w:fill="auto"/>
            <w:noWrap/>
            <w:vAlign w:val="center"/>
            <w:hideMark/>
          </w:tcPr>
          <w:p w:rsidR="00A40ECA" w:rsidRPr="006F3123" w:rsidRDefault="00A40ECA" w:rsidP="00FF33DA">
            <w:pPr>
              <w:rPr>
                <w:color w:val="000000"/>
              </w:rPr>
            </w:pPr>
            <w:r w:rsidRPr="006F3123">
              <w:rPr>
                <w:color w:val="000000"/>
              </w:rPr>
              <w:t>DEFERRED FEDERAL INCOME TAX EXP.</w:t>
            </w:r>
          </w:p>
        </w:tc>
        <w:tc>
          <w:tcPr>
            <w:tcW w:w="1517" w:type="dxa"/>
            <w:tcBorders>
              <w:top w:val="nil"/>
              <w:left w:val="nil"/>
              <w:bottom w:val="nil"/>
              <w:right w:val="nil"/>
            </w:tcBorders>
            <w:shd w:val="clear" w:color="auto" w:fill="auto"/>
            <w:noWrap/>
            <w:vAlign w:val="bottom"/>
            <w:hideMark/>
          </w:tcPr>
          <w:p w:rsidR="00A40ECA" w:rsidRPr="006F3123" w:rsidRDefault="00A40ECA" w:rsidP="00FF33DA">
            <w:pPr>
              <w:rPr>
                <w:color w:val="000000"/>
                <w:sz w:val="22"/>
                <w:szCs w:val="22"/>
              </w:rPr>
            </w:pPr>
          </w:p>
        </w:tc>
        <w:tc>
          <w:tcPr>
            <w:tcW w:w="1028" w:type="dxa"/>
            <w:tcBorders>
              <w:top w:val="nil"/>
              <w:left w:val="nil"/>
              <w:bottom w:val="nil"/>
              <w:right w:val="nil"/>
            </w:tcBorders>
            <w:shd w:val="clear" w:color="auto" w:fill="auto"/>
            <w:noWrap/>
            <w:vAlign w:val="bottom"/>
            <w:hideMark/>
          </w:tcPr>
          <w:p w:rsidR="00A40ECA" w:rsidRPr="006F3123" w:rsidRDefault="00A40ECA" w:rsidP="00FF33DA">
            <w:pPr>
              <w:rPr>
                <w:color w:val="000000"/>
                <w:sz w:val="22"/>
                <w:szCs w:val="22"/>
              </w:rPr>
            </w:pPr>
          </w:p>
        </w:tc>
        <w:tc>
          <w:tcPr>
            <w:tcW w:w="1066" w:type="dxa"/>
            <w:tcBorders>
              <w:top w:val="nil"/>
              <w:left w:val="nil"/>
              <w:bottom w:val="nil"/>
              <w:right w:val="nil"/>
            </w:tcBorders>
            <w:shd w:val="clear" w:color="auto" w:fill="auto"/>
            <w:noWrap/>
            <w:vAlign w:val="center"/>
            <w:hideMark/>
          </w:tcPr>
          <w:p w:rsidR="00A40ECA" w:rsidRPr="006F3123" w:rsidRDefault="00A40ECA" w:rsidP="00FF33DA">
            <w:pPr>
              <w:jc w:val="right"/>
              <w:rPr>
                <w:color w:val="000000"/>
              </w:rPr>
            </w:pPr>
            <w:r w:rsidRPr="006F3123">
              <w:rPr>
                <w:color w:val="000000"/>
              </w:rPr>
              <w:t xml:space="preserve">14,906 </w:t>
            </w:r>
          </w:p>
        </w:tc>
        <w:tc>
          <w:tcPr>
            <w:tcW w:w="1531" w:type="dxa"/>
            <w:tcBorders>
              <w:top w:val="nil"/>
              <w:left w:val="nil"/>
              <w:bottom w:val="nil"/>
              <w:right w:val="single" w:sz="8" w:space="0" w:color="auto"/>
            </w:tcBorders>
            <w:shd w:val="clear" w:color="auto" w:fill="auto"/>
            <w:noWrap/>
            <w:vAlign w:val="center"/>
            <w:hideMark/>
          </w:tcPr>
          <w:p w:rsidR="00A40ECA" w:rsidRPr="006F3123" w:rsidRDefault="00A40ECA" w:rsidP="00FF33DA">
            <w:pPr>
              <w:jc w:val="right"/>
              <w:rPr>
                <w:color w:val="000000"/>
              </w:rPr>
            </w:pPr>
            <w:r w:rsidRPr="006F3123">
              <w:rPr>
                <w:color w:val="000000"/>
              </w:rPr>
              <w:t xml:space="preserve">14,906 </w:t>
            </w:r>
          </w:p>
        </w:tc>
      </w:tr>
      <w:tr w:rsidR="00A40ECA" w:rsidRPr="006F3123" w:rsidTr="00FF33DA">
        <w:trPr>
          <w:trHeight w:val="337"/>
        </w:trPr>
        <w:tc>
          <w:tcPr>
            <w:tcW w:w="4882" w:type="dxa"/>
            <w:tcBorders>
              <w:top w:val="nil"/>
              <w:left w:val="single" w:sz="8" w:space="0" w:color="auto"/>
              <w:bottom w:val="nil"/>
              <w:right w:val="nil"/>
            </w:tcBorders>
            <w:shd w:val="clear" w:color="auto" w:fill="auto"/>
            <w:noWrap/>
            <w:vAlign w:val="center"/>
            <w:hideMark/>
          </w:tcPr>
          <w:p w:rsidR="00A40ECA" w:rsidRPr="006F3123" w:rsidRDefault="00A40ECA" w:rsidP="00FF33DA">
            <w:pPr>
              <w:rPr>
                <w:color w:val="000000"/>
              </w:rPr>
            </w:pPr>
            <w:r w:rsidRPr="006F3123">
              <w:rPr>
                <w:color w:val="000000"/>
              </w:rPr>
              <w:t>DEFERRED STATE INCOME TAX EXP.</w:t>
            </w:r>
          </w:p>
        </w:tc>
        <w:tc>
          <w:tcPr>
            <w:tcW w:w="1517" w:type="dxa"/>
            <w:tcBorders>
              <w:top w:val="nil"/>
              <w:left w:val="nil"/>
              <w:bottom w:val="single" w:sz="4" w:space="0" w:color="auto"/>
              <w:right w:val="nil"/>
            </w:tcBorders>
            <w:shd w:val="clear" w:color="auto" w:fill="auto"/>
            <w:noWrap/>
            <w:vAlign w:val="bottom"/>
            <w:hideMark/>
          </w:tcPr>
          <w:p w:rsidR="00A40ECA" w:rsidRPr="006F3123" w:rsidRDefault="00A40ECA" w:rsidP="00FF33DA">
            <w:pPr>
              <w:rPr>
                <w:color w:val="000000"/>
                <w:sz w:val="22"/>
                <w:szCs w:val="22"/>
              </w:rPr>
            </w:pPr>
            <w:r w:rsidRPr="006F3123">
              <w:rPr>
                <w:color w:val="000000"/>
                <w:sz w:val="22"/>
                <w:szCs w:val="22"/>
              </w:rPr>
              <w:t> </w:t>
            </w:r>
          </w:p>
        </w:tc>
        <w:tc>
          <w:tcPr>
            <w:tcW w:w="1028" w:type="dxa"/>
            <w:tcBorders>
              <w:top w:val="nil"/>
              <w:left w:val="nil"/>
              <w:bottom w:val="nil"/>
              <w:right w:val="nil"/>
            </w:tcBorders>
            <w:shd w:val="clear" w:color="auto" w:fill="auto"/>
            <w:noWrap/>
            <w:vAlign w:val="bottom"/>
            <w:hideMark/>
          </w:tcPr>
          <w:p w:rsidR="00A40ECA" w:rsidRPr="006F3123" w:rsidRDefault="00A40ECA" w:rsidP="00FF33DA">
            <w:pPr>
              <w:rPr>
                <w:color w:val="000000"/>
                <w:sz w:val="22"/>
                <w:szCs w:val="22"/>
              </w:rPr>
            </w:pPr>
          </w:p>
        </w:tc>
        <w:tc>
          <w:tcPr>
            <w:tcW w:w="1066" w:type="dxa"/>
            <w:tcBorders>
              <w:top w:val="nil"/>
              <w:left w:val="nil"/>
              <w:bottom w:val="single" w:sz="4" w:space="0" w:color="auto"/>
              <w:right w:val="nil"/>
            </w:tcBorders>
            <w:shd w:val="clear" w:color="auto" w:fill="auto"/>
            <w:noWrap/>
            <w:vAlign w:val="center"/>
            <w:hideMark/>
          </w:tcPr>
          <w:p w:rsidR="00A40ECA" w:rsidRPr="006F3123" w:rsidRDefault="00A40ECA" w:rsidP="00FF33DA">
            <w:pPr>
              <w:jc w:val="right"/>
              <w:rPr>
                <w:color w:val="000000"/>
              </w:rPr>
            </w:pPr>
            <w:r w:rsidRPr="006F3123">
              <w:rPr>
                <w:color w:val="000000"/>
              </w:rPr>
              <w:t xml:space="preserve">4,105 </w:t>
            </w:r>
          </w:p>
        </w:tc>
        <w:tc>
          <w:tcPr>
            <w:tcW w:w="1531" w:type="dxa"/>
            <w:tcBorders>
              <w:top w:val="nil"/>
              <w:left w:val="nil"/>
              <w:bottom w:val="single" w:sz="4" w:space="0" w:color="auto"/>
              <w:right w:val="single" w:sz="8" w:space="0" w:color="auto"/>
            </w:tcBorders>
            <w:shd w:val="clear" w:color="auto" w:fill="auto"/>
            <w:noWrap/>
            <w:vAlign w:val="center"/>
            <w:hideMark/>
          </w:tcPr>
          <w:p w:rsidR="00A40ECA" w:rsidRPr="006F3123" w:rsidRDefault="00A40ECA" w:rsidP="00FF33DA">
            <w:pPr>
              <w:jc w:val="right"/>
              <w:rPr>
                <w:color w:val="000000"/>
              </w:rPr>
            </w:pPr>
            <w:r w:rsidRPr="006F3123">
              <w:rPr>
                <w:color w:val="000000"/>
              </w:rPr>
              <w:t xml:space="preserve">4,105 </w:t>
            </w:r>
          </w:p>
        </w:tc>
      </w:tr>
      <w:tr w:rsidR="00A40ECA" w:rsidRPr="006F3123" w:rsidTr="00FF33DA">
        <w:trPr>
          <w:trHeight w:val="337"/>
        </w:trPr>
        <w:tc>
          <w:tcPr>
            <w:tcW w:w="4882" w:type="dxa"/>
            <w:tcBorders>
              <w:top w:val="nil"/>
              <w:left w:val="single" w:sz="8" w:space="0" w:color="auto"/>
              <w:bottom w:val="nil"/>
              <w:right w:val="nil"/>
            </w:tcBorders>
            <w:shd w:val="clear" w:color="auto" w:fill="auto"/>
            <w:noWrap/>
            <w:vAlign w:val="center"/>
            <w:hideMark/>
          </w:tcPr>
          <w:p w:rsidR="00A40ECA" w:rsidRPr="006F3123" w:rsidRDefault="00A40ECA" w:rsidP="00FF33DA">
            <w:pPr>
              <w:rPr>
                <w:color w:val="000000"/>
              </w:rPr>
            </w:pPr>
            <w:r w:rsidRPr="006F3123">
              <w:rPr>
                <w:color w:val="000000"/>
              </w:rPr>
              <w:t xml:space="preserve">     TOTAL OPERATING EXPENSES </w:t>
            </w:r>
          </w:p>
        </w:tc>
        <w:tc>
          <w:tcPr>
            <w:tcW w:w="1517" w:type="dxa"/>
            <w:tcBorders>
              <w:top w:val="nil"/>
              <w:left w:val="nil"/>
              <w:bottom w:val="nil"/>
              <w:right w:val="nil"/>
            </w:tcBorders>
            <w:shd w:val="clear" w:color="auto" w:fill="auto"/>
            <w:noWrap/>
            <w:vAlign w:val="center"/>
            <w:hideMark/>
          </w:tcPr>
          <w:p w:rsidR="00A40ECA" w:rsidRPr="006F3123" w:rsidRDefault="00A40ECA" w:rsidP="00FF33DA">
            <w:pPr>
              <w:jc w:val="right"/>
              <w:rPr>
                <w:color w:val="000000"/>
              </w:rPr>
            </w:pPr>
            <w:r w:rsidRPr="006F3123">
              <w:rPr>
                <w:color w:val="000000"/>
              </w:rPr>
              <w:t>$1,02</w:t>
            </w:r>
            <w:r>
              <w:rPr>
                <w:color w:val="000000"/>
              </w:rPr>
              <w:t>1,137</w:t>
            </w:r>
            <w:r w:rsidRPr="006F3123">
              <w:rPr>
                <w:color w:val="000000"/>
              </w:rPr>
              <w:t xml:space="preserve"> </w:t>
            </w:r>
          </w:p>
        </w:tc>
        <w:tc>
          <w:tcPr>
            <w:tcW w:w="1028" w:type="dxa"/>
            <w:tcBorders>
              <w:top w:val="nil"/>
              <w:left w:val="nil"/>
              <w:bottom w:val="nil"/>
              <w:right w:val="nil"/>
            </w:tcBorders>
            <w:shd w:val="clear" w:color="auto" w:fill="auto"/>
            <w:noWrap/>
            <w:vAlign w:val="bottom"/>
            <w:hideMark/>
          </w:tcPr>
          <w:p w:rsidR="00A40ECA" w:rsidRPr="006F3123" w:rsidRDefault="00A40ECA" w:rsidP="00FF33DA">
            <w:pPr>
              <w:rPr>
                <w:color w:val="000000"/>
                <w:sz w:val="22"/>
                <w:szCs w:val="22"/>
              </w:rPr>
            </w:pPr>
          </w:p>
        </w:tc>
        <w:tc>
          <w:tcPr>
            <w:tcW w:w="1066" w:type="dxa"/>
            <w:tcBorders>
              <w:top w:val="nil"/>
              <w:left w:val="nil"/>
              <w:bottom w:val="nil"/>
              <w:right w:val="nil"/>
            </w:tcBorders>
            <w:shd w:val="clear" w:color="auto" w:fill="auto"/>
            <w:noWrap/>
            <w:vAlign w:val="center"/>
            <w:hideMark/>
          </w:tcPr>
          <w:p w:rsidR="00A40ECA" w:rsidRPr="006F3123" w:rsidRDefault="00A40ECA" w:rsidP="00FF33DA">
            <w:pPr>
              <w:jc w:val="right"/>
              <w:rPr>
                <w:color w:val="000000"/>
              </w:rPr>
            </w:pPr>
            <w:r w:rsidRPr="006F3123">
              <w:rPr>
                <w:color w:val="000000"/>
              </w:rPr>
              <w:t>$20,</w:t>
            </w:r>
            <w:r>
              <w:rPr>
                <w:color w:val="000000"/>
              </w:rPr>
              <w:t>411</w:t>
            </w:r>
            <w:r w:rsidRPr="006F3123">
              <w:rPr>
                <w:color w:val="000000"/>
              </w:rPr>
              <w:t xml:space="preserve"> </w:t>
            </w:r>
          </w:p>
        </w:tc>
        <w:tc>
          <w:tcPr>
            <w:tcW w:w="1531" w:type="dxa"/>
            <w:tcBorders>
              <w:top w:val="nil"/>
              <w:left w:val="nil"/>
              <w:bottom w:val="nil"/>
              <w:right w:val="single" w:sz="8" w:space="0" w:color="auto"/>
            </w:tcBorders>
            <w:shd w:val="clear" w:color="auto" w:fill="auto"/>
            <w:noWrap/>
            <w:vAlign w:val="center"/>
            <w:hideMark/>
          </w:tcPr>
          <w:p w:rsidR="00A40ECA" w:rsidRPr="006F3123" w:rsidRDefault="00A40ECA" w:rsidP="00FF33DA">
            <w:pPr>
              <w:jc w:val="right"/>
              <w:rPr>
                <w:color w:val="000000"/>
              </w:rPr>
            </w:pPr>
            <w:r w:rsidRPr="006F3123">
              <w:rPr>
                <w:color w:val="000000"/>
              </w:rPr>
              <w:t>$1,04</w:t>
            </w:r>
            <w:r>
              <w:rPr>
                <w:color w:val="000000"/>
              </w:rPr>
              <w:t>1</w:t>
            </w:r>
            <w:r w:rsidRPr="006F3123">
              <w:rPr>
                <w:color w:val="000000"/>
              </w:rPr>
              <w:t>,</w:t>
            </w:r>
            <w:r>
              <w:rPr>
                <w:color w:val="000000"/>
              </w:rPr>
              <w:t>548</w:t>
            </w:r>
            <w:r w:rsidRPr="006F3123">
              <w:rPr>
                <w:color w:val="000000"/>
              </w:rPr>
              <w:t xml:space="preserve"> </w:t>
            </w:r>
          </w:p>
        </w:tc>
      </w:tr>
      <w:tr w:rsidR="00A40ECA" w:rsidRPr="006F3123" w:rsidTr="00FF33DA">
        <w:trPr>
          <w:trHeight w:val="337"/>
        </w:trPr>
        <w:tc>
          <w:tcPr>
            <w:tcW w:w="4882" w:type="dxa"/>
            <w:tcBorders>
              <w:top w:val="nil"/>
              <w:left w:val="single" w:sz="8" w:space="0" w:color="auto"/>
              <w:bottom w:val="nil"/>
              <w:right w:val="nil"/>
            </w:tcBorders>
            <w:shd w:val="clear" w:color="auto" w:fill="auto"/>
            <w:noWrap/>
            <w:vAlign w:val="center"/>
            <w:hideMark/>
          </w:tcPr>
          <w:p w:rsidR="00A40ECA" w:rsidRPr="006F3123" w:rsidRDefault="00A40ECA" w:rsidP="00FF33DA">
            <w:pPr>
              <w:rPr>
                <w:color w:val="000000"/>
              </w:rPr>
            </w:pPr>
            <w:r w:rsidRPr="006F3123">
              <w:rPr>
                <w:color w:val="000000"/>
              </w:rPr>
              <w:t> </w:t>
            </w:r>
          </w:p>
        </w:tc>
        <w:tc>
          <w:tcPr>
            <w:tcW w:w="1517" w:type="dxa"/>
            <w:tcBorders>
              <w:top w:val="nil"/>
              <w:left w:val="nil"/>
              <w:bottom w:val="nil"/>
              <w:right w:val="nil"/>
            </w:tcBorders>
            <w:shd w:val="clear" w:color="auto" w:fill="auto"/>
            <w:noWrap/>
            <w:vAlign w:val="bottom"/>
            <w:hideMark/>
          </w:tcPr>
          <w:p w:rsidR="00A40ECA" w:rsidRPr="006F3123" w:rsidRDefault="00A40ECA" w:rsidP="00FF33DA">
            <w:pPr>
              <w:rPr>
                <w:color w:val="000000"/>
                <w:sz w:val="22"/>
                <w:szCs w:val="22"/>
              </w:rPr>
            </w:pPr>
          </w:p>
        </w:tc>
        <w:tc>
          <w:tcPr>
            <w:tcW w:w="1028" w:type="dxa"/>
            <w:tcBorders>
              <w:top w:val="nil"/>
              <w:left w:val="nil"/>
              <w:bottom w:val="nil"/>
              <w:right w:val="nil"/>
            </w:tcBorders>
            <w:shd w:val="clear" w:color="auto" w:fill="auto"/>
            <w:noWrap/>
            <w:vAlign w:val="bottom"/>
            <w:hideMark/>
          </w:tcPr>
          <w:p w:rsidR="00A40ECA" w:rsidRPr="006F3123" w:rsidRDefault="00A40ECA" w:rsidP="00FF33DA">
            <w:pPr>
              <w:rPr>
                <w:color w:val="000000"/>
                <w:sz w:val="22"/>
                <w:szCs w:val="22"/>
              </w:rPr>
            </w:pPr>
          </w:p>
        </w:tc>
        <w:tc>
          <w:tcPr>
            <w:tcW w:w="1066" w:type="dxa"/>
            <w:tcBorders>
              <w:top w:val="nil"/>
              <w:left w:val="nil"/>
              <w:bottom w:val="nil"/>
              <w:right w:val="nil"/>
            </w:tcBorders>
            <w:shd w:val="clear" w:color="auto" w:fill="auto"/>
            <w:noWrap/>
            <w:vAlign w:val="bottom"/>
            <w:hideMark/>
          </w:tcPr>
          <w:p w:rsidR="00A40ECA" w:rsidRPr="006F3123" w:rsidRDefault="00A40ECA" w:rsidP="00FF33DA">
            <w:pPr>
              <w:rPr>
                <w:color w:val="000000"/>
                <w:sz w:val="22"/>
                <w:szCs w:val="22"/>
              </w:rPr>
            </w:pPr>
          </w:p>
        </w:tc>
        <w:tc>
          <w:tcPr>
            <w:tcW w:w="1531" w:type="dxa"/>
            <w:tcBorders>
              <w:top w:val="nil"/>
              <w:left w:val="nil"/>
              <w:bottom w:val="nil"/>
              <w:right w:val="single" w:sz="8" w:space="0" w:color="auto"/>
            </w:tcBorders>
            <w:shd w:val="clear" w:color="auto" w:fill="auto"/>
            <w:noWrap/>
            <w:vAlign w:val="center"/>
            <w:hideMark/>
          </w:tcPr>
          <w:p w:rsidR="00A40ECA" w:rsidRPr="006F3123" w:rsidRDefault="00A40ECA" w:rsidP="00FF33DA">
            <w:pPr>
              <w:rPr>
                <w:color w:val="000000"/>
              </w:rPr>
            </w:pPr>
            <w:r w:rsidRPr="006F3123">
              <w:rPr>
                <w:color w:val="000000"/>
              </w:rPr>
              <w:t> </w:t>
            </w:r>
          </w:p>
        </w:tc>
      </w:tr>
      <w:tr w:rsidR="00A40ECA" w:rsidRPr="006F3123" w:rsidTr="00FF33DA">
        <w:trPr>
          <w:trHeight w:val="337"/>
        </w:trPr>
        <w:tc>
          <w:tcPr>
            <w:tcW w:w="4882" w:type="dxa"/>
            <w:tcBorders>
              <w:top w:val="nil"/>
              <w:left w:val="single" w:sz="8" w:space="0" w:color="auto"/>
              <w:bottom w:val="nil"/>
              <w:right w:val="nil"/>
            </w:tcBorders>
            <w:shd w:val="clear" w:color="auto" w:fill="auto"/>
            <w:noWrap/>
            <w:vAlign w:val="center"/>
            <w:hideMark/>
          </w:tcPr>
          <w:p w:rsidR="00A40ECA" w:rsidRPr="006F3123" w:rsidRDefault="00A40ECA" w:rsidP="00FF33DA">
            <w:pPr>
              <w:rPr>
                <w:color w:val="000000"/>
              </w:rPr>
            </w:pPr>
            <w:r w:rsidRPr="006F3123">
              <w:rPr>
                <w:color w:val="000000"/>
              </w:rPr>
              <w:t>NET OPERATING INCOME</w:t>
            </w:r>
          </w:p>
        </w:tc>
        <w:tc>
          <w:tcPr>
            <w:tcW w:w="1517" w:type="dxa"/>
            <w:tcBorders>
              <w:top w:val="nil"/>
              <w:left w:val="nil"/>
              <w:bottom w:val="nil"/>
              <w:right w:val="nil"/>
            </w:tcBorders>
            <w:shd w:val="clear" w:color="auto" w:fill="auto"/>
            <w:noWrap/>
            <w:vAlign w:val="center"/>
            <w:hideMark/>
          </w:tcPr>
          <w:p w:rsidR="00A40ECA" w:rsidRPr="006F3123" w:rsidRDefault="00A40ECA" w:rsidP="00FF33DA">
            <w:pPr>
              <w:jc w:val="right"/>
              <w:rPr>
                <w:color w:val="000000"/>
                <w:u w:val="double"/>
              </w:rPr>
            </w:pPr>
            <w:r w:rsidRPr="006F3123">
              <w:rPr>
                <w:color w:val="000000"/>
                <w:u w:val="double"/>
              </w:rPr>
              <w:t>$16</w:t>
            </w:r>
            <w:r>
              <w:rPr>
                <w:color w:val="000000"/>
                <w:u w:val="double"/>
              </w:rPr>
              <w:t>5,063</w:t>
            </w:r>
            <w:r w:rsidRPr="006F3123">
              <w:rPr>
                <w:color w:val="000000"/>
                <w:u w:val="double"/>
              </w:rPr>
              <w:t xml:space="preserve"> </w:t>
            </w:r>
          </w:p>
        </w:tc>
        <w:tc>
          <w:tcPr>
            <w:tcW w:w="1028" w:type="dxa"/>
            <w:tcBorders>
              <w:top w:val="nil"/>
              <w:left w:val="nil"/>
              <w:bottom w:val="nil"/>
              <w:right w:val="nil"/>
            </w:tcBorders>
            <w:shd w:val="clear" w:color="auto" w:fill="auto"/>
            <w:noWrap/>
            <w:vAlign w:val="bottom"/>
            <w:hideMark/>
          </w:tcPr>
          <w:p w:rsidR="00A40ECA" w:rsidRPr="006F3123" w:rsidRDefault="00A40ECA" w:rsidP="00FF33DA">
            <w:pPr>
              <w:rPr>
                <w:color w:val="000000"/>
                <w:sz w:val="22"/>
                <w:szCs w:val="22"/>
              </w:rPr>
            </w:pPr>
          </w:p>
        </w:tc>
        <w:tc>
          <w:tcPr>
            <w:tcW w:w="1066" w:type="dxa"/>
            <w:tcBorders>
              <w:top w:val="nil"/>
              <w:left w:val="nil"/>
              <w:bottom w:val="nil"/>
              <w:right w:val="nil"/>
            </w:tcBorders>
            <w:shd w:val="clear" w:color="auto" w:fill="auto"/>
            <w:noWrap/>
            <w:vAlign w:val="bottom"/>
            <w:hideMark/>
          </w:tcPr>
          <w:p w:rsidR="00A40ECA" w:rsidRPr="006F3123" w:rsidRDefault="00A40ECA" w:rsidP="00FF33DA">
            <w:pPr>
              <w:rPr>
                <w:color w:val="000000"/>
                <w:sz w:val="22"/>
                <w:szCs w:val="22"/>
              </w:rPr>
            </w:pPr>
          </w:p>
        </w:tc>
        <w:tc>
          <w:tcPr>
            <w:tcW w:w="1531" w:type="dxa"/>
            <w:tcBorders>
              <w:top w:val="nil"/>
              <w:left w:val="nil"/>
              <w:bottom w:val="nil"/>
              <w:right w:val="single" w:sz="8" w:space="0" w:color="auto"/>
            </w:tcBorders>
            <w:shd w:val="clear" w:color="auto" w:fill="auto"/>
            <w:noWrap/>
            <w:vAlign w:val="center"/>
            <w:hideMark/>
          </w:tcPr>
          <w:p w:rsidR="00A40ECA" w:rsidRPr="006F3123" w:rsidRDefault="00A40ECA" w:rsidP="00FF33DA">
            <w:pPr>
              <w:jc w:val="right"/>
              <w:rPr>
                <w:color w:val="000000"/>
                <w:u w:val="double"/>
              </w:rPr>
            </w:pPr>
            <w:r w:rsidRPr="006F3123">
              <w:rPr>
                <w:color w:val="000000"/>
                <w:u w:val="double"/>
              </w:rPr>
              <w:t>$14</w:t>
            </w:r>
            <w:r>
              <w:rPr>
                <w:color w:val="000000"/>
                <w:u w:val="double"/>
              </w:rPr>
              <w:t>4</w:t>
            </w:r>
            <w:r w:rsidRPr="006F3123">
              <w:rPr>
                <w:color w:val="000000"/>
                <w:u w:val="double"/>
              </w:rPr>
              <w:t>,</w:t>
            </w:r>
            <w:r>
              <w:rPr>
                <w:color w:val="000000"/>
                <w:u w:val="double"/>
              </w:rPr>
              <w:t>652</w:t>
            </w:r>
            <w:r w:rsidRPr="006F3123">
              <w:rPr>
                <w:color w:val="000000"/>
                <w:u w:val="double"/>
              </w:rPr>
              <w:t xml:space="preserve"> </w:t>
            </w:r>
          </w:p>
        </w:tc>
      </w:tr>
      <w:tr w:rsidR="00A40ECA" w:rsidRPr="006F3123" w:rsidTr="00FF33DA">
        <w:trPr>
          <w:trHeight w:val="353"/>
        </w:trPr>
        <w:tc>
          <w:tcPr>
            <w:tcW w:w="4882" w:type="dxa"/>
            <w:tcBorders>
              <w:top w:val="nil"/>
              <w:left w:val="single" w:sz="8" w:space="0" w:color="auto"/>
              <w:bottom w:val="single" w:sz="8" w:space="0" w:color="auto"/>
              <w:right w:val="nil"/>
            </w:tcBorders>
            <w:shd w:val="clear" w:color="auto" w:fill="auto"/>
            <w:noWrap/>
            <w:vAlign w:val="center"/>
            <w:hideMark/>
          </w:tcPr>
          <w:p w:rsidR="00A40ECA" w:rsidRPr="006F3123" w:rsidRDefault="00A40ECA" w:rsidP="00FF33DA">
            <w:pPr>
              <w:rPr>
                <w:color w:val="000000"/>
              </w:rPr>
            </w:pPr>
            <w:r w:rsidRPr="006F3123">
              <w:rPr>
                <w:color w:val="000000"/>
              </w:rPr>
              <w:t> </w:t>
            </w:r>
          </w:p>
        </w:tc>
        <w:tc>
          <w:tcPr>
            <w:tcW w:w="1517" w:type="dxa"/>
            <w:tcBorders>
              <w:top w:val="nil"/>
              <w:left w:val="nil"/>
              <w:bottom w:val="single" w:sz="8" w:space="0" w:color="auto"/>
              <w:right w:val="nil"/>
            </w:tcBorders>
            <w:shd w:val="clear" w:color="auto" w:fill="auto"/>
            <w:noWrap/>
            <w:vAlign w:val="center"/>
            <w:hideMark/>
          </w:tcPr>
          <w:p w:rsidR="00A40ECA" w:rsidRPr="006F3123" w:rsidRDefault="00A40ECA" w:rsidP="00FF33DA">
            <w:pPr>
              <w:rPr>
                <w:color w:val="000000"/>
              </w:rPr>
            </w:pPr>
            <w:r w:rsidRPr="006F3123">
              <w:rPr>
                <w:color w:val="000000"/>
              </w:rPr>
              <w:t> </w:t>
            </w:r>
          </w:p>
        </w:tc>
        <w:tc>
          <w:tcPr>
            <w:tcW w:w="1028" w:type="dxa"/>
            <w:tcBorders>
              <w:top w:val="nil"/>
              <w:left w:val="nil"/>
              <w:bottom w:val="single" w:sz="8" w:space="0" w:color="auto"/>
              <w:right w:val="nil"/>
            </w:tcBorders>
            <w:shd w:val="clear" w:color="auto" w:fill="auto"/>
            <w:noWrap/>
            <w:vAlign w:val="center"/>
            <w:hideMark/>
          </w:tcPr>
          <w:p w:rsidR="00A40ECA" w:rsidRPr="006F3123" w:rsidRDefault="00A40ECA" w:rsidP="00FF33DA">
            <w:pPr>
              <w:rPr>
                <w:color w:val="000000"/>
              </w:rPr>
            </w:pPr>
            <w:r w:rsidRPr="006F3123">
              <w:rPr>
                <w:color w:val="000000"/>
              </w:rPr>
              <w:t> </w:t>
            </w:r>
          </w:p>
        </w:tc>
        <w:tc>
          <w:tcPr>
            <w:tcW w:w="1066" w:type="dxa"/>
            <w:tcBorders>
              <w:top w:val="nil"/>
              <w:left w:val="nil"/>
              <w:bottom w:val="single" w:sz="8" w:space="0" w:color="auto"/>
              <w:right w:val="nil"/>
            </w:tcBorders>
            <w:shd w:val="clear" w:color="auto" w:fill="auto"/>
            <w:noWrap/>
            <w:vAlign w:val="center"/>
            <w:hideMark/>
          </w:tcPr>
          <w:p w:rsidR="00A40ECA" w:rsidRPr="006F3123" w:rsidRDefault="00A40ECA" w:rsidP="00FF33DA">
            <w:pPr>
              <w:rPr>
                <w:color w:val="000000"/>
              </w:rPr>
            </w:pPr>
            <w:r w:rsidRPr="006F3123">
              <w:rPr>
                <w:color w:val="000000"/>
              </w:rPr>
              <w:t> </w:t>
            </w:r>
          </w:p>
        </w:tc>
        <w:tc>
          <w:tcPr>
            <w:tcW w:w="1531" w:type="dxa"/>
            <w:tcBorders>
              <w:top w:val="nil"/>
              <w:left w:val="nil"/>
              <w:bottom w:val="single" w:sz="8" w:space="0" w:color="auto"/>
              <w:right w:val="single" w:sz="8" w:space="0" w:color="auto"/>
            </w:tcBorders>
            <w:shd w:val="clear" w:color="auto" w:fill="auto"/>
            <w:noWrap/>
            <w:vAlign w:val="center"/>
            <w:hideMark/>
          </w:tcPr>
          <w:p w:rsidR="00A40ECA" w:rsidRPr="006F3123" w:rsidRDefault="00A40ECA" w:rsidP="00FF33DA">
            <w:pPr>
              <w:rPr>
                <w:color w:val="000000"/>
              </w:rPr>
            </w:pPr>
            <w:r w:rsidRPr="006F3123">
              <w:rPr>
                <w:color w:val="000000"/>
              </w:rPr>
              <w:t> </w:t>
            </w:r>
          </w:p>
        </w:tc>
      </w:tr>
    </w:tbl>
    <w:p w:rsidR="00A40ECA" w:rsidRDefault="00A40ECA" w:rsidP="00754973">
      <w:pPr>
        <w:pStyle w:val="IssueHeading"/>
        <w:sectPr w:rsidR="00A40ECA" w:rsidSect="003E5277">
          <w:headerReference w:type="even" r:id="rId23"/>
          <w:headerReference w:type="default" r:id="rId24"/>
          <w:headerReference w:type="first" r:id="rId25"/>
          <w:pgSz w:w="12240" w:h="15840" w:code="1"/>
          <w:pgMar w:top="1584" w:right="1440" w:bottom="1440" w:left="1440" w:header="720" w:footer="720" w:gutter="0"/>
          <w:cols w:space="720"/>
          <w:formProt w:val="0"/>
          <w:docGrid w:linePitch="360"/>
        </w:sectPr>
      </w:pPr>
    </w:p>
    <w:p w:rsidR="00754973" w:rsidRDefault="00754973" w:rsidP="00754973">
      <w:pPr>
        <w:pStyle w:val="IssueHeading"/>
      </w:pPr>
      <w:r>
        <w:lastRenderedPageBreak/>
        <w:fldChar w:fldCharType="begin"/>
      </w:r>
      <w:r>
        <w:instrText xml:space="preserve"> TC "</w:instrText>
      </w:r>
      <w:bookmarkStart w:id="48" w:name="_Toc28007744"/>
      <w:r>
        <w:tab/>
        <w:instrText xml:space="preserve">Schedule No. </w:instrText>
      </w:r>
      <w:r w:rsidR="00A40ECA">
        <w:instrText>4</w:instrText>
      </w:r>
      <w:r>
        <w:tab/>
      </w:r>
      <w:r w:rsidR="00F165E6">
        <w:instrText>50</w:instrText>
      </w:r>
      <w:bookmarkEnd w:id="48"/>
      <w:r>
        <w:instrText>" \l 1 \n</w:instrText>
      </w:r>
      <w:r>
        <w:fldChar w:fldCharType="end"/>
      </w:r>
    </w:p>
    <w:p w:rsidR="00754973" w:rsidRPr="000A3B05" w:rsidRDefault="00754973" w:rsidP="00754973">
      <w:pPr>
        <w:jc w:val="center"/>
        <w:rPr>
          <w:rFonts w:ascii="Arial" w:hAnsi="Arial" w:cs="Arial"/>
          <w:b/>
        </w:rPr>
      </w:pPr>
      <w:r w:rsidRPr="000A3B05">
        <w:rPr>
          <w:rFonts w:ascii="Arial" w:hAnsi="Arial" w:cs="Arial"/>
          <w:b/>
        </w:rPr>
        <w:t>Sebring Gas System</w:t>
      </w:r>
    </w:p>
    <w:p w:rsidR="00754973" w:rsidRPr="000A3B05" w:rsidRDefault="00754973" w:rsidP="00754973">
      <w:pPr>
        <w:jc w:val="center"/>
        <w:rPr>
          <w:rFonts w:ascii="Arial" w:hAnsi="Arial" w:cs="Arial"/>
          <w:b/>
        </w:rPr>
      </w:pPr>
      <w:r w:rsidRPr="000A3B05">
        <w:rPr>
          <w:rFonts w:ascii="Arial" w:hAnsi="Arial" w:cs="Arial"/>
          <w:b/>
        </w:rPr>
        <w:t>Docket No. 00832019-GU</w:t>
      </w:r>
    </w:p>
    <w:p w:rsidR="00754973" w:rsidRPr="000A3B05" w:rsidRDefault="00754973" w:rsidP="00754973">
      <w:pPr>
        <w:jc w:val="center"/>
        <w:rPr>
          <w:rFonts w:ascii="Arial" w:hAnsi="Arial" w:cs="Arial"/>
          <w:b/>
        </w:rPr>
      </w:pPr>
      <w:r w:rsidRPr="000A3B05">
        <w:rPr>
          <w:rFonts w:ascii="Arial" w:hAnsi="Arial" w:cs="Arial"/>
          <w:b/>
        </w:rPr>
        <w:t>2020 Projected Test Year</w:t>
      </w:r>
    </w:p>
    <w:p w:rsidR="00754973" w:rsidRPr="000A3B05" w:rsidRDefault="00754973" w:rsidP="00754973">
      <w:pPr>
        <w:jc w:val="center"/>
        <w:rPr>
          <w:rFonts w:ascii="Arial" w:hAnsi="Arial" w:cs="Arial"/>
          <w:b/>
        </w:rPr>
      </w:pPr>
      <w:r w:rsidRPr="000A3B05">
        <w:rPr>
          <w:rFonts w:ascii="Arial" w:hAnsi="Arial" w:cs="Arial"/>
          <w:b/>
        </w:rPr>
        <w:t>Operating Expenses</w:t>
      </w:r>
    </w:p>
    <w:tbl>
      <w:tblPr>
        <w:tblW w:w="9110" w:type="dxa"/>
        <w:jc w:val="center"/>
        <w:tblLook w:val="04A0" w:firstRow="1" w:lastRow="0" w:firstColumn="1" w:lastColumn="0" w:noHBand="0" w:noVBand="1"/>
      </w:tblPr>
      <w:tblGrid>
        <w:gridCol w:w="4704"/>
        <w:gridCol w:w="1617"/>
        <w:gridCol w:w="1172"/>
        <w:gridCol w:w="1617"/>
      </w:tblGrid>
      <w:tr w:rsidR="00754973" w:rsidRPr="00B353C1" w:rsidTr="00754973">
        <w:trPr>
          <w:trHeight w:val="1269"/>
          <w:jc w:val="center"/>
        </w:trPr>
        <w:tc>
          <w:tcPr>
            <w:tcW w:w="4704" w:type="dxa"/>
            <w:tcBorders>
              <w:top w:val="single" w:sz="8" w:space="0" w:color="auto"/>
              <w:left w:val="single" w:sz="8" w:space="0" w:color="auto"/>
              <w:bottom w:val="nil"/>
              <w:right w:val="nil"/>
            </w:tcBorders>
            <w:shd w:val="clear" w:color="auto" w:fill="auto"/>
            <w:noWrap/>
            <w:vAlign w:val="center"/>
            <w:hideMark/>
          </w:tcPr>
          <w:p w:rsidR="00754973" w:rsidRPr="00B353C1" w:rsidRDefault="00754973" w:rsidP="00754973">
            <w:pPr>
              <w:rPr>
                <w:color w:val="000000"/>
              </w:rPr>
            </w:pPr>
            <w:r w:rsidRPr="00B353C1">
              <w:rPr>
                <w:color w:val="000000"/>
              </w:rPr>
              <w:t> </w:t>
            </w:r>
          </w:p>
        </w:tc>
        <w:tc>
          <w:tcPr>
            <w:tcW w:w="1617" w:type="dxa"/>
            <w:tcBorders>
              <w:top w:val="single" w:sz="8" w:space="0" w:color="auto"/>
              <w:left w:val="nil"/>
              <w:bottom w:val="nil"/>
              <w:right w:val="nil"/>
            </w:tcBorders>
            <w:shd w:val="clear" w:color="auto" w:fill="auto"/>
            <w:vAlign w:val="center"/>
            <w:hideMark/>
          </w:tcPr>
          <w:p w:rsidR="00754973" w:rsidRPr="00B353C1" w:rsidRDefault="00754973" w:rsidP="00754973">
            <w:pPr>
              <w:jc w:val="center"/>
              <w:rPr>
                <w:color w:val="000000"/>
              </w:rPr>
            </w:pPr>
            <w:r w:rsidRPr="00B353C1">
              <w:rPr>
                <w:color w:val="000000"/>
              </w:rPr>
              <w:t xml:space="preserve">COMPANY </w:t>
            </w:r>
            <w:r w:rsidRPr="00B353C1">
              <w:rPr>
                <w:color w:val="000000"/>
                <w:u w:val="single"/>
              </w:rPr>
              <w:t>ADJUSTED</w:t>
            </w:r>
          </w:p>
        </w:tc>
        <w:tc>
          <w:tcPr>
            <w:tcW w:w="1172" w:type="dxa"/>
            <w:tcBorders>
              <w:top w:val="single" w:sz="8" w:space="0" w:color="auto"/>
              <w:left w:val="nil"/>
              <w:bottom w:val="nil"/>
              <w:right w:val="nil"/>
            </w:tcBorders>
            <w:shd w:val="clear" w:color="auto" w:fill="auto"/>
            <w:vAlign w:val="center"/>
            <w:hideMark/>
          </w:tcPr>
          <w:p w:rsidR="00754973" w:rsidRPr="00B353C1" w:rsidRDefault="00754973" w:rsidP="00754973">
            <w:pPr>
              <w:jc w:val="center"/>
              <w:rPr>
                <w:color w:val="000000"/>
                <w:u w:val="single"/>
              </w:rPr>
            </w:pPr>
            <w:r w:rsidRPr="00B353C1">
              <w:rPr>
                <w:color w:val="000000"/>
              </w:rPr>
              <w:t>STAFF</w:t>
            </w:r>
            <w:r w:rsidRPr="00B353C1">
              <w:rPr>
                <w:color w:val="000000"/>
                <w:u w:val="single"/>
              </w:rPr>
              <w:t xml:space="preserve"> ADJS.</w:t>
            </w:r>
          </w:p>
        </w:tc>
        <w:tc>
          <w:tcPr>
            <w:tcW w:w="1617" w:type="dxa"/>
            <w:tcBorders>
              <w:top w:val="single" w:sz="8" w:space="0" w:color="auto"/>
              <w:left w:val="nil"/>
              <w:bottom w:val="nil"/>
              <w:right w:val="single" w:sz="8" w:space="0" w:color="auto"/>
            </w:tcBorders>
            <w:shd w:val="clear" w:color="auto" w:fill="auto"/>
            <w:vAlign w:val="center"/>
            <w:hideMark/>
          </w:tcPr>
          <w:p w:rsidR="00754973" w:rsidRPr="00B353C1" w:rsidRDefault="00754973" w:rsidP="00754973">
            <w:pPr>
              <w:jc w:val="center"/>
              <w:rPr>
                <w:color w:val="000000"/>
              </w:rPr>
            </w:pPr>
            <w:r w:rsidRPr="00B353C1">
              <w:rPr>
                <w:color w:val="000000"/>
              </w:rPr>
              <w:t xml:space="preserve">STAFF </w:t>
            </w:r>
            <w:r w:rsidRPr="00B353C1">
              <w:rPr>
                <w:color w:val="000000"/>
                <w:u w:val="single"/>
              </w:rPr>
              <w:t>ADJUSTED</w:t>
            </w:r>
          </w:p>
        </w:tc>
      </w:tr>
      <w:tr w:rsidR="00754973" w:rsidRPr="00B353C1" w:rsidTr="00754973">
        <w:trPr>
          <w:trHeight w:val="318"/>
          <w:jc w:val="center"/>
        </w:trPr>
        <w:tc>
          <w:tcPr>
            <w:tcW w:w="4704" w:type="dxa"/>
            <w:tcBorders>
              <w:top w:val="nil"/>
              <w:left w:val="single" w:sz="8" w:space="0" w:color="auto"/>
              <w:bottom w:val="nil"/>
              <w:right w:val="nil"/>
            </w:tcBorders>
            <w:shd w:val="clear" w:color="auto" w:fill="auto"/>
            <w:noWrap/>
            <w:vAlign w:val="center"/>
            <w:hideMark/>
          </w:tcPr>
          <w:p w:rsidR="00754973" w:rsidRPr="00B353C1" w:rsidRDefault="00754973" w:rsidP="00754973">
            <w:pPr>
              <w:rPr>
                <w:color w:val="000000"/>
              </w:rPr>
            </w:pPr>
            <w:r w:rsidRPr="00B353C1">
              <w:rPr>
                <w:color w:val="000000"/>
              </w:rPr>
              <w:t>OPERATING EXPENSES</w:t>
            </w:r>
          </w:p>
        </w:tc>
        <w:tc>
          <w:tcPr>
            <w:tcW w:w="1617" w:type="dxa"/>
            <w:tcBorders>
              <w:top w:val="nil"/>
              <w:left w:val="nil"/>
              <w:bottom w:val="nil"/>
              <w:right w:val="nil"/>
            </w:tcBorders>
            <w:shd w:val="clear" w:color="auto" w:fill="auto"/>
            <w:noWrap/>
            <w:vAlign w:val="bottom"/>
            <w:hideMark/>
          </w:tcPr>
          <w:p w:rsidR="00754973" w:rsidRPr="00B353C1" w:rsidRDefault="00754973" w:rsidP="00754973">
            <w:pPr>
              <w:rPr>
                <w:color w:val="000000"/>
              </w:rPr>
            </w:pPr>
          </w:p>
        </w:tc>
        <w:tc>
          <w:tcPr>
            <w:tcW w:w="1172" w:type="dxa"/>
            <w:tcBorders>
              <w:top w:val="nil"/>
              <w:left w:val="nil"/>
              <w:bottom w:val="nil"/>
              <w:right w:val="nil"/>
            </w:tcBorders>
            <w:shd w:val="clear" w:color="auto" w:fill="auto"/>
            <w:noWrap/>
            <w:vAlign w:val="bottom"/>
            <w:hideMark/>
          </w:tcPr>
          <w:p w:rsidR="00754973" w:rsidRPr="00B353C1" w:rsidRDefault="00754973" w:rsidP="00754973">
            <w:pPr>
              <w:rPr>
                <w:color w:val="000000"/>
              </w:rPr>
            </w:pPr>
          </w:p>
        </w:tc>
        <w:tc>
          <w:tcPr>
            <w:tcW w:w="1617" w:type="dxa"/>
            <w:tcBorders>
              <w:top w:val="nil"/>
              <w:left w:val="nil"/>
              <w:bottom w:val="nil"/>
              <w:right w:val="single" w:sz="8" w:space="0" w:color="auto"/>
            </w:tcBorders>
            <w:shd w:val="clear" w:color="auto" w:fill="auto"/>
            <w:noWrap/>
            <w:vAlign w:val="center"/>
            <w:hideMark/>
          </w:tcPr>
          <w:p w:rsidR="00754973" w:rsidRPr="00B353C1" w:rsidRDefault="00754973" w:rsidP="00754973">
            <w:pPr>
              <w:rPr>
                <w:color w:val="000000"/>
              </w:rPr>
            </w:pPr>
            <w:r w:rsidRPr="00B353C1">
              <w:rPr>
                <w:color w:val="000000"/>
              </w:rPr>
              <w:t> </w:t>
            </w:r>
          </w:p>
        </w:tc>
      </w:tr>
      <w:tr w:rsidR="00754973" w:rsidRPr="00B353C1" w:rsidTr="00754973">
        <w:trPr>
          <w:trHeight w:val="318"/>
          <w:jc w:val="center"/>
        </w:trPr>
        <w:tc>
          <w:tcPr>
            <w:tcW w:w="4704" w:type="dxa"/>
            <w:tcBorders>
              <w:top w:val="nil"/>
              <w:left w:val="single" w:sz="8" w:space="0" w:color="auto"/>
              <w:bottom w:val="nil"/>
              <w:right w:val="nil"/>
            </w:tcBorders>
            <w:shd w:val="clear" w:color="auto" w:fill="auto"/>
            <w:noWrap/>
            <w:vAlign w:val="center"/>
            <w:hideMark/>
          </w:tcPr>
          <w:p w:rsidR="00754973" w:rsidRPr="00B353C1" w:rsidRDefault="00754973" w:rsidP="00754973">
            <w:pPr>
              <w:rPr>
                <w:color w:val="000000"/>
              </w:rPr>
            </w:pPr>
            <w:r w:rsidRPr="00B353C1">
              <w:rPr>
                <w:color w:val="000000"/>
              </w:rPr>
              <w:t> </w:t>
            </w:r>
          </w:p>
        </w:tc>
        <w:tc>
          <w:tcPr>
            <w:tcW w:w="1617" w:type="dxa"/>
            <w:tcBorders>
              <w:top w:val="nil"/>
              <w:left w:val="nil"/>
              <w:bottom w:val="nil"/>
              <w:right w:val="nil"/>
            </w:tcBorders>
            <w:shd w:val="clear" w:color="auto" w:fill="auto"/>
            <w:noWrap/>
            <w:vAlign w:val="bottom"/>
            <w:hideMark/>
          </w:tcPr>
          <w:p w:rsidR="00754973" w:rsidRPr="00B353C1" w:rsidRDefault="00754973" w:rsidP="00754973">
            <w:pPr>
              <w:rPr>
                <w:color w:val="000000"/>
              </w:rPr>
            </w:pPr>
          </w:p>
        </w:tc>
        <w:tc>
          <w:tcPr>
            <w:tcW w:w="1172" w:type="dxa"/>
            <w:tcBorders>
              <w:top w:val="nil"/>
              <w:left w:val="nil"/>
              <w:bottom w:val="nil"/>
              <w:right w:val="nil"/>
            </w:tcBorders>
            <w:shd w:val="clear" w:color="auto" w:fill="auto"/>
            <w:noWrap/>
            <w:vAlign w:val="bottom"/>
            <w:hideMark/>
          </w:tcPr>
          <w:p w:rsidR="00754973" w:rsidRPr="00B353C1" w:rsidRDefault="00754973" w:rsidP="00754973">
            <w:pPr>
              <w:rPr>
                <w:color w:val="000000"/>
              </w:rPr>
            </w:pPr>
          </w:p>
        </w:tc>
        <w:tc>
          <w:tcPr>
            <w:tcW w:w="1617" w:type="dxa"/>
            <w:tcBorders>
              <w:top w:val="nil"/>
              <w:left w:val="nil"/>
              <w:bottom w:val="nil"/>
              <w:right w:val="single" w:sz="8" w:space="0" w:color="auto"/>
            </w:tcBorders>
            <w:shd w:val="clear" w:color="auto" w:fill="auto"/>
            <w:noWrap/>
            <w:vAlign w:val="center"/>
            <w:hideMark/>
          </w:tcPr>
          <w:p w:rsidR="00754973" w:rsidRPr="00B353C1" w:rsidRDefault="00754973" w:rsidP="00754973">
            <w:pPr>
              <w:rPr>
                <w:color w:val="000000"/>
              </w:rPr>
            </w:pPr>
            <w:r w:rsidRPr="00B353C1">
              <w:rPr>
                <w:color w:val="000000"/>
              </w:rPr>
              <w:t> </w:t>
            </w:r>
          </w:p>
        </w:tc>
      </w:tr>
      <w:tr w:rsidR="00754973" w:rsidRPr="00B353C1" w:rsidTr="00754973">
        <w:trPr>
          <w:trHeight w:val="318"/>
          <w:jc w:val="center"/>
        </w:trPr>
        <w:tc>
          <w:tcPr>
            <w:tcW w:w="4704" w:type="dxa"/>
            <w:tcBorders>
              <w:top w:val="nil"/>
              <w:left w:val="single" w:sz="8" w:space="0" w:color="auto"/>
              <w:bottom w:val="nil"/>
              <w:right w:val="nil"/>
            </w:tcBorders>
            <w:shd w:val="clear" w:color="auto" w:fill="auto"/>
            <w:noWrap/>
            <w:vAlign w:val="center"/>
            <w:hideMark/>
          </w:tcPr>
          <w:p w:rsidR="00754973" w:rsidRPr="00B353C1" w:rsidRDefault="00754973" w:rsidP="00754973">
            <w:pPr>
              <w:rPr>
                <w:color w:val="000000"/>
              </w:rPr>
            </w:pPr>
            <w:r w:rsidRPr="00B353C1">
              <w:rPr>
                <w:color w:val="000000"/>
              </w:rPr>
              <w:t>OPERATION &amp;MAINTENANCE EXP.</w:t>
            </w:r>
          </w:p>
        </w:tc>
        <w:tc>
          <w:tcPr>
            <w:tcW w:w="1617" w:type="dxa"/>
            <w:tcBorders>
              <w:top w:val="nil"/>
              <w:left w:val="nil"/>
              <w:bottom w:val="nil"/>
              <w:right w:val="nil"/>
            </w:tcBorders>
            <w:shd w:val="clear" w:color="auto" w:fill="auto"/>
            <w:noWrap/>
            <w:vAlign w:val="center"/>
            <w:hideMark/>
          </w:tcPr>
          <w:p w:rsidR="00754973" w:rsidRPr="00B353C1" w:rsidRDefault="00754973" w:rsidP="00754973">
            <w:pPr>
              <w:jc w:val="right"/>
              <w:rPr>
                <w:color w:val="000000"/>
              </w:rPr>
            </w:pPr>
            <w:r w:rsidRPr="00B353C1">
              <w:rPr>
                <w:color w:val="000000"/>
              </w:rPr>
              <w:t xml:space="preserve">$739,587 </w:t>
            </w:r>
          </w:p>
        </w:tc>
        <w:tc>
          <w:tcPr>
            <w:tcW w:w="1172" w:type="dxa"/>
            <w:tcBorders>
              <w:top w:val="nil"/>
              <w:left w:val="nil"/>
              <w:bottom w:val="nil"/>
              <w:right w:val="nil"/>
            </w:tcBorders>
            <w:shd w:val="clear" w:color="auto" w:fill="auto"/>
            <w:noWrap/>
            <w:vAlign w:val="bottom"/>
            <w:hideMark/>
          </w:tcPr>
          <w:p w:rsidR="00754973" w:rsidRPr="00B353C1" w:rsidRDefault="00754973" w:rsidP="00754973">
            <w:pPr>
              <w:rPr>
                <w:color w:val="000000"/>
              </w:rPr>
            </w:pPr>
          </w:p>
        </w:tc>
        <w:tc>
          <w:tcPr>
            <w:tcW w:w="1617" w:type="dxa"/>
            <w:tcBorders>
              <w:top w:val="nil"/>
              <w:left w:val="nil"/>
              <w:bottom w:val="nil"/>
              <w:right w:val="single" w:sz="8" w:space="0" w:color="auto"/>
            </w:tcBorders>
            <w:shd w:val="clear" w:color="auto" w:fill="auto"/>
            <w:noWrap/>
            <w:vAlign w:val="center"/>
            <w:hideMark/>
          </w:tcPr>
          <w:p w:rsidR="00754973" w:rsidRPr="00B353C1" w:rsidRDefault="00754973" w:rsidP="00754973">
            <w:pPr>
              <w:rPr>
                <w:color w:val="000000"/>
              </w:rPr>
            </w:pPr>
            <w:r w:rsidRPr="00B353C1">
              <w:rPr>
                <w:color w:val="000000"/>
              </w:rPr>
              <w:t> </w:t>
            </w:r>
          </w:p>
        </w:tc>
      </w:tr>
      <w:tr w:rsidR="00754973" w:rsidRPr="00B353C1" w:rsidTr="00754973">
        <w:trPr>
          <w:trHeight w:val="318"/>
          <w:jc w:val="center"/>
        </w:trPr>
        <w:tc>
          <w:tcPr>
            <w:tcW w:w="4704" w:type="dxa"/>
            <w:tcBorders>
              <w:top w:val="nil"/>
              <w:left w:val="single" w:sz="8" w:space="0" w:color="auto"/>
              <w:bottom w:val="nil"/>
              <w:right w:val="nil"/>
            </w:tcBorders>
            <w:shd w:val="clear" w:color="auto" w:fill="auto"/>
            <w:noWrap/>
            <w:vAlign w:val="center"/>
            <w:hideMark/>
          </w:tcPr>
          <w:p w:rsidR="00754973" w:rsidRPr="00B353C1" w:rsidRDefault="00754973" w:rsidP="00754973">
            <w:pPr>
              <w:rPr>
                <w:color w:val="000000"/>
              </w:rPr>
            </w:pPr>
            <w:r w:rsidRPr="00B353C1">
              <w:rPr>
                <w:color w:val="000000"/>
              </w:rPr>
              <w:t xml:space="preserve">    902 Meter Reading Exp.</w:t>
            </w:r>
          </w:p>
        </w:tc>
        <w:tc>
          <w:tcPr>
            <w:tcW w:w="1617" w:type="dxa"/>
            <w:tcBorders>
              <w:top w:val="nil"/>
              <w:left w:val="nil"/>
              <w:bottom w:val="nil"/>
              <w:right w:val="nil"/>
            </w:tcBorders>
            <w:shd w:val="clear" w:color="auto" w:fill="auto"/>
            <w:noWrap/>
            <w:vAlign w:val="bottom"/>
            <w:hideMark/>
          </w:tcPr>
          <w:p w:rsidR="00754973" w:rsidRPr="00B353C1" w:rsidRDefault="00754973" w:rsidP="00754973">
            <w:pPr>
              <w:rPr>
                <w:color w:val="000000"/>
              </w:rPr>
            </w:pPr>
          </w:p>
        </w:tc>
        <w:tc>
          <w:tcPr>
            <w:tcW w:w="1172" w:type="dxa"/>
            <w:tcBorders>
              <w:top w:val="nil"/>
              <w:left w:val="nil"/>
              <w:bottom w:val="nil"/>
              <w:right w:val="nil"/>
            </w:tcBorders>
            <w:shd w:val="clear" w:color="auto" w:fill="auto"/>
            <w:noWrap/>
            <w:vAlign w:val="center"/>
            <w:hideMark/>
          </w:tcPr>
          <w:p w:rsidR="00754973" w:rsidRPr="00B353C1" w:rsidRDefault="00754973" w:rsidP="00754973">
            <w:pPr>
              <w:jc w:val="right"/>
              <w:rPr>
                <w:color w:val="000000"/>
              </w:rPr>
            </w:pPr>
            <w:r w:rsidRPr="00B353C1">
              <w:rPr>
                <w:color w:val="000000"/>
              </w:rPr>
              <w:t xml:space="preserve">$397 </w:t>
            </w:r>
          </w:p>
        </w:tc>
        <w:tc>
          <w:tcPr>
            <w:tcW w:w="1617" w:type="dxa"/>
            <w:tcBorders>
              <w:top w:val="nil"/>
              <w:left w:val="nil"/>
              <w:bottom w:val="nil"/>
              <w:right w:val="single" w:sz="8" w:space="0" w:color="auto"/>
            </w:tcBorders>
            <w:shd w:val="clear" w:color="auto" w:fill="auto"/>
            <w:noWrap/>
            <w:vAlign w:val="center"/>
            <w:hideMark/>
          </w:tcPr>
          <w:p w:rsidR="00754973" w:rsidRPr="00B353C1" w:rsidRDefault="00754973" w:rsidP="00754973">
            <w:pPr>
              <w:rPr>
                <w:color w:val="000000"/>
              </w:rPr>
            </w:pPr>
            <w:r w:rsidRPr="00B353C1">
              <w:rPr>
                <w:color w:val="000000"/>
              </w:rPr>
              <w:t> </w:t>
            </w:r>
          </w:p>
        </w:tc>
      </w:tr>
      <w:tr w:rsidR="00754973" w:rsidRPr="00B353C1" w:rsidTr="00754973">
        <w:trPr>
          <w:trHeight w:val="318"/>
          <w:jc w:val="center"/>
        </w:trPr>
        <w:tc>
          <w:tcPr>
            <w:tcW w:w="4704" w:type="dxa"/>
            <w:tcBorders>
              <w:top w:val="nil"/>
              <w:left w:val="single" w:sz="8" w:space="0" w:color="auto"/>
              <w:bottom w:val="nil"/>
              <w:right w:val="nil"/>
            </w:tcBorders>
            <w:shd w:val="clear" w:color="auto" w:fill="auto"/>
            <w:noWrap/>
            <w:vAlign w:val="center"/>
            <w:hideMark/>
          </w:tcPr>
          <w:p w:rsidR="00754973" w:rsidRPr="00B353C1" w:rsidRDefault="00754973" w:rsidP="00754973">
            <w:pPr>
              <w:rPr>
                <w:b/>
                <w:bCs/>
                <w:color w:val="000000"/>
              </w:rPr>
            </w:pPr>
            <w:r w:rsidRPr="00B353C1">
              <w:rPr>
                <w:b/>
                <w:bCs/>
                <w:color w:val="000000"/>
              </w:rPr>
              <w:t xml:space="preserve">    </w:t>
            </w:r>
            <w:r w:rsidRPr="00B353C1">
              <w:rPr>
                <w:color w:val="000000"/>
              </w:rPr>
              <w:t>920 Admin &amp;Gen Salaries</w:t>
            </w:r>
          </w:p>
        </w:tc>
        <w:tc>
          <w:tcPr>
            <w:tcW w:w="1617" w:type="dxa"/>
            <w:tcBorders>
              <w:top w:val="nil"/>
              <w:left w:val="nil"/>
              <w:bottom w:val="nil"/>
              <w:right w:val="nil"/>
            </w:tcBorders>
            <w:shd w:val="clear" w:color="auto" w:fill="auto"/>
            <w:noWrap/>
            <w:vAlign w:val="bottom"/>
            <w:hideMark/>
          </w:tcPr>
          <w:p w:rsidR="00754973" w:rsidRPr="00B353C1" w:rsidRDefault="00754973" w:rsidP="00754973">
            <w:pPr>
              <w:rPr>
                <w:color w:val="000000"/>
              </w:rPr>
            </w:pPr>
          </w:p>
        </w:tc>
        <w:tc>
          <w:tcPr>
            <w:tcW w:w="1172" w:type="dxa"/>
            <w:tcBorders>
              <w:top w:val="nil"/>
              <w:left w:val="nil"/>
              <w:bottom w:val="nil"/>
              <w:right w:val="nil"/>
            </w:tcBorders>
            <w:shd w:val="clear" w:color="auto" w:fill="auto"/>
            <w:noWrap/>
            <w:vAlign w:val="center"/>
            <w:hideMark/>
          </w:tcPr>
          <w:p w:rsidR="00754973" w:rsidRPr="00B353C1" w:rsidRDefault="00754973" w:rsidP="00754973">
            <w:pPr>
              <w:jc w:val="right"/>
              <w:rPr>
                <w:color w:val="000000"/>
              </w:rPr>
            </w:pPr>
            <w:r w:rsidRPr="00B353C1">
              <w:rPr>
                <w:color w:val="000000"/>
              </w:rPr>
              <w:t>($397)</w:t>
            </w:r>
          </w:p>
        </w:tc>
        <w:tc>
          <w:tcPr>
            <w:tcW w:w="1617" w:type="dxa"/>
            <w:tcBorders>
              <w:top w:val="nil"/>
              <w:left w:val="nil"/>
              <w:bottom w:val="nil"/>
              <w:right w:val="single" w:sz="8" w:space="0" w:color="auto"/>
            </w:tcBorders>
            <w:shd w:val="clear" w:color="auto" w:fill="auto"/>
            <w:noWrap/>
            <w:vAlign w:val="center"/>
            <w:hideMark/>
          </w:tcPr>
          <w:p w:rsidR="00754973" w:rsidRPr="00B353C1" w:rsidRDefault="00754973" w:rsidP="00754973">
            <w:pPr>
              <w:rPr>
                <w:color w:val="000000"/>
              </w:rPr>
            </w:pPr>
            <w:r w:rsidRPr="00B353C1">
              <w:rPr>
                <w:color w:val="000000"/>
              </w:rPr>
              <w:t> </w:t>
            </w:r>
          </w:p>
        </w:tc>
      </w:tr>
      <w:tr w:rsidR="00754973" w:rsidRPr="00B353C1" w:rsidTr="00754973">
        <w:trPr>
          <w:trHeight w:val="318"/>
          <w:jc w:val="center"/>
        </w:trPr>
        <w:tc>
          <w:tcPr>
            <w:tcW w:w="4704" w:type="dxa"/>
            <w:tcBorders>
              <w:top w:val="nil"/>
              <w:left w:val="single" w:sz="8" w:space="0" w:color="auto"/>
              <w:bottom w:val="nil"/>
              <w:right w:val="nil"/>
            </w:tcBorders>
            <w:shd w:val="clear" w:color="auto" w:fill="auto"/>
            <w:noWrap/>
            <w:vAlign w:val="center"/>
            <w:hideMark/>
          </w:tcPr>
          <w:p w:rsidR="00754973" w:rsidRPr="00B353C1" w:rsidRDefault="00754973" w:rsidP="00754973">
            <w:pPr>
              <w:rPr>
                <w:color w:val="000000"/>
              </w:rPr>
            </w:pPr>
            <w:r w:rsidRPr="00B353C1">
              <w:rPr>
                <w:color w:val="000000"/>
              </w:rPr>
              <w:t xml:space="preserve">    921 Office Supplies Exp.</w:t>
            </w:r>
          </w:p>
        </w:tc>
        <w:tc>
          <w:tcPr>
            <w:tcW w:w="1617" w:type="dxa"/>
            <w:tcBorders>
              <w:top w:val="nil"/>
              <w:left w:val="nil"/>
              <w:bottom w:val="nil"/>
              <w:right w:val="nil"/>
            </w:tcBorders>
            <w:shd w:val="clear" w:color="auto" w:fill="auto"/>
            <w:noWrap/>
            <w:vAlign w:val="bottom"/>
            <w:hideMark/>
          </w:tcPr>
          <w:p w:rsidR="00754973" w:rsidRPr="00B353C1" w:rsidRDefault="00754973" w:rsidP="00754973">
            <w:pPr>
              <w:rPr>
                <w:color w:val="000000"/>
              </w:rPr>
            </w:pPr>
          </w:p>
        </w:tc>
        <w:tc>
          <w:tcPr>
            <w:tcW w:w="1172" w:type="dxa"/>
            <w:tcBorders>
              <w:top w:val="nil"/>
              <w:left w:val="nil"/>
              <w:bottom w:val="nil"/>
              <w:right w:val="nil"/>
            </w:tcBorders>
            <w:shd w:val="clear" w:color="auto" w:fill="auto"/>
            <w:noWrap/>
            <w:vAlign w:val="center"/>
            <w:hideMark/>
          </w:tcPr>
          <w:p w:rsidR="00754973" w:rsidRPr="00B353C1" w:rsidRDefault="00754973" w:rsidP="00754973">
            <w:pPr>
              <w:jc w:val="right"/>
              <w:rPr>
                <w:color w:val="000000"/>
              </w:rPr>
            </w:pPr>
            <w:r w:rsidRPr="00B353C1">
              <w:rPr>
                <w:color w:val="000000"/>
              </w:rPr>
              <w:t>($1,880)</w:t>
            </w:r>
          </w:p>
        </w:tc>
        <w:tc>
          <w:tcPr>
            <w:tcW w:w="1617" w:type="dxa"/>
            <w:tcBorders>
              <w:top w:val="nil"/>
              <w:left w:val="nil"/>
              <w:bottom w:val="nil"/>
              <w:right w:val="single" w:sz="8" w:space="0" w:color="auto"/>
            </w:tcBorders>
            <w:shd w:val="clear" w:color="auto" w:fill="auto"/>
            <w:noWrap/>
            <w:vAlign w:val="center"/>
            <w:hideMark/>
          </w:tcPr>
          <w:p w:rsidR="00754973" w:rsidRPr="00B353C1" w:rsidRDefault="00754973" w:rsidP="00754973">
            <w:pPr>
              <w:rPr>
                <w:color w:val="000000"/>
              </w:rPr>
            </w:pPr>
            <w:r w:rsidRPr="00B353C1">
              <w:rPr>
                <w:color w:val="000000"/>
              </w:rPr>
              <w:t> </w:t>
            </w:r>
          </w:p>
        </w:tc>
      </w:tr>
      <w:tr w:rsidR="00754973" w:rsidRPr="00B353C1" w:rsidTr="00754973">
        <w:trPr>
          <w:trHeight w:val="318"/>
          <w:jc w:val="center"/>
        </w:trPr>
        <w:tc>
          <w:tcPr>
            <w:tcW w:w="4704" w:type="dxa"/>
            <w:tcBorders>
              <w:top w:val="nil"/>
              <w:left w:val="single" w:sz="8" w:space="0" w:color="auto"/>
              <w:bottom w:val="nil"/>
              <w:right w:val="nil"/>
            </w:tcBorders>
            <w:shd w:val="clear" w:color="auto" w:fill="auto"/>
            <w:noWrap/>
            <w:vAlign w:val="center"/>
            <w:hideMark/>
          </w:tcPr>
          <w:p w:rsidR="00754973" w:rsidRPr="00B353C1" w:rsidRDefault="00754973" w:rsidP="00754973">
            <w:pPr>
              <w:rPr>
                <w:color w:val="000000"/>
              </w:rPr>
            </w:pPr>
            <w:r w:rsidRPr="00B353C1">
              <w:rPr>
                <w:color w:val="000000"/>
              </w:rPr>
              <w:t xml:space="preserve">    926 Employee Pension &amp; Benefits</w:t>
            </w:r>
          </w:p>
        </w:tc>
        <w:tc>
          <w:tcPr>
            <w:tcW w:w="1617" w:type="dxa"/>
            <w:tcBorders>
              <w:top w:val="nil"/>
              <w:left w:val="nil"/>
              <w:bottom w:val="nil"/>
              <w:right w:val="nil"/>
            </w:tcBorders>
            <w:shd w:val="clear" w:color="auto" w:fill="auto"/>
            <w:noWrap/>
            <w:vAlign w:val="bottom"/>
            <w:hideMark/>
          </w:tcPr>
          <w:p w:rsidR="00754973" w:rsidRPr="00B353C1" w:rsidRDefault="00754973" w:rsidP="00754973">
            <w:pPr>
              <w:rPr>
                <w:color w:val="000000"/>
              </w:rPr>
            </w:pPr>
          </w:p>
        </w:tc>
        <w:tc>
          <w:tcPr>
            <w:tcW w:w="1172" w:type="dxa"/>
            <w:tcBorders>
              <w:top w:val="nil"/>
              <w:left w:val="nil"/>
              <w:bottom w:val="nil"/>
              <w:right w:val="nil"/>
            </w:tcBorders>
            <w:shd w:val="clear" w:color="auto" w:fill="auto"/>
            <w:noWrap/>
            <w:vAlign w:val="center"/>
            <w:hideMark/>
          </w:tcPr>
          <w:p w:rsidR="00754973" w:rsidRPr="00B353C1" w:rsidRDefault="00754973" w:rsidP="00754973">
            <w:pPr>
              <w:jc w:val="right"/>
              <w:rPr>
                <w:color w:val="000000"/>
              </w:rPr>
            </w:pPr>
            <w:r w:rsidRPr="00B353C1">
              <w:rPr>
                <w:color w:val="000000"/>
              </w:rPr>
              <w:t>($413)</w:t>
            </w:r>
          </w:p>
        </w:tc>
        <w:tc>
          <w:tcPr>
            <w:tcW w:w="1617" w:type="dxa"/>
            <w:tcBorders>
              <w:top w:val="nil"/>
              <w:left w:val="nil"/>
              <w:bottom w:val="nil"/>
              <w:right w:val="single" w:sz="8" w:space="0" w:color="auto"/>
            </w:tcBorders>
            <w:shd w:val="clear" w:color="auto" w:fill="auto"/>
            <w:noWrap/>
            <w:vAlign w:val="center"/>
            <w:hideMark/>
          </w:tcPr>
          <w:p w:rsidR="00754973" w:rsidRPr="00B353C1" w:rsidRDefault="00754973" w:rsidP="00754973">
            <w:pPr>
              <w:rPr>
                <w:color w:val="000000"/>
              </w:rPr>
            </w:pPr>
            <w:r w:rsidRPr="00B353C1">
              <w:rPr>
                <w:color w:val="000000"/>
              </w:rPr>
              <w:t> </w:t>
            </w:r>
          </w:p>
        </w:tc>
      </w:tr>
      <w:tr w:rsidR="00754973" w:rsidRPr="00B353C1" w:rsidTr="00754973">
        <w:trPr>
          <w:trHeight w:val="318"/>
          <w:jc w:val="center"/>
        </w:trPr>
        <w:tc>
          <w:tcPr>
            <w:tcW w:w="4704" w:type="dxa"/>
            <w:tcBorders>
              <w:top w:val="nil"/>
              <w:left w:val="single" w:sz="8" w:space="0" w:color="auto"/>
              <w:bottom w:val="nil"/>
              <w:right w:val="nil"/>
            </w:tcBorders>
            <w:shd w:val="clear" w:color="auto" w:fill="auto"/>
            <w:noWrap/>
            <w:vAlign w:val="center"/>
            <w:hideMark/>
          </w:tcPr>
          <w:p w:rsidR="00754973" w:rsidRPr="00B353C1" w:rsidRDefault="00754973" w:rsidP="00754973">
            <w:pPr>
              <w:rPr>
                <w:color w:val="000000"/>
              </w:rPr>
            </w:pPr>
            <w:r w:rsidRPr="00B353C1">
              <w:rPr>
                <w:color w:val="000000"/>
              </w:rPr>
              <w:t xml:space="preserve">    928 Regulatory Commission Exp.</w:t>
            </w:r>
          </w:p>
        </w:tc>
        <w:tc>
          <w:tcPr>
            <w:tcW w:w="1617" w:type="dxa"/>
            <w:tcBorders>
              <w:top w:val="nil"/>
              <w:left w:val="nil"/>
              <w:bottom w:val="single" w:sz="4" w:space="0" w:color="auto"/>
              <w:right w:val="nil"/>
            </w:tcBorders>
            <w:shd w:val="clear" w:color="auto" w:fill="auto"/>
            <w:noWrap/>
            <w:vAlign w:val="center"/>
            <w:hideMark/>
          </w:tcPr>
          <w:p w:rsidR="00754973" w:rsidRPr="00B353C1" w:rsidRDefault="00754973" w:rsidP="00754973">
            <w:pPr>
              <w:rPr>
                <w:color w:val="000000"/>
              </w:rPr>
            </w:pPr>
            <w:r w:rsidRPr="00B353C1">
              <w:rPr>
                <w:color w:val="000000"/>
              </w:rPr>
              <w:t xml:space="preserve">                          </w:t>
            </w:r>
          </w:p>
        </w:tc>
        <w:tc>
          <w:tcPr>
            <w:tcW w:w="1172" w:type="dxa"/>
            <w:tcBorders>
              <w:top w:val="nil"/>
              <w:left w:val="nil"/>
              <w:bottom w:val="single" w:sz="4" w:space="0" w:color="auto"/>
              <w:right w:val="nil"/>
            </w:tcBorders>
            <w:shd w:val="clear" w:color="auto" w:fill="auto"/>
            <w:noWrap/>
            <w:vAlign w:val="center"/>
            <w:hideMark/>
          </w:tcPr>
          <w:p w:rsidR="00754973" w:rsidRPr="00B353C1" w:rsidRDefault="00754973" w:rsidP="00754973">
            <w:pPr>
              <w:jc w:val="right"/>
              <w:rPr>
                <w:color w:val="000000"/>
              </w:rPr>
            </w:pPr>
            <w:r w:rsidRPr="00B353C1">
              <w:rPr>
                <w:color w:val="000000"/>
              </w:rPr>
              <w:t xml:space="preserve">$4,699 </w:t>
            </w:r>
          </w:p>
        </w:tc>
        <w:tc>
          <w:tcPr>
            <w:tcW w:w="1617" w:type="dxa"/>
            <w:tcBorders>
              <w:top w:val="nil"/>
              <w:left w:val="nil"/>
              <w:bottom w:val="single" w:sz="4" w:space="0" w:color="auto"/>
              <w:right w:val="single" w:sz="8" w:space="0" w:color="auto"/>
            </w:tcBorders>
            <w:shd w:val="clear" w:color="auto" w:fill="auto"/>
            <w:noWrap/>
            <w:vAlign w:val="center"/>
            <w:hideMark/>
          </w:tcPr>
          <w:p w:rsidR="00754973" w:rsidRPr="00B353C1" w:rsidRDefault="00754973" w:rsidP="00754973">
            <w:pPr>
              <w:rPr>
                <w:color w:val="000000"/>
              </w:rPr>
            </w:pPr>
            <w:r w:rsidRPr="00B353C1">
              <w:rPr>
                <w:color w:val="000000"/>
              </w:rPr>
              <w:t> </w:t>
            </w:r>
          </w:p>
        </w:tc>
      </w:tr>
      <w:tr w:rsidR="00754973" w:rsidRPr="00B353C1" w:rsidTr="00754973">
        <w:trPr>
          <w:trHeight w:val="318"/>
          <w:jc w:val="center"/>
        </w:trPr>
        <w:tc>
          <w:tcPr>
            <w:tcW w:w="4704" w:type="dxa"/>
            <w:tcBorders>
              <w:top w:val="nil"/>
              <w:left w:val="single" w:sz="8" w:space="0" w:color="auto"/>
              <w:bottom w:val="nil"/>
              <w:right w:val="nil"/>
            </w:tcBorders>
            <w:shd w:val="clear" w:color="auto" w:fill="auto"/>
            <w:noWrap/>
            <w:vAlign w:val="center"/>
            <w:hideMark/>
          </w:tcPr>
          <w:p w:rsidR="00754973" w:rsidRPr="00B353C1" w:rsidRDefault="00754973" w:rsidP="00754973">
            <w:pPr>
              <w:rPr>
                <w:color w:val="000000"/>
              </w:rPr>
            </w:pPr>
            <w:r w:rsidRPr="00B353C1">
              <w:rPr>
                <w:color w:val="000000"/>
              </w:rPr>
              <w:t>TOTAL O &amp; M EXPENSE</w:t>
            </w:r>
          </w:p>
        </w:tc>
        <w:tc>
          <w:tcPr>
            <w:tcW w:w="1617" w:type="dxa"/>
            <w:tcBorders>
              <w:top w:val="nil"/>
              <w:left w:val="nil"/>
              <w:bottom w:val="nil"/>
              <w:right w:val="nil"/>
            </w:tcBorders>
            <w:shd w:val="clear" w:color="auto" w:fill="auto"/>
            <w:noWrap/>
            <w:vAlign w:val="center"/>
            <w:hideMark/>
          </w:tcPr>
          <w:p w:rsidR="00754973" w:rsidRPr="00B353C1" w:rsidRDefault="00754973" w:rsidP="00754973">
            <w:pPr>
              <w:jc w:val="right"/>
              <w:rPr>
                <w:color w:val="000000"/>
              </w:rPr>
            </w:pPr>
            <w:r w:rsidRPr="00B353C1">
              <w:rPr>
                <w:color w:val="000000"/>
              </w:rPr>
              <w:t xml:space="preserve">$739,587 </w:t>
            </w:r>
          </w:p>
        </w:tc>
        <w:tc>
          <w:tcPr>
            <w:tcW w:w="1172" w:type="dxa"/>
            <w:tcBorders>
              <w:top w:val="nil"/>
              <w:left w:val="nil"/>
              <w:bottom w:val="nil"/>
              <w:right w:val="nil"/>
            </w:tcBorders>
            <w:shd w:val="clear" w:color="auto" w:fill="auto"/>
            <w:noWrap/>
            <w:vAlign w:val="center"/>
            <w:hideMark/>
          </w:tcPr>
          <w:p w:rsidR="00754973" w:rsidRPr="00B353C1" w:rsidRDefault="00754973" w:rsidP="00754973">
            <w:pPr>
              <w:jc w:val="right"/>
              <w:rPr>
                <w:color w:val="000000"/>
              </w:rPr>
            </w:pPr>
            <w:r w:rsidRPr="00B353C1">
              <w:rPr>
                <w:color w:val="000000"/>
              </w:rPr>
              <w:t xml:space="preserve">$2,405 </w:t>
            </w:r>
          </w:p>
        </w:tc>
        <w:tc>
          <w:tcPr>
            <w:tcW w:w="1617" w:type="dxa"/>
            <w:tcBorders>
              <w:top w:val="nil"/>
              <w:left w:val="nil"/>
              <w:bottom w:val="nil"/>
              <w:right w:val="single" w:sz="8" w:space="0" w:color="auto"/>
            </w:tcBorders>
            <w:shd w:val="clear" w:color="auto" w:fill="auto"/>
            <w:noWrap/>
            <w:vAlign w:val="center"/>
            <w:hideMark/>
          </w:tcPr>
          <w:p w:rsidR="00754973" w:rsidRPr="00B353C1" w:rsidRDefault="00754973" w:rsidP="00754973">
            <w:pPr>
              <w:jc w:val="right"/>
              <w:rPr>
                <w:color w:val="000000"/>
              </w:rPr>
            </w:pPr>
            <w:r w:rsidRPr="00B353C1">
              <w:rPr>
                <w:color w:val="000000"/>
              </w:rPr>
              <w:t xml:space="preserve">$741,992 </w:t>
            </w:r>
          </w:p>
        </w:tc>
      </w:tr>
      <w:tr w:rsidR="00754973" w:rsidRPr="00B353C1" w:rsidTr="00754973">
        <w:trPr>
          <w:trHeight w:val="318"/>
          <w:jc w:val="center"/>
        </w:trPr>
        <w:tc>
          <w:tcPr>
            <w:tcW w:w="4704" w:type="dxa"/>
            <w:tcBorders>
              <w:top w:val="nil"/>
              <w:left w:val="single" w:sz="8" w:space="0" w:color="auto"/>
              <w:bottom w:val="nil"/>
              <w:right w:val="nil"/>
            </w:tcBorders>
            <w:shd w:val="clear" w:color="auto" w:fill="auto"/>
            <w:noWrap/>
            <w:vAlign w:val="center"/>
            <w:hideMark/>
          </w:tcPr>
          <w:p w:rsidR="00754973" w:rsidRPr="00B353C1" w:rsidRDefault="00754973" w:rsidP="00754973">
            <w:pPr>
              <w:rPr>
                <w:color w:val="000000"/>
              </w:rPr>
            </w:pPr>
            <w:r w:rsidRPr="00B353C1">
              <w:rPr>
                <w:color w:val="000000"/>
              </w:rPr>
              <w:t> </w:t>
            </w:r>
          </w:p>
        </w:tc>
        <w:tc>
          <w:tcPr>
            <w:tcW w:w="1617" w:type="dxa"/>
            <w:tcBorders>
              <w:top w:val="nil"/>
              <w:left w:val="nil"/>
              <w:bottom w:val="nil"/>
              <w:right w:val="nil"/>
            </w:tcBorders>
            <w:shd w:val="clear" w:color="auto" w:fill="auto"/>
            <w:noWrap/>
            <w:vAlign w:val="bottom"/>
            <w:hideMark/>
          </w:tcPr>
          <w:p w:rsidR="00754973" w:rsidRPr="00B353C1" w:rsidRDefault="00754973" w:rsidP="00754973">
            <w:pPr>
              <w:rPr>
                <w:color w:val="000000"/>
              </w:rPr>
            </w:pPr>
          </w:p>
        </w:tc>
        <w:tc>
          <w:tcPr>
            <w:tcW w:w="1172" w:type="dxa"/>
            <w:tcBorders>
              <w:top w:val="nil"/>
              <w:left w:val="nil"/>
              <w:bottom w:val="nil"/>
              <w:right w:val="nil"/>
            </w:tcBorders>
            <w:shd w:val="clear" w:color="auto" w:fill="auto"/>
            <w:noWrap/>
            <w:vAlign w:val="bottom"/>
            <w:hideMark/>
          </w:tcPr>
          <w:p w:rsidR="00754973" w:rsidRPr="00B353C1" w:rsidRDefault="00754973" w:rsidP="00754973">
            <w:pPr>
              <w:rPr>
                <w:color w:val="000000"/>
              </w:rPr>
            </w:pPr>
          </w:p>
        </w:tc>
        <w:tc>
          <w:tcPr>
            <w:tcW w:w="1617" w:type="dxa"/>
            <w:tcBorders>
              <w:top w:val="nil"/>
              <w:left w:val="nil"/>
              <w:bottom w:val="nil"/>
              <w:right w:val="single" w:sz="8" w:space="0" w:color="auto"/>
            </w:tcBorders>
            <w:shd w:val="clear" w:color="auto" w:fill="auto"/>
            <w:noWrap/>
            <w:vAlign w:val="center"/>
            <w:hideMark/>
          </w:tcPr>
          <w:p w:rsidR="00754973" w:rsidRPr="00B353C1" w:rsidRDefault="00754973" w:rsidP="00754973">
            <w:pPr>
              <w:rPr>
                <w:color w:val="000000"/>
              </w:rPr>
            </w:pPr>
            <w:r w:rsidRPr="00B353C1">
              <w:rPr>
                <w:color w:val="000000"/>
              </w:rPr>
              <w:t> </w:t>
            </w:r>
          </w:p>
        </w:tc>
      </w:tr>
      <w:tr w:rsidR="00754973" w:rsidRPr="00B353C1" w:rsidTr="00754973">
        <w:trPr>
          <w:trHeight w:val="318"/>
          <w:jc w:val="center"/>
        </w:trPr>
        <w:tc>
          <w:tcPr>
            <w:tcW w:w="4704" w:type="dxa"/>
            <w:tcBorders>
              <w:top w:val="nil"/>
              <w:left w:val="single" w:sz="8" w:space="0" w:color="auto"/>
              <w:bottom w:val="nil"/>
              <w:right w:val="nil"/>
            </w:tcBorders>
            <w:shd w:val="clear" w:color="auto" w:fill="auto"/>
            <w:noWrap/>
            <w:vAlign w:val="center"/>
            <w:hideMark/>
          </w:tcPr>
          <w:p w:rsidR="00754973" w:rsidRPr="00B353C1" w:rsidRDefault="00754973" w:rsidP="00754973">
            <w:pPr>
              <w:rPr>
                <w:color w:val="000000"/>
              </w:rPr>
            </w:pPr>
            <w:r w:rsidRPr="00B353C1">
              <w:rPr>
                <w:color w:val="000000"/>
              </w:rPr>
              <w:t>DEPRECIATION &amp; AMORT. EXP.</w:t>
            </w:r>
          </w:p>
        </w:tc>
        <w:tc>
          <w:tcPr>
            <w:tcW w:w="1617" w:type="dxa"/>
            <w:tcBorders>
              <w:top w:val="nil"/>
              <w:left w:val="nil"/>
              <w:bottom w:val="nil"/>
              <w:right w:val="nil"/>
            </w:tcBorders>
            <w:shd w:val="clear" w:color="auto" w:fill="auto"/>
            <w:noWrap/>
            <w:vAlign w:val="center"/>
            <w:hideMark/>
          </w:tcPr>
          <w:p w:rsidR="00754973" w:rsidRPr="00B353C1" w:rsidRDefault="00754973" w:rsidP="00754973">
            <w:pPr>
              <w:jc w:val="right"/>
              <w:rPr>
                <w:color w:val="000000"/>
              </w:rPr>
            </w:pPr>
            <w:r w:rsidRPr="00B353C1">
              <w:rPr>
                <w:color w:val="000000"/>
              </w:rPr>
              <w:t>$26</w:t>
            </w:r>
            <w:r>
              <w:rPr>
                <w:color w:val="000000"/>
              </w:rPr>
              <w:t>0</w:t>
            </w:r>
            <w:r w:rsidRPr="00B353C1">
              <w:rPr>
                <w:color w:val="000000"/>
              </w:rPr>
              <w:t>,</w:t>
            </w:r>
            <w:r>
              <w:rPr>
                <w:color w:val="000000"/>
              </w:rPr>
              <w:t>594</w:t>
            </w:r>
            <w:r w:rsidRPr="00B353C1">
              <w:rPr>
                <w:color w:val="000000"/>
              </w:rPr>
              <w:t xml:space="preserve"> </w:t>
            </w:r>
          </w:p>
        </w:tc>
        <w:tc>
          <w:tcPr>
            <w:tcW w:w="1172" w:type="dxa"/>
            <w:tcBorders>
              <w:top w:val="nil"/>
              <w:left w:val="nil"/>
              <w:bottom w:val="nil"/>
              <w:right w:val="nil"/>
            </w:tcBorders>
            <w:shd w:val="clear" w:color="auto" w:fill="auto"/>
            <w:noWrap/>
            <w:vAlign w:val="bottom"/>
            <w:hideMark/>
          </w:tcPr>
          <w:p w:rsidR="00754973" w:rsidRPr="00B353C1" w:rsidRDefault="00754973" w:rsidP="00754973">
            <w:pPr>
              <w:rPr>
                <w:color w:val="000000"/>
              </w:rPr>
            </w:pPr>
          </w:p>
        </w:tc>
        <w:tc>
          <w:tcPr>
            <w:tcW w:w="1617" w:type="dxa"/>
            <w:tcBorders>
              <w:top w:val="nil"/>
              <w:left w:val="nil"/>
              <w:bottom w:val="nil"/>
              <w:right w:val="single" w:sz="8" w:space="0" w:color="auto"/>
            </w:tcBorders>
            <w:shd w:val="clear" w:color="auto" w:fill="auto"/>
            <w:noWrap/>
            <w:vAlign w:val="center"/>
            <w:hideMark/>
          </w:tcPr>
          <w:p w:rsidR="00754973" w:rsidRPr="00B353C1" w:rsidRDefault="00754973" w:rsidP="00754973">
            <w:pPr>
              <w:rPr>
                <w:color w:val="000000"/>
              </w:rPr>
            </w:pPr>
            <w:r w:rsidRPr="00B353C1">
              <w:rPr>
                <w:color w:val="000000"/>
              </w:rPr>
              <w:t> </w:t>
            </w:r>
          </w:p>
        </w:tc>
      </w:tr>
      <w:tr w:rsidR="00754973" w:rsidRPr="00B353C1" w:rsidTr="00754973">
        <w:trPr>
          <w:trHeight w:val="318"/>
          <w:jc w:val="center"/>
        </w:trPr>
        <w:tc>
          <w:tcPr>
            <w:tcW w:w="4704" w:type="dxa"/>
            <w:tcBorders>
              <w:top w:val="nil"/>
              <w:left w:val="single" w:sz="8" w:space="0" w:color="auto"/>
              <w:bottom w:val="nil"/>
              <w:right w:val="nil"/>
            </w:tcBorders>
            <w:shd w:val="clear" w:color="auto" w:fill="auto"/>
            <w:noWrap/>
            <w:vAlign w:val="center"/>
            <w:hideMark/>
          </w:tcPr>
          <w:p w:rsidR="00754973" w:rsidRPr="00B353C1" w:rsidRDefault="00754973" w:rsidP="00754973">
            <w:pPr>
              <w:rPr>
                <w:color w:val="000000"/>
              </w:rPr>
            </w:pPr>
            <w:r w:rsidRPr="00B353C1">
              <w:rPr>
                <w:color w:val="000000"/>
              </w:rPr>
              <w:t xml:space="preserve">    376.1 Mains - Plastic</w:t>
            </w:r>
          </w:p>
        </w:tc>
        <w:tc>
          <w:tcPr>
            <w:tcW w:w="1617" w:type="dxa"/>
            <w:tcBorders>
              <w:top w:val="nil"/>
              <w:left w:val="nil"/>
              <w:bottom w:val="nil"/>
              <w:right w:val="nil"/>
            </w:tcBorders>
            <w:shd w:val="clear" w:color="auto" w:fill="auto"/>
            <w:noWrap/>
            <w:vAlign w:val="bottom"/>
            <w:hideMark/>
          </w:tcPr>
          <w:p w:rsidR="00754973" w:rsidRPr="00B353C1" w:rsidRDefault="00754973" w:rsidP="00754973">
            <w:pPr>
              <w:rPr>
                <w:color w:val="000000"/>
              </w:rPr>
            </w:pPr>
          </w:p>
        </w:tc>
        <w:tc>
          <w:tcPr>
            <w:tcW w:w="1172" w:type="dxa"/>
            <w:tcBorders>
              <w:top w:val="nil"/>
              <w:left w:val="nil"/>
              <w:bottom w:val="nil"/>
              <w:right w:val="nil"/>
            </w:tcBorders>
            <w:shd w:val="clear" w:color="auto" w:fill="auto"/>
            <w:noWrap/>
            <w:vAlign w:val="center"/>
            <w:hideMark/>
          </w:tcPr>
          <w:p w:rsidR="00754973" w:rsidRPr="00B353C1" w:rsidRDefault="00754973" w:rsidP="00754973">
            <w:pPr>
              <w:jc w:val="right"/>
              <w:rPr>
                <w:color w:val="000000"/>
              </w:rPr>
            </w:pPr>
            <w:r w:rsidRPr="00B353C1">
              <w:rPr>
                <w:color w:val="000000"/>
              </w:rPr>
              <w:t>($400)</w:t>
            </w:r>
          </w:p>
        </w:tc>
        <w:tc>
          <w:tcPr>
            <w:tcW w:w="1617" w:type="dxa"/>
            <w:tcBorders>
              <w:top w:val="nil"/>
              <w:left w:val="nil"/>
              <w:bottom w:val="nil"/>
              <w:right w:val="single" w:sz="8" w:space="0" w:color="auto"/>
            </w:tcBorders>
            <w:shd w:val="clear" w:color="auto" w:fill="auto"/>
            <w:noWrap/>
            <w:vAlign w:val="center"/>
            <w:hideMark/>
          </w:tcPr>
          <w:p w:rsidR="00754973" w:rsidRPr="00B353C1" w:rsidRDefault="00754973" w:rsidP="00754973">
            <w:pPr>
              <w:rPr>
                <w:color w:val="000000"/>
              </w:rPr>
            </w:pPr>
            <w:r w:rsidRPr="00B353C1">
              <w:rPr>
                <w:color w:val="000000"/>
              </w:rPr>
              <w:t> </w:t>
            </w:r>
          </w:p>
        </w:tc>
      </w:tr>
      <w:tr w:rsidR="00754973" w:rsidRPr="00B353C1" w:rsidTr="00754973">
        <w:trPr>
          <w:trHeight w:val="318"/>
          <w:jc w:val="center"/>
        </w:trPr>
        <w:tc>
          <w:tcPr>
            <w:tcW w:w="4704" w:type="dxa"/>
            <w:tcBorders>
              <w:top w:val="nil"/>
              <w:left w:val="single" w:sz="8" w:space="0" w:color="auto"/>
              <w:bottom w:val="nil"/>
              <w:right w:val="nil"/>
            </w:tcBorders>
            <w:shd w:val="clear" w:color="auto" w:fill="auto"/>
            <w:noWrap/>
            <w:vAlign w:val="center"/>
            <w:hideMark/>
          </w:tcPr>
          <w:p w:rsidR="00754973" w:rsidRPr="00B353C1" w:rsidRDefault="00754973" w:rsidP="00754973">
            <w:pPr>
              <w:rPr>
                <w:color w:val="000000"/>
              </w:rPr>
            </w:pPr>
            <w:r w:rsidRPr="00B353C1">
              <w:rPr>
                <w:color w:val="000000"/>
              </w:rPr>
              <w:t xml:space="preserve">    380.1 Services - Plastic</w:t>
            </w:r>
          </w:p>
        </w:tc>
        <w:tc>
          <w:tcPr>
            <w:tcW w:w="1617" w:type="dxa"/>
            <w:tcBorders>
              <w:top w:val="nil"/>
              <w:left w:val="nil"/>
              <w:bottom w:val="single" w:sz="4" w:space="0" w:color="auto"/>
              <w:right w:val="nil"/>
            </w:tcBorders>
            <w:shd w:val="clear" w:color="auto" w:fill="auto"/>
            <w:noWrap/>
            <w:vAlign w:val="bottom"/>
            <w:hideMark/>
          </w:tcPr>
          <w:p w:rsidR="00754973" w:rsidRPr="00B353C1" w:rsidRDefault="00754973" w:rsidP="00754973">
            <w:pPr>
              <w:rPr>
                <w:color w:val="000000"/>
              </w:rPr>
            </w:pPr>
            <w:r w:rsidRPr="00B353C1">
              <w:rPr>
                <w:color w:val="000000"/>
              </w:rPr>
              <w:t> </w:t>
            </w:r>
          </w:p>
        </w:tc>
        <w:tc>
          <w:tcPr>
            <w:tcW w:w="1172" w:type="dxa"/>
            <w:tcBorders>
              <w:top w:val="nil"/>
              <w:left w:val="nil"/>
              <w:bottom w:val="single" w:sz="4" w:space="0" w:color="auto"/>
              <w:right w:val="nil"/>
            </w:tcBorders>
            <w:shd w:val="clear" w:color="auto" w:fill="auto"/>
            <w:noWrap/>
            <w:vAlign w:val="center"/>
            <w:hideMark/>
          </w:tcPr>
          <w:p w:rsidR="00754973" w:rsidRPr="00B353C1" w:rsidRDefault="00754973" w:rsidP="00754973">
            <w:pPr>
              <w:jc w:val="right"/>
              <w:rPr>
                <w:color w:val="000000"/>
              </w:rPr>
            </w:pPr>
            <w:r w:rsidRPr="00B353C1">
              <w:rPr>
                <w:color w:val="000000"/>
              </w:rPr>
              <w:t>($142)</w:t>
            </w:r>
          </w:p>
        </w:tc>
        <w:tc>
          <w:tcPr>
            <w:tcW w:w="1617" w:type="dxa"/>
            <w:tcBorders>
              <w:top w:val="nil"/>
              <w:left w:val="nil"/>
              <w:bottom w:val="single" w:sz="4" w:space="0" w:color="auto"/>
              <w:right w:val="single" w:sz="8" w:space="0" w:color="auto"/>
            </w:tcBorders>
            <w:shd w:val="clear" w:color="auto" w:fill="auto"/>
            <w:noWrap/>
            <w:vAlign w:val="center"/>
            <w:hideMark/>
          </w:tcPr>
          <w:p w:rsidR="00754973" w:rsidRPr="00B353C1" w:rsidRDefault="00754973" w:rsidP="00754973">
            <w:pPr>
              <w:rPr>
                <w:color w:val="000000"/>
              </w:rPr>
            </w:pPr>
            <w:r w:rsidRPr="00B353C1">
              <w:rPr>
                <w:color w:val="000000"/>
              </w:rPr>
              <w:t> </w:t>
            </w:r>
          </w:p>
        </w:tc>
      </w:tr>
      <w:tr w:rsidR="00754973" w:rsidRPr="00B353C1" w:rsidTr="00754973">
        <w:trPr>
          <w:trHeight w:val="318"/>
          <w:jc w:val="center"/>
        </w:trPr>
        <w:tc>
          <w:tcPr>
            <w:tcW w:w="4704" w:type="dxa"/>
            <w:tcBorders>
              <w:top w:val="nil"/>
              <w:left w:val="single" w:sz="8" w:space="0" w:color="auto"/>
              <w:bottom w:val="nil"/>
              <w:right w:val="nil"/>
            </w:tcBorders>
            <w:shd w:val="clear" w:color="auto" w:fill="auto"/>
            <w:noWrap/>
            <w:vAlign w:val="center"/>
            <w:hideMark/>
          </w:tcPr>
          <w:p w:rsidR="00754973" w:rsidRPr="00B353C1" w:rsidRDefault="00754973" w:rsidP="00754973">
            <w:pPr>
              <w:rPr>
                <w:color w:val="000000"/>
              </w:rPr>
            </w:pPr>
            <w:r w:rsidRPr="00B353C1">
              <w:rPr>
                <w:color w:val="000000"/>
              </w:rPr>
              <w:t>TOTAL DEPRECIATION &amp; AMORT.</w:t>
            </w:r>
          </w:p>
        </w:tc>
        <w:tc>
          <w:tcPr>
            <w:tcW w:w="1617" w:type="dxa"/>
            <w:tcBorders>
              <w:top w:val="nil"/>
              <w:left w:val="nil"/>
              <w:bottom w:val="nil"/>
              <w:right w:val="nil"/>
            </w:tcBorders>
            <w:shd w:val="clear" w:color="auto" w:fill="auto"/>
            <w:noWrap/>
            <w:vAlign w:val="center"/>
            <w:hideMark/>
          </w:tcPr>
          <w:p w:rsidR="00754973" w:rsidRPr="00B353C1" w:rsidRDefault="00754973" w:rsidP="00754973">
            <w:pPr>
              <w:jc w:val="right"/>
              <w:rPr>
                <w:color w:val="000000"/>
              </w:rPr>
            </w:pPr>
            <w:r w:rsidRPr="00B353C1">
              <w:rPr>
                <w:color w:val="000000"/>
              </w:rPr>
              <w:t>$2</w:t>
            </w:r>
            <w:r>
              <w:rPr>
                <w:color w:val="000000"/>
              </w:rPr>
              <w:t>60</w:t>
            </w:r>
            <w:r w:rsidRPr="00B353C1">
              <w:rPr>
                <w:color w:val="000000"/>
              </w:rPr>
              <w:t>,</w:t>
            </w:r>
            <w:r>
              <w:rPr>
                <w:color w:val="000000"/>
              </w:rPr>
              <w:t>594</w:t>
            </w:r>
            <w:r w:rsidRPr="00B353C1">
              <w:rPr>
                <w:color w:val="000000"/>
              </w:rPr>
              <w:t xml:space="preserve"> </w:t>
            </w:r>
          </w:p>
        </w:tc>
        <w:tc>
          <w:tcPr>
            <w:tcW w:w="1172" w:type="dxa"/>
            <w:tcBorders>
              <w:top w:val="nil"/>
              <w:left w:val="nil"/>
              <w:bottom w:val="nil"/>
              <w:right w:val="nil"/>
            </w:tcBorders>
            <w:shd w:val="clear" w:color="auto" w:fill="auto"/>
            <w:noWrap/>
            <w:vAlign w:val="center"/>
            <w:hideMark/>
          </w:tcPr>
          <w:p w:rsidR="00754973" w:rsidRPr="00B353C1" w:rsidRDefault="00754973" w:rsidP="00754973">
            <w:pPr>
              <w:jc w:val="right"/>
              <w:rPr>
                <w:color w:val="000000"/>
              </w:rPr>
            </w:pPr>
            <w:r w:rsidRPr="00B353C1">
              <w:rPr>
                <w:color w:val="000000"/>
              </w:rPr>
              <w:t>($542)</w:t>
            </w:r>
          </w:p>
        </w:tc>
        <w:tc>
          <w:tcPr>
            <w:tcW w:w="1617" w:type="dxa"/>
            <w:tcBorders>
              <w:top w:val="nil"/>
              <w:left w:val="nil"/>
              <w:bottom w:val="nil"/>
              <w:right w:val="single" w:sz="8" w:space="0" w:color="auto"/>
            </w:tcBorders>
            <w:shd w:val="clear" w:color="auto" w:fill="auto"/>
            <w:noWrap/>
            <w:vAlign w:val="center"/>
            <w:hideMark/>
          </w:tcPr>
          <w:p w:rsidR="00754973" w:rsidRPr="00B353C1" w:rsidRDefault="00754973" w:rsidP="00754973">
            <w:pPr>
              <w:jc w:val="right"/>
              <w:rPr>
                <w:color w:val="000000"/>
              </w:rPr>
            </w:pPr>
            <w:r w:rsidRPr="00B353C1">
              <w:rPr>
                <w:color w:val="000000"/>
              </w:rPr>
              <w:t>$26</w:t>
            </w:r>
            <w:r>
              <w:rPr>
                <w:color w:val="000000"/>
              </w:rPr>
              <w:t>0</w:t>
            </w:r>
            <w:r w:rsidRPr="00B353C1">
              <w:rPr>
                <w:color w:val="000000"/>
              </w:rPr>
              <w:t>,</w:t>
            </w:r>
            <w:r>
              <w:rPr>
                <w:color w:val="000000"/>
              </w:rPr>
              <w:t>052</w:t>
            </w:r>
            <w:r w:rsidRPr="00B353C1">
              <w:rPr>
                <w:color w:val="000000"/>
              </w:rPr>
              <w:t xml:space="preserve"> </w:t>
            </w:r>
          </w:p>
        </w:tc>
      </w:tr>
      <w:tr w:rsidR="00754973" w:rsidRPr="00B353C1" w:rsidTr="00754973">
        <w:trPr>
          <w:trHeight w:val="318"/>
          <w:jc w:val="center"/>
        </w:trPr>
        <w:tc>
          <w:tcPr>
            <w:tcW w:w="4704" w:type="dxa"/>
            <w:tcBorders>
              <w:top w:val="nil"/>
              <w:left w:val="single" w:sz="8" w:space="0" w:color="auto"/>
              <w:bottom w:val="nil"/>
              <w:right w:val="nil"/>
            </w:tcBorders>
            <w:shd w:val="clear" w:color="auto" w:fill="auto"/>
            <w:noWrap/>
            <w:vAlign w:val="center"/>
            <w:hideMark/>
          </w:tcPr>
          <w:p w:rsidR="00754973" w:rsidRPr="00B353C1" w:rsidRDefault="00754973" w:rsidP="00754973">
            <w:pPr>
              <w:rPr>
                <w:color w:val="000000"/>
              </w:rPr>
            </w:pPr>
            <w:r w:rsidRPr="00B353C1">
              <w:rPr>
                <w:color w:val="000000"/>
              </w:rPr>
              <w:t> </w:t>
            </w:r>
          </w:p>
        </w:tc>
        <w:tc>
          <w:tcPr>
            <w:tcW w:w="1617" w:type="dxa"/>
            <w:tcBorders>
              <w:top w:val="nil"/>
              <w:left w:val="nil"/>
              <w:bottom w:val="nil"/>
              <w:right w:val="nil"/>
            </w:tcBorders>
            <w:shd w:val="clear" w:color="auto" w:fill="auto"/>
            <w:noWrap/>
            <w:vAlign w:val="bottom"/>
            <w:hideMark/>
          </w:tcPr>
          <w:p w:rsidR="00754973" w:rsidRPr="00B353C1" w:rsidRDefault="00754973" w:rsidP="00754973">
            <w:pPr>
              <w:rPr>
                <w:color w:val="000000"/>
              </w:rPr>
            </w:pPr>
          </w:p>
        </w:tc>
        <w:tc>
          <w:tcPr>
            <w:tcW w:w="1172" w:type="dxa"/>
            <w:tcBorders>
              <w:top w:val="nil"/>
              <w:left w:val="nil"/>
              <w:bottom w:val="nil"/>
              <w:right w:val="nil"/>
            </w:tcBorders>
            <w:shd w:val="clear" w:color="auto" w:fill="auto"/>
            <w:noWrap/>
            <w:vAlign w:val="bottom"/>
            <w:hideMark/>
          </w:tcPr>
          <w:p w:rsidR="00754973" w:rsidRPr="00B353C1" w:rsidRDefault="00754973" w:rsidP="00754973">
            <w:pPr>
              <w:rPr>
                <w:color w:val="000000"/>
              </w:rPr>
            </w:pPr>
          </w:p>
        </w:tc>
        <w:tc>
          <w:tcPr>
            <w:tcW w:w="1617" w:type="dxa"/>
            <w:tcBorders>
              <w:top w:val="nil"/>
              <w:left w:val="nil"/>
              <w:bottom w:val="nil"/>
              <w:right w:val="single" w:sz="8" w:space="0" w:color="auto"/>
            </w:tcBorders>
            <w:shd w:val="clear" w:color="auto" w:fill="auto"/>
            <w:noWrap/>
            <w:vAlign w:val="center"/>
            <w:hideMark/>
          </w:tcPr>
          <w:p w:rsidR="00754973" w:rsidRPr="00B353C1" w:rsidRDefault="00754973" w:rsidP="00754973">
            <w:pPr>
              <w:rPr>
                <w:color w:val="000000"/>
              </w:rPr>
            </w:pPr>
            <w:r w:rsidRPr="00B353C1">
              <w:rPr>
                <w:color w:val="000000"/>
              </w:rPr>
              <w:t> </w:t>
            </w:r>
          </w:p>
        </w:tc>
      </w:tr>
      <w:tr w:rsidR="00754973" w:rsidRPr="00B353C1" w:rsidTr="00754973">
        <w:trPr>
          <w:trHeight w:val="318"/>
          <w:jc w:val="center"/>
        </w:trPr>
        <w:tc>
          <w:tcPr>
            <w:tcW w:w="4704" w:type="dxa"/>
            <w:tcBorders>
              <w:top w:val="nil"/>
              <w:left w:val="single" w:sz="8" w:space="0" w:color="auto"/>
              <w:bottom w:val="nil"/>
              <w:right w:val="nil"/>
            </w:tcBorders>
            <w:shd w:val="clear" w:color="auto" w:fill="auto"/>
            <w:noWrap/>
            <w:vAlign w:val="center"/>
            <w:hideMark/>
          </w:tcPr>
          <w:p w:rsidR="00754973" w:rsidRPr="00B353C1" w:rsidRDefault="00754973" w:rsidP="00754973">
            <w:pPr>
              <w:rPr>
                <w:color w:val="000000"/>
              </w:rPr>
            </w:pPr>
            <w:r w:rsidRPr="00B353C1">
              <w:rPr>
                <w:color w:val="000000"/>
              </w:rPr>
              <w:t>TAXES OTHER THAN INCOME</w:t>
            </w:r>
          </w:p>
        </w:tc>
        <w:tc>
          <w:tcPr>
            <w:tcW w:w="1617" w:type="dxa"/>
            <w:tcBorders>
              <w:top w:val="nil"/>
              <w:left w:val="nil"/>
              <w:right w:val="nil"/>
            </w:tcBorders>
            <w:shd w:val="clear" w:color="auto" w:fill="auto"/>
            <w:noWrap/>
            <w:vAlign w:val="center"/>
            <w:hideMark/>
          </w:tcPr>
          <w:p w:rsidR="00754973" w:rsidRPr="00B353C1" w:rsidRDefault="00754973" w:rsidP="00754973">
            <w:pPr>
              <w:jc w:val="right"/>
              <w:rPr>
                <w:color w:val="000000"/>
              </w:rPr>
            </w:pPr>
            <w:r w:rsidRPr="00B353C1">
              <w:rPr>
                <w:color w:val="000000"/>
              </w:rPr>
              <w:t>$2</w:t>
            </w:r>
            <w:r>
              <w:rPr>
                <w:color w:val="000000"/>
              </w:rPr>
              <w:t>2,931</w:t>
            </w:r>
            <w:r w:rsidRPr="00B353C1">
              <w:rPr>
                <w:color w:val="000000"/>
              </w:rPr>
              <w:t xml:space="preserve"> </w:t>
            </w:r>
          </w:p>
        </w:tc>
        <w:tc>
          <w:tcPr>
            <w:tcW w:w="1172" w:type="dxa"/>
            <w:tcBorders>
              <w:top w:val="nil"/>
              <w:left w:val="nil"/>
              <w:right w:val="nil"/>
            </w:tcBorders>
            <w:shd w:val="clear" w:color="auto" w:fill="auto"/>
            <w:noWrap/>
            <w:vAlign w:val="bottom"/>
            <w:hideMark/>
          </w:tcPr>
          <w:p w:rsidR="00754973" w:rsidRPr="00B353C1" w:rsidRDefault="00754973" w:rsidP="00754973">
            <w:pPr>
              <w:jc w:val="right"/>
              <w:rPr>
                <w:color w:val="000000"/>
              </w:rPr>
            </w:pPr>
          </w:p>
        </w:tc>
        <w:tc>
          <w:tcPr>
            <w:tcW w:w="1617" w:type="dxa"/>
            <w:tcBorders>
              <w:top w:val="nil"/>
              <w:left w:val="nil"/>
              <w:right w:val="single" w:sz="8" w:space="0" w:color="auto"/>
            </w:tcBorders>
            <w:shd w:val="clear" w:color="auto" w:fill="auto"/>
            <w:noWrap/>
            <w:vAlign w:val="center"/>
            <w:hideMark/>
          </w:tcPr>
          <w:p w:rsidR="00754973" w:rsidRPr="00B353C1" w:rsidRDefault="00754973" w:rsidP="00754973">
            <w:pPr>
              <w:rPr>
                <w:color w:val="000000"/>
              </w:rPr>
            </w:pPr>
            <w:r w:rsidRPr="00B353C1">
              <w:rPr>
                <w:color w:val="000000"/>
              </w:rPr>
              <w:t> </w:t>
            </w:r>
          </w:p>
        </w:tc>
      </w:tr>
      <w:tr w:rsidR="00754973" w:rsidRPr="00B353C1" w:rsidTr="00754973">
        <w:trPr>
          <w:trHeight w:val="318"/>
          <w:jc w:val="center"/>
        </w:trPr>
        <w:tc>
          <w:tcPr>
            <w:tcW w:w="4704" w:type="dxa"/>
            <w:tcBorders>
              <w:top w:val="nil"/>
              <w:left w:val="single" w:sz="8" w:space="0" w:color="auto"/>
              <w:bottom w:val="nil"/>
              <w:right w:val="nil"/>
            </w:tcBorders>
            <w:shd w:val="clear" w:color="auto" w:fill="auto"/>
            <w:noWrap/>
            <w:vAlign w:val="center"/>
            <w:hideMark/>
          </w:tcPr>
          <w:p w:rsidR="00754973" w:rsidRPr="00B353C1" w:rsidRDefault="00754973" w:rsidP="00754973">
            <w:pPr>
              <w:rPr>
                <w:color w:val="000000"/>
              </w:rPr>
            </w:pPr>
            <w:r w:rsidRPr="00B353C1">
              <w:rPr>
                <w:color w:val="000000"/>
              </w:rPr>
              <w:t> </w:t>
            </w:r>
          </w:p>
        </w:tc>
        <w:tc>
          <w:tcPr>
            <w:tcW w:w="1617" w:type="dxa"/>
            <w:tcBorders>
              <w:top w:val="nil"/>
              <w:left w:val="nil"/>
              <w:bottom w:val="single" w:sz="4" w:space="0" w:color="auto"/>
              <w:right w:val="nil"/>
            </w:tcBorders>
            <w:shd w:val="clear" w:color="auto" w:fill="auto"/>
            <w:noWrap/>
            <w:vAlign w:val="bottom"/>
            <w:hideMark/>
          </w:tcPr>
          <w:p w:rsidR="00754973" w:rsidRPr="00B353C1" w:rsidRDefault="00754973" w:rsidP="00754973">
            <w:pPr>
              <w:rPr>
                <w:color w:val="000000"/>
              </w:rPr>
            </w:pPr>
          </w:p>
        </w:tc>
        <w:tc>
          <w:tcPr>
            <w:tcW w:w="1172" w:type="dxa"/>
            <w:tcBorders>
              <w:top w:val="nil"/>
              <w:left w:val="nil"/>
              <w:bottom w:val="single" w:sz="4" w:space="0" w:color="auto"/>
              <w:right w:val="nil"/>
            </w:tcBorders>
            <w:shd w:val="clear" w:color="auto" w:fill="auto"/>
            <w:noWrap/>
            <w:vAlign w:val="bottom"/>
            <w:hideMark/>
          </w:tcPr>
          <w:p w:rsidR="00754973" w:rsidRPr="00B353C1" w:rsidRDefault="00754973" w:rsidP="00754973">
            <w:pPr>
              <w:rPr>
                <w:color w:val="000000"/>
              </w:rPr>
            </w:pPr>
            <w:r>
              <w:rPr>
                <w:color w:val="000000"/>
              </w:rPr>
              <w:t xml:space="preserve">     ($463)</w:t>
            </w:r>
          </w:p>
        </w:tc>
        <w:tc>
          <w:tcPr>
            <w:tcW w:w="1617" w:type="dxa"/>
            <w:tcBorders>
              <w:top w:val="nil"/>
              <w:left w:val="nil"/>
              <w:bottom w:val="single" w:sz="4" w:space="0" w:color="auto"/>
              <w:right w:val="single" w:sz="8" w:space="0" w:color="auto"/>
            </w:tcBorders>
            <w:shd w:val="clear" w:color="auto" w:fill="auto"/>
            <w:noWrap/>
            <w:vAlign w:val="center"/>
            <w:hideMark/>
          </w:tcPr>
          <w:p w:rsidR="00754973" w:rsidRPr="00B353C1" w:rsidRDefault="00754973" w:rsidP="00754973">
            <w:pPr>
              <w:rPr>
                <w:color w:val="000000"/>
              </w:rPr>
            </w:pPr>
            <w:r w:rsidRPr="00B353C1">
              <w:rPr>
                <w:color w:val="000000"/>
              </w:rPr>
              <w:t> </w:t>
            </w:r>
          </w:p>
        </w:tc>
      </w:tr>
      <w:tr w:rsidR="00754973" w:rsidRPr="00B353C1" w:rsidTr="00754973">
        <w:trPr>
          <w:trHeight w:val="318"/>
          <w:jc w:val="center"/>
        </w:trPr>
        <w:tc>
          <w:tcPr>
            <w:tcW w:w="4704" w:type="dxa"/>
            <w:tcBorders>
              <w:top w:val="nil"/>
              <w:left w:val="single" w:sz="8" w:space="0" w:color="auto"/>
              <w:bottom w:val="nil"/>
              <w:right w:val="nil"/>
            </w:tcBorders>
            <w:shd w:val="clear" w:color="auto" w:fill="auto"/>
            <w:noWrap/>
            <w:vAlign w:val="center"/>
            <w:hideMark/>
          </w:tcPr>
          <w:p w:rsidR="00754973" w:rsidRPr="00B353C1" w:rsidRDefault="00754973" w:rsidP="00754973">
            <w:pPr>
              <w:rPr>
                <w:color w:val="000000"/>
              </w:rPr>
            </w:pPr>
            <w:r w:rsidRPr="00B353C1">
              <w:rPr>
                <w:color w:val="000000"/>
              </w:rPr>
              <w:t>TOTAL TAXES OTHER THAN INCOME</w:t>
            </w:r>
          </w:p>
        </w:tc>
        <w:tc>
          <w:tcPr>
            <w:tcW w:w="1617" w:type="dxa"/>
            <w:tcBorders>
              <w:top w:val="single" w:sz="4" w:space="0" w:color="auto"/>
              <w:left w:val="nil"/>
              <w:bottom w:val="nil"/>
              <w:right w:val="nil"/>
            </w:tcBorders>
            <w:shd w:val="clear" w:color="auto" w:fill="auto"/>
            <w:noWrap/>
            <w:vAlign w:val="center"/>
            <w:hideMark/>
          </w:tcPr>
          <w:p w:rsidR="00754973" w:rsidRPr="00B353C1" w:rsidRDefault="00754973" w:rsidP="00754973">
            <w:pPr>
              <w:jc w:val="right"/>
              <w:rPr>
                <w:color w:val="000000"/>
              </w:rPr>
            </w:pPr>
            <w:r w:rsidRPr="00B353C1">
              <w:rPr>
                <w:color w:val="000000"/>
              </w:rPr>
              <w:t>$2</w:t>
            </w:r>
            <w:r>
              <w:rPr>
                <w:color w:val="000000"/>
              </w:rPr>
              <w:t>2,931</w:t>
            </w:r>
            <w:r w:rsidRPr="00B353C1">
              <w:rPr>
                <w:color w:val="000000"/>
              </w:rPr>
              <w:t xml:space="preserve"> </w:t>
            </w:r>
          </w:p>
        </w:tc>
        <w:tc>
          <w:tcPr>
            <w:tcW w:w="1172" w:type="dxa"/>
            <w:tcBorders>
              <w:top w:val="single" w:sz="4" w:space="0" w:color="auto"/>
              <w:left w:val="nil"/>
              <w:bottom w:val="nil"/>
              <w:right w:val="nil"/>
            </w:tcBorders>
            <w:shd w:val="clear" w:color="auto" w:fill="auto"/>
            <w:noWrap/>
            <w:vAlign w:val="center"/>
            <w:hideMark/>
          </w:tcPr>
          <w:p w:rsidR="00754973" w:rsidRPr="00B353C1" w:rsidRDefault="00754973" w:rsidP="00754973">
            <w:pPr>
              <w:jc w:val="right"/>
              <w:rPr>
                <w:color w:val="000000"/>
              </w:rPr>
            </w:pPr>
            <w:r w:rsidRPr="00B353C1">
              <w:rPr>
                <w:color w:val="000000"/>
              </w:rPr>
              <w:t>($</w:t>
            </w:r>
            <w:r>
              <w:rPr>
                <w:color w:val="000000"/>
              </w:rPr>
              <w:t>463</w:t>
            </w:r>
            <w:r w:rsidRPr="00B353C1">
              <w:rPr>
                <w:color w:val="000000"/>
              </w:rPr>
              <w:t>)</w:t>
            </w:r>
          </w:p>
        </w:tc>
        <w:tc>
          <w:tcPr>
            <w:tcW w:w="1617" w:type="dxa"/>
            <w:tcBorders>
              <w:top w:val="single" w:sz="4" w:space="0" w:color="auto"/>
              <w:left w:val="nil"/>
              <w:bottom w:val="nil"/>
              <w:right w:val="single" w:sz="8" w:space="0" w:color="auto"/>
            </w:tcBorders>
            <w:shd w:val="clear" w:color="auto" w:fill="auto"/>
            <w:noWrap/>
            <w:vAlign w:val="center"/>
            <w:hideMark/>
          </w:tcPr>
          <w:p w:rsidR="00754973" w:rsidRPr="00B353C1" w:rsidRDefault="00754973" w:rsidP="00754973">
            <w:pPr>
              <w:jc w:val="right"/>
              <w:rPr>
                <w:color w:val="000000"/>
              </w:rPr>
            </w:pPr>
            <w:r w:rsidRPr="00B353C1">
              <w:rPr>
                <w:color w:val="000000"/>
              </w:rPr>
              <w:t>$2</w:t>
            </w:r>
            <w:r>
              <w:rPr>
                <w:color w:val="000000"/>
              </w:rPr>
              <w:t>2,468</w:t>
            </w:r>
            <w:r w:rsidRPr="00B353C1">
              <w:rPr>
                <w:color w:val="000000"/>
              </w:rPr>
              <w:t xml:space="preserve"> </w:t>
            </w:r>
          </w:p>
        </w:tc>
      </w:tr>
      <w:tr w:rsidR="00754973" w:rsidRPr="00B353C1" w:rsidTr="00754973">
        <w:trPr>
          <w:trHeight w:val="318"/>
          <w:jc w:val="center"/>
        </w:trPr>
        <w:tc>
          <w:tcPr>
            <w:tcW w:w="4704" w:type="dxa"/>
            <w:tcBorders>
              <w:top w:val="nil"/>
              <w:left w:val="single" w:sz="8" w:space="0" w:color="auto"/>
              <w:bottom w:val="nil"/>
              <w:right w:val="nil"/>
            </w:tcBorders>
            <w:shd w:val="clear" w:color="auto" w:fill="auto"/>
            <w:noWrap/>
            <w:vAlign w:val="center"/>
            <w:hideMark/>
          </w:tcPr>
          <w:p w:rsidR="00754973" w:rsidRPr="00B353C1" w:rsidRDefault="00754973" w:rsidP="00754973">
            <w:pPr>
              <w:rPr>
                <w:color w:val="000000"/>
              </w:rPr>
            </w:pPr>
            <w:r w:rsidRPr="00B353C1">
              <w:rPr>
                <w:color w:val="000000"/>
              </w:rPr>
              <w:t> </w:t>
            </w:r>
          </w:p>
        </w:tc>
        <w:tc>
          <w:tcPr>
            <w:tcW w:w="1617" w:type="dxa"/>
            <w:tcBorders>
              <w:top w:val="nil"/>
              <w:left w:val="nil"/>
              <w:bottom w:val="nil"/>
              <w:right w:val="nil"/>
            </w:tcBorders>
            <w:shd w:val="clear" w:color="auto" w:fill="auto"/>
            <w:noWrap/>
            <w:vAlign w:val="bottom"/>
            <w:hideMark/>
          </w:tcPr>
          <w:p w:rsidR="00754973" w:rsidRPr="00B353C1" w:rsidRDefault="00754973" w:rsidP="00754973">
            <w:pPr>
              <w:rPr>
                <w:color w:val="000000"/>
              </w:rPr>
            </w:pPr>
          </w:p>
        </w:tc>
        <w:tc>
          <w:tcPr>
            <w:tcW w:w="1172" w:type="dxa"/>
            <w:tcBorders>
              <w:top w:val="nil"/>
              <w:left w:val="nil"/>
              <w:bottom w:val="nil"/>
              <w:right w:val="nil"/>
            </w:tcBorders>
            <w:shd w:val="clear" w:color="auto" w:fill="auto"/>
            <w:noWrap/>
            <w:vAlign w:val="bottom"/>
            <w:hideMark/>
          </w:tcPr>
          <w:p w:rsidR="00754973" w:rsidRPr="00B353C1" w:rsidRDefault="00754973" w:rsidP="00754973">
            <w:pPr>
              <w:rPr>
                <w:color w:val="000000"/>
              </w:rPr>
            </w:pPr>
          </w:p>
        </w:tc>
        <w:tc>
          <w:tcPr>
            <w:tcW w:w="1617" w:type="dxa"/>
            <w:tcBorders>
              <w:top w:val="nil"/>
              <w:left w:val="nil"/>
              <w:bottom w:val="nil"/>
              <w:right w:val="single" w:sz="8" w:space="0" w:color="auto"/>
            </w:tcBorders>
            <w:shd w:val="clear" w:color="auto" w:fill="auto"/>
            <w:noWrap/>
            <w:vAlign w:val="center"/>
            <w:hideMark/>
          </w:tcPr>
          <w:p w:rsidR="00754973" w:rsidRPr="00B353C1" w:rsidRDefault="00754973" w:rsidP="00754973">
            <w:pPr>
              <w:rPr>
                <w:color w:val="000000"/>
              </w:rPr>
            </w:pPr>
            <w:r w:rsidRPr="00B353C1">
              <w:rPr>
                <w:color w:val="000000"/>
              </w:rPr>
              <w:t> </w:t>
            </w:r>
          </w:p>
        </w:tc>
      </w:tr>
      <w:tr w:rsidR="00754973" w:rsidRPr="00B353C1" w:rsidTr="00754973">
        <w:trPr>
          <w:trHeight w:val="318"/>
          <w:jc w:val="center"/>
        </w:trPr>
        <w:tc>
          <w:tcPr>
            <w:tcW w:w="4704" w:type="dxa"/>
            <w:tcBorders>
              <w:top w:val="nil"/>
              <w:left w:val="single" w:sz="8" w:space="0" w:color="auto"/>
              <w:bottom w:val="nil"/>
              <w:right w:val="nil"/>
            </w:tcBorders>
            <w:shd w:val="clear" w:color="auto" w:fill="auto"/>
            <w:noWrap/>
            <w:vAlign w:val="center"/>
            <w:hideMark/>
          </w:tcPr>
          <w:p w:rsidR="00754973" w:rsidRPr="00B353C1" w:rsidRDefault="00754973" w:rsidP="00754973">
            <w:pPr>
              <w:rPr>
                <w:color w:val="000000"/>
              </w:rPr>
            </w:pPr>
            <w:r w:rsidRPr="00B353C1">
              <w:rPr>
                <w:color w:val="000000"/>
              </w:rPr>
              <w:t xml:space="preserve">INCOME TAX EXPENSE </w:t>
            </w:r>
          </w:p>
        </w:tc>
        <w:tc>
          <w:tcPr>
            <w:tcW w:w="1617" w:type="dxa"/>
            <w:tcBorders>
              <w:top w:val="nil"/>
              <w:left w:val="nil"/>
              <w:bottom w:val="nil"/>
              <w:right w:val="nil"/>
            </w:tcBorders>
            <w:shd w:val="clear" w:color="auto" w:fill="auto"/>
            <w:noWrap/>
            <w:vAlign w:val="bottom"/>
            <w:hideMark/>
          </w:tcPr>
          <w:p w:rsidR="00754973" w:rsidRPr="00B353C1" w:rsidRDefault="00754973" w:rsidP="00754973">
            <w:pPr>
              <w:rPr>
                <w:color w:val="000000"/>
              </w:rPr>
            </w:pPr>
          </w:p>
        </w:tc>
        <w:tc>
          <w:tcPr>
            <w:tcW w:w="1172" w:type="dxa"/>
            <w:tcBorders>
              <w:top w:val="nil"/>
              <w:left w:val="nil"/>
              <w:bottom w:val="nil"/>
              <w:right w:val="nil"/>
            </w:tcBorders>
            <w:shd w:val="clear" w:color="auto" w:fill="auto"/>
            <w:noWrap/>
            <w:vAlign w:val="bottom"/>
            <w:hideMark/>
          </w:tcPr>
          <w:p w:rsidR="00754973" w:rsidRPr="00B353C1" w:rsidRDefault="00754973" w:rsidP="00754973">
            <w:pPr>
              <w:rPr>
                <w:color w:val="000000"/>
              </w:rPr>
            </w:pPr>
          </w:p>
        </w:tc>
        <w:tc>
          <w:tcPr>
            <w:tcW w:w="1617" w:type="dxa"/>
            <w:tcBorders>
              <w:top w:val="nil"/>
              <w:left w:val="nil"/>
              <w:bottom w:val="nil"/>
              <w:right w:val="single" w:sz="8" w:space="0" w:color="auto"/>
            </w:tcBorders>
            <w:shd w:val="clear" w:color="auto" w:fill="auto"/>
            <w:noWrap/>
            <w:vAlign w:val="center"/>
            <w:hideMark/>
          </w:tcPr>
          <w:p w:rsidR="00754973" w:rsidRPr="00B353C1" w:rsidRDefault="00754973" w:rsidP="00754973">
            <w:pPr>
              <w:rPr>
                <w:color w:val="000000"/>
              </w:rPr>
            </w:pPr>
            <w:r w:rsidRPr="00B353C1">
              <w:rPr>
                <w:color w:val="000000"/>
              </w:rPr>
              <w:t> </w:t>
            </w:r>
          </w:p>
        </w:tc>
      </w:tr>
      <w:tr w:rsidR="00754973" w:rsidRPr="00B353C1" w:rsidTr="00754973">
        <w:trPr>
          <w:trHeight w:val="318"/>
          <w:jc w:val="center"/>
        </w:trPr>
        <w:tc>
          <w:tcPr>
            <w:tcW w:w="4704" w:type="dxa"/>
            <w:tcBorders>
              <w:top w:val="nil"/>
              <w:left w:val="single" w:sz="8" w:space="0" w:color="auto"/>
              <w:bottom w:val="nil"/>
              <w:right w:val="nil"/>
            </w:tcBorders>
            <w:shd w:val="clear" w:color="auto" w:fill="auto"/>
            <w:noWrap/>
            <w:vAlign w:val="center"/>
            <w:hideMark/>
          </w:tcPr>
          <w:p w:rsidR="00754973" w:rsidRPr="00B353C1" w:rsidRDefault="00754973" w:rsidP="00754973">
            <w:pPr>
              <w:rPr>
                <w:color w:val="000000"/>
              </w:rPr>
            </w:pPr>
            <w:r w:rsidRPr="00B353C1">
              <w:rPr>
                <w:color w:val="000000"/>
              </w:rPr>
              <w:t xml:space="preserve">Income Taxes - Federal </w:t>
            </w:r>
          </w:p>
        </w:tc>
        <w:tc>
          <w:tcPr>
            <w:tcW w:w="1617" w:type="dxa"/>
            <w:tcBorders>
              <w:top w:val="nil"/>
              <w:left w:val="nil"/>
              <w:bottom w:val="nil"/>
              <w:right w:val="nil"/>
            </w:tcBorders>
            <w:shd w:val="clear" w:color="auto" w:fill="auto"/>
            <w:noWrap/>
            <w:vAlign w:val="center"/>
            <w:hideMark/>
          </w:tcPr>
          <w:p w:rsidR="00754973" w:rsidRPr="00B353C1" w:rsidRDefault="00754973" w:rsidP="00754973">
            <w:pPr>
              <w:jc w:val="right"/>
              <w:rPr>
                <w:color w:val="000000"/>
              </w:rPr>
            </w:pPr>
            <w:r>
              <w:rPr>
                <w:color w:val="000000"/>
              </w:rPr>
              <w:t>($1,546)</w:t>
            </w:r>
            <w:r w:rsidRPr="00B353C1">
              <w:rPr>
                <w:color w:val="000000"/>
              </w:rPr>
              <w:t xml:space="preserve"> </w:t>
            </w:r>
          </w:p>
        </w:tc>
        <w:tc>
          <w:tcPr>
            <w:tcW w:w="1172" w:type="dxa"/>
            <w:tcBorders>
              <w:top w:val="nil"/>
              <w:left w:val="nil"/>
              <w:bottom w:val="nil"/>
              <w:right w:val="nil"/>
            </w:tcBorders>
            <w:shd w:val="clear" w:color="auto" w:fill="auto"/>
            <w:noWrap/>
            <w:vAlign w:val="center"/>
            <w:hideMark/>
          </w:tcPr>
          <w:p w:rsidR="00754973" w:rsidRPr="00B353C1" w:rsidRDefault="00754973" w:rsidP="00754973">
            <w:pPr>
              <w:jc w:val="right"/>
              <w:rPr>
                <w:color w:val="000000"/>
              </w:rPr>
            </w:pPr>
          </w:p>
        </w:tc>
        <w:tc>
          <w:tcPr>
            <w:tcW w:w="1617" w:type="dxa"/>
            <w:tcBorders>
              <w:top w:val="nil"/>
              <w:left w:val="nil"/>
              <w:bottom w:val="nil"/>
              <w:right w:val="single" w:sz="8" w:space="0" w:color="auto"/>
            </w:tcBorders>
            <w:shd w:val="clear" w:color="auto" w:fill="auto"/>
            <w:noWrap/>
            <w:vAlign w:val="center"/>
            <w:hideMark/>
          </w:tcPr>
          <w:p w:rsidR="00754973" w:rsidRPr="00B353C1" w:rsidRDefault="00754973" w:rsidP="00754973">
            <w:pPr>
              <w:jc w:val="right"/>
              <w:rPr>
                <w:color w:val="000000"/>
              </w:rPr>
            </w:pPr>
            <w:r>
              <w:rPr>
                <w:color w:val="000000"/>
              </w:rPr>
              <w:t>($1,546)</w:t>
            </w:r>
            <w:r w:rsidRPr="00B353C1">
              <w:rPr>
                <w:color w:val="000000"/>
              </w:rPr>
              <w:t xml:space="preserve"> </w:t>
            </w:r>
          </w:p>
        </w:tc>
      </w:tr>
      <w:tr w:rsidR="00754973" w:rsidRPr="00B353C1" w:rsidTr="00754973">
        <w:trPr>
          <w:trHeight w:val="318"/>
          <w:jc w:val="center"/>
        </w:trPr>
        <w:tc>
          <w:tcPr>
            <w:tcW w:w="4704" w:type="dxa"/>
            <w:tcBorders>
              <w:top w:val="nil"/>
              <w:left w:val="single" w:sz="8" w:space="0" w:color="auto"/>
              <w:bottom w:val="nil"/>
              <w:right w:val="nil"/>
            </w:tcBorders>
            <w:shd w:val="clear" w:color="auto" w:fill="auto"/>
            <w:noWrap/>
            <w:vAlign w:val="center"/>
            <w:hideMark/>
          </w:tcPr>
          <w:p w:rsidR="00754973" w:rsidRPr="00B353C1" w:rsidRDefault="00754973" w:rsidP="00754973">
            <w:pPr>
              <w:rPr>
                <w:color w:val="000000"/>
              </w:rPr>
            </w:pPr>
            <w:r w:rsidRPr="00B353C1">
              <w:rPr>
                <w:color w:val="000000"/>
              </w:rPr>
              <w:t>Income Taxes - State</w:t>
            </w:r>
          </w:p>
        </w:tc>
        <w:tc>
          <w:tcPr>
            <w:tcW w:w="1617" w:type="dxa"/>
            <w:tcBorders>
              <w:top w:val="nil"/>
              <w:left w:val="nil"/>
              <w:bottom w:val="nil"/>
              <w:right w:val="nil"/>
            </w:tcBorders>
            <w:shd w:val="clear" w:color="auto" w:fill="auto"/>
            <w:noWrap/>
            <w:vAlign w:val="center"/>
            <w:hideMark/>
          </w:tcPr>
          <w:p w:rsidR="00754973" w:rsidRPr="00B353C1" w:rsidRDefault="00754973" w:rsidP="00754973">
            <w:pPr>
              <w:jc w:val="right"/>
              <w:rPr>
                <w:color w:val="000000"/>
              </w:rPr>
            </w:pPr>
            <w:r>
              <w:rPr>
                <w:color w:val="000000"/>
              </w:rPr>
              <w:t>($429)</w:t>
            </w:r>
          </w:p>
        </w:tc>
        <w:tc>
          <w:tcPr>
            <w:tcW w:w="1172" w:type="dxa"/>
            <w:tcBorders>
              <w:top w:val="nil"/>
              <w:left w:val="nil"/>
              <w:bottom w:val="nil"/>
              <w:right w:val="nil"/>
            </w:tcBorders>
            <w:shd w:val="clear" w:color="auto" w:fill="auto"/>
            <w:noWrap/>
            <w:vAlign w:val="center"/>
            <w:hideMark/>
          </w:tcPr>
          <w:p w:rsidR="00754973" w:rsidRPr="00B353C1" w:rsidRDefault="00754973" w:rsidP="00754973">
            <w:pPr>
              <w:jc w:val="right"/>
              <w:rPr>
                <w:color w:val="000000"/>
              </w:rPr>
            </w:pPr>
          </w:p>
        </w:tc>
        <w:tc>
          <w:tcPr>
            <w:tcW w:w="1617" w:type="dxa"/>
            <w:tcBorders>
              <w:top w:val="nil"/>
              <w:left w:val="nil"/>
              <w:bottom w:val="nil"/>
              <w:right w:val="single" w:sz="8" w:space="0" w:color="auto"/>
            </w:tcBorders>
            <w:shd w:val="clear" w:color="auto" w:fill="auto"/>
            <w:noWrap/>
            <w:vAlign w:val="center"/>
            <w:hideMark/>
          </w:tcPr>
          <w:p w:rsidR="00754973" w:rsidRPr="00B353C1" w:rsidRDefault="00754973" w:rsidP="00754973">
            <w:pPr>
              <w:jc w:val="right"/>
              <w:rPr>
                <w:color w:val="000000"/>
              </w:rPr>
            </w:pPr>
            <w:r>
              <w:rPr>
                <w:color w:val="000000"/>
              </w:rPr>
              <w:t>($429)</w:t>
            </w:r>
          </w:p>
        </w:tc>
      </w:tr>
      <w:tr w:rsidR="00754973" w:rsidRPr="00B353C1" w:rsidTr="00754973">
        <w:trPr>
          <w:trHeight w:val="318"/>
          <w:jc w:val="center"/>
        </w:trPr>
        <w:tc>
          <w:tcPr>
            <w:tcW w:w="4704" w:type="dxa"/>
            <w:tcBorders>
              <w:top w:val="nil"/>
              <w:left w:val="single" w:sz="8" w:space="0" w:color="auto"/>
              <w:bottom w:val="nil"/>
              <w:right w:val="nil"/>
            </w:tcBorders>
            <w:shd w:val="clear" w:color="auto" w:fill="auto"/>
            <w:noWrap/>
            <w:vAlign w:val="center"/>
            <w:hideMark/>
          </w:tcPr>
          <w:p w:rsidR="00754973" w:rsidRPr="00B353C1" w:rsidRDefault="00754973" w:rsidP="00754973">
            <w:pPr>
              <w:rPr>
                <w:color w:val="000000"/>
              </w:rPr>
            </w:pPr>
            <w:r w:rsidRPr="00B353C1">
              <w:rPr>
                <w:color w:val="000000"/>
              </w:rPr>
              <w:t>Deferred Income Taxes - Federal</w:t>
            </w:r>
          </w:p>
        </w:tc>
        <w:tc>
          <w:tcPr>
            <w:tcW w:w="1617" w:type="dxa"/>
            <w:tcBorders>
              <w:top w:val="nil"/>
              <w:left w:val="nil"/>
              <w:bottom w:val="nil"/>
              <w:right w:val="nil"/>
            </w:tcBorders>
            <w:shd w:val="clear" w:color="auto" w:fill="auto"/>
            <w:noWrap/>
            <w:vAlign w:val="center"/>
            <w:hideMark/>
          </w:tcPr>
          <w:p w:rsidR="00754973" w:rsidRPr="00B353C1" w:rsidRDefault="00754973" w:rsidP="00754973">
            <w:pPr>
              <w:jc w:val="right"/>
              <w:rPr>
                <w:color w:val="000000"/>
              </w:rPr>
            </w:pPr>
            <w:r w:rsidRPr="00B353C1">
              <w:rPr>
                <w:color w:val="000000"/>
              </w:rPr>
              <w:t>0</w:t>
            </w:r>
          </w:p>
        </w:tc>
        <w:tc>
          <w:tcPr>
            <w:tcW w:w="1172" w:type="dxa"/>
            <w:tcBorders>
              <w:top w:val="nil"/>
              <w:left w:val="nil"/>
              <w:bottom w:val="nil"/>
              <w:right w:val="nil"/>
            </w:tcBorders>
            <w:shd w:val="clear" w:color="auto" w:fill="auto"/>
            <w:noWrap/>
            <w:vAlign w:val="center"/>
            <w:hideMark/>
          </w:tcPr>
          <w:p w:rsidR="00754973" w:rsidRPr="00B353C1" w:rsidRDefault="00754973" w:rsidP="00754973">
            <w:pPr>
              <w:jc w:val="right"/>
              <w:rPr>
                <w:color w:val="000000"/>
              </w:rPr>
            </w:pPr>
            <w:r w:rsidRPr="00B353C1">
              <w:rPr>
                <w:color w:val="000000"/>
              </w:rPr>
              <w:t xml:space="preserve">$14,906 </w:t>
            </w:r>
          </w:p>
        </w:tc>
        <w:tc>
          <w:tcPr>
            <w:tcW w:w="1617" w:type="dxa"/>
            <w:tcBorders>
              <w:top w:val="nil"/>
              <w:left w:val="nil"/>
              <w:bottom w:val="nil"/>
              <w:right w:val="single" w:sz="8" w:space="0" w:color="auto"/>
            </w:tcBorders>
            <w:shd w:val="clear" w:color="auto" w:fill="auto"/>
            <w:noWrap/>
            <w:vAlign w:val="center"/>
            <w:hideMark/>
          </w:tcPr>
          <w:p w:rsidR="00754973" w:rsidRPr="00B353C1" w:rsidRDefault="00754973" w:rsidP="00754973">
            <w:pPr>
              <w:jc w:val="right"/>
              <w:rPr>
                <w:color w:val="000000"/>
              </w:rPr>
            </w:pPr>
            <w:r w:rsidRPr="00B353C1">
              <w:rPr>
                <w:color w:val="000000"/>
              </w:rPr>
              <w:t>14,906</w:t>
            </w:r>
          </w:p>
        </w:tc>
      </w:tr>
      <w:tr w:rsidR="00754973" w:rsidRPr="00B353C1" w:rsidTr="00754973">
        <w:trPr>
          <w:trHeight w:val="318"/>
          <w:jc w:val="center"/>
        </w:trPr>
        <w:tc>
          <w:tcPr>
            <w:tcW w:w="4704" w:type="dxa"/>
            <w:tcBorders>
              <w:top w:val="nil"/>
              <w:left w:val="single" w:sz="8" w:space="0" w:color="auto"/>
              <w:bottom w:val="nil"/>
              <w:right w:val="nil"/>
            </w:tcBorders>
            <w:shd w:val="clear" w:color="auto" w:fill="auto"/>
            <w:noWrap/>
            <w:vAlign w:val="center"/>
            <w:hideMark/>
          </w:tcPr>
          <w:p w:rsidR="00754973" w:rsidRPr="00B353C1" w:rsidRDefault="00754973" w:rsidP="00754973">
            <w:pPr>
              <w:rPr>
                <w:color w:val="000000"/>
              </w:rPr>
            </w:pPr>
            <w:r w:rsidRPr="00B353C1">
              <w:rPr>
                <w:color w:val="000000"/>
              </w:rPr>
              <w:t>Deferred Income Taxes - State</w:t>
            </w:r>
          </w:p>
        </w:tc>
        <w:tc>
          <w:tcPr>
            <w:tcW w:w="1617" w:type="dxa"/>
            <w:tcBorders>
              <w:top w:val="nil"/>
              <w:left w:val="nil"/>
              <w:bottom w:val="single" w:sz="4" w:space="0" w:color="auto"/>
              <w:right w:val="nil"/>
            </w:tcBorders>
            <w:shd w:val="clear" w:color="auto" w:fill="auto"/>
            <w:noWrap/>
            <w:vAlign w:val="center"/>
            <w:hideMark/>
          </w:tcPr>
          <w:p w:rsidR="00754973" w:rsidRPr="00B353C1" w:rsidRDefault="00754973" w:rsidP="00754973">
            <w:pPr>
              <w:jc w:val="right"/>
              <w:rPr>
                <w:color w:val="000000"/>
              </w:rPr>
            </w:pPr>
            <w:r w:rsidRPr="00B353C1">
              <w:rPr>
                <w:color w:val="000000"/>
              </w:rPr>
              <w:t>0</w:t>
            </w:r>
          </w:p>
        </w:tc>
        <w:tc>
          <w:tcPr>
            <w:tcW w:w="1172" w:type="dxa"/>
            <w:tcBorders>
              <w:top w:val="nil"/>
              <w:left w:val="nil"/>
              <w:bottom w:val="single" w:sz="4" w:space="0" w:color="auto"/>
              <w:right w:val="nil"/>
            </w:tcBorders>
            <w:shd w:val="clear" w:color="auto" w:fill="auto"/>
            <w:noWrap/>
            <w:vAlign w:val="center"/>
            <w:hideMark/>
          </w:tcPr>
          <w:p w:rsidR="00754973" w:rsidRPr="00B353C1" w:rsidRDefault="00754973" w:rsidP="00754973">
            <w:pPr>
              <w:jc w:val="right"/>
              <w:rPr>
                <w:color w:val="000000"/>
              </w:rPr>
            </w:pPr>
            <w:r w:rsidRPr="00B353C1">
              <w:rPr>
                <w:color w:val="000000"/>
              </w:rPr>
              <w:t xml:space="preserve">$4,105 </w:t>
            </w:r>
          </w:p>
        </w:tc>
        <w:tc>
          <w:tcPr>
            <w:tcW w:w="1617" w:type="dxa"/>
            <w:tcBorders>
              <w:top w:val="nil"/>
              <w:left w:val="nil"/>
              <w:bottom w:val="single" w:sz="4" w:space="0" w:color="auto"/>
              <w:right w:val="single" w:sz="8" w:space="0" w:color="auto"/>
            </w:tcBorders>
            <w:shd w:val="clear" w:color="auto" w:fill="auto"/>
            <w:noWrap/>
            <w:vAlign w:val="center"/>
            <w:hideMark/>
          </w:tcPr>
          <w:p w:rsidR="00754973" w:rsidRPr="00B353C1" w:rsidRDefault="00754973" w:rsidP="00754973">
            <w:pPr>
              <w:jc w:val="right"/>
              <w:rPr>
                <w:color w:val="000000"/>
              </w:rPr>
            </w:pPr>
            <w:r w:rsidRPr="00B353C1">
              <w:rPr>
                <w:color w:val="000000"/>
              </w:rPr>
              <w:t>4,105</w:t>
            </w:r>
          </w:p>
        </w:tc>
      </w:tr>
      <w:tr w:rsidR="00754973" w:rsidRPr="00B353C1" w:rsidTr="00754973">
        <w:trPr>
          <w:trHeight w:val="318"/>
          <w:jc w:val="center"/>
        </w:trPr>
        <w:tc>
          <w:tcPr>
            <w:tcW w:w="4704" w:type="dxa"/>
            <w:tcBorders>
              <w:top w:val="nil"/>
              <w:left w:val="single" w:sz="8" w:space="0" w:color="auto"/>
              <w:bottom w:val="nil"/>
              <w:right w:val="nil"/>
            </w:tcBorders>
            <w:shd w:val="clear" w:color="auto" w:fill="auto"/>
            <w:noWrap/>
            <w:vAlign w:val="center"/>
            <w:hideMark/>
          </w:tcPr>
          <w:p w:rsidR="00754973" w:rsidRPr="00B353C1" w:rsidRDefault="00754973" w:rsidP="00754973">
            <w:pPr>
              <w:rPr>
                <w:color w:val="000000"/>
              </w:rPr>
            </w:pPr>
            <w:r w:rsidRPr="00B353C1">
              <w:rPr>
                <w:color w:val="000000"/>
              </w:rPr>
              <w:t>TOTAL INCOME TAXES</w:t>
            </w:r>
          </w:p>
        </w:tc>
        <w:tc>
          <w:tcPr>
            <w:tcW w:w="1617" w:type="dxa"/>
            <w:tcBorders>
              <w:top w:val="nil"/>
              <w:left w:val="nil"/>
              <w:bottom w:val="nil"/>
              <w:right w:val="nil"/>
            </w:tcBorders>
            <w:shd w:val="clear" w:color="auto" w:fill="auto"/>
            <w:noWrap/>
            <w:vAlign w:val="center"/>
            <w:hideMark/>
          </w:tcPr>
          <w:p w:rsidR="00754973" w:rsidRPr="00B353C1" w:rsidRDefault="00754973" w:rsidP="00754973">
            <w:pPr>
              <w:jc w:val="right"/>
              <w:rPr>
                <w:color w:val="000000"/>
              </w:rPr>
            </w:pPr>
            <w:r>
              <w:rPr>
                <w:color w:val="000000"/>
              </w:rPr>
              <w:t>($1,975)</w:t>
            </w:r>
            <w:r w:rsidRPr="00B353C1">
              <w:rPr>
                <w:color w:val="000000"/>
              </w:rPr>
              <w:t xml:space="preserve"> </w:t>
            </w:r>
          </w:p>
        </w:tc>
        <w:tc>
          <w:tcPr>
            <w:tcW w:w="1172" w:type="dxa"/>
            <w:tcBorders>
              <w:top w:val="nil"/>
              <w:left w:val="nil"/>
              <w:bottom w:val="nil"/>
              <w:right w:val="nil"/>
            </w:tcBorders>
            <w:shd w:val="clear" w:color="auto" w:fill="auto"/>
            <w:noWrap/>
            <w:vAlign w:val="center"/>
            <w:hideMark/>
          </w:tcPr>
          <w:p w:rsidR="00754973" w:rsidRPr="00B353C1" w:rsidRDefault="00754973" w:rsidP="00754973">
            <w:pPr>
              <w:jc w:val="right"/>
              <w:rPr>
                <w:color w:val="000000"/>
              </w:rPr>
            </w:pPr>
            <w:r w:rsidRPr="00B353C1">
              <w:rPr>
                <w:color w:val="000000"/>
              </w:rPr>
              <w:t>$</w:t>
            </w:r>
            <w:r>
              <w:rPr>
                <w:color w:val="000000"/>
              </w:rPr>
              <w:t>19,011</w:t>
            </w:r>
            <w:r w:rsidRPr="00B353C1">
              <w:rPr>
                <w:color w:val="000000"/>
              </w:rPr>
              <w:t xml:space="preserve"> </w:t>
            </w:r>
          </w:p>
        </w:tc>
        <w:tc>
          <w:tcPr>
            <w:tcW w:w="1617" w:type="dxa"/>
            <w:tcBorders>
              <w:top w:val="nil"/>
              <w:left w:val="nil"/>
              <w:bottom w:val="nil"/>
              <w:right w:val="single" w:sz="8" w:space="0" w:color="auto"/>
            </w:tcBorders>
            <w:shd w:val="clear" w:color="auto" w:fill="auto"/>
            <w:noWrap/>
            <w:vAlign w:val="center"/>
            <w:hideMark/>
          </w:tcPr>
          <w:p w:rsidR="00754973" w:rsidRPr="00B353C1" w:rsidRDefault="00754973" w:rsidP="00754973">
            <w:pPr>
              <w:jc w:val="right"/>
              <w:rPr>
                <w:color w:val="000000"/>
              </w:rPr>
            </w:pPr>
            <w:r w:rsidRPr="00B353C1">
              <w:rPr>
                <w:color w:val="000000"/>
              </w:rPr>
              <w:t>$</w:t>
            </w:r>
            <w:r>
              <w:rPr>
                <w:color w:val="000000"/>
              </w:rPr>
              <w:t>17,036</w:t>
            </w:r>
            <w:r w:rsidRPr="00B353C1">
              <w:rPr>
                <w:color w:val="000000"/>
              </w:rPr>
              <w:t xml:space="preserve"> </w:t>
            </w:r>
          </w:p>
        </w:tc>
      </w:tr>
      <w:tr w:rsidR="00754973" w:rsidRPr="00B353C1" w:rsidTr="00754973">
        <w:trPr>
          <w:trHeight w:val="318"/>
          <w:jc w:val="center"/>
        </w:trPr>
        <w:tc>
          <w:tcPr>
            <w:tcW w:w="4704" w:type="dxa"/>
            <w:tcBorders>
              <w:top w:val="nil"/>
              <w:left w:val="single" w:sz="8" w:space="0" w:color="auto"/>
              <w:bottom w:val="nil"/>
              <w:right w:val="nil"/>
            </w:tcBorders>
            <w:shd w:val="clear" w:color="auto" w:fill="auto"/>
            <w:noWrap/>
            <w:vAlign w:val="center"/>
            <w:hideMark/>
          </w:tcPr>
          <w:p w:rsidR="00754973" w:rsidRPr="00B353C1" w:rsidRDefault="00754973" w:rsidP="00754973">
            <w:pPr>
              <w:rPr>
                <w:color w:val="000000"/>
              </w:rPr>
            </w:pPr>
            <w:r w:rsidRPr="00B353C1">
              <w:rPr>
                <w:color w:val="000000"/>
              </w:rPr>
              <w:t> </w:t>
            </w:r>
          </w:p>
        </w:tc>
        <w:tc>
          <w:tcPr>
            <w:tcW w:w="1617" w:type="dxa"/>
            <w:tcBorders>
              <w:top w:val="nil"/>
              <w:left w:val="nil"/>
              <w:bottom w:val="nil"/>
              <w:right w:val="nil"/>
            </w:tcBorders>
            <w:shd w:val="clear" w:color="auto" w:fill="auto"/>
            <w:noWrap/>
            <w:vAlign w:val="bottom"/>
            <w:hideMark/>
          </w:tcPr>
          <w:p w:rsidR="00754973" w:rsidRPr="00B353C1" w:rsidRDefault="00754973" w:rsidP="00754973">
            <w:pPr>
              <w:rPr>
                <w:color w:val="000000"/>
              </w:rPr>
            </w:pPr>
          </w:p>
        </w:tc>
        <w:tc>
          <w:tcPr>
            <w:tcW w:w="1172" w:type="dxa"/>
            <w:tcBorders>
              <w:top w:val="nil"/>
              <w:left w:val="nil"/>
              <w:bottom w:val="nil"/>
              <w:right w:val="nil"/>
            </w:tcBorders>
            <w:shd w:val="clear" w:color="auto" w:fill="auto"/>
            <w:noWrap/>
            <w:vAlign w:val="bottom"/>
            <w:hideMark/>
          </w:tcPr>
          <w:p w:rsidR="00754973" w:rsidRPr="00B353C1" w:rsidRDefault="00754973" w:rsidP="00754973">
            <w:pPr>
              <w:rPr>
                <w:color w:val="000000"/>
              </w:rPr>
            </w:pPr>
          </w:p>
        </w:tc>
        <w:tc>
          <w:tcPr>
            <w:tcW w:w="1617" w:type="dxa"/>
            <w:tcBorders>
              <w:top w:val="nil"/>
              <w:left w:val="nil"/>
              <w:bottom w:val="nil"/>
              <w:right w:val="single" w:sz="8" w:space="0" w:color="auto"/>
            </w:tcBorders>
            <w:shd w:val="clear" w:color="auto" w:fill="auto"/>
            <w:noWrap/>
            <w:vAlign w:val="center"/>
            <w:hideMark/>
          </w:tcPr>
          <w:p w:rsidR="00754973" w:rsidRPr="00B353C1" w:rsidRDefault="00754973" w:rsidP="00754973">
            <w:pPr>
              <w:rPr>
                <w:color w:val="000000"/>
              </w:rPr>
            </w:pPr>
            <w:r w:rsidRPr="00B353C1">
              <w:rPr>
                <w:color w:val="000000"/>
              </w:rPr>
              <w:t> </w:t>
            </w:r>
          </w:p>
        </w:tc>
      </w:tr>
      <w:tr w:rsidR="00754973" w:rsidRPr="00B353C1" w:rsidTr="00754973">
        <w:trPr>
          <w:trHeight w:val="333"/>
          <w:jc w:val="center"/>
        </w:trPr>
        <w:tc>
          <w:tcPr>
            <w:tcW w:w="4704" w:type="dxa"/>
            <w:tcBorders>
              <w:top w:val="nil"/>
              <w:left w:val="single" w:sz="8" w:space="0" w:color="auto"/>
              <w:bottom w:val="single" w:sz="8" w:space="0" w:color="auto"/>
              <w:right w:val="nil"/>
            </w:tcBorders>
            <w:shd w:val="clear" w:color="auto" w:fill="auto"/>
            <w:noWrap/>
            <w:vAlign w:val="center"/>
            <w:hideMark/>
          </w:tcPr>
          <w:p w:rsidR="00754973" w:rsidRPr="00B353C1" w:rsidRDefault="00754973" w:rsidP="00754973">
            <w:pPr>
              <w:rPr>
                <w:color w:val="000000"/>
              </w:rPr>
            </w:pPr>
            <w:r w:rsidRPr="00B353C1">
              <w:rPr>
                <w:color w:val="000000"/>
              </w:rPr>
              <w:t xml:space="preserve">TOTAL OPERATING EXPENSES </w:t>
            </w:r>
          </w:p>
        </w:tc>
        <w:tc>
          <w:tcPr>
            <w:tcW w:w="1617" w:type="dxa"/>
            <w:tcBorders>
              <w:top w:val="nil"/>
              <w:left w:val="nil"/>
              <w:bottom w:val="single" w:sz="8" w:space="0" w:color="auto"/>
              <w:right w:val="nil"/>
            </w:tcBorders>
            <w:shd w:val="clear" w:color="auto" w:fill="auto"/>
            <w:noWrap/>
            <w:vAlign w:val="center"/>
            <w:hideMark/>
          </w:tcPr>
          <w:p w:rsidR="00754973" w:rsidRPr="00B353C1" w:rsidRDefault="00754973" w:rsidP="00754973">
            <w:pPr>
              <w:jc w:val="right"/>
              <w:rPr>
                <w:color w:val="000000"/>
                <w:u w:val="single"/>
              </w:rPr>
            </w:pPr>
            <w:r w:rsidRPr="00B353C1">
              <w:rPr>
                <w:color w:val="000000"/>
                <w:u w:val="single"/>
              </w:rPr>
              <w:t>$1,</w:t>
            </w:r>
            <w:r>
              <w:rPr>
                <w:color w:val="000000"/>
                <w:u w:val="single"/>
              </w:rPr>
              <w:t>021,137</w:t>
            </w:r>
            <w:r w:rsidRPr="00B353C1">
              <w:rPr>
                <w:color w:val="000000"/>
                <w:u w:val="single"/>
              </w:rPr>
              <w:t xml:space="preserve"> </w:t>
            </w:r>
          </w:p>
        </w:tc>
        <w:tc>
          <w:tcPr>
            <w:tcW w:w="1172" w:type="dxa"/>
            <w:tcBorders>
              <w:top w:val="nil"/>
              <w:left w:val="nil"/>
              <w:bottom w:val="single" w:sz="8" w:space="0" w:color="auto"/>
              <w:right w:val="nil"/>
            </w:tcBorders>
            <w:shd w:val="clear" w:color="auto" w:fill="auto"/>
            <w:noWrap/>
            <w:vAlign w:val="center"/>
            <w:hideMark/>
          </w:tcPr>
          <w:p w:rsidR="00754973" w:rsidRPr="00B353C1" w:rsidRDefault="00754973" w:rsidP="00754973">
            <w:pPr>
              <w:jc w:val="right"/>
              <w:rPr>
                <w:color w:val="000000"/>
                <w:u w:val="single"/>
              </w:rPr>
            </w:pPr>
            <w:r w:rsidRPr="00B353C1">
              <w:rPr>
                <w:color w:val="000000"/>
                <w:u w:val="single"/>
              </w:rPr>
              <w:t>$</w:t>
            </w:r>
            <w:r>
              <w:rPr>
                <w:color w:val="000000"/>
                <w:u w:val="single"/>
              </w:rPr>
              <w:t>20,411</w:t>
            </w:r>
            <w:r w:rsidRPr="00B353C1">
              <w:rPr>
                <w:color w:val="000000"/>
                <w:u w:val="single"/>
              </w:rPr>
              <w:t xml:space="preserve"> </w:t>
            </w:r>
          </w:p>
        </w:tc>
        <w:tc>
          <w:tcPr>
            <w:tcW w:w="1617" w:type="dxa"/>
            <w:tcBorders>
              <w:top w:val="nil"/>
              <w:left w:val="nil"/>
              <w:bottom w:val="single" w:sz="8" w:space="0" w:color="auto"/>
              <w:right w:val="single" w:sz="8" w:space="0" w:color="auto"/>
            </w:tcBorders>
            <w:shd w:val="clear" w:color="auto" w:fill="auto"/>
            <w:noWrap/>
            <w:vAlign w:val="center"/>
            <w:hideMark/>
          </w:tcPr>
          <w:p w:rsidR="00754973" w:rsidRPr="00B353C1" w:rsidRDefault="00754973" w:rsidP="00754973">
            <w:pPr>
              <w:jc w:val="right"/>
              <w:rPr>
                <w:color w:val="000000"/>
                <w:u w:val="single"/>
              </w:rPr>
            </w:pPr>
            <w:r w:rsidRPr="00B353C1">
              <w:rPr>
                <w:color w:val="000000"/>
                <w:u w:val="single"/>
              </w:rPr>
              <w:t>$1,</w:t>
            </w:r>
            <w:r>
              <w:rPr>
                <w:color w:val="000000"/>
                <w:u w:val="single"/>
              </w:rPr>
              <w:t>041,548</w:t>
            </w:r>
            <w:r w:rsidRPr="00B353C1">
              <w:rPr>
                <w:color w:val="000000"/>
                <w:u w:val="single"/>
              </w:rPr>
              <w:t xml:space="preserve"> </w:t>
            </w:r>
          </w:p>
        </w:tc>
      </w:tr>
    </w:tbl>
    <w:p w:rsidR="00754973" w:rsidRDefault="00754973" w:rsidP="00754973">
      <w:pPr>
        <w:pStyle w:val="BodyText"/>
      </w:pPr>
    </w:p>
    <w:p w:rsidR="00754973" w:rsidRDefault="00754973" w:rsidP="00754973">
      <w:pPr>
        <w:pStyle w:val="BodyText"/>
        <w:sectPr w:rsidR="00754973" w:rsidSect="003E5277">
          <w:headerReference w:type="default" r:id="rId26"/>
          <w:pgSz w:w="12240" w:h="15840" w:code="1"/>
          <w:pgMar w:top="1584" w:right="1440" w:bottom="1440" w:left="1440" w:header="720" w:footer="720" w:gutter="0"/>
          <w:cols w:space="720"/>
          <w:formProt w:val="0"/>
          <w:docGrid w:linePitch="360"/>
        </w:sectPr>
      </w:pPr>
    </w:p>
    <w:p w:rsidR="00754973" w:rsidRDefault="00754973" w:rsidP="00754973">
      <w:pPr>
        <w:pStyle w:val="IssueHeading"/>
      </w:pPr>
      <w:r>
        <w:lastRenderedPageBreak/>
        <w:fldChar w:fldCharType="begin"/>
      </w:r>
      <w:r>
        <w:instrText xml:space="preserve"> TC "</w:instrText>
      </w:r>
      <w:bookmarkStart w:id="49" w:name="_Toc28007745"/>
      <w:r>
        <w:tab/>
        <w:instrText>Schedule No. 5</w:instrText>
      </w:r>
      <w:r>
        <w:tab/>
      </w:r>
      <w:r w:rsidR="00716F30">
        <w:instrText>51</w:instrText>
      </w:r>
      <w:bookmarkEnd w:id="49"/>
      <w:r>
        <w:instrText>" \l 1 \n</w:instrText>
      </w:r>
      <w:r>
        <w:fldChar w:fldCharType="end"/>
      </w:r>
    </w:p>
    <w:p w:rsidR="00754973" w:rsidRPr="003C4305" w:rsidRDefault="00754973" w:rsidP="00754973">
      <w:pPr>
        <w:jc w:val="center"/>
        <w:rPr>
          <w:rFonts w:ascii="Arial" w:hAnsi="Arial" w:cs="Arial"/>
        </w:rPr>
      </w:pPr>
      <w:r w:rsidRPr="003C4305">
        <w:rPr>
          <w:rFonts w:ascii="Arial" w:hAnsi="Arial" w:cs="Arial"/>
          <w:b/>
        </w:rPr>
        <w:t>Sebring Gas System</w:t>
      </w:r>
    </w:p>
    <w:p w:rsidR="00754973" w:rsidRPr="003C4305" w:rsidRDefault="00754973" w:rsidP="00754973">
      <w:pPr>
        <w:jc w:val="center"/>
        <w:rPr>
          <w:rFonts w:ascii="Arial" w:hAnsi="Arial" w:cs="Arial"/>
          <w:b/>
        </w:rPr>
      </w:pPr>
      <w:r w:rsidRPr="003C4305">
        <w:rPr>
          <w:rFonts w:ascii="Arial" w:hAnsi="Arial" w:cs="Arial"/>
          <w:b/>
        </w:rPr>
        <w:t>Docket No. 20190083-GU</w:t>
      </w:r>
    </w:p>
    <w:p w:rsidR="00754973" w:rsidRPr="003C4305" w:rsidRDefault="00754973" w:rsidP="00754973">
      <w:pPr>
        <w:jc w:val="center"/>
        <w:rPr>
          <w:rFonts w:ascii="Arial" w:hAnsi="Arial" w:cs="Arial"/>
          <w:b/>
        </w:rPr>
      </w:pPr>
      <w:r w:rsidRPr="003C4305">
        <w:rPr>
          <w:rFonts w:ascii="Arial" w:hAnsi="Arial" w:cs="Arial"/>
          <w:b/>
        </w:rPr>
        <w:t>2020 Projected Test Year</w:t>
      </w:r>
    </w:p>
    <w:p w:rsidR="00754973" w:rsidRDefault="00754973" w:rsidP="00754973">
      <w:pPr>
        <w:pStyle w:val="BodyText"/>
        <w:spacing w:after="0"/>
        <w:jc w:val="center"/>
        <w:rPr>
          <w:rFonts w:ascii="Arial" w:hAnsi="Arial" w:cs="Arial"/>
          <w:b/>
        </w:rPr>
      </w:pPr>
      <w:r w:rsidRPr="003C4305">
        <w:rPr>
          <w:rFonts w:ascii="Arial" w:hAnsi="Arial" w:cs="Arial"/>
          <w:b/>
        </w:rPr>
        <w:t>Net Operating Income Multiplier</w:t>
      </w:r>
    </w:p>
    <w:tbl>
      <w:tblPr>
        <w:tblW w:w="8900" w:type="dxa"/>
        <w:tblInd w:w="93" w:type="dxa"/>
        <w:tblLook w:val="04A0" w:firstRow="1" w:lastRow="0" w:firstColumn="1" w:lastColumn="0" w:noHBand="0" w:noVBand="1"/>
      </w:tblPr>
      <w:tblGrid>
        <w:gridCol w:w="5060"/>
        <w:gridCol w:w="1540"/>
        <w:gridCol w:w="960"/>
        <w:gridCol w:w="1340"/>
      </w:tblGrid>
      <w:tr w:rsidR="00754973" w:rsidRPr="00D107FC" w:rsidTr="00754973">
        <w:trPr>
          <w:trHeight w:val="555"/>
        </w:trPr>
        <w:tc>
          <w:tcPr>
            <w:tcW w:w="5060" w:type="dxa"/>
            <w:tcBorders>
              <w:top w:val="single" w:sz="8" w:space="0" w:color="auto"/>
              <w:left w:val="single" w:sz="8" w:space="0" w:color="auto"/>
              <w:bottom w:val="nil"/>
              <w:right w:val="nil"/>
            </w:tcBorders>
            <w:shd w:val="clear" w:color="auto" w:fill="auto"/>
            <w:noWrap/>
            <w:vAlign w:val="bottom"/>
            <w:hideMark/>
          </w:tcPr>
          <w:p w:rsidR="00754973" w:rsidRPr="00D107FC" w:rsidRDefault="00754973" w:rsidP="00754973">
            <w:pPr>
              <w:rPr>
                <w:rFonts w:cstheme="minorHAnsi"/>
                <w:color w:val="000000"/>
                <w:u w:val="single"/>
              </w:rPr>
            </w:pPr>
            <w:r w:rsidRPr="00D107FC">
              <w:rPr>
                <w:rFonts w:cstheme="minorHAnsi"/>
                <w:color w:val="000000"/>
                <w:u w:val="single"/>
              </w:rPr>
              <w:t>DESCRIPTION</w:t>
            </w:r>
          </w:p>
        </w:tc>
        <w:tc>
          <w:tcPr>
            <w:tcW w:w="1540" w:type="dxa"/>
            <w:tcBorders>
              <w:top w:val="single" w:sz="8" w:space="0" w:color="auto"/>
              <w:left w:val="nil"/>
              <w:bottom w:val="single" w:sz="4" w:space="0" w:color="auto"/>
              <w:right w:val="nil"/>
            </w:tcBorders>
            <w:shd w:val="clear" w:color="auto" w:fill="auto"/>
            <w:vAlign w:val="center"/>
            <w:hideMark/>
          </w:tcPr>
          <w:p w:rsidR="00754973" w:rsidRPr="00D107FC" w:rsidRDefault="00754973" w:rsidP="00754973">
            <w:pPr>
              <w:jc w:val="center"/>
              <w:rPr>
                <w:rFonts w:cstheme="minorHAnsi"/>
                <w:color w:val="000000"/>
              </w:rPr>
            </w:pPr>
            <w:r w:rsidRPr="00D107FC">
              <w:rPr>
                <w:rFonts w:cstheme="minorHAnsi"/>
                <w:color w:val="000000"/>
              </w:rPr>
              <w:t>COMPANY     PER FILING</w:t>
            </w:r>
          </w:p>
        </w:tc>
        <w:tc>
          <w:tcPr>
            <w:tcW w:w="960" w:type="dxa"/>
            <w:tcBorders>
              <w:top w:val="single" w:sz="8" w:space="0" w:color="auto"/>
              <w:left w:val="nil"/>
              <w:bottom w:val="nil"/>
              <w:right w:val="nil"/>
            </w:tcBorders>
            <w:shd w:val="clear" w:color="auto" w:fill="auto"/>
            <w:noWrap/>
            <w:vAlign w:val="bottom"/>
            <w:hideMark/>
          </w:tcPr>
          <w:p w:rsidR="00754973" w:rsidRPr="00D107FC" w:rsidRDefault="00754973" w:rsidP="00754973">
            <w:pPr>
              <w:jc w:val="center"/>
              <w:rPr>
                <w:rFonts w:cstheme="minorHAnsi"/>
                <w:color w:val="000000"/>
              </w:rPr>
            </w:pPr>
            <w:r w:rsidRPr="00D107FC">
              <w:rPr>
                <w:rFonts w:cstheme="minorHAnsi"/>
                <w:color w:val="000000"/>
              </w:rPr>
              <w:t> </w:t>
            </w:r>
          </w:p>
        </w:tc>
        <w:tc>
          <w:tcPr>
            <w:tcW w:w="1340" w:type="dxa"/>
            <w:tcBorders>
              <w:top w:val="single" w:sz="8" w:space="0" w:color="auto"/>
              <w:left w:val="nil"/>
              <w:bottom w:val="single" w:sz="4" w:space="0" w:color="auto"/>
              <w:right w:val="single" w:sz="8" w:space="0" w:color="auto"/>
            </w:tcBorders>
            <w:shd w:val="clear" w:color="auto" w:fill="auto"/>
            <w:noWrap/>
            <w:vAlign w:val="bottom"/>
            <w:hideMark/>
          </w:tcPr>
          <w:p w:rsidR="00754973" w:rsidRPr="00D107FC" w:rsidRDefault="00754973" w:rsidP="00754973">
            <w:pPr>
              <w:jc w:val="center"/>
              <w:rPr>
                <w:rFonts w:cstheme="minorHAnsi"/>
                <w:color w:val="000000"/>
              </w:rPr>
            </w:pPr>
            <w:r w:rsidRPr="00D107FC">
              <w:rPr>
                <w:rFonts w:cstheme="minorHAnsi"/>
                <w:color w:val="000000"/>
              </w:rPr>
              <w:t>STAFF</w:t>
            </w:r>
          </w:p>
        </w:tc>
      </w:tr>
      <w:tr w:rsidR="00754973" w:rsidRPr="00D107FC" w:rsidTr="00754973">
        <w:trPr>
          <w:trHeight w:val="390"/>
        </w:trPr>
        <w:tc>
          <w:tcPr>
            <w:tcW w:w="5060" w:type="dxa"/>
            <w:tcBorders>
              <w:top w:val="nil"/>
              <w:left w:val="single" w:sz="8" w:space="0" w:color="auto"/>
              <w:bottom w:val="nil"/>
              <w:right w:val="nil"/>
            </w:tcBorders>
            <w:shd w:val="clear" w:color="auto" w:fill="auto"/>
            <w:noWrap/>
            <w:vAlign w:val="bottom"/>
            <w:hideMark/>
          </w:tcPr>
          <w:p w:rsidR="00754973" w:rsidRPr="00D107FC" w:rsidRDefault="00754973" w:rsidP="00754973">
            <w:pPr>
              <w:rPr>
                <w:rFonts w:cstheme="minorHAnsi"/>
                <w:color w:val="000000"/>
              </w:rPr>
            </w:pPr>
            <w:r w:rsidRPr="00D107FC">
              <w:rPr>
                <w:rFonts w:cstheme="minorHAnsi"/>
                <w:color w:val="000000"/>
              </w:rPr>
              <w:t>REVENUE REQUIREMENT</w:t>
            </w:r>
          </w:p>
        </w:tc>
        <w:tc>
          <w:tcPr>
            <w:tcW w:w="1540" w:type="dxa"/>
            <w:tcBorders>
              <w:top w:val="nil"/>
              <w:left w:val="nil"/>
              <w:bottom w:val="nil"/>
              <w:right w:val="nil"/>
            </w:tcBorders>
            <w:shd w:val="clear" w:color="auto" w:fill="auto"/>
            <w:noWrap/>
            <w:vAlign w:val="bottom"/>
            <w:hideMark/>
          </w:tcPr>
          <w:p w:rsidR="00754973" w:rsidRPr="00D107FC" w:rsidRDefault="00754973" w:rsidP="00754973">
            <w:pPr>
              <w:jc w:val="right"/>
              <w:rPr>
                <w:rFonts w:cstheme="minorHAnsi"/>
                <w:color w:val="000000"/>
              </w:rPr>
            </w:pPr>
            <w:r w:rsidRPr="00D107FC">
              <w:rPr>
                <w:rFonts w:cstheme="minorHAnsi"/>
                <w:color w:val="000000"/>
              </w:rPr>
              <w:t>100.0000%</w:t>
            </w:r>
          </w:p>
        </w:tc>
        <w:tc>
          <w:tcPr>
            <w:tcW w:w="960" w:type="dxa"/>
            <w:tcBorders>
              <w:top w:val="nil"/>
              <w:left w:val="nil"/>
              <w:bottom w:val="nil"/>
              <w:right w:val="nil"/>
            </w:tcBorders>
            <w:shd w:val="clear" w:color="auto" w:fill="auto"/>
            <w:noWrap/>
            <w:vAlign w:val="bottom"/>
            <w:hideMark/>
          </w:tcPr>
          <w:p w:rsidR="00754973" w:rsidRPr="00D107FC" w:rsidRDefault="00754973" w:rsidP="00754973">
            <w:pPr>
              <w:rPr>
                <w:rFonts w:cstheme="minorHAnsi"/>
                <w:color w:val="000000"/>
              </w:rPr>
            </w:pPr>
          </w:p>
        </w:tc>
        <w:tc>
          <w:tcPr>
            <w:tcW w:w="1340" w:type="dxa"/>
            <w:tcBorders>
              <w:top w:val="nil"/>
              <w:left w:val="nil"/>
              <w:bottom w:val="nil"/>
              <w:right w:val="single" w:sz="8" w:space="0" w:color="auto"/>
            </w:tcBorders>
            <w:shd w:val="clear" w:color="auto" w:fill="auto"/>
            <w:noWrap/>
            <w:vAlign w:val="bottom"/>
            <w:hideMark/>
          </w:tcPr>
          <w:p w:rsidR="00754973" w:rsidRPr="00D107FC" w:rsidRDefault="00754973" w:rsidP="00754973">
            <w:pPr>
              <w:jc w:val="right"/>
              <w:rPr>
                <w:rFonts w:cstheme="minorHAnsi"/>
                <w:color w:val="000000"/>
              </w:rPr>
            </w:pPr>
            <w:r w:rsidRPr="00D107FC">
              <w:rPr>
                <w:rFonts w:cstheme="minorHAnsi"/>
                <w:color w:val="000000"/>
              </w:rPr>
              <w:t>100.0000%</w:t>
            </w:r>
          </w:p>
        </w:tc>
      </w:tr>
      <w:tr w:rsidR="00754973" w:rsidRPr="00D107FC" w:rsidTr="00754973">
        <w:trPr>
          <w:trHeight w:val="390"/>
        </w:trPr>
        <w:tc>
          <w:tcPr>
            <w:tcW w:w="5060" w:type="dxa"/>
            <w:tcBorders>
              <w:top w:val="nil"/>
              <w:left w:val="single" w:sz="8" w:space="0" w:color="auto"/>
              <w:bottom w:val="nil"/>
              <w:right w:val="nil"/>
            </w:tcBorders>
            <w:shd w:val="clear" w:color="auto" w:fill="auto"/>
            <w:noWrap/>
            <w:vAlign w:val="bottom"/>
            <w:hideMark/>
          </w:tcPr>
          <w:p w:rsidR="00754973" w:rsidRPr="00D107FC" w:rsidRDefault="00754973" w:rsidP="00754973">
            <w:pPr>
              <w:rPr>
                <w:rFonts w:cstheme="minorHAnsi"/>
                <w:color w:val="000000"/>
              </w:rPr>
            </w:pPr>
            <w:r w:rsidRPr="00D107FC">
              <w:rPr>
                <w:rFonts w:cstheme="minorHAnsi"/>
                <w:color w:val="000000"/>
              </w:rPr>
              <w:t>REGULATORY ASSESMENT RATE</w:t>
            </w:r>
          </w:p>
        </w:tc>
        <w:tc>
          <w:tcPr>
            <w:tcW w:w="1540" w:type="dxa"/>
            <w:tcBorders>
              <w:top w:val="nil"/>
              <w:left w:val="nil"/>
              <w:bottom w:val="nil"/>
              <w:right w:val="nil"/>
            </w:tcBorders>
            <w:shd w:val="clear" w:color="auto" w:fill="auto"/>
            <w:noWrap/>
            <w:vAlign w:val="bottom"/>
            <w:hideMark/>
          </w:tcPr>
          <w:p w:rsidR="00754973" w:rsidRPr="00D107FC" w:rsidRDefault="00754973" w:rsidP="00754973">
            <w:pPr>
              <w:jc w:val="right"/>
              <w:rPr>
                <w:rFonts w:cstheme="minorHAnsi"/>
                <w:color w:val="000000"/>
              </w:rPr>
            </w:pPr>
            <w:r w:rsidRPr="00D107FC">
              <w:rPr>
                <w:rFonts w:cstheme="minorHAnsi"/>
                <w:color w:val="000000"/>
              </w:rPr>
              <w:t>0.5000%</w:t>
            </w:r>
          </w:p>
        </w:tc>
        <w:tc>
          <w:tcPr>
            <w:tcW w:w="960" w:type="dxa"/>
            <w:tcBorders>
              <w:top w:val="nil"/>
              <w:left w:val="nil"/>
              <w:bottom w:val="nil"/>
              <w:right w:val="nil"/>
            </w:tcBorders>
            <w:shd w:val="clear" w:color="auto" w:fill="auto"/>
            <w:noWrap/>
            <w:vAlign w:val="bottom"/>
            <w:hideMark/>
          </w:tcPr>
          <w:p w:rsidR="00754973" w:rsidRPr="00D107FC" w:rsidRDefault="00754973" w:rsidP="00754973">
            <w:pPr>
              <w:rPr>
                <w:rFonts w:cstheme="minorHAnsi"/>
                <w:color w:val="000000"/>
              </w:rPr>
            </w:pPr>
          </w:p>
        </w:tc>
        <w:tc>
          <w:tcPr>
            <w:tcW w:w="1340" w:type="dxa"/>
            <w:tcBorders>
              <w:top w:val="nil"/>
              <w:left w:val="nil"/>
              <w:bottom w:val="nil"/>
              <w:right w:val="single" w:sz="8" w:space="0" w:color="auto"/>
            </w:tcBorders>
            <w:shd w:val="clear" w:color="auto" w:fill="auto"/>
            <w:noWrap/>
            <w:vAlign w:val="bottom"/>
            <w:hideMark/>
          </w:tcPr>
          <w:p w:rsidR="00754973" w:rsidRPr="00D107FC" w:rsidRDefault="00754973" w:rsidP="00754973">
            <w:pPr>
              <w:jc w:val="right"/>
              <w:rPr>
                <w:rFonts w:cstheme="minorHAnsi"/>
                <w:color w:val="000000"/>
              </w:rPr>
            </w:pPr>
            <w:r w:rsidRPr="00D107FC">
              <w:rPr>
                <w:rFonts w:cstheme="minorHAnsi"/>
                <w:color w:val="000000"/>
              </w:rPr>
              <w:t>0.5000%</w:t>
            </w:r>
          </w:p>
        </w:tc>
      </w:tr>
      <w:tr w:rsidR="00754973" w:rsidRPr="00D107FC" w:rsidTr="00754973">
        <w:trPr>
          <w:trHeight w:val="390"/>
        </w:trPr>
        <w:tc>
          <w:tcPr>
            <w:tcW w:w="5060" w:type="dxa"/>
            <w:tcBorders>
              <w:top w:val="nil"/>
              <w:left w:val="single" w:sz="8" w:space="0" w:color="auto"/>
              <w:bottom w:val="nil"/>
              <w:right w:val="nil"/>
            </w:tcBorders>
            <w:shd w:val="clear" w:color="auto" w:fill="auto"/>
            <w:noWrap/>
            <w:vAlign w:val="bottom"/>
            <w:hideMark/>
          </w:tcPr>
          <w:p w:rsidR="00754973" w:rsidRPr="00D107FC" w:rsidRDefault="00754973" w:rsidP="00754973">
            <w:pPr>
              <w:rPr>
                <w:rFonts w:cstheme="minorHAnsi"/>
                <w:color w:val="000000"/>
              </w:rPr>
            </w:pPr>
            <w:r w:rsidRPr="00D107FC">
              <w:rPr>
                <w:rFonts w:cstheme="minorHAnsi"/>
                <w:color w:val="000000"/>
              </w:rPr>
              <w:t>BAD DEBT RATE</w:t>
            </w:r>
          </w:p>
        </w:tc>
        <w:tc>
          <w:tcPr>
            <w:tcW w:w="1540" w:type="dxa"/>
            <w:tcBorders>
              <w:top w:val="nil"/>
              <w:left w:val="nil"/>
              <w:bottom w:val="nil"/>
              <w:right w:val="nil"/>
            </w:tcBorders>
            <w:shd w:val="clear" w:color="auto" w:fill="auto"/>
            <w:noWrap/>
            <w:vAlign w:val="bottom"/>
            <w:hideMark/>
          </w:tcPr>
          <w:p w:rsidR="00754973" w:rsidRPr="00D107FC" w:rsidRDefault="00754973" w:rsidP="00754973">
            <w:pPr>
              <w:jc w:val="right"/>
              <w:rPr>
                <w:rFonts w:cstheme="minorHAnsi"/>
                <w:color w:val="000000"/>
              </w:rPr>
            </w:pPr>
            <w:r w:rsidRPr="00D107FC">
              <w:rPr>
                <w:rFonts w:cstheme="minorHAnsi"/>
                <w:color w:val="000000"/>
              </w:rPr>
              <w:t>0.0000%</w:t>
            </w:r>
          </w:p>
        </w:tc>
        <w:tc>
          <w:tcPr>
            <w:tcW w:w="960" w:type="dxa"/>
            <w:tcBorders>
              <w:top w:val="nil"/>
              <w:left w:val="nil"/>
              <w:bottom w:val="nil"/>
              <w:right w:val="nil"/>
            </w:tcBorders>
            <w:shd w:val="clear" w:color="auto" w:fill="auto"/>
            <w:noWrap/>
            <w:vAlign w:val="bottom"/>
            <w:hideMark/>
          </w:tcPr>
          <w:p w:rsidR="00754973" w:rsidRPr="00D107FC" w:rsidRDefault="00754973" w:rsidP="00754973">
            <w:pPr>
              <w:rPr>
                <w:rFonts w:cstheme="minorHAnsi"/>
                <w:color w:val="000000"/>
              </w:rPr>
            </w:pPr>
          </w:p>
        </w:tc>
        <w:tc>
          <w:tcPr>
            <w:tcW w:w="1340" w:type="dxa"/>
            <w:tcBorders>
              <w:top w:val="nil"/>
              <w:left w:val="nil"/>
              <w:bottom w:val="nil"/>
              <w:right w:val="single" w:sz="8" w:space="0" w:color="auto"/>
            </w:tcBorders>
            <w:shd w:val="clear" w:color="auto" w:fill="auto"/>
            <w:noWrap/>
            <w:vAlign w:val="bottom"/>
            <w:hideMark/>
          </w:tcPr>
          <w:p w:rsidR="00754973" w:rsidRPr="00D107FC" w:rsidRDefault="00754973" w:rsidP="00754973">
            <w:pPr>
              <w:jc w:val="right"/>
              <w:rPr>
                <w:rFonts w:cstheme="minorHAnsi"/>
                <w:color w:val="000000"/>
              </w:rPr>
            </w:pPr>
            <w:r w:rsidRPr="00D107FC">
              <w:rPr>
                <w:rFonts w:cstheme="minorHAnsi"/>
                <w:color w:val="000000"/>
              </w:rPr>
              <w:t>0.0000%</w:t>
            </w:r>
          </w:p>
        </w:tc>
      </w:tr>
      <w:tr w:rsidR="00754973" w:rsidRPr="00D107FC" w:rsidTr="00754973">
        <w:trPr>
          <w:trHeight w:val="390"/>
        </w:trPr>
        <w:tc>
          <w:tcPr>
            <w:tcW w:w="5060" w:type="dxa"/>
            <w:tcBorders>
              <w:top w:val="nil"/>
              <w:left w:val="single" w:sz="8" w:space="0" w:color="auto"/>
              <w:bottom w:val="nil"/>
              <w:right w:val="nil"/>
            </w:tcBorders>
            <w:shd w:val="clear" w:color="auto" w:fill="auto"/>
            <w:noWrap/>
            <w:vAlign w:val="bottom"/>
            <w:hideMark/>
          </w:tcPr>
          <w:p w:rsidR="00754973" w:rsidRPr="00D107FC" w:rsidRDefault="00754973" w:rsidP="00754973">
            <w:pPr>
              <w:rPr>
                <w:rFonts w:cstheme="minorHAnsi"/>
                <w:color w:val="000000"/>
              </w:rPr>
            </w:pPr>
            <w:r w:rsidRPr="00D107FC">
              <w:rPr>
                <w:rFonts w:cstheme="minorHAnsi"/>
                <w:color w:val="000000"/>
              </w:rPr>
              <w:t>NET BEFORE INCOME TAX RATE</w:t>
            </w:r>
          </w:p>
        </w:tc>
        <w:tc>
          <w:tcPr>
            <w:tcW w:w="1540" w:type="dxa"/>
            <w:tcBorders>
              <w:top w:val="single" w:sz="4" w:space="0" w:color="auto"/>
              <w:left w:val="nil"/>
              <w:bottom w:val="single" w:sz="4" w:space="0" w:color="auto"/>
              <w:right w:val="nil"/>
            </w:tcBorders>
            <w:shd w:val="clear" w:color="auto" w:fill="auto"/>
            <w:noWrap/>
            <w:vAlign w:val="bottom"/>
            <w:hideMark/>
          </w:tcPr>
          <w:p w:rsidR="00754973" w:rsidRPr="00D107FC" w:rsidRDefault="00754973" w:rsidP="00754973">
            <w:pPr>
              <w:jc w:val="right"/>
              <w:rPr>
                <w:rFonts w:cstheme="minorHAnsi"/>
                <w:color w:val="000000"/>
              </w:rPr>
            </w:pPr>
            <w:r w:rsidRPr="00D107FC">
              <w:rPr>
                <w:rFonts w:cstheme="minorHAnsi"/>
                <w:color w:val="000000"/>
              </w:rPr>
              <w:t>99.5000%</w:t>
            </w:r>
          </w:p>
        </w:tc>
        <w:tc>
          <w:tcPr>
            <w:tcW w:w="960" w:type="dxa"/>
            <w:tcBorders>
              <w:top w:val="nil"/>
              <w:left w:val="nil"/>
              <w:bottom w:val="nil"/>
              <w:right w:val="nil"/>
            </w:tcBorders>
            <w:shd w:val="clear" w:color="auto" w:fill="auto"/>
            <w:noWrap/>
            <w:vAlign w:val="bottom"/>
            <w:hideMark/>
          </w:tcPr>
          <w:p w:rsidR="00754973" w:rsidRPr="00D107FC" w:rsidRDefault="00754973" w:rsidP="00754973">
            <w:pPr>
              <w:rPr>
                <w:rFonts w:cstheme="minorHAnsi"/>
                <w:color w:val="000000"/>
              </w:rPr>
            </w:pPr>
          </w:p>
        </w:tc>
        <w:tc>
          <w:tcPr>
            <w:tcW w:w="1340" w:type="dxa"/>
            <w:tcBorders>
              <w:top w:val="single" w:sz="4" w:space="0" w:color="auto"/>
              <w:left w:val="nil"/>
              <w:bottom w:val="single" w:sz="4" w:space="0" w:color="auto"/>
              <w:right w:val="single" w:sz="8" w:space="0" w:color="auto"/>
            </w:tcBorders>
            <w:shd w:val="clear" w:color="auto" w:fill="auto"/>
            <w:noWrap/>
            <w:vAlign w:val="bottom"/>
            <w:hideMark/>
          </w:tcPr>
          <w:p w:rsidR="00754973" w:rsidRPr="00D107FC" w:rsidRDefault="00754973" w:rsidP="00754973">
            <w:pPr>
              <w:jc w:val="right"/>
              <w:rPr>
                <w:rFonts w:cstheme="minorHAnsi"/>
                <w:color w:val="000000"/>
              </w:rPr>
            </w:pPr>
            <w:r w:rsidRPr="00D107FC">
              <w:rPr>
                <w:rFonts w:cstheme="minorHAnsi"/>
                <w:color w:val="000000"/>
              </w:rPr>
              <w:t>99.5000%</w:t>
            </w:r>
          </w:p>
        </w:tc>
      </w:tr>
      <w:tr w:rsidR="00754973" w:rsidRPr="00D107FC" w:rsidTr="00754973">
        <w:trPr>
          <w:trHeight w:val="390"/>
        </w:trPr>
        <w:tc>
          <w:tcPr>
            <w:tcW w:w="5060" w:type="dxa"/>
            <w:tcBorders>
              <w:top w:val="nil"/>
              <w:left w:val="single" w:sz="8" w:space="0" w:color="auto"/>
              <w:bottom w:val="nil"/>
              <w:right w:val="nil"/>
            </w:tcBorders>
            <w:shd w:val="clear" w:color="auto" w:fill="auto"/>
            <w:noWrap/>
            <w:vAlign w:val="bottom"/>
            <w:hideMark/>
          </w:tcPr>
          <w:p w:rsidR="00754973" w:rsidRPr="00D107FC" w:rsidRDefault="00754973" w:rsidP="00754973">
            <w:pPr>
              <w:rPr>
                <w:rFonts w:cstheme="minorHAnsi"/>
                <w:color w:val="000000"/>
              </w:rPr>
            </w:pPr>
            <w:r w:rsidRPr="00D107FC">
              <w:rPr>
                <w:rFonts w:cstheme="minorHAnsi"/>
                <w:color w:val="000000"/>
              </w:rPr>
              <w:t>STATE INCOME TAX RATE</w:t>
            </w:r>
          </w:p>
        </w:tc>
        <w:tc>
          <w:tcPr>
            <w:tcW w:w="1540" w:type="dxa"/>
            <w:tcBorders>
              <w:top w:val="nil"/>
              <w:left w:val="nil"/>
              <w:bottom w:val="nil"/>
              <w:right w:val="nil"/>
            </w:tcBorders>
            <w:shd w:val="clear" w:color="auto" w:fill="auto"/>
            <w:noWrap/>
            <w:vAlign w:val="bottom"/>
            <w:hideMark/>
          </w:tcPr>
          <w:p w:rsidR="00754973" w:rsidRPr="00D107FC" w:rsidRDefault="00754973" w:rsidP="00754973">
            <w:pPr>
              <w:jc w:val="right"/>
              <w:rPr>
                <w:rFonts w:cstheme="minorHAnsi"/>
                <w:color w:val="000000"/>
              </w:rPr>
            </w:pPr>
            <w:r w:rsidRPr="00D107FC">
              <w:rPr>
                <w:rFonts w:cstheme="minorHAnsi"/>
                <w:color w:val="000000"/>
              </w:rPr>
              <w:t>5.5000%</w:t>
            </w:r>
          </w:p>
        </w:tc>
        <w:tc>
          <w:tcPr>
            <w:tcW w:w="960" w:type="dxa"/>
            <w:tcBorders>
              <w:top w:val="nil"/>
              <w:left w:val="nil"/>
              <w:bottom w:val="nil"/>
              <w:right w:val="nil"/>
            </w:tcBorders>
            <w:shd w:val="clear" w:color="auto" w:fill="auto"/>
            <w:noWrap/>
            <w:vAlign w:val="bottom"/>
            <w:hideMark/>
          </w:tcPr>
          <w:p w:rsidR="00754973" w:rsidRPr="00D107FC" w:rsidRDefault="00754973" w:rsidP="00754973">
            <w:pPr>
              <w:rPr>
                <w:rFonts w:cstheme="minorHAnsi"/>
                <w:color w:val="000000"/>
              </w:rPr>
            </w:pPr>
          </w:p>
        </w:tc>
        <w:tc>
          <w:tcPr>
            <w:tcW w:w="1340" w:type="dxa"/>
            <w:tcBorders>
              <w:top w:val="nil"/>
              <w:left w:val="nil"/>
              <w:bottom w:val="nil"/>
              <w:right w:val="single" w:sz="8" w:space="0" w:color="auto"/>
            </w:tcBorders>
            <w:shd w:val="clear" w:color="auto" w:fill="auto"/>
            <w:noWrap/>
            <w:vAlign w:val="bottom"/>
            <w:hideMark/>
          </w:tcPr>
          <w:p w:rsidR="00754973" w:rsidRPr="00D107FC" w:rsidRDefault="00754973" w:rsidP="00754973">
            <w:pPr>
              <w:jc w:val="right"/>
              <w:rPr>
                <w:rFonts w:cstheme="minorHAnsi"/>
                <w:color w:val="000000"/>
              </w:rPr>
            </w:pPr>
            <w:r w:rsidRPr="00D107FC">
              <w:rPr>
                <w:rFonts w:cstheme="minorHAnsi"/>
                <w:color w:val="000000"/>
              </w:rPr>
              <w:t>4.4580%</w:t>
            </w:r>
          </w:p>
        </w:tc>
      </w:tr>
      <w:tr w:rsidR="00754973" w:rsidRPr="00D107FC" w:rsidTr="00754973">
        <w:trPr>
          <w:trHeight w:val="390"/>
        </w:trPr>
        <w:tc>
          <w:tcPr>
            <w:tcW w:w="5060" w:type="dxa"/>
            <w:tcBorders>
              <w:top w:val="nil"/>
              <w:left w:val="single" w:sz="8" w:space="0" w:color="auto"/>
              <w:bottom w:val="nil"/>
              <w:right w:val="nil"/>
            </w:tcBorders>
            <w:shd w:val="clear" w:color="auto" w:fill="auto"/>
            <w:noWrap/>
            <w:vAlign w:val="bottom"/>
            <w:hideMark/>
          </w:tcPr>
          <w:p w:rsidR="00754973" w:rsidRPr="00D107FC" w:rsidRDefault="00754973" w:rsidP="00754973">
            <w:pPr>
              <w:rPr>
                <w:rFonts w:cstheme="minorHAnsi"/>
                <w:color w:val="000000"/>
              </w:rPr>
            </w:pPr>
            <w:r w:rsidRPr="00D107FC">
              <w:rPr>
                <w:rFonts w:cstheme="minorHAnsi"/>
                <w:color w:val="000000"/>
              </w:rPr>
              <w:t xml:space="preserve">STATE INCOME TAX </w:t>
            </w:r>
          </w:p>
        </w:tc>
        <w:tc>
          <w:tcPr>
            <w:tcW w:w="1540" w:type="dxa"/>
            <w:tcBorders>
              <w:top w:val="nil"/>
              <w:left w:val="nil"/>
              <w:bottom w:val="single" w:sz="4" w:space="0" w:color="auto"/>
              <w:right w:val="nil"/>
            </w:tcBorders>
            <w:shd w:val="clear" w:color="auto" w:fill="auto"/>
            <w:noWrap/>
            <w:vAlign w:val="bottom"/>
            <w:hideMark/>
          </w:tcPr>
          <w:p w:rsidR="00754973" w:rsidRPr="00D107FC" w:rsidRDefault="00754973" w:rsidP="00754973">
            <w:pPr>
              <w:jc w:val="right"/>
              <w:rPr>
                <w:rFonts w:cstheme="minorHAnsi"/>
                <w:color w:val="000000"/>
              </w:rPr>
            </w:pPr>
            <w:r w:rsidRPr="00D107FC">
              <w:rPr>
                <w:rFonts w:cstheme="minorHAnsi"/>
                <w:color w:val="000000"/>
              </w:rPr>
              <w:t>5.4725%</w:t>
            </w:r>
          </w:p>
        </w:tc>
        <w:tc>
          <w:tcPr>
            <w:tcW w:w="960" w:type="dxa"/>
            <w:tcBorders>
              <w:top w:val="nil"/>
              <w:left w:val="nil"/>
              <w:bottom w:val="nil"/>
              <w:right w:val="nil"/>
            </w:tcBorders>
            <w:shd w:val="clear" w:color="auto" w:fill="auto"/>
            <w:noWrap/>
            <w:vAlign w:val="bottom"/>
            <w:hideMark/>
          </w:tcPr>
          <w:p w:rsidR="00754973" w:rsidRPr="00D107FC" w:rsidRDefault="00754973" w:rsidP="00754973">
            <w:pPr>
              <w:rPr>
                <w:rFonts w:cstheme="minorHAnsi"/>
                <w:color w:val="000000"/>
              </w:rPr>
            </w:pPr>
          </w:p>
        </w:tc>
        <w:tc>
          <w:tcPr>
            <w:tcW w:w="1340" w:type="dxa"/>
            <w:tcBorders>
              <w:top w:val="nil"/>
              <w:left w:val="nil"/>
              <w:bottom w:val="single" w:sz="4" w:space="0" w:color="auto"/>
              <w:right w:val="single" w:sz="8" w:space="0" w:color="auto"/>
            </w:tcBorders>
            <w:shd w:val="clear" w:color="auto" w:fill="auto"/>
            <w:noWrap/>
            <w:vAlign w:val="bottom"/>
            <w:hideMark/>
          </w:tcPr>
          <w:p w:rsidR="00754973" w:rsidRPr="00D107FC" w:rsidRDefault="00754973" w:rsidP="00754973">
            <w:pPr>
              <w:jc w:val="right"/>
              <w:rPr>
                <w:rFonts w:cstheme="minorHAnsi"/>
                <w:color w:val="000000"/>
              </w:rPr>
            </w:pPr>
            <w:r w:rsidRPr="00D107FC">
              <w:rPr>
                <w:rFonts w:cstheme="minorHAnsi"/>
                <w:color w:val="000000"/>
              </w:rPr>
              <w:t>4.4357%</w:t>
            </w:r>
          </w:p>
        </w:tc>
      </w:tr>
      <w:tr w:rsidR="00754973" w:rsidRPr="00D107FC" w:rsidTr="00754973">
        <w:trPr>
          <w:trHeight w:val="390"/>
        </w:trPr>
        <w:tc>
          <w:tcPr>
            <w:tcW w:w="5060" w:type="dxa"/>
            <w:tcBorders>
              <w:top w:val="nil"/>
              <w:left w:val="single" w:sz="8" w:space="0" w:color="auto"/>
              <w:bottom w:val="nil"/>
              <w:right w:val="nil"/>
            </w:tcBorders>
            <w:shd w:val="clear" w:color="auto" w:fill="auto"/>
            <w:noWrap/>
            <w:vAlign w:val="bottom"/>
            <w:hideMark/>
          </w:tcPr>
          <w:p w:rsidR="00754973" w:rsidRPr="00D107FC" w:rsidRDefault="00754973" w:rsidP="00754973">
            <w:pPr>
              <w:rPr>
                <w:rFonts w:cstheme="minorHAnsi"/>
                <w:color w:val="000000"/>
              </w:rPr>
            </w:pPr>
            <w:r w:rsidRPr="00D107FC">
              <w:rPr>
                <w:rFonts w:cstheme="minorHAnsi"/>
                <w:color w:val="000000"/>
              </w:rPr>
              <w:t>NET BEFORE FEDERAL INCOME TAXES</w:t>
            </w:r>
          </w:p>
        </w:tc>
        <w:tc>
          <w:tcPr>
            <w:tcW w:w="1540" w:type="dxa"/>
            <w:tcBorders>
              <w:top w:val="nil"/>
              <w:left w:val="nil"/>
              <w:bottom w:val="nil"/>
              <w:right w:val="nil"/>
            </w:tcBorders>
            <w:shd w:val="clear" w:color="auto" w:fill="auto"/>
            <w:noWrap/>
            <w:vAlign w:val="bottom"/>
            <w:hideMark/>
          </w:tcPr>
          <w:p w:rsidR="00754973" w:rsidRPr="00D107FC" w:rsidRDefault="00754973" w:rsidP="00754973">
            <w:pPr>
              <w:jc w:val="right"/>
              <w:rPr>
                <w:rFonts w:cstheme="minorHAnsi"/>
                <w:color w:val="000000"/>
              </w:rPr>
            </w:pPr>
            <w:r w:rsidRPr="00D107FC">
              <w:rPr>
                <w:rFonts w:cstheme="minorHAnsi"/>
                <w:color w:val="000000"/>
              </w:rPr>
              <w:t>94.0275%</w:t>
            </w:r>
          </w:p>
        </w:tc>
        <w:tc>
          <w:tcPr>
            <w:tcW w:w="960" w:type="dxa"/>
            <w:tcBorders>
              <w:top w:val="nil"/>
              <w:left w:val="nil"/>
              <w:bottom w:val="nil"/>
              <w:right w:val="nil"/>
            </w:tcBorders>
            <w:shd w:val="clear" w:color="auto" w:fill="auto"/>
            <w:noWrap/>
            <w:vAlign w:val="bottom"/>
            <w:hideMark/>
          </w:tcPr>
          <w:p w:rsidR="00754973" w:rsidRPr="00D107FC" w:rsidRDefault="00754973" w:rsidP="00754973">
            <w:pPr>
              <w:rPr>
                <w:rFonts w:cstheme="minorHAnsi"/>
                <w:color w:val="000000"/>
              </w:rPr>
            </w:pPr>
          </w:p>
        </w:tc>
        <w:tc>
          <w:tcPr>
            <w:tcW w:w="1340" w:type="dxa"/>
            <w:tcBorders>
              <w:top w:val="nil"/>
              <w:left w:val="nil"/>
              <w:bottom w:val="nil"/>
              <w:right w:val="single" w:sz="8" w:space="0" w:color="auto"/>
            </w:tcBorders>
            <w:shd w:val="clear" w:color="auto" w:fill="auto"/>
            <w:noWrap/>
            <w:vAlign w:val="bottom"/>
            <w:hideMark/>
          </w:tcPr>
          <w:p w:rsidR="00754973" w:rsidRPr="00D107FC" w:rsidRDefault="00754973" w:rsidP="00754973">
            <w:pPr>
              <w:jc w:val="right"/>
              <w:rPr>
                <w:rFonts w:cstheme="minorHAnsi"/>
                <w:color w:val="000000"/>
              </w:rPr>
            </w:pPr>
            <w:r w:rsidRPr="00D107FC">
              <w:rPr>
                <w:rFonts w:cstheme="minorHAnsi"/>
                <w:color w:val="000000"/>
              </w:rPr>
              <w:t>95.0643%</w:t>
            </w:r>
          </w:p>
        </w:tc>
      </w:tr>
      <w:tr w:rsidR="00754973" w:rsidRPr="00D107FC" w:rsidTr="00754973">
        <w:trPr>
          <w:trHeight w:val="390"/>
        </w:trPr>
        <w:tc>
          <w:tcPr>
            <w:tcW w:w="5060" w:type="dxa"/>
            <w:tcBorders>
              <w:top w:val="nil"/>
              <w:left w:val="single" w:sz="8" w:space="0" w:color="auto"/>
              <w:bottom w:val="nil"/>
              <w:right w:val="nil"/>
            </w:tcBorders>
            <w:shd w:val="clear" w:color="auto" w:fill="auto"/>
            <w:noWrap/>
            <w:vAlign w:val="bottom"/>
            <w:hideMark/>
          </w:tcPr>
          <w:p w:rsidR="00754973" w:rsidRPr="00D107FC" w:rsidRDefault="00754973" w:rsidP="00754973">
            <w:pPr>
              <w:rPr>
                <w:rFonts w:cstheme="minorHAnsi"/>
                <w:color w:val="000000"/>
              </w:rPr>
            </w:pPr>
            <w:r w:rsidRPr="00D107FC">
              <w:rPr>
                <w:rFonts w:cstheme="minorHAnsi"/>
                <w:color w:val="000000"/>
              </w:rPr>
              <w:t>FEDERAL INCOME TAX RATE</w:t>
            </w:r>
          </w:p>
        </w:tc>
        <w:tc>
          <w:tcPr>
            <w:tcW w:w="1540" w:type="dxa"/>
            <w:tcBorders>
              <w:top w:val="nil"/>
              <w:left w:val="nil"/>
              <w:bottom w:val="nil"/>
              <w:right w:val="nil"/>
            </w:tcBorders>
            <w:shd w:val="clear" w:color="auto" w:fill="auto"/>
            <w:noWrap/>
            <w:vAlign w:val="bottom"/>
            <w:hideMark/>
          </w:tcPr>
          <w:p w:rsidR="00754973" w:rsidRPr="00D107FC" w:rsidRDefault="00754973" w:rsidP="00754973">
            <w:pPr>
              <w:jc w:val="right"/>
              <w:rPr>
                <w:rFonts w:cstheme="minorHAnsi"/>
                <w:color w:val="000000"/>
              </w:rPr>
            </w:pPr>
            <w:r w:rsidRPr="00D107FC">
              <w:rPr>
                <w:rFonts w:cstheme="minorHAnsi"/>
                <w:color w:val="000000"/>
              </w:rPr>
              <w:t>21.0000%</w:t>
            </w:r>
          </w:p>
        </w:tc>
        <w:tc>
          <w:tcPr>
            <w:tcW w:w="960" w:type="dxa"/>
            <w:tcBorders>
              <w:top w:val="nil"/>
              <w:left w:val="nil"/>
              <w:bottom w:val="nil"/>
              <w:right w:val="nil"/>
            </w:tcBorders>
            <w:shd w:val="clear" w:color="auto" w:fill="auto"/>
            <w:noWrap/>
            <w:vAlign w:val="bottom"/>
            <w:hideMark/>
          </w:tcPr>
          <w:p w:rsidR="00754973" w:rsidRPr="00D107FC" w:rsidRDefault="00754973" w:rsidP="00754973">
            <w:pPr>
              <w:rPr>
                <w:rFonts w:cstheme="minorHAnsi"/>
                <w:color w:val="000000"/>
              </w:rPr>
            </w:pPr>
          </w:p>
        </w:tc>
        <w:tc>
          <w:tcPr>
            <w:tcW w:w="1340" w:type="dxa"/>
            <w:tcBorders>
              <w:top w:val="nil"/>
              <w:left w:val="nil"/>
              <w:bottom w:val="nil"/>
              <w:right w:val="single" w:sz="8" w:space="0" w:color="auto"/>
            </w:tcBorders>
            <w:shd w:val="clear" w:color="auto" w:fill="auto"/>
            <w:noWrap/>
            <w:vAlign w:val="bottom"/>
            <w:hideMark/>
          </w:tcPr>
          <w:p w:rsidR="00754973" w:rsidRPr="00D107FC" w:rsidRDefault="00754973" w:rsidP="00754973">
            <w:pPr>
              <w:jc w:val="right"/>
              <w:rPr>
                <w:rFonts w:cstheme="minorHAnsi"/>
                <w:color w:val="000000"/>
              </w:rPr>
            </w:pPr>
            <w:r w:rsidRPr="00D107FC">
              <w:rPr>
                <w:rFonts w:cstheme="minorHAnsi"/>
                <w:color w:val="000000"/>
              </w:rPr>
              <w:t>21.0000%</w:t>
            </w:r>
          </w:p>
        </w:tc>
      </w:tr>
      <w:tr w:rsidR="00754973" w:rsidRPr="00D107FC" w:rsidTr="00754973">
        <w:trPr>
          <w:trHeight w:val="390"/>
        </w:trPr>
        <w:tc>
          <w:tcPr>
            <w:tcW w:w="5060" w:type="dxa"/>
            <w:tcBorders>
              <w:top w:val="nil"/>
              <w:left w:val="single" w:sz="8" w:space="0" w:color="auto"/>
              <w:bottom w:val="nil"/>
              <w:right w:val="nil"/>
            </w:tcBorders>
            <w:shd w:val="clear" w:color="auto" w:fill="auto"/>
            <w:noWrap/>
            <w:vAlign w:val="bottom"/>
            <w:hideMark/>
          </w:tcPr>
          <w:p w:rsidR="00754973" w:rsidRPr="00D107FC" w:rsidRDefault="00754973" w:rsidP="00754973">
            <w:pPr>
              <w:rPr>
                <w:rFonts w:cstheme="minorHAnsi"/>
                <w:color w:val="000000"/>
              </w:rPr>
            </w:pPr>
            <w:r w:rsidRPr="00D107FC">
              <w:rPr>
                <w:rFonts w:cstheme="minorHAnsi"/>
                <w:color w:val="000000"/>
              </w:rPr>
              <w:t xml:space="preserve">FEDERAL INCOME TAX </w:t>
            </w:r>
          </w:p>
        </w:tc>
        <w:tc>
          <w:tcPr>
            <w:tcW w:w="1540" w:type="dxa"/>
            <w:tcBorders>
              <w:top w:val="nil"/>
              <w:left w:val="nil"/>
              <w:bottom w:val="single" w:sz="4" w:space="0" w:color="auto"/>
              <w:right w:val="nil"/>
            </w:tcBorders>
            <w:shd w:val="clear" w:color="auto" w:fill="auto"/>
            <w:noWrap/>
            <w:vAlign w:val="bottom"/>
            <w:hideMark/>
          </w:tcPr>
          <w:p w:rsidR="00754973" w:rsidRPr="00D107FC" w:rsidRDefault="00754973" w:rsidP="00754973">
            <w:pPr>
              <w:jc w:val="right"/>
              <w:rPr>
                <w:rFonts w:cstheme="minorHAnsi"/>
                <w:color w:val="000000"/>
              </w:rPr>
            </w:pPr>
            <w:r w:rsidRPr="00D107FC">
              <w:rPr>
                <w:rFonts w:cstheme="minorHAnsi"/>
                <w:color w:val="000000"/>
              </w:rPr>
              <w:t>19.7458%</w:t>
            </w:r>
          </w:p>
        </w:tc>
        <w:tc>
          <w:tcPr>
            <w:tcW w:w="960" w:type="dxa"/>
            <w:tcBorders>
              <w:top w:val="nil"/>
              <w:left w:val="nil"/>
              <w:bottom w:val="nil"/>
              <w:right w:val="nil"/>
            </w:tcBorders>
            <w:shd w:val="clear" w:color="auto" w:fill="auto"/>
            <w:noWrap/>
            <w:vAlign w:val="bottom"/>
            <w:hideMark/>
          </w:tcPr>
          <w:p w:rsidR="00754973" w:rsidRPr="00D107FC" w:rsidRDefault="00754973" w:rsidP="00754973">
            <w:pPr>
              <w:rPr>
                <w:rFonts w:cstheme="minorHAnsi"/>
                <w:color w:val="000000"/>
              </w:rPr>
            </w:pPr>
          </w:p>
        </w:tc>
        <w:tc>
          <w:tcPr>
            <w:tcW w:w="1340" w:type="dxa"/>
            <w:tcBorders>
              <w:top w:val="nil"/>
              <w:left w:val="nil"/>
              <w:bottom w:val="single" w:sz="4" w:space="0" w:color="auto"/>
              <w:right w:val="single" w:sz="8" w:space="0" w:color="auto"/>
            </w:tcBorders>
            <w:shd w:val="clear" w:color="auto" w:fill="auto"/>
            <w:noWrap/>
            <w:vAlign w:val="bottom"/>
            <w:hideMark/>
          </w:tcPr>
          <w:p w:rsidR="00754973" w:rsidRPr="00D107FC" w:rsidRDefault="00754973" w:rsidP="00754973">
            <w:pPr>
              <w:jc w:val="right"/>
              <w:rPr>
                <w:rFonts w:cstheme="minorHAnsi"/>
                <w:color w:val="000000"/>
              </w:rPr>
            </w:pPr>
            <w:r w:rsidRPr="00D107FC">
              <w:rPr>
                <w:rFonts w:cstheme="minorHAnsi"/>
                <w:color w:val="000000"/>
              </w:rPr>
              <w:t>19.9635%</w:t>
            </w:r>
          </w:p>
        </w:tc>
      </w:tr>
      <w:tr w:rsidR="00754973" w:rsidRPr="00D107FC" w:rsidTr="00754973">
        <w:trPr>
          <w:trHeight w:val="390"/>
        </w:trPr>
        <w:tc>
          <w:tcPr>
            <w:tcW w:w="5060" w:type="dxa"/>
            <w:tcBorders>
              <w:top w:val="nil"/>
              <w:left w:val="single" w:sz="8" w:space="0" w:color="auto"/>
              <w:bottom w:val="nil"/>
              <w:right w:val="nil"/>
            </w:tcBorders>
            <w:shd w:val="clear" w:color="auto" w:fill="auto"/>
            <w:noWrap/>
            <w:vAlign w:val="bottom"/>
            <w:hideMark/>
          </w:tcPr>
          <w:p w:rsidR="00754973" w:rsidRPr="00D107FC" w:rsidRDefault="00754973" w:rsidP="00754973">
            <w:pPr>
              <w:rPr>
                <w:rFonts w:cstheme="minorHAnsi"/>
                <w:color w:val="000000"/>
              </w:rPr>
            </w:pPr>
            <w:r w:rsidRPr="00D107FC">
              <w:rPr>
                <w:rFonts w:cstheme="minorHAnsi"/>
                <w:color w:val="000000"/>
              </w:rPr>
              <w:t>REVENUE EXPANSION FACTOR</w:t>
            </w:r>
          </w:p>
        </w:tc>
        <w:tc>
          <w:tcPr>
            <w:tcW w:w="1540" w:type="dxa"/>
            <w:tcBorders>
              <w:top w:val="nil"/>
              <w:left w:val="nil"/>
              <w:bottom w:val="single" w:sz="4" w:space="0" w:color="auto"/>
              <w:right w:val="nil"/>
            </w:tcBorders>
            <w:shd w:val="clear" w:color="auto" w:fill="auto"/>
            <w:noWrap/>
            <w:vAlign w:val="bottom"/>
            <w:hideMark/>
          </w:tcPr>
          <w:p w:rsidR="00754973" w:rsidRPr="00D107FC" w:rsidRDefault="00754973" w:rsidP="00754973">
            <w:pPr>
              <w:jc w:val="right"/>
              <w:rPr>
                <w:rFonts w:cstheme="minorHAnsi"/>
                <w:color w:val="000000"/>
              </w:rPr>
            </w:pPr>
            <w:r w:rsidRPr="00D107FC">
              <w:rPr>
                <w:rFonts w:cstheme="minorHAnsi"/>
                <w:color w:val="000000"/>
              </w:rPr>
              <w:t>74.2817%</w:t>
            </w:r>
          </w:p>
        </w:tc>
        <w:tc>
          <w:tcPr>
            <w:tcW w:w="960" w:type="dxa"/>
            <w:tcBorders>
              <w:top w:val="nil"/>
              <w:left w:val="nil"/>
              <w:bottom w:val="nil"/>
              <w:right w:val="nil"/>
            </w:tcBorders>
            <w:shd w:val="clear" w:color="auto" w:fill="auto"/>
            <w:noWrap/>
            <w:vAlign w:val="bottom"/>
            <w:hideMark/>
          </w:tcPr>
          <w:p w:rsidR="00754973" w:rsidRPr="00D107FC" w:rsidRDefault="00754973" w:rsidP="00754973">
            <w:pPr>
              <w:rPr>
                <w:rFonts w:cstheme="minorHAnsi"/>
                <w:color w:val="000000"/>
              </w:rPr>
            </w:pPr>
          </w:p>
        </w:tc>
        <w:tc>
          <w:tcPr>
            <w:tcW w:w="1340" w:type="dxa"/>
            <w:tcBorders>
              <w:top w:val="nil"/>
              <w:left w:val="nil"/>
              <w:bottom w:val="single" w:sz="4" w:space="0" w:color="auto"/>
              <w:right w:val="single" w:sz="8" w:space="0" w:color="auto"/>
            </w:tcBorders>
            <w:shd w:val="clear" w:color="auto" w:fill="auto"/>
            <w:noWrap/>
            <w:vAlign w:val="bottom"/>
            <w:hideMark/>
          </w:tcPr>
          <w:p w:rsidR="00754973" w:rsidRPr="00D107FC" w:rsidRDefault="00754973" w:rsidP="00754973">
            <w:pPr>
              <w:jc w:val="right"/>
              <w:rPr>
                <w:rFonts w:cstheme="minorHAnsi"/>
                <w:color w:val="000000"/>
              </w:rPr>
            </w:pPr>
            <w:r w:rsidRPr="00D107FC">
              <w:rPr>
                <w:rFonts w:cstheme="minorHAnsi"/>
                <w:color w:val="000000"/>
              </w:rPr>
              <w:t>75.1008%</w:t>
            </w:r>
          </w:p>
        </w:tc>
      </w:tr>
      <w:tr w:rsidR="00754973" w:rsidRPr="00D107FC" w:rsidTr="00754973">
        <w:trPr>
          <w:trHeight w:val="390"/>
        </w:trPr>
        <w:tc>
          <w:tcPr>
            <w:tcW w:w="5060" w:type="dxa"/>
            <w:tcBorders>
              <w:top w:val="nil"/>
              <w:left w:val="single" w:sz="8" w:space="0" w:color="auto"/>
              <w:bottom w:val="nil"/>
              <w:right w:val="nil"/>
            </w:tcBorders>
            <w:shd w:val="clear" w:color="auto" w:fill="auto"/>
            <w:noWrap/>
            <w:vAlign w:val="bottom"/>
            <w:hideMark/>
          </w:tcPr>
          <w:p w:rsidR="00754973" w:rsidRPr="00D107FC" w:rsidRDefault="00754973" w:rsidP="00754973">
            <w:pPr>
              <w:rPr>
                <w:rFonts w:cstheme="minorHAnsi"/>
                <w:color w:val="000000"/>
              </w:rPr>
            </w:pPr>
            <w:r w:rsidRPr="00D107FC">
              <w:rPr>
                <w:rFonts w:cstheme="minorHAnsi"/>
                <w:color w:val="000000"/>
              </w:rPr>
              <w:t>NET OPERATING INCOME MULTIPLIER</w:t>
            </w:r>
          </w:p>
        </w:tc>
        <w:tc>
          <w:tcPr>
            <w:tcW w:w="1540" w:type="dxa"/>
            <w:tcBorders>
              <w:top w:val="nil"/>
              <w:left w:val="nil"/>
              <w:bottom w:val="double" w:sz="6" w:space="0" w:color="auto"/>
              <w:right w:val="nil"/>
            </w:tcBorders>
            <w:shd w:val="clear" w:color="auto" w:fill="auto"/>
            <w:noWrap/>
            <w:vAlign w:val="bottom"/>
            <w:hideMark/>
          </w:tcPr>
          <w:p w:rsidR="00754973" w:rsidRPr="00D107FC" w:rsidRDefault="00754973" w:rsidP="00754973">
            <w:pPr>
              <w:jc w:val="right"/>
              <w:rPr>
                <w:rFonts w:cstheme="minorHAnsi"/>
                <w:color w:val="000000"/>
              </w:rPr>
            </w:pPr>
            <w:r w:rsidRPr="00D107FC">
              <w:rPr>
                <w:rFonts w:cstheme="minorHAnsi"/>
                <w:color w:val="000000"/>
              </w:rPr>
              <w:t>1.3462</w:t>
            </w:r>
          </w:p>
        </w:tc>
        <w:tc>
          <w:tcPr>
            <w:tcW w:w="960" w:type="dxa"/>
            <w:tcBorders>
              <w:top w:val="nil"/>
              <w:left w:val="nil"/>
              <w:bottom w:val="nil"/>
              <w:right w:val="nil"/>
            </w:tcBorders>
            <w:shd w:val="clear" w:color="auto" w:fill="auto"/>
            <w:noWrap/>
            <w:vAlign w:val="bottom"/>
            <w:hideMark/>
          </w:tcPr>
          <w:p w:rsidR="00754973" w:rsidRPr="00D107FC" w:rsidRDefault="00754973" w:rsidP="00754973">
            <w:pPr>
              <w:rPr>
                <w:rFonts w:cstheme="minorHAnsi"/>
                <w:color w:val="000000"/>
              </w:rPr>
            </w:pPr>
          </w:p>
        </w:tc>
        <w:tc>
          <w:tcPr>
            <w:tcW w:w="1340" w:type="dxa"/>
            <w:tcBorders>
              <w:top w:val="nil"/>
              <w:left w:val="nil"/>
              <w:bottom w:val="double" w:sz="6" w:space="0" w:color="auto"/>
              <w:right w:val="single" w:sz="8" w:space="0" w:color="auto"/>
            </w:tcBorders>
            <w:shd w:val="clear" w:color="auto" w:fill="auto"/>
            <w:noWrap/>
            <w:vAlign w:val="bottom"/>
            <w:hideMark/>
          </w:tcPr>
          <w:p w:rsidR="00754973" w:rsidRPr="00D107FC" w:rsidRDefault="00754973" w:rsidP="00754973">
            <w:pPr>
              <w:jc w:val="right"/>
              <w:rPr>
                <w:rFonts w:cstheme="minorHAnsi"/>
                <w:color w:val="000000"/>
              </w:rPr>
            </w:pPr>
            <w:r w:rsidRPr="00D107FC">
              <w:rPr>
                <w:rFonts w:cstheme="minorHAnsi"/>
                <w:color w:val="000000"/>
              </w:rPr>
              <w:t>1.3315</w:t>
            </w:r>
          </w:p>
        </w:tc>
      </w:tr>
      <w:tr w:rsidR="00754973" w:rsidRPr="00D107FC" w:rsidTr="00754973">
        <w:trPr>
          <w:trHeight w:val="390"/>
        </w:trPr>
        <w:tc>
          <w:tcPr>
            <w:tcW w:w="5060" w:type="dxa"/>
            <w:tcBorders>
              <w:top w:val="nil"/>
              <w:left w:val="single" w:sz="8" w:space="0" w:color="auto"/>
              <w:bottom w:val="single" w:sz="8" w:space="0" w:color="auto"/>
              <w:right w:val="nil"/>
            </w:tcBorders>
            <w:shd w:val="clear" w:color="auto" w:fill="auto"/>
            <w:noWrap/>
            <w:vAlign w:val="bottom"/>
            <w:hideMark/>
          </w:tcPr>
          <w:p w:rsidR="00754973" w:rsidRPr="00D107FC" w:rsidRDefault="00754973" w:rsidP="00754973">
            <w:pPr>
              <w:rPr>
                <w:rFonts w:cstheme="minorHAnsi"/>
                <w:color w:val="000000"/>
              </w:rPr>
            </w:pPr>
            <w:r w:rsidRPr="00D107FC">
              <w:rPr>
                <w:rFonts w:cstheme="minorHAnsi"/>
                <w:color w:val="000000"/>
              </w:rPr>
              <w:t> </w:t>
            </w:r>
          </w:p>
        </w:tc>
        <w:tc>
          <w:tcPr>
            <w:tcW w:w="1540" w:type="dxa"/>
            <w:tcBorders>
              <w:top w:val="nil"/>
              <w:left w:val="nil"/>
              <w:bottom w:val="single" w:sz="8" w:space="0" w:color="auto"/>
              <w:right w:val="nil"/>
            </w:tcBorders>
            <w:shd w:val="clear" w:color="auto" w:fill="auto"/>
            <w:noWrap/>
            <w:vAlign w:val="bottom"/>
            <w:hideMark/>
          </w:tcPr>
          <w:p w:rsidR="00754973" w:rsidRPr="00D107FC" w:rsidRDefault="00754973" w:rsidP="00754973">
            <w:pPr>
              <w:rPr>
                <w:rFonts w:cstheme="minorHAnsi"/>
                <w:color w:val="000000"/>
              </w:rPr>
            </w:pPr>
            <w:r w:rsidRPr="00D107FC">
              <w:rPr>
                <w:rFonts w:cstheme="minorHAnsi"/>
                <w:color w:val="000000"/>
              </w:rPr>
              <w:t> </w:t>
            </w:r>
          </w:p>
        </w:tc>
        <w:tc>
          <w:tcPr>
            <w:tcW w:w="960" w:type="dxa"/>
            <w:tcBorders>
              <w:top w:val="nil"/>
              <w:left w:val="nil"/>
              <w:bottom w:val="single" w:sz="8" w:space="0" w:color="auto"/>
              <w:right w:val="nil"/>
            </w:tcBorders>
            <w:shd w:val="clear" w:color="auto" w:fill="auto"/>
            <w:noWrap/>
            <w:vAlign w:val="bottom"/>
            <w:hideMark/>
          </w:tcPr>
          <w:p w:rsidR="00754973" w:rsidRPr="00D107FC" w:rsidRDefault="00754973" w:rsidP="00754973">
            <w:pPr>
              <w:rPr>
                <w:rFonts w:cstheme="minorHAnsi"/>
                <w:color w:val="000000"/>
              </w:rPr>
            </w:pPr>
            <w:r w:rsidRPr="00D107FC">
              <w:rPr>
                <w:rFonts w:cstheme="minorHAnsi"/>
                <w:color w:val="000000"/>
              </w:rPr>
              <w:t> </w:t>
            </w:r>
          </w:p>
        </w:tc>
        <w:tc>
          <w:tcPr>
            <w:tcW w:w="1340" w:type="dxa"/>
            <w:tcBorders>
              <w:top w:val="nil"/>
              <w:left w:val="nil"/>
              <w:bottom w:val="single" w:sz="8" w:space="0" w:color="auto"/>
              <w:right w:val="single" w:sz="8" w:space="0" w:color="auto"/>
            </w:tcBorders>
            <w:shd w:val="clear" w:color="auto" w:fill="auto"/>
            <w:noWrap/>
            <w:vAlign w:val="bottom"/>
            <w:hideMark/>
          </w:tcPr>
          <w:p w:rsidR="00754973" w:rsidRPr="00D107FC" w:rsidRDefault="00754973" w:rsidP="00754973">
            <w:pPr>
              <w:rPr>
                <w:rFonts w:cstheme="minorHAnsi"/>
                <w:color w:val="000000"/>
              </w:rPr>
            </w:pPr>
            <w:r w:rsidRPr="00D107FC">
              <w:rPr>
                <w:rFonts w:cstheme="minorHAnsi"/>
                <w:color w:val="000000"/>
              </w:rPr>
              <w:t> </w:t>
            </w:r>
          </w:p>
        </w:tc>
      </w:tr>
    </w:tbl>
    <w:p w:rsidR="00C73DB6" w:rsidRDefault="00C73DB6" w:rsidP="00754973">
      <w:pPr>
        <w:pStyle w:val="BodyText"/>
        <w:jc w:val="center"/>
        <w:sectPr w:rsidR="00C73DB6" w:rsidSect="003E5277">
          <w:headerReference w:type="even" r:id="rId27"/>
          <w:headerReference w:type="default" r:id="rId28"/>
          <w:headerReference w:type="first" r:id="rId29"/>
          <w:pgSz w:w="12240" w:h="15840" w:code="1"/>
          <w:pgMar w:top="1584" w:right="1440" w:bottom="1440" w:left="1440" w:header="720" w:footer="720" w:gutter="0"/>
          <w:cols w:space="720"/>
          <w:formProt w:val="0"/>
          <w:docGrid w:linePitch="360"/>
        </w:sectPr>
      </w:pPr>
    </w:p>
    <w:p w:rsidR="00754973" w:rsidRDefault="00754973" w:rsidP="00754973">
      <w:pPr>
        <w:pStyle w:val="IssueHeading"/>
      </w:pPr>
      <w:r>
        <w:lastRenderedPageBreak/>
        <w:fldChar w:fldCharType="begin"/>
      </w:r>
      <w:r>
        <w:instrText xml:space="preserve"> TC "</w:instrText>
      </w:r>
      <w:bookmarkStart w:id="50" w:name="_Toc28007746"/>
      <w:r>
        <w:tab/>
        <w:instrText>Schedule No. 6</w:instrText>
      </w:r>
      <w:r>
        <w:tab/>
      </w:r>
      <w:r w:rsidR="00716F30">
        <w:instrText>52</w:instrText>
      </w:r>
      <w:bookmarkEnd w:id="50"/>
      <w:r>
        <w:instrText>" \l 1 \n</w:instrText>
      </w:r>
      <w:r>
        <w:fldChar w:fldCharType="end"/>
      </w:r>
    </w:p>
    <w:p w:rsidR="00754973" w:rsidRPr="000A4DA8" w:rsidRDefault="00754973" w:rsidP="00754973">
      <w:pPr>
        <w:jc w:val="center"/>
        <w:rPr>
          <w:rFonts w:ascii="Arial" w:hAnsi="Arial" w:cs="Arial"/>
          <w:b/>
        </w:rPr>
      </w:pPr>
      <w:r w:rsidRPr="000A4DA8">
        <w:rPr>
          <w:rFonts w:ascii="Arial" w:hAnsi="Arial" w:cs="Arial"/>
          <w:b/>
        </w:rPr>
        <w:t>Sebring Gas System</w:t>
      </w:r>
    </w:p>
    <w:p w:rsidR="00754973" w:rsidRPr="000A4DA8" w:rsidRDefault="00754973" w:rsidP="00754973">
      <w:pPr>
        <w:jc w:val="center"/>
        <w:rPr>
          <w:rFonts w:ascii="Arial" w:hAnsi="Arial" w:cs="Arial"/>
          <w:b/>
        </w:rPr>
      </w:pPr>
      <w:r w:rsidRPr="000A4DA8">
        <w:rPr>
          <w:rFonts w:ascii="Arial" w:hAnsi="Arial" w:cs="Arial"/>
          <w:b/>
        </w:rPr>
        <w:t>Docket No. 20190083-GU</w:t>
      </w:r>
    </w:p>
    <w:p w:rsidR="00754973" w:rsidRPr="000A4DA8" w:rsidRDefault="00754973" w:rsidP="00754973">
      <w:pPr>
        <w:jc w:val="center"/>
        <w:rPr>
          <w:rFonts w:ascii="Arial" w:hAnsi="Arial" w:cs="Arial"/>
          <w:b/>
        </w:rPr>
      </w:pPr>
      <w:r w:rsidRPr="000A4DA8">
        <w:rPr>
          <w:rFonts w:ascii="Arial" w:hAnsi="Arial" w:cs="Arial"/>
          <w:b/>
        </w:rPr>
        <w:t>2020 Projected Test Year</w:t>
      </w:r>
    </w:p>
    <w:p w:rsidR="00754973" w:rsidRPr="000A4DA8" w:rsidRDefault="00754973" w:rsidP="00754973">
      <w:pPr>
        <w:jc w:val="center"/>
        <w:rPr>
          <w:rFonts w:ascii="Arial" w:hAnsi="Arial" w:cs="Arial"/>
          <w:b/>
        </w:rPr>
      </w:pPr>
      <w:r w:rsidRPr="000A4DA8">
        <w:rPr>
          <w:rFonts w:ascii="Arial" w:hAnsi="Arial" w:cs="Arial"/>
          <w:b/>
        </w:rPr>
        <w:t>Revenue Deficiency Calculation</w:t>
      </w:r>
    </w:p>
    <w:tbl>
      <w:tblPr>
        <w:tblW w:w="7502"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91"/>
        <w:gridCol w:w="2025"/>
        <w:gridCol w:w="642"/>
        <w:gridCol w:w="1644"/>
      </w:tblGrid>
      <w:tr w:rsidR="00754973" w:rsidRPr="003C7057" w:rsidTr="00754973">
        <w:trPr>
          <w:trHeight w:val="588"/>
          <w:jc w:val="center"/>
        </w:trPr>
        <w:tc>
          <w:tcPr>
            <w:tcW w:w="3191" w:type="dxa"/>
            <w:shd w:val="clear" w:color="auto" w:fill="auto"/>
            <w:noWrap/>
            <w:vAlign w:val="bottom"/>
            <w:hideMark/>
          </w:tcPr>
          <w:p w:rsidR="00754973" w:rsidRPr="002A7D5C" w:rsidRDefault="00754973" w:rsidP="00754973">
            <w:pPr>
              <w:jc w:val="center"/>
              <w:rPr>
                <w:rFonts w:cstheme="minorHAnsi"/>
                <w:color w:val="000000"/>
                <w:u w:val="single"/>
              </w:rPr>
            </w:pPr>
            <w:r w:rsidRPr="002A7D5C">
              <w:rPr>
                <w:rFonts w:cstheme="minorHAnsi"/>
                <w:color w:val="000000"/>
                <w:u w:val="single"/>
              </w:rPr>
              <w:t>DESCRIPTION</w:t>
            </w:r>
          </w:p>
        </w:tc>
        <w:tc>
          <w:tcPr>
            <w:tcW w:w="2025" w:type="dxa"/>
            <w:shd w:val="clear" w:color="auto" w:fill="auto"/>
            <w:vAlign w:val="bottom"/>
            <w:hideMark/>
          </w:tcPr>
          <w:p w:rsidR="00754973" w:rsidRPr="002A7D5C" w:rsidRDefault="00754973" w:rsidP="00754973">
            <w:pPr>
              <w:jc w:val="center"/>
              <w:rPr>
                <w:rFonts w:cstheme="minorHAnsi"/>
                <w:color w:val="000000"/>
              </w:rPr>
            </w:pPr>
            <w:r w:rsidRPr="002A7D5C">
              <w:rPr>
                <w:rFonts w:cstheme="minorHAnsi"/>
                <w:color w:val="000000"/>
              </w:rPr>
              <w:t xml:space="preserve">COMPANY </w:t>
            </w:r>
            <w:r w:rsidRPr="002A7D5C">
              <w:rPr>
                <w:rFonts w:cstheme="minorHAnsi"/>
                <w:color w:val="000000"/>
                <w:u w:val="single"/>
              </w:rPr>
              <w:t>ADJUSTED</w:t>
            </w:r>
          </w:p>
        </w:tc>
        <w:tc>
          <w:tcPr>
            <w:tcW w:w="642" w:type="dxa"/>
            <w:shd w:val="clear" w:color="auto" w:fill="auto"/>
            <w:vAlign w:val="bottom"/>
            <w:hideMark/>
          </w:tcPr>
          <w:p w:rsidR="00754973" w:rsidRPr="002A7D5C" w:rsidRDefault="00754973" w:rsidP="00754973">
            <w:pPr>
              <w:jc w:val="center"/>
              <w:rPr>
                <w:rFonts w:cstheme="minorHAnsi"/>
                <w:color w:val="000000"/>
              </w:rPr>
            </w:pPr>
          </w:p>
        </w:tc>
        <w:tc>
          <w:tcPr>
            <w:tcW w:w="1644" w:type="dxa"/>
            <w:shd w:val="clear" w:color="auto" w:fill="auto"/>
            <w:vAlign w:val="bottom"/>
            <w:hideMark/>
          </w:tcPr>
          <w:p w:rsidR="00754973" w:rsidRPr="002A7D5C" w:rsidRDefault="00754973" w:rsidP="00754973">
            <w:pPr>
              <w:jc w:val="center"/>
              <w:rPr>
                <w:rFonts w:cstheme="minorHAnsi"/>
                <w:color w:val="000000"/>
              </w:rPr>
            </w:pPr>
            <w:r w:rsidRPr="002A7D5C">
              <w:rPr>
                <w:rFonts w:cstheme="minorHAnsi"/>
                <w:color w:val="000000"/>
              </w:rPr>
              <w:t xml:space="preserve">STAFF </w:t>
            </w:r>
            <w:r w:rsidRPr="002A7D5C">
              <w:rPr>
                <w:rFonts w:cstheme="minorHAnsi"/>
                <w:color w:val="000000"/>
                <w:u w:val="single"/>
              </w:rPr>
              <w:t>ADJUSTED</w:t>
            </w:r>
          </w:p>
        </w:tc>
      </w:tr>
      <w:tr w:rsidR="00754973" w:rsidRPr="003C7057" w:rsidTr="00754973">
        <w:trPr>
          <w:trHeight w:val="318"/>
          <w:jc w:val="center"/>
        </w:trPr>
        <w:tc>
          <w:tcPr>
            <w:tcW w:w="3191" w:type="dxa"/>
            <w:shd w:val="clear" w:color="auto" w:fill="auto"/>
            <w:noWrap/>
            <w:vAlign w:val="bottom"/>
            <w:hideMark/>
          </w:tcPr>
          <w:p w:rsidR="00754973" w:rsidRPr="002A7D5C" w:rsidRDefault="00754973" w:rsidP="00754973">
            <w:pPr>
              <w:rPr>
                <w:rFonts w:cstheme="minorHAnsi"/>
                <w:color w:val="000000"/>
              </w:rPr>
            </w:pPr>
            <w:r w:rsidRPr="002A7D5C">
              <w:rPr>
                <w:rFonts w:cstheme="minorHAnsi"/>
                <w:color w:val="000000"/>
              </w:rPr>
              <w:t> </w:t>
            </w:r>
          </w:p>
        </w:tc>
        <w:tc>
          <w:tcPr>
            <w:tcW w:w="2025" w:type="dxa"/>
            <w:shd w:val="clear" w:color="auto" w:fill="auto"/>
            <w:noWrap/>
            <w:vAlign w:val="bottom"/>
            <w:hideMark/>
          </w:tcPr>
          <w:p w:rsidR="00754973" w:rsidRPr="002A7D5C" w:rsidRDefault="00754973" w:rsidP="00754973">
            <w:pPr>
              <w:rPr>
                <w:rFonts w:cstheme="minorHAnsi"/>
                <w:color w:val="000000"/>
              </w:rPr>
            </w:pPr>
          </w:p>
        </w:tc>
        <w:tc>
          <w:tcPr>
            <w:tcW w:w="642" w:type="dxa"/>
            <w:shd w:val="clear" w:color="auto" w:fill="auto"/>
            <w:noWrap/>
            <w:vAlign w:val="bottom"/>
            <w:hideMark/>
          </w:tcPr>
          <w:p w:rsidR="00754973" w:rsidRPr="002A7D5C" w:rsidRDefault="00754973" w:rsidP="00754973">
            <w:pPr>
              <w:rPr>
                <w:rFonts w:cstheme="minorHAnsi"/>
                <w:color w:val="000000"/>
              </w:rPr>
            </w:pPr>
          </w:p>
        </w:tc>
        <w:tc>
          <w:tcPr>
            <w:tcW w:w="1644" w:type="dxa"/>
            <w:shd w:val="clear" w:color="auto" w:fill="auto"/>
            <w:noWrap/>
            <w:vAlign w:val="bottom"/>
            <w:hideMark/>
          </w:tcPr>
          <w:p w:rsidR="00754973" w:rsidRPr="002A7D5C" w:rsidRDefault="00754973" w:rsidP="00754973">
            <w:pPr>
              <w:rPr>
                <w:rFonts w:cstheme="minorHAnsi"/>
                <w:color w:val="000000"/>
              </w:rPr>
            </w:pPr>
            <w:r w:rsidRPr="002A7D5C">
              <w:rPr>
                <w:rFonts w:cstheme="minorHAnsi"/>
                <w:color w:val="000000"/>
              </w:rPr>
              <w:t> </w:t>
            </w:r>
          </w:p>
        </w:tc>
      </w:tr>
      <w:tr w:rsidR="00754973" w:rsidRPr="003C7057" w:rsidTr="00754973">
        <w:trPr>
          <w:trHeight w:val="318"/>
          <w:jc w:val="center"/>
        </w:trPr>
        <w:tc>
          <w:tcPr>
            <w:tcW w:w="3191" w:type="dxa"/>
            <w:shd w:val="clear" w:color="auto" w:fill="auto"/>
            <w:noWrap/>
            <w:vAlign w:val="bottom"/>
            <w:hideMark/>
          </w:tcPr>
          <w:p w:rsidR="00754973" w:rsidRPr="002A7D5C" w:rsidRDefault="00754973" w:rsidP="00754973">
            <w:pPr>
              <w:rPr>
                <w:rFonts w:cstheme="minorHAnsi"/>
                <w:color w:val="000000"/>
              </w:rPr>
            </w:pPr>
            <w:r w:rsidRPr="002A7D5C">
              <w:rPr>
                <w:rFonts w:cstheme="minorHAnsi"/>
                <w:color w:val="000000"/>
              </w:rPr>
              <w:t>RATE BASE (AVERAGE)</w:t>
            </w:r>
          </w:p>
        </w:tc>
        <w:tc>
          <w:tcPr>
            <w:tcW w:w="2025" w:type="dxa"/>
            <w:shd w:val="clear" w:color="auto" w:fill="auto"/>
            <w:noWrap/>
            <w:vAlign w:val="bottom"/>
            <w:hideMark/>
          </w:tcPr>
          <w:p w:rsidR="00754973" w:rsidRPr="002A7D5C" w:rsidRDefault="00754973" w:rsidP="00754973">
            <w:pPr>
              <w:jc w:val="right"/>
              <w:rPr>
                <w:rFonts w:cstheme="minorHAnsi"/>
                <w:color w:val="000000"/>
              </w:rPr>
            </w:pPr>
            <w:r w:rsidRPr="002A7D5C">
              <w:rPr>
                <w:rFonts w:cstheme="minorHAnsi"/>
                <w:color w:val="000000"/>
              </w:rPr>
              <w:t>$5,0</w:t>
            </w:r>
            <w:r>
              <w:rPr>
                <w:rFonts w:cstheme="minorHAnsi"/>
                <w:color w:val="000000"/>
              </w:rPr>
              <w:t>44,363</w:t>
            </w:r>
            <w:r w:rsidRPr="002A7D5C">
              <w:rPr>
                <w:rFonts w:cstheme="minorHAnsi"/>
                <w:color w:val="000000"/>
              </w:rPr>
              <w:t xml:space="preserve"> </w:t>
            </w:r>
          </w:p>
        </w:tc>
        <w:tc>
          <w:tcPr>
            <w:tcW w:w="642" w:type="dxa"/>
            <w:shd w:val="clear" w:color="auto" w:fill="auto"/>
            <w:noWrap/>
            <w:vAlign w:val="bottom"/>
            <w:hideMark/>
          </w:tcPr>
          <w:p w:rsidR="00754973" w:rsidRPr="002A7D5C" w:rsidRDefault="00754973" w:rsidP="00754973">
            <w:pPr>
              <w:rPr>
                <w:rFonts w:cstheme="minorHAnsi"/>
                <w:color w:val="000000"/>
              </w:rPr>
            </w:pPr>
          </w:p>
        </w:tc>
        <w:tc>
          <w:tcPr>
            <w:tcW w:w="1644" w:type="dxa"/>
            <w:shd w:val="clear" w:color="auto" w:fill="auto"/>
            <w:noWrap/>
            <w:vAlign w:val="bottom"/>
            <w:hideMark/>
          </w:tcPr>
          <w:p w:rsidR="00754973" w:rsidRPr="002A7D5C" w:rsidRDefault="00754973" w:rsidP="00754973">
            <w:pPr>
              <w:jc w:val="right"/>
              <w:rPr>
                <w:rFonts w:cstheme="minorHAnsi"/>
                <w:color w:val="000000"/>
              </w:rPr>
            </w:pPr>
            <w:r w:rsidRPr="002A7D5C">
              <w:rPr>
                <w:rFonts w:cstheme="minorHAnsi"/>
                <w:color w:val="000000"/>
              </w:rPr>
              <w:t>$5,0</w:t>
            </w:r>
            <w:r>
              <w:rPr>
                <w:rFonts w:cstheme="minorHAnsi"/>
                <w:color w:val="000000"/>
              </w:rPr>
              <w:t>21,353</w:t>
            </w:r>
            <w:r w:rsidRPr="002A7D5C">
              <w:rPr>
                <w:rFonts w:cstheme="minorHAnsi"/>
                <w:color w:val="000000"/>
              </w:rPr>
              <w:t xml:space="preserve"> </w:t>
            </w:r>
          </w:p>
        </w:tc>
      </w:tr>
      <w:tr w:rsidR="00754973" w:rsidRPr="003C7057" w:rsidTr="00754973">
        <w:trPr>
          <w:trHeight w:val="318"/>
          <w:jc w:val="center"/>
        </w:trPr>
        <w:tc>
          <w:tcPr>
            <w:tcW w:w="3191" w:type="dxa"/>
            <w:shd w:val="clear" w:color="auto" w:fill="auto"/>
            <w:noWrap/>
            <w:vAlign w:val="bottom"/>
            <w:hideMark/>
          </w:tcPr>
          <w:p w:rsidR="00754973" w:rsidRPr="002A7D5C" w:rsidRDefault="00754973" w:rsidP="00754973">
            <w:pPr>
              <w:rPr>
                <w:rFonts w:cstheme="minorHAnsi"/>
                <w:color w:val="000000"/>
              </w:rPr>
            </w:pPr>
            <w:r w:rsidRPr="002A7D5C">
              <w:rPr>
                <w:rFonts w:cstheme="minorHAnsi"/>
                <w:color w:val="000000"/>
              </w:rPr>
              <w:t>RATE OF RETURN</w:t>
            </w:r>
          </w:p>
        </w:tc>
        <w:tc>
          <w:tcPr>
            <w:tcW w:w="2025" w:type="dxa"/>
            <w:shd w:val="clear" w:color="auto" w:fill="auto"/>
            <w:noWrap/>
            <w:vAlign w:val="bottom"/>
            <w:hideMark/>
          </w:tcPr>
          <w:p w:rsidR="00754973" w:rsidRPr="00C479A0" w:rsidRDefault="00754973" w:rsidP="00754973">
            <w:pPr>
              <w:jc w:val="right"/>
              <w:rPr>
                <w:rFonts w:cstheme="minorHAnsi"/>
                <w:color w:val="000000"/>
                <w:u w:val="single"/>
              </w:rPr>
            </w:pPr>
            <w:r w:rsidRPr="00C479A0">
              <w:rPr>
                <w:rFonts w:cstheme="minorHAnsi"/>
                <w:color w:val="000000"/>
                <w:u w:val="single"/>
              </w:rPr>
              <w:t>7.7</w:t>
            </w:r>
            <w:r>
              <w:rPr>
                <w:rFonts w:cstheme="minorHAnsi"/>
                <w:color w:val="000000"/>
                <w:u w:val="single"/>
              </w:rPr>
              <w:t>2</w:t>
            </w:r>
            <w:r w:rsidRPr="00C479A0">
              <w:rPr>
                <w:rFonts w:cstheme="minorHAnsi"/>
                <w:color w:val="000000"/>
                <w:u w:val="single"/>
              </w:rPr>
              <w:t>%</w:t>
            </w:r>
          </w:p>
        </w:tc>
        <w:tc>
          <w:tcPr>
            <w:tcW w:w="642" w:type="dxa"/>
            <w:shd w:val="clear" w:color="auto" w:fill="auto"/>
            <w:noWrap/>
            <w:vAlign w:val="bottom"/>
            <w:hideMark/>
          </w:tcPr>
          <w:p w:rsidR="00754973" w:rsidRPr="002A7D5C" w:rsidRDefault="00754973" w:rsidP="00754973">
            <w:pPr>
              <w:rPr>
                <w:rFonts w:cstheme="minorHAnsi"/>
                <w:color w:val="000000"/>
              </w:rPr>
            </w:pPr>
          </w:p>
        </w:tc>
        <w:tc>
          <w:tcPr>
            <w:tcW w:w="1644" w:type="dxa"/>
            <w:shd w:val="clear" w:color="auto" w:fill="auto"/>
            <w:noWrap/>
            <w:vAlign w:val="bottom"/>
            <w:hideMark/>
          </w:tcPr>
          <w:p w:rsidR="00754973" w:rsidRPr="00C479A0" w:rsidRDefault="00754973" w:rsidP="00754973">
            <w:pPr>
              <w:jc w:val="right"/>
              <w:rPr>
                <w:rFonts w:cstheme="minorHAnsi"/>
                <w:color w:val="000000"/>
                <w:u w:val="single"/>
              </w:rPr>
            </w:pPr>
            <w:r w:rsidRPr="00C479A0">
              <w:rPr>
                <w:rFonts w:cstheme="minorHAnsi"/>
                <w:color w:val="000000"/>
                <w:u w:val="single"/>
              </w:rPr>
              <w:t>6.</w:t>
            </w:r>
            <w:r>
              <w:rPr>
                <w:rFonts w:cstheme="minorHAnsi"/>
                <w:color w:val="000000"/>
                <w:u w:val="single"/>
              </w:rPr>
              <w:t>46</w:t>
            </w:r>
            <w:r w:rsidRPr="00C479A0">
              <w:rPr>
                <w:rFonts w:cstheme="minorHAnsi"/>
                <w:color w:val="000000"/>
                <w:u w:val="single"/>
              </w:rPr>
              <w:t>%</w:t>
            </w:r>
          </w:p>
        </w:tc>
      </w:tr>
      <w:tr w:rsidR="00754973" w:rsidRPr="003C7057" w:rsidTr="00754973">
        <w:trPr>
          <w:trHeight w:val="318"/>
          <w:jc w:val="center"/>
        </w:trPr>
        <w:tc>
          <w:tcPr>
            <w:tcW w:w="3191" w:type="dxa"/>
            <w:shd w:val="clear" w:color="auto" w:fill="auto"/>
            <w:noWrap/>
            <w:vAlign w:val="bottom"/>
            <w:hideMark/>
          </w:tcPr>
          <w:p w:rsidR="00754973" w:rsidRPr="002A7D5C" w:rsidRDefault="00754973" w:rsidP="00754973">
            <w:pPr>
              <w:rPr>
                <w:rFonts w:cstheme="minorHAnsi"/>
                <w:color w:val="000000"/>
              </w:rPr>
            </w:pPr>
            <w:r w:rsidRPr="002A7D5C">
              <w:rPr>
                <w:rFonts w:cstheme="minorHAnsi"/>
                <w:color w:val="000000"/>
              </w:rPr>
              <w:t>REQUIRED NO</w:t>
            </w:r>
            <w:r>
              <w:rPr>
                <w:rFonts w:cstheme="minorHAnsi"/>
                <w:color w:val="000000"/>
              </w:rPr>
              <w:t>I</w:t>
            </w:r>
          </w:p>
        </w:tc>
        <w:tc>
          <w:tcPr>
            <w:tcW w:w="2025" w:type="dxa"/>
            <w:shd w:val="clear" w:color="auto" w:fill="auto"/>
            <w:noWrap/>
            <w:vAlign w:val="bottom"/>
            <w:hideMark/>
          </w:tcPr>
          <w:p w:rsidR="00754973" w:rsidRPr="00C479A0" w:rsidRDefault="00754973" w:rsidP="00754973">
            <w:pPr>
              <w:jc w:val="right"/>
              <w:rPr>
                <w:rFonts w:cstheme="minorHAnsi"/>
                <w:color w:val="000000"/>
                <w:u w:val="single"/>
              </w:rPr>
            </w:pPr>
            <w:r w:rsidRPr="00C479A0">
              <w:rPr>
                <w:rFonts w:cstheme="minorHAnsi"/>
                <w:color w:val="000000"/>
                <w:u w:val="single"/>
              </w:rPr>
              <w:t>$3</w:t>
            </w:r>
            <w:r>
              <w:rPr>
                <w:rFonts w:cstheme="minorHAnsi"/>
                <w:color w:val="000000"/>
                <w:u w:val="single"/>
              </w:rPr>
              <w:t>89,425</w:t>
            </w:r>
            <w:r w:rsidRPr="00C479A0">
              <w:rPr>
                <w:rFonts w:cstheme="minorHAnsi"/>
                <w:color w:val="000000"/>
                <w:u w:val="single"/>
              </w:rPr>
              <w:t xml:space="preserve"> </w:t>
            </w:r>
          </w:p>
        </w:tc>
        <w:tc>
          <w:tcPr>
            <w:tcW w:w="642" w:type="dxa"/>
            <w:shd w:val="clear" w:color="auto" w:fill="auto"/>
            <w:noWrap/>
            <w:vAlign w:val="bottom"/>
            <w:hideMark/>
          </w:tcPr>
          <w:p w:rsidR="00754973" w:rsidRPr="002A7D5C" w:rsidRDefault="00754973" w:rsidP="00754973">
            <w:pPr>
              <w:rPr>
                <w:rFonts w:cstheme="minorHAnsi"/>
                <w:color w:val="000000"/>
              </w:rPr>
            </w:pPr>
          </w:p>
        </w:tc>
        <w:tc>
          <w:tcPr>
            <w:tcW w:w="1644" w:type="dxa"/>
            <w:shd w:val="clear" w:color="auto" w:fill="auto"/>
            <w:noWrap/>
            <w:vAlign w:val="bottom"/>
            <w:hideMark/>
          </w:tcPr>
          <w:p w:rsidR="00754973" w:rsidRPr="00C479A0" w:rsidRDefault="00754973" w:rsidP="00E66FE9">
            <w:pPr>
              <w:jc w:val="right"/>
              <w:rPr>
                <w:rFonts w:cstheme="minorHAnsi"/>
                <w:color w:val="000000"/>
                <w:u w:val="single"/>
              </w:rPr>
            </w:pPr>
            <w:r w:rsidRPr="00C479A0">
              <w:rPr>
                <w:rFonts w:cstheme="minorHAnsi"/>
                <w:color w:val="000000"/>
                <w:u w:val="single"/>
              </w:rPr>
              <w:t>$3</w:t>
            </w:r>
            <w:r>
              <w:rPr>
                <w:rFonts w:cstheme="minorHAnsi"/>
                <w:color w:val="000000"/>
                <w:u w:val="single"/>
              </w:rPr>
              <w:t>24,</w:t>
            </w:r>
            <w:r w:rsidR="00E66FE9">
              <w:rPr>
                <w:rFonts w:cstheme="minorHAnsi"/>
                <w:color w:val="000000"/>
                <w:u w:val="single"/>
              </w:rPr>
              <w:t>62</w:t>
            </w:r>
            <w:r>
              <w:rPr>
                <w:rFonts w:cstheme="minorHAnsi"/>
                <w:color w:val="000000"/>
                <w:u w:val="single"/>
              </w:rPr>
              <w:t>9</w:t>
            </w:r>
            <w:r w:rsidRPr="00C479A0">
              <w:rPr>
                <w:rFonts w:cstheme="minorHAnsi"/>
                <w:color w:val="000000"/>
                <w:u w:val="single"/>
              </w:rPr>
              <w:t xml:space="preserve"> </w:t>
            </w:r>
          </w:p>
        </w:tc>
      </w:tr>
      <w:tr w:rsidR="00754973" w:rsidRPr="003C7057" w:rsidTr="00754973">
        <w:trPr>
          <w:trHeight w:val="318"/>
          <w:jc w:val="center"/>
        </w:trPr>
        <w:tc>
          <w:tcPr>
            <w:tcW w:w="3191" w:type="dxa"/>
            <w:shd w:val="clear" w:color="auto" w:fill="auto"/>
            <w:noWrap/>
            <w:vAlign w:val="bottom"/>
            <w:hideMark/>
          </w:tcPr>
          <w:p w:rsidR="00754973" w:rsidRPr="002A7D5C" w:rsidRDefault="00754973" w:rsidP="00754973">
            <w:pPr>
              <w:rPr>
                <w:rFonts w:cstheme="minorHAnsi"/>
                <w:color w:val="000000"/>
              </w:rPr>
            </w:pPr>
            <w:r w:rsidRPr="002A7D5C">
              <w:rPr>
                <w:rFonts w:cstheme="minorHAnsi"/>
                <w:color w:val="000000"/>
              </w:rPr>
              <w:t xml:space="preserve">OPERATING REVENUES </w:t>
            </w:r>
          </w:p>
        </w:tc>
        <w:tc>
          <w:tcPr>
            <w:tcW w:w="2025" w:type="dxa"/>
            <w:shd w:val="clear" w:color="auto" w:fill="auto"/>
            <w:noWrap/>
            <w:vAlign w:val="bottom"/>
            <w:hideMark/>
          </w:tcPr>
          <w:p w:rsidR="00754973" w:rsidRPr="002A7D5C" w:rsidRDefault="00754973" w:rsidP="00754973">
            <w:pPr>
              <w:jc w:val="right"/>
              <w:rPr>
                <w:rFonts w:cstheme="minorHAnsi"/>
                <w:color w:val="000000"/>
              </w:rPr>
            </w:pPr>
            <w:r w:rsidRPr="002A7D5C">
              <w:rPr>
                <w:rFonts w:cstheme="minorHAnsi"/>
                <w:color w:val="000000"/>
              </w:rPr>
              <w:t xml:space="preserve">$1,186,200 </w:t>
            </w:r>
          </w:p>
        </w:tc>
        <w:tc>
          <w:tcPr>
            <w:tcW w:w="642" w:type="dxa"/>
            <w:shd w:val="clear" w:color="auto" w:fill="auto"/>
            <w:noWrap/>
            <w:vAlign w:val="bottom"/>
            <w:hideMark/>
          </w:tcPr>
          <w:p w:rsidR="00754973" w:rsidRPr="002A7D5C" w:rsidRDefault="00754973" w:rsidP="00754973">
            <w:pPr>
              <w:rPr>
                <w:rFonts w:cstheme="minorHAnsi"/>
                <w:color w:val="000000"/>
              </w:rPr>
            </w:pPr>
          </w:p>
        </w:tc>
        <w:tc>
          <w:tcPr>
            <w:tcW w:w="1644" w:type="dxa"/>
            <w:shd w:val="clear" w:color="auto" w:fill="auto"/>
            <w:noWrap/>
            <w:vAlign w:val="bottom"/>
            <w:hideMark/>
          </w:tcPr>
          <w:p w:rsidR="00754973" w:rsidRPr="002A7D5C" w:rsidRDefault="00754973" w:rsidP="00754973">
            <w:pPr>
              <w:jc w:val="right"/>
              <w:rPr>
                <w:rFonts w:cstheme="minorHAnsi"/>
                <w:color w:val="000000"/>
              </w:rPr>
            </w:pPr>
            <w:r w:rsidRPr="002A7D5C">
              <w:rPr>
                <w:rFonts w:cstheme="minorHAnsi"/>
                <w:color w:val="000000"/>
              </w:rPr>
              <w:t xml:space="preserve">$1,186,200 </w:t>
            </w:r>
          </w:p>
        </w:tc>
      </w:tr>
      <w:tr w:rsidR="00754973" w:rsidRPr="003C7057" w:rsidTr="00754973">
        <w:trPr>
          <w:trHeight w:val="318"/>
          <w:jc w:val="center"/>
        </w:trPr>
        <w:tc>
          <w:tcPr>
            <w:tcW w:w="3191" w:type="dxa"/>
            <w:shd w:val="clear" w:color="auto" w:fill="auto"/>
            <w:noWrap/>
            <w:vAlign w:val="bottom"/>
            <w:hideMark/>
          </w:tcPr>
          <w:p w:rsidR="00754973" w:rsidRPr="002A7D5C" w:rsidRDefault="00754973" w:rsidP="00754973">
            <w:pPr>
              <w:rPr>
                <w:rFonts w:cstheme="minorHAnsi"/>
                <w:color w:val="000000"/>
              </w:rPr>
            </w:pPr>
            <w:r w:rsidRPr="002A7D5C">
              <w:rPr>
                <w:rFonts w:cstheme="minorHAnsi"/>
                <w:color w:val="000000"/>
              </w:rPr>
              <w:t>OPERATING EXPENSES</w:t>
            </w:r>
          </w:p>
        </w:tc>
        <w:tc>
          <w:tcPr>
            <w:tcW w:w="2025" w:type="dxa"/>
            <w:shd w:val="clear" w:color="auto" w:fill="auto"/>
            <w:noWrap/>
            <w:vAlign w:val="bottom"/>
            <w:hideMark/>
          </w:tcPr>
          <w:p w:rsidR="00754973" w:rsidRPr="00C479A0" w:rsidRDefault="00754973" w:rsidP="00754973">
            <w:pPr>
              <w:jc w:val="right"/>
              <w:rPr>
                <w:rFonts w:cstheme="minorHAnsi"/>
                <w:color w:val="000000"/>
                <w:u w:val="single"/>
              </w:rPr>
            </w:pPr>
            <w:r w:rsidRPr="00C479A0">
              <w:rPr>
                <w:rFonts w:cstheme="minorHAnsi"/>
                <w:color w:val="000000"/>
                <w:u w:val="single"/>
              </w:rPr>
              <w:t>$1,02</w:t>
            </w:r>
            <w:r>
              <w:rPr>
                <w:rFonts w:cstheme="minorHAnsi"/>
                <w:color w:val="000000"/>
                <w:u w:val="single"/>
              </w:rPr>
              <w:t>1,137</w:t>
            </w:r>
            <w:r w:rsidRPr="00C479A0">
              <w:rPr>
                <w:rFonts w:cstheme="minorHAnsi"/>
                <w:color w:val="000000"/>
                <w:u w:val="single"/>
              </w:rPr>
              <w:t xml:space="preserve"> </w:t>
            </w:r>
          </w:p>
        </w:tc>
        <w:tc>
          <w:tcPr>
            <w:tcW w:w="642" w:type="dxa"/>
            <w:shd w:val="clear" w:color="auto" w:fill="auto"/>
            <w:noWrap/>
            <w:vAlign w:val="bottom"/>
            <w:hideMark/>
          </w:tcPr>
          <w:p w:rsidR="00754973" w:rsidRPr="002A7D5C" w:rsidRDefault="00754973" w:rsidP="00754973">
            <w:pPr>
              <w:rPr>
                <w:rFonts w:cstheme="minorHAnsi"/>
                <w:color w:val="000000"/>
              </w:rPr>
            </w:pPr>
          </w:p>
        </w:tc>
        <w:tc>
          <w:tcPr>
            <w:tcW w:w="1644" w:type="dxa"/>
            <w:shd w:val="clear" w:color="auto" w:fill="auto"/>
            <w:noWrap/>
            <w:vAlign w:val="bottom"/>
            <w:hideMark/>
          </w:tcPr>
          <w:p w:rsidR="00754973" w:rsidRPr="00C479A0" w:rsidRDefault="00754973" w:rsidP="00754973">
            <w:pPr>
              <w:jc w:val="right"/>
              <w:rPr>
                <w:rFonts w:cstheme="minorHAnsi"/>
                <w:color w:val="000000"/>
                <w:u w:val="single"/>
              </w:rPr>
            </w:pPr>
            <w:r w:rsidRPr="00C479A0">
              <w:rPr>
                <w:rFonts w:cstheme="minorHAnsi"/>
                <w:color w:val="000000"/>
                <w:u w:val="single"/>
              </w:rPr>
              <w:t>$1,04</w:t>
            </w:r>
            <w:r>
              <w:rPr>
                <w:rFonts w:cstheme="minorHAnsi"/>
                <w:color w:val="000000"/>
                <w:u w:val="single"/>
              </w:rPr>
              <w:t>1,548</w:t>
            </w:r>
            <w:r w:rsidRPr="00C479A0">
              <w:rPr>
                <w:rFonts w:cstheme="minorHAnsi"/>
                <w:color w:val="000000"/>
                <w:u w:val="single"/>
              </w:rPr>
              <w:t xml:space="preserve"> </w:t>
            </w:r>
          </w:p>
        </w:tc>
      </w:tr>
      <w:tr w:rsidR="00754973" w:rsidRPr="003C7057" w:rsidTr="00754973">
        <w:trPr>
          <w:trHeight w:val="318"/>
          <w:jc w:val="center"/>
        </w:trPr>
        <w:tc>
          <w:tcPr>
            <w:tcW w:w="3191" w:type="dxa"/>
            <w:shd w:val="clear" w:color="auto" w:fill="auto"/>
            <w:noWrap/>
            <w:vAlign w:val="bottom"/>
            <w:hideMark/>
          </w:tcPr>
          <w:p w:rsidR="00754973" w:rsidRPr="002A7D5C" w:rsidRDefault="00754973" w:rsidP="00754973">
            <w:pPr>
              <w:rPr>
                <w:rFonts w:cstheme="minorHAnsi"/>
                <w:color w:val="000000"/>
              </w:rPr>
            </w:pPr>
            <w:r w:rsidRPr="002A7D5C">
              <w:rPr>
                <w:rFonts w:cstheme="minorHAnsi"/>
                <w:color w:val="000000"/>
              </w:rPr>
              <w:t>ACHIEVED N</w:t>
            </w:r>
            <w:r>
              <w:rPr>
                <w:rFonts w:cstheme="minorHAnsi"/>
                <w:color w:val="000000"/>
              </w:rPr>
              <w:t>OI</w:t>
            </w:r>
          </w:p>
        </w:tc>
        <w:tc>
          <w:tcPr>
            <w:tcW w:w="2025" w:type="dxa"/>
            <w:shd w:val="clear" w:color="auto" w:fill="auto"/>
            <w:noWrap/>
            <w:vAlign w:val="bottom"/>
            <w:hideMark/>
          </w:tcPr>
          <w:p w:rsidR="00754973" w:rsidRPr="00C479A0" w:rsidRDefault="00754973" w:rsidP="00754973">
            <w:pPr>
              <w:jc w:val="right"/>
              <w:rPr>
                <w:rFonts w:cstheme="minorHAnsi"/>
                <w:color w:val="000000"/>
                <w:u w:val="single"/>
              </w:rPr>
            </w:pPr>
            <w:r w:rsidRPr="00C479A0">
              <w:rPr>
                <w:rFonts w:cstheme="minorHAnsi"/>
                <w:color w:val="000000"/>
                <w:u w:val="single"/>
              </w:rPr>
              <w:t>$16</w:t>
            </w:r>
            <w:r>
              <w:rPr>
                <w:rFonts w:cstheme="minorHAnsi"/>
                <w:color w:val="000000"/>
                <w:u w:val="single"/>
              </w:rPr>
              <w:t>5,064</w:t>
            </w:r>
            <w:r w:rsidRPr="00C479A0">
              <w:rPr>
                <w:rFonts w:cstheme="minorHAnsi"/>
                <w:color w:val="000000"/>
                <w:u w:val="single"/>
              </w:rPr>
              <w:t xml:space="preserve"> </w:t>
            </w:r>
          </w:p>
        </w:tc>
        <w:tc>
          <w:tcPr>
            <w:tcW w:w="642" w:type="dxa"/>
            <w:shd w:val="clear" w:color="auto" w:fill="auto"/>
            <w:noWrap/>
            <w:vAlign w:val="bottom"/>
            <w:hideMark/>
          </w:tcPr>
          <w:p w:rsidR="00754973" w:rsidRPr="002A7D5C" w:rsidRDefault="00754973" w:rsidP="00754973">
            <w:pPr>
              <w:rPr>
                <w:rFonts w:cstheme="minorHAnsi"/>
                <w:color w:val="000000"/>
              </w:rPr>
            </w:pPr>
          </w:p>
        </w:tc>
        <w:tc>
          <w:tcPr>
            <w:tcW w:w="1644" w:type="dxa"/>
            <w:shd w:val="clear" w:color="auto" w:fill="auto"/>
            <w:noWrap/>
            <w:vAlign w:val="bottom"/>
            <w:hideMark/>
          </w:tcPr>
          <w:p w:rsidR="00754973" w:rsidRPr="00C479A0" w:rsidRDefault="00754973" w:rsidP="00754973">
            <w:pPr>
              <w:jc w:val="right"/>
              <w:rPr>
                <w:rFonts w:cstheme="minorHAnsi"/>
                <w:color w:val="000000"/>
                <w:u w:val="single"/>
              </w:rPr>
            </w:pPr>
            <w:r w:rsidRPr="00C479A0">
              <w:rPr>
                <w:rFonts w:cstheme="minorHAnsi"/>
                <w:color w:val="000000"/>
                <w:u w:val="single"/>
              </w:rPr>
              <w:t>$14</w:t>
            </w:r>
            <w:r>
              <w:rPr>
                <w:rFonts w:cstheme="minorHAnsi"/>
                <w:color w:val="000000"/>
                <w:u w:val="single"/>
              </w:rPr>
              <w:t>4,652</w:t>
            </w:r>
            <w:r w:rsidRPr="00C479A0">
              <w:rPr>
                <w:rFonts w:cstheme="minorHAnsi"/>
                <w:color w:val="000000"/>
                <w:u w:val="single"/>
              </w:rPr>
              <w:t xml:space="preserve"> </w:t>
            </w:r>
          </w:p>
        </w:tc>
      </w:tr>
      <w:tr w:rsidR="00754973" w:rsidRPr="003C7057" w:rsidTr="00754973">
        <w:trPr>
          <w:trHeight w:val="318"/>
          <w:jc w:val="center"/>
        </w:trPr>
        <w:tc>
          <w:tcPr>
            <w:tcW w:w="3191" w:type="dxa"/>
            <w:shd w:val="clear" w:color="auto" w:fill="auto"/>
            <w:noWrap/>
            <w:vAlign w:val="bottom"/>
            <w:hideMark/>
          </w:tcPr>
          <w:p w:rsidR="00754973" w:rsidRPr="002A7D5C" w:rsidRDefault="00754973" w:rsidP="00754973">
            <w:pPr>
              <w:rPr>
                <w:rFonts w:cstheme="minorHAnsi"/>
                <w:color w:val="000000"/>
              </w:rPr>
            </w:pPr>
            <w:r>
              <w:rPr>
                <w:rFonts w:cstheme="minorHAnsi"/>
                <w:color w:val="000000"/>
              </w:rPr>
              <w:t>NOI</w:t>
            </w:r>
            <w:r w:rsidRPr="002A7D5C">
              <w:rPr>
                <w:rFonts w:cstheme="minorHAnsi"/>
                <w:color w:val="000000"/>
              </w:rPr>
              <w:t xml:space="preserve"> DEFICIENCY</w:t>
            </w:r>
          </w:p>
        </w:tc>
        <w:tc>
          <w:tcPr>
            <w:tcW w:w="2025" w:type="dxa"/>
            <w:shd w:val="clear" w:color="auto" w:fill="auto"/>
            <w:noWrap/>
            <w:vAlign w:val="bottom"/>
            <w:hideMark/>
          </w:tcPr>
          <w:p w:rsidR="00754973" w:rsidRPr="00C479A0" w:rsidRDefault="00754973" w:rsidP="00754973">
            <w:pPr>
              <w:jc w:val="right"/>
              <w:rPr>
                <w:rFonts w:cstheme="minorHAnsi"/>
                <w:color w:val="000000"/>
                <w:u w:val="single"/>
              </w:rPr>
            </w:pPr>
            <w:r w:rsidRPr="00C479A0">
              <w:rPr>
                <w:rFonts w:cstheme="minorHAnsi"/>
                <w:color w:val="000000"/>
                <w:u w:val="single"/>
              </w:rPr>
              <w:t>$2</w:t>
            </w:r>
            <w:r>
              <w:rPr>
                <w:rFonts w:cstheme="minorHAnsi"/>
                <w:color w:val="000000"/>
                <w:u w:val="single"/>
              </w:rPr>
              <w:t>24,361</w:t>
            </w:r>
            <w:r w:rsidRPr="00C479A0">
              <w:rPr>
                <w:rFonts w:cstheme="minorHAnsi"/>
                <w:color w:val="000000"/>
                <w:u w:val="single"/>
              </w:rPr>
              <w:t xml:space="preserve"> </w:t>
            </w:r>
          </w:p>
        </w:tc>
        <w:tc>
          <w:tcPr>
            <w:tcW w:w="642" w:type="dxa"/>
            <w:shd w:val="clear" w:color="auto" w:fill="auto"/>
            <w:noWrap/>
            <w:vAlign w:val="bottom"/>
            <w:hideMark/>
          </w:tcPr>
          <w:p w:rsidR="00754973" w:rsidRPr="002A7D5C" w:rsidRDefault="00754973" w:rsidP="00754973">
            <w:pPr>
              <w:rPr>
                <w:rFonts w:cstheme="minorHAnsi"/>
                <w:color w:val="000000"/>
              </w:rPr>
            </w:pPr>
          </w:p>
        </w:tc>
        <w:tc>
          <w:tcPr>
            <w:tcW w:w="1644" w:type="dxa"/>
            <w:shd w:val="clear" w:color="auto" w:fill="auto"/>
            <w:noWrap/>
            <w:vAlign w:val="bottom"/>
            <w:hideMark/>
          </w:tcPr>
          <w:p w:rsidR="00754973" w:rsidRPr="00C479A0" w:rsidRDefault="00754973" w:rsidP="00754973">
            <w:pPr>
              <w:jc w:val="right"/>
              <w:rPr>
                <w:rFonts w:cstheme="minorHAnsi"/>
                <w:color w:val="000000"/>
                <w:u w:val="single"/>
              </w:rPr>
            </w:pPr>
            <w:r w:rsidRPr="00C479A0">
              <w:rPr>
                <w:rFonts w:cstheme="minorHAnsi"/>
                <w:color w:val="000000"/>
                <w:u w:val="single"/>
              </w:rPr>
              <w:t>$1</w:t>
            </w:r>
            <w:r>
              <w:rPr>
                <w:rFonts w:cstheme="minorHAnsi"/>
                <w:color w:val="000000"/>
                <w:u w:val="single"/>
              </w:rPr>
              <w:t>79,977</w:t>
            </w:r>
            <w:r w:rsidRPr="00C479A0">
              <w:rPr>
                <w:rFonts w:cstheme="minorHAnsi"/>
                <w:color w:val="000000"/>
                <w:u w:val="single"/>
              </w:rPr>
              <w:t xml:space="preserve"> </w:t>
            </w:r>
          </w:p>
        </w:tc>
      </w:tr>
      <w:tr w:rsidR="00754973" w:rsidRPr="003C7057" w:rsidTr="00754973">
        <w:trPr>
          <w:trHeight w:val="318"/>
          <w:jc w:val="center"/>
        </w:trPr>
        <w:tc>
          <w:tcPr>
            <w:tcW w:w="3191" w:type="dxa"/>
            <w:shd w:val="clear" w:color="auto" w:fill="auto"/>
            <w:noWrap/>
            <w:vAlign w:val="bottom"/>
            <w:hideMark/>
          </w:tcPr>
          <w:p w:rsidR="00754973" w:rsidRPr="002A7D5C" w:rsidRDefault="00754973" w:rsidP="00754973">
            <w:pPr>
              <w:rPr>
                <w:rFonts w:cstheme="minorHAnsi"/>
                <w:color w:val="000000"/>
              </w:rPr>
            </w:pPr>
            <w:r w:rsidRPr="002A7D5C">
              <w:rPr>
                <w:rFonts w:cstheme="minorHAnsi"/>
                <w:color w:val="000000"/>
              </w:rPr>
              <w:t>EXPANSION FACTOR</w:t>
            </w:r>
          </w:p>
        </w:tc>
        <w:tc>
          <w:tcPr>
            <w:tcW w:w="2025" w:type="dxa"/>
            <w:shd w:val="clear" w:color="auto" w:fill="auto"/>
            <w:noWrap/>
            <w:vAlign w:val="bottom"/>
            <w:hideMark/>
          </w:tcPr>
          <w:p w:rsidR="00754973" w:rsidRPr="002A7D5C" w:rsidRDefault="00754973" w:rsidP="00754973">
            <w:pPr>
              <w:jc w:val="right"/>
              <w:rPr>
                <w:rFonts w:cstheme="minorHAnsi"/>
                <w:color w:val="000000"/>
              </w:rPr>
            </w:pPr>
            <w:r w:rsidRPr="002A7D5C">
              <w:rPr>
                <w:rFonts w:cstheme="minorHAnsi"/>
                <w:color w:val="000000"/>
              </w:rPr>
              <w:t>1.3462</w:t>
            </w:r>
          </w:p>
        </w:tc>
        <w:tc>
          <w:tcPr>
            <w:tcW w:w="642" w:type="dxa"/>
            <w:shd w:val="clear" w:color="auto" w:fill="auto"/>
            <w:noWrap/>
            <w:vAlign w:val="bottom"/>
            <w:hideMark/>
          </w:tcPr>
          <w:p w:rsidR="00754973" w:rsidRPr="002A7D5C" w:rsidRDefault="00754973" w:rsidP="00754973">
            <w:pPr>
              <w:rPr>
                <w:rFonts w:cstheme="minorHAnsi"/>
                <w:color w:val="000000"/>
              </w:rPr>
            </w:pPr>
          </w:p>
        </w:tc>
        <w:tc>
          <w:tcPr>
            <w:tcW w:w="1644" w:type="dxa"/>
            <w:shd w:val="clear" w:color="auto" w:fill="auto"/>
            <w:noWrap/>
            <w:vAlign w:val="bottom"/>
            <w:hideMark/>
          </w:tcPr>
          <w:p w:rsidR="00754973" w:rsidRPr="002A7D5C" w:rsidRDefault="00754973" w:rsidP="00754973">
            <w:pPr>
              <w:jc w:val="right"/>
              <w:rPr>
                <w:rFonts w:cstheme="minorHAnsi"/>
                <w:color w:val="000000"/>
              </w:rPr>
            </w:pPr>
            <w:r w:rsidRPr="002A7D5C">
              <w:rPr>
                <w:rFonts w:cstheme="minorHAnsi"/>
                <w:color w:val="000000"/>
              </w:rPr>
              <w:t>1.3315</w:t>
            </w:r>
          </w:p>
        </w:tc>
      </w:tr>
      <w:tr w:rsidR="00754973" w:rsidRPr="003C7057" w:rsidTr="00754973">
        <w:trPr>
          <w:trHeight w:val="334"/>
          <w:jc w:val="center"/>
        </w:trPr>
        <w:tc>
          <w:tcPr>
            <w:tcW w:w="3191" w:type="dxa"/>
            <w:shd w:val="clear" w:color="auto" w:fill="auto"/>
            <w:noWrap/>
            <w:vAlign w:val="bottom"/>
            <w:hideMark/>
          </w:tcPr>
          <w:p w:rsidR="00754973" w:rsidRPr="002A7D5C" w:rsidRDefault="00754973" w:rsidP="00754973">
            <w:pPr>
              <w:rPr>
                <w:rFonts w:cstheme="minorHAnsi"/>
                <w:color w:val="000000"/>
              </w:rPr>
            </w:pPr>
            <w:r w:rsidRPr="002A7D5C">
              <w:rPr>
                <w:rFonts w:cstheme="minorHAnsi"/>
                <w:color w:val="000000"/>
              </w:rPr>
              <w:t>REVENUE DEFICIENCY</w:t>
            </w:r>
          </w:p>
        </w:tc>
        <w:tc>
          <w:tcPr>
            <w:tcW w:w="2025" w:type="dxa"/>
            <w:shd w:val="clear" w:color="auto" w:fill="auto"/>
            <w:noWrap/>
            <w:vAlign w:val="bottom"/>
            <w:hideMark/>
          </w:tcPr>
          <w:p w:rsidR="00754973" w:rsidRPr="00C479A0" w:rsidRDefault="00754973" w:rsidP="00754973">
            <w:pPr>
              <w:jc w:val="right"/>
              <w:rPr>
                <w:rFonts w:cstheme="minorHAnsi"/>
                <w:color w:val="000000"/>
                <w:u w:val="double"/>
              </w:rPr>
            </w:pPr>
            <w:r w:rsidRPr="00C479A0">
              <w:rPr>
                <w:rFonts w:cstheme="minorHAnsi"/>
                <w:color w:val="000000"/>
                <w:u w:val="double"/>
              </w:rPr>
              <w:t>$30</w:t>
            </w:r>
            <w:r>
              <w:rPr>
                <w:rFonts w:cstheme="minorHAnsi"/>
                <w:color w:val="000000"/>
                <w:u w:val="double"/>
              </w:rPr>
              <w:t>2,041</w:t>
            </w:r>
            <w:r w:rsidRPr="00C479A0">
              <w:rPr>
                <w:rFonts w:cstheme="minorHAnsi"/>
                <w:color w:val="000000"/>
                <w:u w:val="double"/>
              </w:rPr>
              <w:t xml:space="preserve"> </w:t>
            </w:r>
          </w:p>
        </w:tc>
        <w:tc>
          <w:tcPr>
            <w:tcW w:w="642" w:type="dxa"/>
            <w:shd w:val="clear" w:color="auto" w:fill="auto"/>
            <w:noWrap/>
            <w:vAlign w:val="bottom"/>
            <w:hideMark/>
          </w:tcPr>
          <w:p w:rsidR="00754973" w:rsidRPr="002A7D5C" w:rsidRDefault="00754973" w:rsidP="00754973">
            <w:pPr>
              <w:rPr>
                <w:rFonts w:cstheme="minorHAnsi"/>
                <w:color w:val="000000"/>
              </w:rPr>
            </w:pPr>
            <w:r w:rsidRPr="002A7D5C">
              <w:rPr>
                <w:rFonts w:cstheme="minorHAnsi"/>
                <w:color w:val="000000"/>
              </w:rPr>
              <w:t> </w:t>
            </w:r>
          </w:p>
        </w:tc>
        <w:tc>
          <w:tcPr>
            <w:tcW w:w="1644" w:type="dxa"/>
            <w:shd w:val="clear" w:color="auto" w:fill="auto"/>
            <w:noWrap/>
            <w:vAlign w:val="bottom"/>
            <w:hideMark/>
          </w:tcPr>
          <w:p w:rsidR="00754973" w:rsidRPr="00C479A0" w:rsidRDefault="00754973" w:rsidP="00754973">
            <w:pPr>
              <w:jc w:val="right"/>
              <w:rPr>
                <w:rFonts w:cstheme="minorHAnsi"/>
                <w:color w:val="000000"/>
                <w:u w:val="double"/>
              </w:rPr>
            </w:pPr>
            <w:r w:rsidRPr="00C479A0">
              <w:rPr>
                <w:rFonts w:cstheme="minorHAnsi"/>
                <w:color w:val="000000"/>
                <w:u w:val="double"/>
              </w:rPr>
              <w:t>$2</w:t>
            </w:r>
            <w:r>
              <w:rPr>
                <w:rFonts w:cstheme="minorHAnsi"/>
                <w:color w:val="000000"/>
                <w:u w:val="double"/>
              </w:rPr>
              <w:t>39,647</w:t>
            </w:r>
            <w:r w:rsidRPr="00C479A0">
              <w:rPr>
                <w:rFonts w:cstheme="minorHAnsi"/>
                <w:color w:val="000000"/>
                <w:u w:val="double"/>
              </w:rPr>
              <w:t xml:space="preserve"> </w:t>
            </w:r>
          </w:p>
        </w:tc>
      </w:tr>
    </w:tbl>
    <w:p w:rsidR="00754973" w:rsidRDefault="00754973" w:rsidP="00754973">
      <w:pPr>
        <w:pStyle w:val="BodyText"/>
      </w:pPr>
    </w:p>
    <w:p w:rsidR="00754973" w:rsidRDefault="00754973" w:rsidP="00754973">
      <w:pPr>
        <w:pStyle w:val="BodyText"/>
      </w:pPr>
    </w:p>
    <w:p w:rsidR="00754973" w:rsidRDefault="00754973" w:rsidP="00754973">
      <w:pPr>
        <w:pStyle w:val="BodyText"/>
        <w:sectPr w:rsidR="00754973" w:rsidSect="002E22C7">
          <w:headerReference w:type="even" r:id="rId30"/>
          <w:headerReference w:type="default" r:id="rId31"/>
          <w:headerReference w:type="first" r:id="rId32"/>
          <w:pgSz w:w="12240" w:h="15840" w:code="1"/>
          <w:pgMar w:top="1584" w:right="1440" w:bottom="1440" w:left="1440" w:header="720" w:footer="720" w:gutter="0"/>
          <w:cols w:space="720"/>
          <w:formProt w:val="0"/>
          <w:docGrid w:linePitch="360"/>
        </w:sectPr>
      </w:pPr>
    </w:p>
    <w:p w:rsidR="007602A5" w:rsidRDefault="003C5916" w:rsidP="006E07FC">
      <w:pPr>
        <w:pStyle w:val="IssueHeading"/>
      </w:pPr>
      <w:r>
        <w:lastRenderedPageBreak/>
        <w:fldChar w:fldCharType="begin"/>
      </w:r>
      <w:r>
        <w:instrText xml:space="preserve"> TC "</w:instrText>
      </w:r>
      <w:bookmarkStart w:id="51" w:name="_Toc28007747"/>
      <w:r>
        <w:tab/>
        <w:instrText>Attachment A</w:instrText>
      </w:r>
      <w:r w:rsidR="0017480B">
        <w:tab/>
      </w:r>
      <w:r w:rsidR="00716F30">
        <w:instrText>53</w:instrText>
      </w:r>
      <w:bookmarkEnd w:id="51"/>
      <w:r>
        <w:instrText xml:space="preserve">" \l 1 </w:instrText>
      </w:r>
      <w:r w:rsidR="004816DE">
        <w:instrText>\</w:instrText>
      </w:r>
      <w:r w:rsidR="0017480B">
        <w:instrText>n</w:instrText>
      </w:r>
      <w:r>
        <w:fldChar w:fldCharType="end"/>
      </w:r>
    </w:p>
    <w:p w:rsidR="001262C9" w:rsidRDefault="001262C9" w:rsidP="00E275D8">
      <w:pPr>
        <w:pStyle w:val="BodyText"/>
      </w:pPr>
      <w:r>
        <w:rPr>
          <w:noProof/>
        </w:rPr>
        <w:drawing>
          <wp:inline distT="0" distB="0" distL="0" distR="0" wp14:anchorId="4B4BAD93" wp14:editId="314EB6F2">
            <wp:extent cx="7210425" cy="5553075"/>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215344" cy="5556863"/>
                    </a:xfrm>
                    <a:prstGeom prst="rect">
                      <a:avLst/>
                    </a:prstGeom>
                    <a:noFill/>
                    <a:ln>
                      <a:noFill/>
                    </a:ln>
                  </pic:spPr>
                </pic:pic>
              </a:graphicData>
            </a:graphic>
          </wp:inline>
        </w:drawing>
      </w:r>
    </w:p>
    <w:p w:rsidR="001262C9" w:rsidRDefault="001262C9" w:rsidP="00E275D8">
      <w:pPr>
        <w:pStyle w:val="BodyText"/>
      </w:pPr>
    </w:p>
    <w:p w:rsidR="00A57D76" w:rsidRDefault="008C300D" w:rsidP="00E275D8">
      <w:pPr>
        <w:pStyle w:val="BodyText"/>
      </w:pPr>
      <w:r>
        <w:rPr>
          <w:noProof/>
        </w:rPr>
        <w:drawing>
          <wp:inline distT="0" distB="0" distL="0" distR="0" wp14:anchorId="33CD33E3" wp14:editId="624C5A5D">
            <wp:extent cx="8138160" cy="47441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138160" cy="4744120"/>
                    </a:xfrm>
                    <a:prstGeom prst="rect">
                      <a:avLst/>
                    </a:prstGeom>
                    <a:noFill/>
                    <a:ln>
                      <a:noFill/>
                    </a:ln>
                  </pic:spPr>
                </pic:pic>
              </a:graphicData>
            </a:graphic>
          </wp:inline>
        </w:drawing>
      </w:r>
    </w:p>
    <w:p w:rsidR="001262C9" w:rsidRDefault="001262C9" w:rsidP="00E275D8">
      <w:pPr>
        <w:pStyle w:val="BodyText"/>
      </w:pPr>
    </w:p>
    <w:p w:rsidR="001262C9" w:rsidRDefault="001262C9" w:rsidP="00E275D8">
      <w:pPr>
        <w:pStyle w:val="BodyText"/>
      </w:pPr>
    </w:p>
    <w:p w:rsidR="001262C9" w:rsidRDefault="001262C9" w:rsidP="00E275D8">
      <w:pPr>
        <w:pStyle w:val="BodyText"/>
      </w:pPr>
    </w:p>
    <w:p w:rsidR="008C300D" w:rsidRDefault="008C300D" w:rsidP="00E275D8">
      <w:pPr>
        <w:pStyle w:val="BodyText"/>
      </w:pPr>
      <w:r>
        <w:rPr>
          <w:noProof/>
        </w:rPr>
        <w:drawing>
          <wp:inline distT="0" distB="0" distL="0" distR="0" wp14:anchorId="263385E4" wp14:editId="21A44915">
            <wp:extent cx="8138160" cy="48803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138160" cy="4880384"/>
                    </a:xfrm>
                    <a:prstGeom prst="rect">
                      <a:avLst/>
                    </a:prstGeom>
                    <a:noFill/>
                    <a:ln>
                      <a:noFill/>
                    </a:ln>
                  </pic:spPr>
                </pic:pic>
              </a:graphicData>
            </a:graphic>
          </wp:inline>
        </w:drawing>
      </w:r>
    </w:p>
    <w:p w:rsidR="001262C9" w:rsidRDefault="001262C9" w:rsidP="00E275D8">
      <w:pPr>
        <w:pStyle w:val="BodyText"/>
      </w:pPr>
    </w:p>
    <w:p w:rsidR="001262C9" w:rsidRDefault="001262C9" w:rsidP="00E275D8">
      <w:pPr>
        <w:pStyle w:val="BodyText"/>
      </w:pPr>
    </w:p>
    <w:p w:rsidR="001262C9" w:rsidRDefault="001262C9" w:rsidP="00E275D8">
      <w:pPr>
        <w:pStyle w:val="BodyText"/>
      </w:pPr>
    </w:p>
    <w:p w:rsidR="008C300D" w:rsidRDefault="008C300D" w:rsidP="00E275D8">
      <w:pPr>
        <w:pStyle w:val="BodyText"/>
      </w:pPr>
      <w:r>
        <w:rPr>
          <w:noProof/>
        </w:rPr>
        <w:drawing>
          <wp:inline distT="0" distB="0" distL="0" distR="0" wp14:anchorId="36946885" wp14:editId="767A9180">
            <wp:extent cx="8138160" cy="480565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138160" cy="4805659"/>
                    </a:xfrm>
                    <a:prstGeom prst="rect">
                      <a:avLst/>
                    </a:prstGeom>
                    <a:noFill/>
                    <a:ln>
                      <a:noFill/>
                    </a:ln>
                  </pic:spPr>
                </pic:pic>
              </a:graphicData>
            </a:graphic>
          </wp:inline>
        </w:drawing>
      </w:r>
    </w:p>
    <w:p w:rsidR="001262C9" w:rsidRDefault="001262C9" w:rsidP="00E275D8">
      <w:pPr>
        <w:pStyle w:val="BodyText"/>
      </w:pPr>
    </w:p>
    <w:p w:rsidR="001262C9" w:rsidRDefault="001262C9" w:rsidP="00E275D8">
      <w:pPr>
        <w:pStyle w:val="BodyText"/>
      </w:pPr>
    </w:p>
    <w:p w:rsidR="001262C9" w:rsidRDefault="001262C9" w:rsidP="00E275D8">
      <w:pPr>
        <w:pStyle w:val="BodyText"/>
      </w:pPr>
    </w:p>
    <w:p w:rsidR="008C300D" w:rsidRDefault="008C300D" w:rsidP="008C300D">
      <w:pPr>
        <w:pStyle w:val="BodyText"/>
        <w:jc w:val="center"/>
      </w:pPr>
      <w:r>
        <w:rPr>
          <w:noProof/>
        </w:rPr>
        <w:drawing>
          <wp:inline distT="0" distB="0" distL="0" distR="0" wp14:anchorId="572CDDE0" wp14:editId="6F48B64F">
            <wp:extent cx="8138160" cy="466248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138160" cy="4662488"/>
                    </a:xfrm>
                    <a:prstGeom prst="rect">
                      <a:avLst/>
                    </a:prstGeom>
                    <a:noFill/>
                    <a:ln>
                      <a:noFill/>
                    </a:ln>
                  </pic:spPr>
                </pic:pic>
              </a:graphicData>
            </a:graphic>
          </wp:inline>
        </w:drawing>
      </w:r>
    </w:p>
    <w:p w:rsidR="001262C9" w:rsidRDefault="001262C9" w:rsidP="008C300D">
      <w:pPr>
        <w:pStyle w:val="BodyText"/>
        <w:jc w:val="center"/>
      </w:pPr>
    </w:p>
    <w:p w:rsidR="001262C9" w:rsidRDefault="001262C9" w:rsidP="008C300D">
      <w:pPr>
        <w:pStyle w:val="BodyText"/>
        <w:jc w:val="center"/>
      </w:pPr>
    </w:p>
    <w:p w:rsidR="001262C9" w:rsidRDefault="001262C9" w:rsidP="008C300D">
      <w:pPr>
        <w:pStyle w:val="BodyText"/>
        <w:jc w:val="center"/>
      </w:pPr>
    </w:p>
    <w:p w:rsidR="008C300D" w:rsidRDefault="008C300D" w:rsidP="008C300D">
      <w:pPr>
        <w:pStyle w:val="BodyText"/>
        <w:jc w:val="center"/>
      </w:pPr>
      <w:r>
        <w:rPr>
          <w:noProof/>
        </w:rPr>
        <w:drawing>
          <wp:inline distT="0" distB="0" distL="0" distR="0" wp14:anchorId="5386F008" wp14:editId="7AB33BFE">
            <wp:extent cx="8138160" cy="451868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138160" cy="4518688"/>
                    </a:xfrm>
                    <a:prstGeom prst="rect">
                      <a:avLst/>
                    </a:prstGeom>
                    <a:noFill/>
                    <a:ln>
                      <a:noFill/>
                    </a:ln>
                  </pic:spPr>
                </pic:pic>
              </a:graphicData>
            </a:graphic>
          </wp:inline>
        </w:drawing>
      </w:r>
    </w:p>
    <w:p w:rsidR="001262C9" w:rsidRDefault="001262C9" w:rsidP="008C300D">
      <w:pPr>
        <w:pStyle w:val="BodyText"/>
        <w:jc w:val="center"/>
      </w:pPr>
    </w:p>
    <w:p w:rsidR="001262C9" w:rsidRDefault="001262C9" w:rsidP="008C300D">
      <w:pPr>
        <w:pStyle w:val="BodyText"/>
        <w:jc w:val="center"/>
      </w:pPr>
    </w:p>
    <w:p w:rsidR="001262C9" w:rsidRDefault="001262C9" w:rsidP="008C300D">
      <w:pPr>
        <w:pStyle w:val="BodyText"/>
        <w:jc w:val="center"/>
      </w:pPr>
    </w:p>
    <w:p w:rsidR="001262C9" w:rsidRDefault="001262C9" w:rsidP="008C300D">
      <w:pPr>
        <w:pStyle w:val="BodyText"/>
        <w:jc w:val="center"/>
      </w:pPr>
    </w:p>
    <w:p w:rsidR="008C300D" w:rsidRDefault="008C300D" w:rsidP="00E275D8">
      <w:pPr>
        <w:pStyle w:val="BodyText"/>
      </w:pPr>
      <w:r>
        <w:rPr>
          <w:noProof/>
        </w:rPr>
        <w:drawing>
          <wp:inline distT="0" distB="0" distL="0" distR="0" wp14:anchorId="49117E5A" wp14:editId="3F291EEF">
            <wp:extent cx="8138160" cy="45180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138160" cy="4518060"/>
                    </a:xfrm>
                    <a:prstGeom prst="rect">
                      <a:avLst/>
                    </a:prstGeom>
                    <a:noFill/>
                    <a:ln>
                      <a:noFill/>
                    </a:ln>
                  </pic:spPr>
                </pic:pic>
              </a:graphicData>
            </a:graphic>
          </wp:inline>
        </w:drawing>
      </w:r>
    </w:p>
    <w:p w:rsidR="001262C9" w:rsidRDefault="001262C9" w:rsidP="00E275D8">
      <w:pPr>
        <w:pStyle w:val="BodyText"/>
      </w:pPr>
    </w:p>
    <w:p w:rsidR="001262C9" w:rsidRDefault="001262C9" w:rsidP="00E275D8">
      <w:pPr>
        <w:pStyle w:val="BodyText"/>
      </w:pPr>
    </w:p>
    <w:p w:rsidR="001262C9" w:rsidRDefault="001262C9" w:rsidP="00E275D8">
      <w:pPr>
        <w:pStyle w:val="BodyText"/>
      </w:pPr>
    </w:p>
    <w:p w:rsidR="001262C9" w:rsidRDefault="001262C9" w:rsidP="00E275D8">
      <w:pPr>
        <w:pStyle w:val="BodyText"/>
      </w:pPr>
    </w:p>
    <w:p w:rsidR="008C300D" w:rsidRDefault="008C300D" w:rsidP="008C300D">
      <w:pPr>
        <w:pStyle w:val="BodyText"/>
        <w:jc w:val="center"/>
      </w:pPr>
      <w:r>
        <w:rPr>
          <w:noProof/>
        </w:rPr>
        <w:drawing>
          <wp:inline distT="0" distB="0" distL="0" distR="0" wp14:anchorId="2794814E" wp14:editId="073155F2">
            <wp:extent cx="8138160" cy="438556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138160" cy="4385564"/>
                    </a:xfrm>
                    <a:prstGeom prst="rect">
                      <a:avLst/>
                    </a:prstGeom>
                    <a:noFill/>
                    <a:ln>
                      <a:noFill/>
                    </a:ln>
                  </pic:spPr>
                </pic:pic>
              </a:graphicData>
            </a:graphic>
          </wp:inline>
        </w:drawing>
      </w:r>
    </w:p>
    <w:p w:rsidR="001262C9" w:rsidRDefault="001262C9" w:rsidP="008C300D">
      <w:pPr>
        <w:pStyle w:val="BodyText"/>
        <w:jc w:val="center"/>
      </w:pPr>
    </w:p>
    <w:p w:rsidR="001262C9" w:rsidRDefault="001262C9" w:rsidP="008C300D">
      <w:pPr>
        <w:pStyle w:val="BodyText"/>
        <w:jc w:val="center"/>
      </w:pPr>
    </w:p>
    <w:p w:rsidR="001262C9" w:rsidRDefault="001262C9" w:rsidP="008C300D">
      <w:pPr>
        <w:pStyle w:val="BodyText"/>
        <w:jc w:val="center"/>
      </w:pPr>
    </w:p>
    <w:p w:rsidR="001262C9" w:rsidRDefault="001262C9" w:rsidP="008C300D">
      <w:pPr>
        <w:pStyle w:val="BodyText"/>
        <w:jc w:val="center"/>
      </w:pPr>
    </w:p>
    <w:p w:rsidR="008C300D" w:rsidRDefault="008C300D" w:rsidP="00E275D8">
      <w:pPr>
        <w:pStyle w:val="BodyText"/>
      </w:pPr>
      <w:r>
        <w:rPr>
          <w:noProof/>
        </w:rPr>
        <w:drawing>
          <wp:inline distT="0" distB="0" distL="0" distR="0" wp14:anchorId="0ABAD8C5" wp14:editId="3D1AA55B">
            <wp:extent cx="8138160" cy="447897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138160" cy="4478974"/>
                    </a:xfrm>
                    <a:prstGeom prst="rect">
                      <a:avLst/>
                    </a:prstGeom>
                    <a:noFill/>
                    <a:ln>
                      <a:noFill/>
                    </a:ln>
                  </pic:spPr>
                </pic:pic>
              </a:graphicData>
            </a:graphic>
          </wp:inline>
        </w:drawing>
      </w:r>
    </w:p>
    <w:p w:rsidR="001262C9" w:rsidRDefault="001262C9" w:rsidP="00E275D8">
      <w:pPr>
        <w:pStyle w:val="BodyText"/>
      </w:pPr>
    </w:p>
    <w:p w:rsidR="001262C9" w:rsidRDefault="001262C9" w:rsidP="00E275D8">
      <w:pPr>
        <w:pStyle w:val="BodyText"/>
      </w:pPr>
    </w:p>
    <w:p w:rsidR="001262C9" w:rsidRDefault="001262C9" w:rsidP="00E275D8">
      <w:pPr>
        <w:pStyle w:val="BodyText"/>
      </w:pPr>
    </w:p>
    <w:p w:rsidR="001262C9" w:rsidRDefault="001262C9" w:rsidP="00E275D8">
      <w:pPr>
        <w:pStyle w:val="BodyText"/>
      </w:pPr>
    </w:p>
    <w:p w:rsidR="008C300D" w:rsidRDefault="008C300D" w:rsidP="00E275D8">
      <w:pPr>
        <w:pStyle w:val="BodyText"/>
      </w:pPr>
      <w:r>
        <w:rPr>
          <w:noProof/>
        </w:rPr>
        <w:drawing>
          <wp:inline distT="0" distB="0" distL="0" distR="0" wp14:anchorId="424658D8" wp14:editId="1FCB2692">
            <wp:extent cx="8138160" cy="453954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138160" cy="4539542"/>
                    </a:xfrm>
                    <a:prstGeom prst="rect">
                      <a:avLst/>
                    </a:prstGeom>
                    <a:noFill/>
                    <a:ln>
                      <a:noFill/>
                    </a:ln>
                  </pic:spPr>
                </pic:pic>
              </a:graphicData>
            </a:graphic>
          </wp:inline>
        </w:drawing>
      </w:r>
    </w:p>
    <w:p w:rsidR="001262C9" w:rsidRDefault="001262C9" w:rsidP="00E275D8">
      <w:pPr>
        <w:pStyle w:val="BodyText"/>
      </w:pPr>
    </w:p>
    <w:p w:rsidR="001262C9" w:rsidRDefault="001262C9" w:rsidP="00E275D8">
      <w:pPr>
        <w:pStyle w:val="BodyText"/>
      </w:pPr>
    </w:p>
    <w:p w:rsidR="001262C9" w:rsidRDefault="001262C9" w:rsidP="00E275D8">
      <w:pPr>
        <w:pStyle w:val="BodyText"/>
      </w:pPr>
    </w:p>
    <w:p w:rsidR="001262C9" w:rsidRDefault="001262C9" w:rsidP="00E275D8">
      <w:pPr>
        <w:pStyle w:val="BodyText"/>
      </w:pPr>
    </w:p>
    <w:p w:rsidR="008C300D" w:rsidRDefault="008C300D" w:rsidP="00E275D8">
      <w:pPr>
        <w:pStyle w:val="BodyText"/>
      </w:pPr>
      <w:r>
        <w:rPr>
          <w:noProof/>
        </w:rPr>
        <w:drawing>
          <wp:inline distT="0" distB="0" distL="0" distR="0" wp14:anchorId="4F93692F" wp14:editId="6537081D">
            <wp:extent cx="8138160" cy="4475988"/>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138160" cy="4475988"/>
                    </a:xfrm>
                    <a:prstGeom prst="rect">
                      <a:avLst/>
                    </a:prstGeom>
                    <a:noFill/>
                    <a:ln>
                      <a:noFill/>
                    </a:ln>
                  </pic:spPr>
                </pic:pic>
              </a:graphicData>
            </a:graphic>
          </wp:inline>
        </w:drawing>
      </w:r>
    </w:p>
    <w:p w:rsidR="001262C9" w:rsidRDefault="001262C9" w:rsidP="00E275D8">
      <w:pPr>
        <w:pStyle w:val="BodyText"/>
      </w:pPr>
    </w:p>
    <w:p w:rsidR="001262C9" w:rsidRDefault="001262C9" w:rsidP="00E275D8">
      <w:pPr>
        <w:pStyle w:val="BodyText"/>
      </w:pPr>
    </w:p>
    <w:p w:rsidR="001262C9" w:rsidRDefault="001262C9" w:rsidP="00E275D8">
      <w:pPr>
        <w:pStyle w:val="BodyText"/>
      </w:pPr>
    </w:p>
    <w:p w:rsidR="001262C9" w:rsidRPr="001262C9" w:rsidRDefault="001262C9" w:rsidP="00E275D8">
      <w:pPr>
        <w:pStyle w:val="BodyText"/>
      </w:pPr>
    </w:p>
    <w:p w:rsidR="008C300D" w:rsidRDefault="008C300D" w:rsidP="00E275D8">
      <w:pPr>
        <w:pStyle w:val="BodyText"/>
      </w:pPr>
      <w:r>
        <w:rPr>
          <w:noProof/>
        </w:rPr>
        <w:drawing>
          <wp:inline distT="0" distB="0" distL="0" distR="0" wp14:anchorId="0B3F2AC9" wp14:editId="11592A3A">
            <wp:extent cx="8138160" cy="4357273"/>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138160" cy="4357273"/>
                    </a:xfrm>
                    <a:prstGeom prst="rect">
                      <a:avLst/>
                    </a:prstGeom>
                    <a:noFill/>
                    <a:ln>
                      <a:noFill/>
                    </a:ln>
                  </pic:spPr>
                </pic:pic>
              </a:graphicData>
            </a:graphic>
          </wp:inline>
        </w:drawing>
      </w:r>
    </w:p>
    <w:p w:rsidR="001262C9" w:rsidRDefault="001262C9" w:rsidP="00E275D8">
      <w:pPr>
        <w:pStyle w:val="BodyText"/>
        <w:rPr>
          <w:noProof/>
        </w:rPr>
      </w:pPr>
    </w:p>
    <w:p w:rsidR="001262C9" w:rsidRDefault="001262C9" w:rsidP="00E275D8">
      <w:pPr>
        <w:pStyle w:val="BodyText"/>
        <w:rPr>
          <w:noProof/>
        </w:rPr>
      </w:pPr>
    </w:p>
    <w:p w:rsidR="001262C9" w:rsidRDefault="001262C9" w:rsidP="00E275D8">
      <w:pPr>
        <w:pStyle w:val="BodyText"/>
        <w:rPr>
          <w:noProof/>
        </w:rPr>
      </w:pPr>
    </w:p>
    <w:p w:rsidR="001262C9" w:rsidRDefault="001262C9" w:rsidP="00E275D8">
      <w:pPr>
        <w:pStyle w:val="BodyText"/>
      </w:pPr>
    </w:p>
    <w:p w:rsidR="008C300D" w:rsidRDefault="006A3FFE" w:rsidP="00E275D8">
      <w:pPr>
        <w:pStyle w:val="BodyText"/>
      </w:pPr>
      <w:r>
        <w:rPr>
          <w:noProof/>
        </w:rPr>
        <w:drawing>
          <wp:inline distT="0" distB="0" distL="0" distR="0" wp14:anchorId="24B5B84E" wp14:editId="6A6C5BE1">
            <wp:extent cx="8138160" cy="416253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138160" cy="4162535"/>
                    </a:xfrm>
                    <a:prstGeom prst="rect">
                      <a:avLst/>
                    </a:prstGeom>
                    <a:noFill/>
                    <a:ln>
                      <a:noFill/>
                    </a:ln>
                  </pic:spPr>
                </pic:pic>
              </a:graphicData>
            </a:graphic>
          </wp:inline>
        </w:drawing>
      </w:r>
    </w:p>
    <w:p w:rsidR="001262C9" w:rsidRDefault="001262C9" w:rsidP="00E275D8">
      <w:pPr>
        <w:pStyle w:val="BodyText"/>
      </w:pPr>
    </w:p>
    <w:p w:rsidR="008C300D" w:rsidRDefault="008C300D" w:rsidP="00E275D8">
      <w:pPr>
        <w:pStyle w:val="BodyText"/>
      </w:pPr>
    </w:p>
    <w:p w:rsidR="00D30335" w:rsidRDefault="00D30335" w:rsidP="00E275D8">
      <w:pPr>
        <w:pStyle w:val="BodyText"/>
        <w:sectPr w:rsidR="00D30335" w:rsidSect="007602A5">
          <w:headerReference w:type="default" r:id="rId46"/>
          <w:footerReference w:type="default" r:id="rId47"/>
          <w:type w:val="continuous"/>
          <w:pgSz w:w="15840" w:h="12240" w:orient="landscape" w:code="1"/>
          <w:pgMar w:top="1440" w:right="1584" w:bottom="1440" w:left="1440" w:header="720" w:footer="720" w:gutter="0"/>
          <w:pgNumType w:start="1"/>
          <w:cols w:space="720"/>
          <w:formProt w:val="0"/>
          <w:docGrid w:linePitch="360"/>
        </w:sectPr>
      </w:pPr>
    </w:p>
    <w:p w:rsidR="006A3FFE" w:rsidRDefault="004A4272" w:rsidP="00E275D8">
      <w:pPr>
        <w:pStyle w:val="BodyText"/>
      </w:pPr>
      <w:r>
        <w:rPr>
          <w:noProof/>
        </w:rPr>
        <w:lastRenderedPageBreak/>
        <w:drawing>
          <wp:inline distT="0" distB="0" distL="0" distR="0" wp14:anchorId="358800B1" wp14:editId="3D8F641D">
            <wp:extent cx="5902325" cy="549465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902325" cy="5494655"/>
                    </a:xfrm>
                    <a:prstGeom prst="rect">
                      <a:avLst/>
                    </a:prstGeom>
                    <a:noFill/>
                    <a:ln>
                      <a:noFill/>
                    </a:ln>
                  </pic:spPr>
                </pic:pic>
              </a:graphicData>
            </a:graphic>
          </wp:inline>
        </w:drawing>
      </w:r>
    </w:p>
    <w:p w:rsidR="003C5916" w:rsidRDefault="003C5916" w:rsidP="003C5916">
      <w:pPr>
        <w:pStyle w:val="IssueHeading"/>
      </w:pPr>
      <w:r>
        <w:fldChar w:fldCharType="begin"/>
      </w:r>
      <w:r>
        <w:instrText xml:space="preserve"> TC "</w:instrText>
      </w:r>
      <w:bookmarkStart w:id="52" w:name="_Toc28007748"/>
      <w:r>
        <w:tab/>
        <w:instrText>Attachment B</w:instrText>
      </w:r>
      <w:r w:rsidR="0017480B">
        <w:tab/>
      </w:r>
      <w:r w:rsidR="00716F30">
        <w:instrText>66</w:instrText>
      </w:r>
      <w:bookmarkEnd w:id="52"/>
      <w:r>
        <w:instrText xml:space="preserve">" \l 1 </w:instrText>
      </w:r>
      <w:r w:rsidR="004816DE">
        <w:instrText>\n</w:instrText>
      </w:r>
      <w:r>
        <w:fldChar w:fldCharType="end"/>
      </w:r>
    </w:p>
    <w:p w:rsidR="003C5916" w:rsidRDefault="003C5916" w:rsidP="00E275D8">
      <w:pPr>
        <w:pStyle w:val="BodyText"/>
      </w:pPr>
    </w:p>
    <w:p w:rsidR="004A4272" w:rsidRDefault="004A4272" w:rsidP="00E275D8">
      <w:pPr>
        <w:pStyle w:val="BodyText"/>
      </w:pPr>
      <w:r>
        <w:rPr>
          <w:noProof/>
        </w:rPr>
        <w:lastRenderedPageBreak/>
        <w:drawing>
          <wp:inline distT="0" distB="0" distL="0" distR="0" wp14:anchorId="41006FE5" wp14:editId="48D18958">
            <wp:extent cx="5943600" cy="5770245"/>
            <wp:effectExtent l="0" t="0" r="0"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943600" cy="5770245"/>
                    </a:xfrm>
                    <a:prstGeom prst="rect">
                      <a:avLst/>
                    </a:prstGeom>
                    <a:noFill/>
                    <a:ln>
                      <a:noFill/>
                    </a:ln>
                  </pic:spPr>
                </pic:pic>
              </a:graphicData>
            </a:graphic>
          </wp:inline>
        </w:drawing>
      </w:r>
    </w:p>
    <w:p w:rsidR="004A4272" w:rsidRDefault="004A4272" w:rsidP="00E275D8">
      <w:pPr>
        <w:pStyle w:val="BodyText"/>
      </w:pPr>
      <w:r>
        <w:rPr>
          <w:noProof/>
        </w:rPr>
        <w:lastRenderedPageBreak/>
        <w:drawing>
          <wp:inline distT="0" distB="0" distL="0" distR="0" wp14:anchorId="298ED70D" wp14:editId="67DCDEA5">
            <wp:extent cx="5943600" cy="5481320"/>
            <wp:effectExtent l="0" t="0" r="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943600" cy="5481320"/>
                    </a:xfrm>
                    <a:prstGeom prst="rect">
                      <a:avLst/>
                    </a:prstGeom>
                    <a:noFill/>
                    <a:ln>
                      <a:noFill/>
                    </a:ln>
                  </pic:spPr>
                </pic:pic>
              </a:graphicData>
            </a:graphic>
          </wp:inline>
        </w:drawing>
      </w:r>
    </w:p>
    <w:p w:rsidR="004A4272" w:rsidRDefault="004A4272" w:rsidP="00E275D8">
      <w:pPr>
        <w:pStyle w:val="BodyText"/>
      </w:pPr>
      <w:r>
        <w:rPr>
          <w:noProof/>
        </w:rPr>
        <w:lastRenderedPageBreak/>
        <w:drawing>
          <wp:inline distT="0" distB="0" distL="0" distR="0" wp14:anchorId="1F564060" wp14:editId="4AF073F2">
            <wp:extent cx="5943600" cy="5424170"/>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943600" cy="5424170"/>
                    </a:xfrm>
                    <a:prstGeom prst="rect">
                      <a:avLst/>
                    </a:prstGeom>
                    <a:noFill/>
                    <a:ln>
                      <a:noFill/>
                    </a:ln>
                  </pic:spPr>
                </pic:pic>
              </a:graphicData>
            </a:graphic>
          </wp:inline>
        </w:drawing>
      </w:r>
    </w:p>
    <w:p w:rsidR="00754973" w:rsidRDefault="004A4272" w:rsidP="00716F30">
      <w:pPr>
        <w:pStyle w:val="BodyText"/>
      </w:pPr>
      <w:r>
        <w:rPr>
          <w:noProof/>
        </w:rPr>
        <w:lastRenderedPageBreak/>
        <w:drawing>
          <wp:inline distT="0" distB="0" distL="0" distR="0" wp14:anchorId="0ECCA1B5" wp14:editId="5B644BA8">
            <wp:extent cx="5935345" cy="581914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935345" cy="5819140"/>
                    </a:xfrm>
                    <a:prstGeom prst="rect">
                      <a:avLst/>
                    </a:prstGeom>
                    <a:noFill/>
                    <a:ln>
                      <a:noFill/>
                    </a:ln>
                  </pic:spPr>
                </pic:pic>
              </a:graphicData>
            </a:graphic>
          </wp:inline>
        </w:drawing>
      </w:r>
    </w:p>
    <w:sectPr w:rsidR="00754973" w:rsidSect="00767F9B">
      <w:headerReference w:type="even" r:id="rId53"/>
      <w:headerReference w:type="default" r:id="rId54"/>
      <w:footerReference w:type="default" r:id="rId55"/>
      <w:headerReference w:type="first" r:id="rId56"/>
      <w:pgSz w:w="12240" w:h="15840" w:code="1"/>
      <w:pgMar w:top="1584" w:right="1440" w:bottom="1440" w:left="1440" w:header="720" w:footer="720" w:gutter="0"/>
      <w:pgNumType w:start="1"/>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5DB" w:rsidRDefault="008965DB">
      <w:r>
        <w:separator/>
      </w:r>
    </w:p>
  </w:endnote>
  <w:endnote w:type="continuationSeparator" w:id="0">
    <w:p w:rsidR="008965DB" w:rsidRDefault="00896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73" w:rsidRPr="007602A5" w:rsidRDefault="007471F3" w:rsidP="007602A5">
    <w:pPr>
      <w:pStyle w:val="Footer"/>
      <w:jc w:val="center"/>
    </w:pPr>
    <w:r>
      <w:rPr>
        <w:rStyle w:val="PageNumber"/>
      </w:rPr>
      <w:t xml:space="preserve">- </w:t>
    </w:r>
    <w:r w:rsidR="007602A5">
      <w:fldChar w:fldCharType="begin"/>
    </w:r>
    <w:r w:rsidR="007602A5">
      <w:instrText xml:space="preserve"> PAGE   \* MERGEFORMAT </w:instrText>
    </w:r>
    <w:r w:rsidR="007602A5">
      <w:fldChar w:fldCharType="separate"/>
    </w:r>
    <w:r w:rsidR="00B62869">
      <w:rPr>
        <w:noProof/>
      </w:rPr>
      <w:t>2</w:t>
    </w:r>
    <w:r w:rsidR="007602A5">
      <w:rPr>
        <w:noProof/>
      </w:rPr>
      <w:fldChar w:fldCharType="end"/>
    </w:r>
    <w:r>
      <w:rPr>
        <w:noProof/>
      </w:rPr>
      <w:t xml:space="preserve"> </w:t>
    </w:r>
    <w:r>
      <w:rPr>
        <w:rStyle w:val="PageNumb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73" w:rsidRDefault="007549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2A5" w:rsidRPr="00767F9B" w:rsidRDefault="00767F9B" w:rsidP="00767F9B">
    <w:pPr>
      <w:pStyle w:val="Footer"/>
      <w:tabs>
        <w:tab w:val="clear" w:pos="4320"/>
        <w:tab w:val="clear" w:pos="8640"/>
        <w:tab w:val="left" w:pos="4035"/>
        <w:tab w:val="center" w:pos="4680"/>
        <w:tab w:val="right" w:pos="9360"/>
      </w:tabs>
      <w:jc w:val="center"/>
    </w:pPr>
    <w:r>
      <w:t xml:space="preserve">- </w:t>
    </w:r>
    <w:r>
      <w:fldChar w:fldCharType="begin"/>
    </w:r>
    <w:r>
      <w:instrText xml:space="preserve"> =</w:instrText>
    </w:r>
    <w:r>
      <w:fldChar w:fldCharType="begin"/>
    </w:r>
    <w:r>
      <w:instrText xml:space="preserve"> PAGE </w:instrText>
    </w:r>
    <w:r>
      <w:fldChar w:fldCharType="separate"/>
    </w:r>
    <w:r w:rsidR="00B62869">
      <w:rPr>
        <w:noProof/>
      </w:rPr>
      <w:instrText>13</w:instrText>
    </w:r>
    <w:r>
      <w:fldChar w:fldCharType="end"/>
    </w:r>
    <w:r>
      <w:instrText xml:space="preserve"> +52 </w:instrText>
    </w:r>
    <w:r>
      <w:fldChar w:fldCharType="separate"/>
    </w:r>
    <w:r w:rsidR="00B62869">
      <w:rPr>
        <w:noProof/>
      </w:rPr>
      <w:t>65</w:t>
    </w:r>
    <w:r>
      <w:fldChar w:fldCharType="end"/>
    </w:r>
    <w:r>
      <w:rPr>
        <w:rStyle w:val="PageNumber"/>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F30" w:rsidRDefault="00241179" w:rsidP="00241179">
    <w:pPr>
      <w:pStyle w:val="Footer"/>
      <w:tabs>
        <w:tab w:val="clear" w:pos="4320"/>
        <w:tab w:val="clear" w:pos="8640"/>
        <w:tab w:val="left" w:pos="4035"/>
        <w:tab w:val="center" w:pos="4680"/>
        <w:tab w:val="right" w:pos="9360"/>
      </w:tabs>
    </w:pPr>
    <w:r>
      <w:tab/>
    </w:r>
    <w:r>
      <w:tab/>
    </w:r>
    <w:r w:rsidR="00716F30">
      <w:t xml:space="preserve">- </w:t>
    </w:r>
    <w:r w:rsidR="00716F30">
      <w:fldChar w:fldCharType="begin"/>
    </w:r>
    <w:r w:rsidR="00716F30">
      <w:instrText xml:space="preserve"> =</w:instrText>
    </w:r>
    <w:r w:rsidR="00716F30">
      <w:fldChar w:fldCharType="begin"/>
    </w:r>
    <w:r w:rsidR="00716F30">
      <w:instrText xml:space="preserve"> PAGE </w:instrText>
    </w:r>
    <w:r w:rsidR="00716F30">
      <w:fldChar w:fldCharType="separate"/>
    </w:r>
    <w:r w:rsidR="00B62869">
      <w:rPr>
        <w:noProof/>
      </w:rPr>
      <w:instrText>5</w:instrText>
    </w:r>
    <w:r w:rsidR="00716F30">
      <w:fldChar w:fldCharType="end"/>
    </w:r>
    <w:r w:rsidR="00716F30">
      <w:instrText xml:space="preserve"> +6</w:instrText>
    </w:r>
    <w:r w:rsidR="00C1478F">
      <w:instrText>5</w:instrText>
    </w:r>
    <w:r w:rsidR="00716F30">
      <w:instrText xml:space="preserve"> </w:instrText>
    </w:r>
    <w:r w:rsidR="00716F30">
      <w:fldChar w:fldCharType="separate"/>
    </w:r>
    <w:r w:rsidR="00B62869">
      <w:rPr>
        <w:noProof/>
      </w:rPr>
      <w:t>70</w:t>
    </w:r>
    <w:r w:rsidR="00716F30">
      <w:fldChar w:fldCharType="end"/>
    </w:r>
    <w:r w:rsidR="00716F30">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5DB" w:rsidRDefault="008965DB">
      <w:r>
        <w:separator/>
      </w:r>
    </w:p>
  </w:footnote>
  <w:footnote w:type="continuationSeparator" w:id="0">
    <w:p w:rsidR="008965DB" w:rsidRDefault="008965DB">
      <w:r>
        <w:continuationSeparator/>
      </w:r>
    </w:p>
  </w:footnote>
  <w:footnote w:id="1">
    <w:p w:rsidR="00754973" w:rsidRDefault="00754973" w:rsidP="001A1996">
      <w:pPr>
        <w:pStyle w:val="FootnoteText"/>
      </w:pPr>
      <w:r>
        <w:rPr>
          <w:rStyle w:val="FootnoteReference"/>
        </w:rPr>
        <w:footnoteRef/>
      </w:r>
      <w:r>
        <w:t xml:space="preserve"> </w:t>
      </w:r>
      <w:r w:rsidRPr="000847A7">
        <w:t xml:space="preserve">Order No. PSC-92-0229-FOF-GU, issued April 20, 1992, in Docket No. </w:t>
      </w:r>
      <w:r>
        <w:t>19</w:t>
      </w:r>
      <w:r w:rsidRPr="000847A7">
        <w:t xml:space="preserve">910873-GU, </w:t>
      </w:r>
      <w:r w:rsidRPr="00AC2846">
        <w:rPr>
          <w:i/>
        </w:rPr>
        <w:t>In re: Petition for approval of initial rates to be established by Sebring Gas System, a division of Coker Fuels, Inc.</w:t>
      </w:r>
    </w:p>
  </w:footnote>
  <w:footnote w:id="2">
    <w:p w:rsidR="00754973" w:rsidRDefault="00754973" w:rsidP="001A1996">
      <w:pPr>
        <w:pStyle w:val="FootnoteText"/>
      </w:pPr>
      <w:r>
        <w:rPr>
          <w:rStyle w:val="FootnoteReference"/>
        </w:rPr>
        <w:footnoteRef/>
      </w:r>
      <w:r>
        <w:t xml:space="preserve"> </w:t>
      </w:r>
      <w:r w:rsidRPr="000847A7">
        <w:t xml:space="preserve">Order No. PSC-04-1260-PAA-GU, issued December 20, 2004, in Docket No. </w:t>
      </w:r>
      <w:r>
        <w:t>20</w:t>
      </w:r>
      <w:r w:rsidRPr="000847A7">
        <w:t xml:space="preserve">040270-GU, </w:t>
      </w:r>
      <w:r w:rsidRPr="00AC2846">
        <w:rPr>
          <w:i/>
        </w:rPr>
        <w:t>In re: Application for rate increase by Sebring Gas System, Inc.</w:t>
      </w:r>
    </w:p>
  </w:footnote>
  <w:footnote w:id="3">
    <w:p w:rsidR="00754973" w:rsidRDefault="00754973">
      <w:pPr>
        <w:pStyle w:val="FootnoteText"/>
      </w:pPr>
      <w:r>
        <w:rPr>
          <w:rStyle w:val="FootnoteReference"/>
        </w:rPr>
        <w:footnoteRef/>
      </w:r>
      <w:r>
        <w:t xml:space="preserve"> </w:t>
      </w:r>
      <w:r w:rsidRPr="000847A7">
        <w:t>Document No. 04735-2019, Sebring’s Petition, p</w:t>
      </w:r>
      <w:r>
        <w:t>p</w:t>
      </w:r>
      <w:r w:rsidRPr="000847A7">
        <w:t>. 4</w:t>
      </w:r>
      <w:r w:rsidRPr="00E34EBD">
        <w:t xml:space="preserve"> </w:t>
      </w:r>
      <w:r>
        <w:t>–</w:t>
      </w:r>
      <w:r w:rsidRPr="00E34EBD">
        <w:t xml:space="preserve"> </w:t>
      </w:r>
      <w:r>
        <w:t>5</w:t>
      </w:r>
      <w:r w:rsidR="00025CC3">
        <w:t>, and Direct Testimony of Russell Melendy, p. 15</w:t>
      </w:r>
      <w:r>
        <w:t>.</w:t>
      </w:r>
    </w:p>
  </w:footnote>
  <w:footnote w:id="4">
    <w:p w:rsidR="00754973" w:rsidRDefault="00754973">
      <w:pPr>
        <w:pStyle w:val="FootnoteText"/>
      </w:pPr>
      <w:r>
        <w:rPr>
          <w:rStyle w:val="FootnoteReference"/>
        </w:rPr>
        <w:footnoteRef/>
      </w:r>
      <w:r>
        <w:t xml:space="preserve"> Id., p</w:t>
      </w:r>
      <w:r w:rsidRPr="000847A7">
        <w:t>. 3</w:t>
      </w:r>
      <w:r>
        <w:t>.</w:t>
      </w:r>
    </w:p>
  </w:footnote>
  <w:footnote w:id="5">
    <w:p w:rsidR="00754973" w:rsidRDefault="00754973">
      <w:pPr>
        <w:pStyle w:val="FootnoteText"/>
      </w:pPr>
      <w:r>
        <w:rPr>
          <w:rStyle w:val="FootnoteReference"/>
        </w:rPr>
        <w:footnoteRef/>
      </w:r>
      <w:r>
        <w:t xml:space="preserve"> </w:t>
      </w:r>
      <w:r w:rsidRPr="000847A7">
        <w:t xml:space="preserve">Order No. PSC-19-0226-PCO-GU, issued June 12, 2019, in Docket No. 20190083-GU, </w:t>
      </w:r>
      <w:r w:rsidRPr="00AC2846">
        <w:rPr>
          <w:i/>
        </w:rPr>
        <w:t>In re: Application for rate increase in Highlands, Hardee, and Desoto Counties, by Sebring Gas System, Inc.</w:t>
      </w:r>
    </w:p>
  </w:footnote>
  <w:footnote w:id="6">
    <w:p w:rsidR="00754973" w:rsidRDefault="00754973">
      <w:pPr>
        <w:pStyle w:val="FootnoteText"/>
      </w:pPr>
      <w:r>
        <w:rPr>
          <w:rStyle w:val="FootnoteReference"/>
        </w:rPr>
        <w:footnoteRef/>
      </w:r>
      <w:r>
        <w:t xml:space="preserve"> </w:t>
      </w:r>
      <w:r w:rsidRPr="00E34EBD">
        <w:t>S</w:t>
      </w:r>
      <w:r>
        <w:t>ebring</w:t>
      </w:r>
      <w:r w:rsidRPr="00E34EBD">
        <w:t>’</w:t>
      </w:r>
      <w:r>
        <w:t>s</w:t>
      </w:r>
      <w:r w:rsidRPr="00E34EBD">
        <w:t xml:space="preserve"> working capital had been adjusted for any disallowed items before it was combined with S</w:t>
      </w:r>
      <w:r>
        <w:t>ebring</w:t>
      </w:r>
      <w:r w:rsidRPr="00E34EBD">
        <w:t>’</w:t>
      </w:r>
      <w:r>
        <w:t>s</w:t>
      </w:r>
      <w:r w:rsidRPr="00E34EBD">
        <w:t xml:space="preserve"> net utility plant to arrive at the Company’s 20</w:t>
      </w:r>
      <w:r>
        <w:t xml:space="preserve">18 historical total rate base. </w:t>
      </w:r>
      <w:r w:rsidRPr="00E34EBD">
        <w:t>Document No. 04735</w:t>
      </w:r>
      <w:r>
        <w:t xml:space="preserve">-2019, </w:t>
      </w:r>
      <w:r w:rsidRPr="00E34EBD">
        <w:t xml:space="preserve">Direct Testimony of Jerry Melendy, pp.13 </w:t>
      </w:r>
      <w:r>
        <w:t>–</w:t>
      </w:r>
      <w:r w:rsidRPr="00E34EBD">
        <w:t xml:space="preserve"> 14</w:t>
      </w:r>
      <w:r>
        <w:t>.</w:t>
      </w:r>
    </w:p>
  </w:footnote>
  <w:footnote w:id="7">
    <w:p w:rsidR="00754973" w:rsidRDefault="00754973">
      <w:pPr>
        <w:pStyle w:val="FootnoteText"/>
      </w:pPr>
      <w:r>
        <w:rPr>
          <w:rStyle w:val="FootnoteReference"/>
        </w:rPr>
        <w:footnoteRef/>
      </w:r>
      <w:r>
        <w:t xml:space="preserve"> </w:t>
      </w:r>
      <w:r w:rsidRPr="00E34EBD">
        <w:t xml:space="preserve">The trending methodology used is detailed in </w:t>
      </w:r>
      <w:r>
        <w:t xml:space="preserve">Document No. 10856-2019, revised </w:t>
      </w:r>
      <w:r w:rsidRPr="00E34EBD">
        <w:t xml:space="preserve">Minimum Filing Requirements (MFR) Schedule G-2, pp. 10 </w:t>
      </w:r>
      <w:r>
        <w:t>–</w:t>
      </w:r>
      <w:r w:rsidRPr="00E34EBD">
        <w:t xml:space="preserve"> 18</w:t>
      </w:r>
      <w:r>
        <w:t>.</w:t>
      </w:r>
    </w:p>
  </w:footnote>
  <w:footnote w:id="8">
    <w:p w:rsidR="00754973" w:rsidRDefault="00754973">
      <w:pPr>
        <w:pStyle w:val="FootnoteText"/>
      </w:pPr>
      <w:r>
        <w:rPr>
          <w:rStyle w:val="FootnoteReference"/>
        </w:rPr>
        <w:footnoteRef/>
      </w:r>
      <w:r>
        <w:t xml:space="preserve"> </w:t>
      </w:r>
      <w:r w:rsidRPr="00E34EBD">
        <w:t>Document No. 04735</w:t>
      </w:r>
      <w:r>
        <w:t>-2019</w:t>
      </w:r>
      <w:r w:rsidR="001E2820">
        <w:t>,</w:t>
      </w:r>
      <w:r w:rsidRPr="00E34EBD">
        <w:t xml:space="preserve"> Direct Testimony of Russell Melendy, pp. 2 </w:t>
      </w:r>
      <w:r>
        <w:t>–</w:t>
      </w:r>
      <w:r w:rsidRPr="00E34EBD">
        <w:t xml:space="preserve"> </w:t>
      </w:r>
      <w:r w:rsidR="00C22771">
        <w:t>4</w:t>
      </w:r>
      <w:r>
        <w:t>.</w:t>
      </w:r>
    </w:p>
  </w:footnote>
  <w:footnote w:id="9">
    <w:p w:rsidR="00754973" w:rsidRDefault="00754973">
      <w:pPr>
        <w:pStyle w:val="FootnoteText"/>
      </w:pPr>
      <w:r>
        <w:rPr>
          <w:rStyle w:val="FootnoteReference"/>
        </w:rPr>
        <w:footnoteRef/>
      </w:r>
      <w:r>
        <w:t xml:space="preserve"> </w:t>
      </w:r>
      <w:r w:rsidRPr="00D5623F">
        <w:t>Document No. 10721-2019,</w:t>
      </w:r>
      <w:r>
        <w:t xml:space="preserve"> Sebring’s Responses to Staff’s Twelfth Data Request, </w:t>
      </w:r>
      <w:r w:rsidRPr="00D5623F">
        <w:t>p. 2</w:t>
      </w:r>
      <w:r>
        <w:t>.</w:t>
      </w:r>
    </w:p>
  </w:footnote>
  <w:footnote w:id="10">
    <w:p w:rsidR="00754973" w:rsidRDefault="00754973">
      <w:pPr>
        <w:pStyle w:val="FootnoteText"/>
      </w:pPr>
      <w:r>
        <w:rPr>
          <w:rStyle w:val="FootnoteReference"/>
        </w:rPr>
        <w:footnoteRef/>
      </w:r>
      <w:r>
        <w:t xml:space="preserve"> </w:t>
      </w:r>
      <w:r w:rsidRPr="00D5623F">
        <w:t>Document No. 04735</w:t>
      </w:r>
      <w:r>
        <w:t>-2019</w:t>
      </w:r>
      <w:r w:rsidRPr="00D5623F">
        <w:t>,</w:t>
      </w:r>
      <w:r>
        <w:t xml:space="preserve"> Direct Testimony of Russell Melendy,</w:t>
      </w:r>
      <w:r w:rsidRPr="00D5623F">
        <w:t xml:space="preserve"> p. 5</w:t>
      </w:r>
      <w:r>
        <w:t>.</w:t>
      </w:r>
    </w:p>
  </w:footnote>
  <w:footnote w:id="11">
    <w:p w:rsidR="00754973" w:rsidRDefault="00754973">
      <w:pPr>
        <w:pStyle w:val="FootnoteText"/>
      </w:pPr>
      <w:r>
        <w:rPr>
          <w:rStyle w:val="FootnoteReference"/>
        </w:rPr>
        <w:footnoteRef/>
      </w:r>
      <w:r>
        <w:t xml:space="preserve"> Id.</w:t>
      </w:r>
    </w:p>
  </w:footnote>
  <w:footnote w:id="12">
    <w:p w:rsidR="00754973" w:rsidRDefault="00754973">
      <w:pPr>
        <w:pStyle w:val="FootnoteText"/>
      </w:pPr>
      <w:r>
        <w:rPr>
          <w:rStyle w:val="FootnoteReference"/>
        </w:rPr>
        <w:footnoteRef/>
      </w:r>
      <w:r>
        <w:t xml:space="preserve"> Id.</w:t>
      </w:r>
      <w:r w:rsidRPr="00D5623F">
        <w:t>, pp. 3 and 5</w:t>
      </w:r>
      <w:r>
        <w:t>.</w:t>
      </w:r>
    </w:p>
  </w:footnote>
  <w:footnote w:id="13">
    <w:p w:rsidR="00754973" w:rsidRDefault="00754973">
      <w:pPr>
        <w:pStyle w:val="FootnoteText"/>
      </w:pPr>
      <w:r>
        <w:rPr>
          <w:rStyle w:val="FootnoteReference"/>
        </w:rPr>
        <w:footnoteRef/>
      </w:r>
      <w:r>
        <w:t xml:space="preserve"> </w:t>
      </w:r>
      <w:r w:rsidRPr="00D5623F">
        <w:t>Document No. 10721-2019,</w:t>
      </w:r>
      <w:r>
        <w:t xml:space="preserve"> Sebring’s Responses to Staff’s Twelfth Data Request,</w:t>
      </w:r>
      <w:r w:rsidRPr="00D5623F">
        <w:t xml:space="preserve"> pp. 2 </w:t>
      </w:r>
      <w:r>
        <w:t>–</w:t>
      </w:r>
      <w:r w:rsidRPr="00D5623F">
        <w:t xml:space="preserve"> 3</w:t>
      </w:r>
      <w:r>
        <w:t>.</w:t>
      </w:r>
    </w:p>
  </w:footnote>
  <w:footnote w:id="14">
    <w:p w:rsidR="00754973" w:rsidRDefault="00754973">
      <w:pPr>
        <w:pStyle w:val="FootnoteText"/>
      </w:pPr>
      <w:r>
        <w:rPr>
          <w:rStyle w:val="FootnoteReference"/>
        </w:rPr>
        <w:footnoteRef/>
      </w:r>
      <w:r>
        <w:t xml:space="preserve"> I</w:t>
      </w:r>
      <w:r w:rsidRPr="00D5623F">
        <w:t>d.</w:t>
      </w:r>
      <w:r>
        <w:t>,</w:t>
      </w:r>
      <w:r w:rsidRPr="00D5623F">
        <w:t xml:space="preserve"> p.</w:t>
      </w:r>
      <w:r w:rsidR="008B06BF">
        <w:t xml:space="preserve"> </w:t>
      </w:r>
      <w:r w:rsidRPr="00D5623F">
        <w:t>3 and Document No. 08680</w:t>
      </w:r>
      <w:r>
        <w:t>-2019, Sebring’s Responses to Staff’s Sixth Data Request.</w:t>
      </w:r>
    </w:p>
  </w:footnote>
  <w:footnote w:id="15">
    <w:p w:rsidR="00754973" w:rsidRDefault="00754973">
      <w:pPr>
        <w:pStyle w:val="FootnoteText"/>
      </w:pPr>
      <w:r>
        <w:rPr>
          <w:rStyle w:val="FootnoteReference"/>
        </w:rPr>
        <w:footnoteRef/>
      </w:r>
      <w:r>
        <w:t xml:space="preserve"> Document No. 07608-2019, Sebring’s Response to Staff’s Fourth Data Request, pp. </w:t>
      </w:r>
      <w:r w:rsidR="00976F1C">
        <w:t>1</w:t>
      </w:r>
      <w:r w:rsidRPr="00E34EBD">
        <w:t xml:space="preserve"> </w:t>
      </w:r>
      <w:r>
        <w:t>–</w:t>
      </w:r>
      <w:r w:rsidRPr="00E34EBD">
        <w:t xml:space="preserve"> </w:t>
      </w:r>
      <w:r w:rsidRPr="00D34F28">
        <w:t>3</w:t>
      </w:r>
      <w:r>
        <w:t>.</w:t>
      </w:r>
    </w:p>
  </w:footnote>
  <w:footnote w:id="16">
    <w:p w:rsidR="00754973" w:rsidRDefault="00754973">
      <w:pPr>
        <w:pStyle w:val="FootnoteText"/>
      </w:pPr>
      <w:r>
        <w:rPr>
          <w:rStyle w:val="FootnoteReference"/>
        </w:rPr>
        <w:footnoteRef/>
      </w:r>
      <w:r>
        <w:t xml:space="preserve"> I</w:t>
      </w:r>
      <w:r w:rsidRPr="00D34F28">
        <w:t>d.</w:t>
      </w:r>
    </w:p>
  </w:footnote>
  <w:footnote w:id="17">
    <w:p w:rsidR="00754973" w:rsidRDefault="00754973">
      <w:pPr>
        <w:pStyle w:val="FootnoteText"/>
      </w:pPr>
      <w:r>
        <w:rPr>
          <w:rStyle w:val="FootnoteReference"/>
        </w:rPr>
        <w:footnoteRef/>
      </w:r>
      <w:r>
        <w:t xml:space="preserve"> Id.</w:t>
      </w:r>
      <w:r w:rsidRPr="00D34F28">
        <w:t>, pp. 2</w:t>
      </w:r>
      <w:r w:rsidRPr="00E34EBD">
        <w:t xml:space="preserve"> </w:t>
      </w:r>
      <w:r>
        <w:t>–</w:t>
      </w:r>
      <w:r w:rsidRPr="00E34EBD">
        <w:t xml:space="preserve"> </w:t>
      </w:r>
      <w:r w:rsidRPr="00D34F28">
        <w:t>3</w:t>
      </w:r>
      <w:r>
        <w:t>.</w:t>
      </w:r>
    </w:p>
  </w:footnote>
  <w:footnote w:id="18">
    <w:p w:rsidR="00754973" w:rsidRPr="006D4B4B" w:rsidRDefault="00754973" w:rsidP="000F6FA3">
      <w:pPr>
        <w:pStyle w:val="FootnoteText"/>
      </w:pPr>
      <w:r>
        <w:rPr>
          <w:rStyle w:val="FootnoteReference"/>
        </w:rPr>
        <w:footnoteRef/>
      </w:r>
      <w:r>
        <w:t xml:space="preserve"> Order Nos. </w:t>
      </w:r>
      <w:r w:rsidRPr="00D9643A">
        <w:t>PSC-13-0367-PAA-GU</w:t>
      </w:r>
      <w:r>
        <w:t xml:space="preserve">, issued August 8, 2013, in Docket No. 20130079-GU, </w:t>
      </w:r>
      <w:r w:rsidRPr="007A0806">
        <w:rPr>
          <w:i/>
        </w:rPr>
        <w:t>In re: Petition for approval of special contract with the Florida Department of Corrections, by Sebring Gas System, Inc.</w:t>
      </w:r>
      <w:r>
        <w:t xml:space="preserve"> and </w:t>
      </w:r>
      <w:r w:rsidRPr="00D9643A">
        <w:t>PSC-13-0366-PAA-GU</w:t>
      </w:r>
      <w:r>
        <w:t xml:space="preserve">, issued August 8, 2013, in Docket No. 20130130-GU, </w:t>
      </w:r>
      <w:r w:rsidRPr="007A0806">
        <w:rPr>
          <w:i/>
        </w:rPr>
        <w:t>In re: Petition for approval of special contract with the Florida Department of Corrections – DeSoto Correctional Institution, by Sebring Gas System, Inc.</w:t>
      </w:r>
    </w:p>
  </w:footnote>
  <w:footnote w:id="19">
    <w:p w:rsidR="00754973" w:rsidRDefault="00754973" w:rsidP="000F6FA3">
      <w:pPr>
        <w:pStyle w:val="FootnoteText"/>
      </w:pPr>
      <w:r>
        <w:rPr>
          <w:rStyle w:val="FootnoteReference"/>
        </w:rPr>
        <w:footnoteRef/>
      </w:r>
      <w:r>
        <w:t xml:space="preserve"> Sebring’s initial filing included main costs associated with a third expansion project of its existing system. </w:t>
      </w:r>
      <w:r w:rsidRPr="00F51A73">
        <w:t xml:space="preserve">In a subsequent filing, the </w:t>
      </w:r>
      <w:r>
        <w:t>Company</w:t>
      </w:r>
      <w:r w:rsidRPr="00F51A73">
        <w:t xml:space="preserve"> amended its request and removed main costs associated with </w:t>
      </w:r>
      <w:r>
        <w:t>this project</w:t>
      </w:r>
      <w:r w:rsidRPr="00F51A73">
        <w:t>.</w:t>
      </w:r>
      <w:r>
        <w:t xml:space="preserve"> </w:t>
      </w:r>
      <w:r w:rsidRPr="00F51A73">
        <w:t xml:space="preserve">  </w:t>
      </w:r>
    </w:p>
  </w:footnote>
  <w:footnote w:id="20">
    <w:p w:rsidR="00754973" w:rsidRDefault="00754973">
      <w:pPr>
        <w:pStyle w:val="FootnoteText"/>
      </w:pPr>
      <w:r>
        <w:rPr>
          <w:rStyle w:val="FootnoteReference"/>
        </w:rPr>
        <w:footnoteRef/>
      </w:r>
      <w:r>
        <w:t xml:space="preserve"> Document No. 08680-2019, Sebring’s Responses to Staff’s Sixth Data Request.</w:t>
      </w:r>
    </w:p>
  </w:footnote>
  <w:footnote w:id="21">
    <w:p w:rsidR="00754973" w:rsidRPr="006D4B4B" w:rsidRDefault="00754973" w:rsidP="000F6FA3">
      <w:pPr>
        <w:pStyle w:val="FootnoteText"/>
      </w:pPr>
      <w:r>
        <w:rPr>
          <w:rStyle w:val="FootnoteReference"/>
        </w:rPr>
        <w:footnoteRef/>
      </w:r>
      <w:r>
        <w:t xml:space="preserve"> Order Nos. PSC-93-1833-FOF-GU, issued December 27, 1993, in Docket No. 19930883-GU, </w:t>
      </w:r>
      <w:r w:rsidRPr="007A0806">
        <w:rPr>
          <w:i/>
        </w:rPr>
        <w:t>In re: Petition by Peoples Gas System, Inc. to include in rate base the calculated historic cost and cost of conversion of distribution assets</w:t>
      </w:r>
      <w:r>
        <w:t xml:space="preserve"> and</w:t>
      </w:r>
      <w:r w:rsidRPr="006D4B4B">
        <w:t xml:space="preserve"> PSC-09-0375-PAA-GU, issued May 27, 2009, in Docket No 20080366-GU, </w:t>
      </w:r>
      <w:r w:rsidRPr="007A0806">
        <w:rPr>
          <w:i/>
        </w:rPr>
        <w:t>In re: Petition for rate increase by Florida Public Utilities Company.</w:t>
      </w:r>
    </w:p>
  </w:footnote>
  <w:footnote w:id="22">
    <w:p w:rsidR="00754973" w:rsidRPr="006D4B4B" w:rsidRDefault="00754973" w:rsidP="000F6FA3">
      <w:pPr>
        <w:pStyle w:val="FootnoteText"/>
      </w:pPr>
      <w:r w:rsidRPr="006D4B4B">
        <w:rPr>
          <w:rStyle w:val="FootnoteReference"/>
        </w:rPr>
        <w:footnoteRef/>
      </w:r>
      <w:r w:rsidRPr="006D4B4B">
        <w:t xml:space="preserve"> Order No. PSC-10-0029-PAA-GU, issued January 14, 2010, in Docket No. 20090125-GU, </w:t>
      </w:r>
      <w:r w:rsidRPr="007A0806">
        <w:rPr>
          <w:i/>
        </w:rPr>
        <w:t>In re: Petition for increase in rates by Florida Division of Chesapeake Utilities Corporation.</w:t>
      </w:r>
    </w:p>
  </w:footnote>
  <w:footnote w:id="23">
    <w:p w:rsidR="00754973" w:rsidRDefault="00754973">
      <w:pPr>
        <w:pStyle w:val="FootnoteText"/>
      </w:pPr>
      <w:r>
        <w:rPr>
          <w:rStyle w:val="FootnoteReference"/>
        </w:rPr>
        <w:footnoteRef/>
      </w:r>
      <w:r>
        <w:t xml:space="preserve"> Document No. 08568-2019, Sebring’s Responses to Staff’s Fifth Data Request.</w:t>
      </w:r>
    </w:p>
  </w:footnote>
  <w:footnote w:id="24">
    <w:p w:rsidR="00754973" w:rsidRDefault="00754973">
      <w:pPr>
        <w:pStyle w:val="FootnoteText"/>
      </w:pPr>
      <w:r>
        <w:rPr>
          <w:rStyle w:val="FootnoteReference"/>
        </w:rPr>
        <w:footnoteRef/>
      </w:r>
      <w:r>
        <w:t xml:space="preserve"> Id.</w:t>
      </w:r>
    </w:p>
  </w:footnote>
  <w:footnote w:id="25">
    <w:p w:rsidR="00754973" w:rsidRDefault="00754973">
      <w:pPr>
        <w:pStyle w:val="FootnoteText"/>
      </w:pPr>
      <w:r>
        <w:rPr>
          <w:rStyle w:val="FootnoteReference"/>
        </w:rPr>
        <w:footnoteRef/>
      </w:r>
      <w:r>
        <w:t xml:space="preserve"> Document No. 04736-2019, Direct Testimony of Bruce Christmas.</w:t>
      </w:r>
    </w:p>
  </w:footnote>
  <w:footnote w:id="26">
    <w:p w:rsidR="00754973" w:rsidRDefault="00754973">
      <w:pPr>
        <w:pStyle w:val="FootnoteText"/>
      </w:pPr>
      <w:r>
        <w:rPr>
          <w:rStyle w:val="FootnoteReference"/>
        </w:rPr>
        <w:footnoteRef/>
      </w:r>
      <w:r>
        <w:t xml:space="preserve"> </w:t>
      </w:r>
      <w:r w:rsidRPr="00F44764">
        <w:t>Document No. 10856-2019</w:t>
      </w:r>
      <w:r>
        <w:t>, Revised MFR Schedule G-1, p. 10.</w:t>
      </w:r>
    </w:p>
  </w:footnote>
  <w:footnote w:id="27">
    <w:p w:rsidR="00754973" w:rsidRDefault="00754973">
      <w:pPr>
        <w:pStyle w:val="FootnoteText"/>
      </w:pPr>
      <w:r>
        <w:rPr>
          <w:rStyle w:val="FootnoteReference"/>
        </w:rPr>
        <w:footnoteRef/>
      </w:r>
      <w:r>
        <w:t xml:space="preserve"> </w:t>
      </w:r>
      <w:r w:rsidRPr="00F44764">
        <w:t xml:space="preserve">Code of Federal Regulations, Title 18, Chapter I, Subchapter F, Part 201- Uniform System of Accounts </w:t>
      </w:r>
      <w:r>
        <w:t>P</w:t>
      </w:r>
      <w:r w:rsidRPr="00F44764">
        <w:t xml:space="preserve">rescribed for Natural </w:t>
      </w:r>
      <w:r>
        <w:t>G</w:t>
      </w:r>
      <w:r w:rsidRPr="00F44764">
        <w:t xml:space="preserve">as </w:t>
      </w:r>
      <w:r>
        <w:t>C</w:t>
      </w:r>
      <w:r w:rsidRPr="00F44764">
        <w:t xml:space="preserve">ompanies </w:t>
      </w:r>
      <w:r>
        <w:t>S</w:t>
      </w:r>
      <w:r w:rsidRPr="00F44764">
        <w:t xml:space="preserve">ubject to the </w:t>
      </w:r>
      <w:r>
        <w:t>P</w:t>
      </w:r>
      <w:r w:rsidRPr="00F44764">
        <w:t>rovisions of the Natural Gas Act for further information regarding standardized accounting protocol and numeration</w:t>
      </w:r>
      <w:r>
        <w:t>.</w:t>
      </w:r>
    </w:p>
  </w:footnote>
  <w:footnote w:id="28">
    <w:p w:rsidR="00754973" w:rsidRDefault="00754973">
      <w:pPr>
        <w:pStyle w:val="FootnoteText"/>
      </w:pPr>
      <w:r>
        <w:rPr>
          <w:rStyle w:val="FootnoteReference"/>
        </w:rPr>
        <w:footnoteRef/>
      </w:r>
      <w:r>
        <w:t xml:space="preserve"> </w:t>
      </w:r>
      <w:r w:rsidRPr="00F44764">
        <w:t>Document No. 08949-2019</w:t>
      </w:r>
      <w:r>
        <w:t>, Staff’s Audit Report.</w:t>
      </w:r>
    </w:p>
  </w:footnote>
  <w:footnote w:id="29">
    <w:p w:rsidR="00754973" w:rsidRDefault="00754973">
      <w:pPr>
        <w:pStyle w:val="FootnoteText"/>
      </w:pPr>
      <w:r>
        <w:rPr>
          <w:rStyle w:val="FootnoteReference"/>
        </w:rPr>
        <w:footnoteRef/>
      </w:r>
      <w:r>
        <w:t xml:space="preserve"> </w:t>
      </w:r>
      <w:r w:rsidRPr="00A21216">
        <w:t>Document No. 10856-2019</w:t>
      </w:r>
      <w:r>
        <w:t>, Revised MFR Schedules G.</w:t>
      </w:r>
    </w:p>
  </w:footnote>
  <w:footnote w:id="30">
    <w:p w:rsidR="00754973" w:rsidRDefault="00754973">
      <w:pPr>
        <w:pStyle w:val="FootnoteText"/>
      </w:pPr>
      <w:r>
        <w:rPr>
          <w:rStyle w:val="FootnoteReference"/>
        </w:rPr>
        <w:footnoteRef/>
      </w:r>
      <w:r>
        <w:t xml:space="preserve"> </w:t>
      </w:r>
      <w:r w:rsidRPr="00A21216">
        <w:t>Document No. 08949-2019</w:t>
      </w:r>
      <w:r>
        <w:t xml:space="preserve">, </w:t>
      </w:r>
      <w:r w:rsidRPr="00A21216">
        <w:t>Staff’s Audit Report</w:t>
      </w:r>
      <w:r>
        <w:t>.</w:t>
      </w:r>
    </w:p>
  </w:footnote>
  <w:footnote w:id="31">
    <w:p w:rsidR="00754973" w:rsidRDefault="00754973">
      <w:pPr>
        <w:pStyle w:val="FootnoteText"/>
      </w:pPr>
      <w:r>
        <w:rPr>
          <w:rStyle w:val="FootnoteReference"/>
        </w:rPr>
        <w:footnoteRef/>
      </w:r>
      <w:r>
        <w:t xml:space="preserve"> MFR Schedule G-1, pp. 2 – 3, as revised in Document No. 10856-2019.</w:t>
      </w:r>
    </w:p>
  </w:footnote>
  <w:footnote w:id="32">
    <w:p w:rsidR="00754973" w:rsidRDefault="00754973">
      <w:pPr>
        <w:pStyle w:val="FootnoteText"/>
      </w:pPr>
      <w:r>
        <w:rPr>
          <w:rStyle w:val="FootnoteReference"/>
        </w:rPr>
        <w:footnoteRef/>
      </w:r>
      <w:r>
        <w:t xml:space="preserve"> MFR Schedule G-1, p. 1, as revised in Document No. 10856-2019.</w:t>
      </w:r>
    </w:p>
  </w:footnote>
  <w:footnote w:id="33">
    <w:p w:rsidR="005B17C2" w:rsidRDefault="005B17C2">
      <w:pPr>
        <w:pStyle w:val="FootnoteText"/>
      </w:pPr>
      <w:r>
        <w:rPr>
          <w:rStyle w:val="FootnoteReference"/>
        </w:rPr>
        <w:footnoteRef/>
      </w:r>
      <w:r>
        <w:t xml:space="preserve"> </w:t>
      </w:r>
      <w:r w:rsidRPr="005B17C2">
        <w:t>Document No. 04735-2019, Direct Testimony of Russell Melendy, p. 1</w:t>
      </w:r>
      <w:r>
        <w:t>6.</w:t>
      </w:r>
    </w:p>
  </w:footnote>
  <w:footnote w:id="34">
    <w:p w:rsidR="00754973" w:rsidRDefault="00754973">
      <w:pPr>
        <w:pStyle w:val="FootnoteText"/>
      </w:pPr>
      <w:r>
        <w:rPr>
          <w:rStyle w:val="FootnoteReference"/>
        </w:rPr>
        <w:footnoteRef/>
      </w:r>
      <w:r>
        <w:t xml:space="preserve"> </w:t>
      </w:r>
      <w:r w:rsidR="005B17C2">
        <w:t>Id.</w:t>
      </w:r>
      <w:r w:rsidR="009E2A19">
        <w:t>,</w:t>
      </w:r>
      <w:r>
        <w:t xml:space="preserve"> p. 14</w:t>
      </w:r>
      <w:r w:rsidR="005B17C2">
        <w:t>.</w:t>
      </w:r>
    </w:p>
  </w:footnote>
  <w:footnote w:id="35">
    <w:p w:rsidR="00754973" w:rsidRDefault="00754973">
      <w:pPr>
        <w:pStyle w:val="FootnoteText"/>
      </w:pPr>
      <w:r>
        <w:rPr>
          <w:rStyle w:val="FootnoteReference"/>
        </w:rPr>
        <w:footnoteRef/>
      </w:r>
      <w:r>
        <w:t xml:space="preserve"> Document No. 11449-2019, </w:t>
      </w:r>
      <w:r w:rsidRPr="000F7A56">
        <w:t>Staff Audit ACN 2019-170-1-1, Work Paper</w:t>
      </w:r>
      <w:r w:rsidR="00992A06">
        <w:t>s</w:t>
      </w:r>
      <w:r w:rsidRPr="000F7A56">
        <w:t xml:space="preserve"> 33-3</w:t>
      </w:r>
      <w:r>
        <w:t xml:space="preserve"> </w:t>
      </w:r>
      <w:r w:rsidRPr="000F7A56">
        <w:t>to 33-3.6</w:t>
      </w:r>
      <w:r>
        <w:t>.</w:t>
      </w:r>
    </w:p>
  </w:footnote>
  <w:footnote w:id="36">
    <w:p w:rsidR="00754973" w:rsidRDefault="00754973">
      <w:pPr>
        <w:pStyle w:val="FootnoteText"/>
      </w:pPr>
      <w:r>
        <w:rPr>
          <w:rStyle w:val="FootnoteReference"/>
        </w:rPr>
        <w:footnoteRef/>
      </w:r>
      <w:r>
        <w:t xml:space="preserve"> </w:t>
      </w:r>
      <w:r w:rsidRPr="00F514DA">
        <w:t>Document No. 11449-2019, Staff Audit ACN 2019-170-1-1, Work Paper</w:t>
      </w:r>
      <w:r w:rsidR="00B95115">
        <w:t>s</w:t>
      </w:r>
      <w:r w:rsidRPr="00F514DA">
        <w:t xml:space="preserve"> 33-3 to 33-3.6</w:t>
      </w:r>
      <w:r>
        <w:t>.</w:t>
      </w:r>
    </w:p>
  </w:footnote>
  <w:footnote w:id="37">
    <w:p w:rsidR="00754973" w:rsidRDefault="00754973">
      <w:pPr>
        <w:pStyle w:val="FootnoteText"/>
      </w:pPr>
      <w:r>
        <w:rPr>
          <w:rStyle w:val="FootnoteReference"/>
        </w:rPr>
        <w:footnoteRef/>
      </w:r>
      <w:r>
        <w:t xml:space="preserve"> </w:t>
      </w:r>
      <w:r w:rsidRPr="005E2C9A">
        <w:t>Section 220.1105, F</w:t>
      </w:r>
      <w:r>
        <w:t>.</w:t>
      </w:r>
      <w:r w:rsidRPr="005E2C9A">
        <w:t>S</w:t>
      </w:r>
      <w:r>
        <w:t>.</w:t>
      </w:r>
    </w:p>
  </w:footnote>
  <w:footnote w:id="38">
    <w:p w:rsidR="00754973" w:rsidRDefault="00754973">
      <w:pPr>
        <w:pStyle w:val="FootnoteText"/>
      </w:pPr>
      <w:r>
        <w:rPr>
          <w:rStyle w:val="FootnoteReference"/>
        </w:rPr>
        <w:footnoteRef/>
      </w:r>
      <w:r>
        <w:t xml:space="preserve"> </w:t>
      </w:r>
      <w:r w:rsidRPr="005E2C9A">
        <w:t>IRS Code §1.168(k)-2 and §163(j)(7)(A)(iv)</w:t>
      </w:r>
      <w:r>
        <w:t>.</w:t>
      </w:r>
    </w:p>
  </w:footnote>
  <w:footnote w:id="39">
    <w:p w:rsidR="00754973" w:rsidRDefault="00754973">
      <w:pPr>
        <w:pStyle w:val="FootnoteText"/>
      </w:pPr>
      <w:r>
        <w:rPr>
          <w:rStyle w:val="FootnoteReference"/>
        </w:rPr>
        <w:footnoteRef/>
      </w:r>
      <w:r>
        <w:t xml:space="preserve"> Document No. 08680-2019, Sebring’s Response to Staff’s Sixth Data Request.</w:t>
      </w:r>
    </w:p>
  </w:footnote>
  <w:footnote w:id="40">
    <w:p w:rsidR="00754973" w:rsidRDefault="00754973">
      <w:pPr>
        <w:pStyle w:val="FootnoteText"/>
      </w:pPr>
      <w:r>
        <w:rPr>
          <w:rStyle w:val="FootnoteReference"/>
        </w:rPr>
        <w:footnoteRef/>
      </w:r>
      <w:r>
        <w:t xml:space="preserve"> Document No. 04735-2019, Direct Testimony of Jerry Melendy, p. 24.</w:t>
      </w:r>
    </w:p>
  </w:footnote>
  <w:footnote w:id="41">
    <w:p w:rsidR="00754973" w:rsidRDefault="00754973">
      <w:pPr>
        <w:pStyle w:val="FootnoteText"/>
      </w:pPr>
      <w:r>
        <w:rPr>
          <w:rStyle w:val="FootnoteReference"/>
        </w:rPr>
        <w:footnoteRef/>
      </w:r>
      <w:r>
        <w:t xml:space="preserve"> </w:t>
      </w:r>
      <w:r w:rsidRPr="0057799A">
        <w:t xml:space="preserve">Document No. 06177-2019, </w:t>
      </w:r>
      <w:r>
        <w:t>Sebring’s Responses to Staff’s Second Data Request.</w:t>
      </w:r>
    </w:p>
  </w:footnote>
  <w:footnote w:id="42">
    <w:p w:rsidR="00754973" w:rsidRDefault="00754973">
      <w:pPr>
        <w:pStyle w:val="FootnoteText"/>
      </w:pPr>
      <w:r>
        <w:rPr>
          <w:rStyle w:val="FootnoteReference"/>
        </w:rPr>
        <w:footnoteRef/>
      </w:r>
      <w:r>
        <w:t xml:space="preserve"> Document No. 09458-2019, Sebring’s </w:t>
      </w:r>
      <w:r w:rsidR="00B95115">
        <w:t xml:space="preserve">Redacted </w:t>
      </w:r>
      <w:r>
        <w:t>Responses to Staff’s Tenth Data Request.</w:t>
      </w:r>
    </w:p>
  </w:footnote>
  <w:footnote w:id="43">
    <w:p w:rsidR="004E61E4" w:rsidRDefault="004E61E4">
      <w:pPr>
        <w:pStyle w:val="FootnoteText"/>
      </w:pPr>
      <w:r>
        <w:rPr>
          <w:rStyle w:val="FootnoteReference"/>
        </w:rPr>
        <w:footnoteRef/>
      </w:r>
      <w:r>
        <w:t xml:space="preserve"> In the event</w:t>
      </w:r>
      <w:r w:rsidRPr="004E61E4">
        <w:t xml:space="preserve"> total charges exceed $50,000, the Company and the law firm would engage in discussions to determine what changes, if any, would be appropriate.</w:t>
      </w:r>
    </w:p>
  </w:footnote>
  <w:footnote w:id="44">
    <w:p w:rsidR="00754973" w:rsidRDefault="00754973">
      <w:pPr>
        <w:pStyle w:val="FootnoteText"/>
      </w:pPr>
      <w:r>
        <w:rPr>
          <w:rStyle w:val="FootnoteReference"/>
        </w:rPr>
        <w:footnoteRef/>
      </w:r>
      <w:r>
        <w:t xml:space="preserve"> Order Nos. PSC-</w:t>
      </w:r>
      <w:r w:rsidRPr="00642B22">
        <w:t>04-1260-PAA-GU, issued De</w:t>
      </w:r>
      <w:r>
        <w:t xml:space="preserve">cember 20, 2004, in Docket No. </w:t>
      </w:r>
      <w:r w:rsidRPr="00642B22">
        <w:t xml:space="preserve">040270-GU, </w:t>
      </w:r>
      <w:r w:rsidRPr="00113C9D">
        <w:rPr>
          <w:i/>
        </w:rPr>
        <w:t>In re: Application for rate increase by Sebring Gas System, Inc.</w:t>
      </w:r>
      <w:r w:rsidRPr="00642B22">
        <w:t xml:space="preserve"> and PSC-04-0565-PAA-GU, issued June 2, 2004, in Docket No. 20030954-GU, </w:t>
      </w:r>
      <w:r w:rsidRPr="00113C9D">
        <w:rPr>
          <w:i/>
        </w:rPr>
        <w:t>In re: Petition for rate increase by Indiantown Gas Company.</w:t>
      </w:r>
    </w:p>
  </w:footnote>
  <w:footnote w:id="45">
    <w:p w:rsidR="00754973" w:rsidRDefault="00754973">
      <w:pPr>
        <w:pStyle w:val="FootnoteText"/>
      </w:pPr>
      <w:r>
        <w:rPr>
          <w:rStyle w:val="FootnoteReference"/>
        </w:rPr>
        <w:footnoteRef/>
      </w:r>
      <w:r>
        <w:t xml:space="preserve"> </w:t>
      </w:r>
      <w:r w:rsidRPr="00555042">
        <w:t>Document No. 10856-2019</w:t>
      </w:r>
      <w:r>
        <w:t>, Revised MFR Schedule G-2, p. 23.</w:t>
      </w:r>
    </w:p>
  </w:footnote>
  <w:footnote w:id="46">
    <w:p w:rsidR="00754973" w:rsidRDefault="00754973">
      <w:pPr>
        <w:pStyle w:val="FootnoteText"/>
      </w:pPr>
      <w:r>
        <w:rPr>
          <w:rStyle w:val="FootnoteReference"/>
        </w:rPr>
        <w:footnoteRef/>
      </w:r>
      <w:r>
        <w:t xml:space="preserve"> </w:t>
      </w:r>
      <w:r w:rsidRPr="00555042">
        <w:t>Document No. 08949-2019</w:t>
      </w:r>
      <w:r>
        <w:t>, Staff’s Audit Report.</w:t>
      </w:r>
    </w:p>
  </w:footnote>
  <w:footnote w:id="47">
    <w:p w:rsidR="00754973" w:rsidRDefault="00754973">
      <w:pPr>
        <w:pStyle w:val="FootnoteText"/>
      </w:pPr>
      <w:r>
        <w:rPr>
          <w:rStyle w:val="FootnoteReference"/>
        </w:rPr>
        <w:footnoteRef/>
      </w:r>
      <w:r>
        <w:t xml:space="preserve"> </w:t>
      </w:r>
      <w:r w:rsidRPr="00555042">
        <w:t xml:space="preserve">Order No. PSC-16-0574-PAA-GU, issued December 19, 2016, in Docket No. </w:t>
      </w:r>
      <w:r>
        <w:t>20</w:t>
      </w:r>
      <w:r w:rsidRPr="00555042">
        <w:t xml:space="preserve">160174-GU, </w:t>
      </w:r>
      <w:r w:rsidRPr="00F45EB3">
        <w:rPr>
          <w:i/>
        </w:rPr>
        <w:t>In re: Request for approval of 2016 depreciation study by Sebring Gas System, Inc.</w:t>
      </w:r>
    </w:p>
  </w:footnote>
  <w:footnote w:id="48">
    <w:p w:rsidR="00754973" w:rsidRDefault="00754973">
      <w:pPr>
        <w:pStyle w:val="FootnoteText"/>
      </w:pPr>
      <w:r>
        <w:rPr>
          <w:rStyle w:val="FootnoteReference"/>
        </w:rPr>
        <w:footnoteRef/>
      </w:r>
      <w:r>
        <w:t xml:space="preserve"> </w:t>
      </w:r>
      <w:r w:rsidRPr="00152807">
        <w:t xml:space="preserve">Document No. 11050-2019, </w:t>
      </w:r>
      <w:r>
        <w:t>Sebring’s Responses to Staff’s Fourteenth Data Request.</w:t>
      </w:r>
    </w:p>
  </w:footnote>
  <w:footnote w:id="49">
    <w:p w:rsidR="00754973" w:rsidRDefault="00754973">
      <w:pPr>
        <w:pStyle w:val="FootnoteText"/>
      </w:pPr>
      <w:r>
        <w:rPr>
          <w:rStyle w:val="FootnoteReference"/>
        </w:rPr>
        <w:footnoteRef/>
      </w:r>
      <w:r>
        <w:t xml:space="preserve"> </w:t>
      </w:r>
      <w:r w:rsidRPr="00CA3B6F">
        <w:t>D</w:t>
      </w:r>
      <w:r>
        <w:t xml:space="preserve">ocument </w:t>
      </w:r>
      <w:r w:rsidRPr="00CA3B6F">
        <w:t>N</w:t>
      </w:r>
      <w:r>
        <w:t>o.</w:t>
      </w:r>
      <w:r w:rsidRPr="00CA3B6F">
        <w:t xml:space="preserve"> 11050-2019</w:t>
      </w:r>
      <w:r>
        <w:t xml:space="preserve">, Revised </w:t>
      </w:r>
      <w:r w:rsidRPr="00CA3B6F">
        <w:t>MFR Schedule H-3, p</w:t>
      </w:r>
      <w:r>
        <w:t>.</w:t>
      </w:r>
      <w:r w:rsidRPr="00CA3B6F">
        <w:t xml:space="preserve"> 5</w:t>
      </w:r>
      <w:r>
        <w:t>.</w:t>
      </w:r>
    </w:p>
  </w:footnote>
  <w:footnote w:id="50">
    <w:p w:rsidR="00754973" w:rsidRDefault="00754973">
      <w:pPr>
        <w:pStyle w:val="FootnoteText"/>
      </w:pPr>
      <w:r>
        <w:rPr>
          <w:rStyle w:val="FootnoteReference"/>
        </w:rPr>
        <w:footnoteRef/>
      </w:r>
      <w:r>
        <w:t xml:space="preserve"> $1,411,514 = $1,171,865 (Issue 3) + $239,647 (Issue 24)</w:t>
      </w:r>
    </w:p>
  </w:footnote>
  <w:footnote w:id="51">
    <w:p w:rsidR="00754973" w:rsidRDefault="00754973">
      <w:pPr>
        <w:pStyle w:val="FootnoteText"/>
      </w:pPr>
      <w:r>
        <w:rPr>
          <w:rStyle w:val="FootnoteReference"/>
        </w:rPr>
        <w:footnoteRef/>
      </w:r>
      <w:r>
        <w:t xml:space="preserve"> </w:t>
      </w:r>
      <w:r w:rsidRPr="00633D45">
        <w:t>D</w:t>
      </w:r>
      <w:r>
        <w:t xml:space="preserve">ocument </w:t>
      </w:r>
      <w:r w:rsidRPr="00633D45">
        <w:t>N</w:t>
      </w:r>
      <w:r>
        <w:t>o.</w:t>
      </w:r>
      <w:r w:rsidRPr="00633D45">
        <w:t xml:space="preserve"> 04736-2019</w:t>
      </w:r>
      <w:r>
        <w:t xml:space="preserve">, </w:t>
      </w:r>
      <w:r w:rsidRPr="00633D45">
        <w:t xml:space="preserve">Direct </w:t>
      </w:r>
      <w:r>
        <w:t>T</w:t>
      </w:r>
      <w:r w:rsidRPr="00633D45">
        <w:t>estimony of Bruce Christmas</w:t>
      </w:r>
      <w:r>
        <w:t>, pp. 18-20.</w:t>
      </w:r>
    </w:p>
  </w:footnote>
  <w:footnote w:id="52">
    <w:p w:rsidR="00754973" w:rsidRDefault="00754973">
      <w:pPr>
        <w:pStyle w:val="FootnoteText"/>
      </w:pPr>
      <w:r>
        <w:rPr>
          <w:rStyle w:val="FootnoteReference"/>
        </w:rPr>
        <w:footnoteRef/>
      </w:r>
      <w:r>
        <w:t xml:space="preserve"> </w:t>
      </w:r>
      <w:r w:rsidRPr="00633D45">
        <w:t>D</w:t>
      </w:r>
      <w:r>
        <w:t xml:space="preserve">ocument </w:t>
      </w:r>
      <w:r w:rsidRPr="00633D45">
        <w:t>N</w:t>
      </w:r>
      <w:r>
        <w:t>o.</w:t>
      </w:r>
      <w:r w:rsidRPr="00633D45">
        <w:t xml:space="preserve"> 09451-2019</w:t>
      </w:r>
      <w:r>
        <w:t>, Sebring’s Responses to Staff’s Tenth Data</w:t>
      </w:r>
      <w:r w:rsidR="00206F07">
        <w:t xml:space="preserve"> Request</w:t>
      </w:r>
      <w:r>
        <w:t>.</w:t>
      </w:r>
    </w:p>
  </w:footnote>
  <w:footnote w:id="53">
    <w:p w:rsidR="00754973" w:rsidRDefault="00754973">
      <w:pPr>
        <w:pStyle w:val="FootnoteText"/>
      </w:pPr>
      <w:r>
        <w:rPr>
          <w:rStyle w:val="FootnoteReference"/>
        </w:rPr>
        <w:footnoteRef/>
      </w:r>
      <w:r>
        <w:t xml:space="preserve"> Document No. </w:t>
      </w:r>
      <w:r w:rsidRPr="00633D45">
        <w:t>09001-2019</w:t>
      </w:r>
      <w:r>
        <w:t xml:space="preserve">, </w:t>
      </w:r>
      <w:r w:rsidR="001C36CF">
        <w:t>Sebring’s Response</w:t>
      </w:r>
      <w:r w:rsidR="00206F07">
        <w:t>s</w:t>
      </w:r>
      <w:r w:rsidR="001C36CF">
        <w:t xml:space="preserve"> to Staff’s Ninth Data Request, b</w:t>
      </w:r>
      <w:r w:rsidRPr="00633D45">
        <w:t>ased on actual monthly customer therm usage in the 2018 Historic Base Year</w:t>
      </w:r>
      <w:r>
        <w:t>.</w:t>
      </w:r>
    </w:p>
  </w:footnote>
  <w:footnote w:id="54">
    <w:p w:rsidR="00754973" w:rsidRDefault="00754973">
      <w:pPr>
        <w:pStyle w:val="FootnoteText"/>
      </w:pPr>
      <w:r>
        <w:rPr>
          <w:rStyle w:val="FootnoteReference"/>
        </w:rPr>
        <w:footnoteRef/>
      </w:r>
      <w:r>
        <w:t xml:space="preserve"> Order No. PSC-</w:t>
      </w:r>
      <w:r w:rsidRPr="00633D45">
        <w:t>04-1260-PAA-GU, issued December 20, 2004</w:t>
      </w:r>
      <w:r>
        <w:t xml:space="preserve">, </w:t>
      </w:r>
      <w:r w:rsidR="00C3402A">
        <w:t xml:space="preserve">in </w:t>
      </w:r>
      <w:r w:rsidRPr="00633D45">
        <w:t xml:space="preserve">Docket No. 20040270-GU, </w:t>
      </w:r>
      <w:r w:rsidRPr="001651AB">
        <w:rPr>
          <w:i/>
        </w:rPr>
        <w:t>In re: Application for rate increase by Sebring Gas System, Inc.</w:t>
      </w:r>
    </w:p>
  </w:footnote>
  <w:footnote w:id="55">
    <w:p w:rsidR="00754973" w:rsidRDefault="00754973">
      <w:pPr>
        <w:pStyle w:val="FootnoteText"/>
      </w:pPr>
      <w:r>
        <w:rPr>
          <w:rStyle w:val="FootnoteReference"/>
        </w:rPr>
        <w:footnoteRef/>
      </w:r>
      <w:r>
        <w:t xml:space="preserve"> Order No. PSC-</w:t>
      </w:r>
      <w:r w:rsidRPr="00633D45">
        <w:t>10-0029-PAA-GU, issued January 14, 2010</w:t>
      </w:r>
      <w:r>
        <w:t xml:space="preserve">, </w:t>
      </w:r>
      <w:r w:rsidR="00C3402A">
        <w:t xml:space="preserve">in </w:t>
      </w:r>
      <w:r w:rsidRPr="00633D45">
        <w:t xml:space="preserve">Docket No. 20090125-GU, </w:t>
      </w:r>
      <w:r w:rsidRPr="001651AB">
        <w:rPr>
          <w:i/>
        </w:rPr>
        <w:t>In re: Petition for increase in rates by Florida Division of Chesapeake Utilities Corporation</w:t>
      </w:r>
      <w:r>
        <w:t>.</w:t>
      </w:r>
    </w:p>
  </w:footnote>
  <w:footnote w:id="56">
    <w:p w:rsidR="00754973" w:rsidRDefault="00754973">
      <w:pPr>
        <w:pStyle w:val="FootnoteText"/>
      </w:pPr>
      <w:r>
        <w:rPr>
          <w:rStyle w:val="FootnoteReference"/>
        </w:rPr>
        <w:footnoteRef/>
      </w:r>
      <w:r>
        <w:t xml:space="preserve"> Order No. PSC-</w:t>
      </w:r>
      <w:r w:rsidRPr="00633D45">
        <w:t>08-0436-PAA-GU, issued July 8, 2008</w:t>
      </w:r>
      <w:r>
        <w:t xml:space="preserve">, </w:t>
      </w:r>
      <w:r w:rsidR="00C3402A">
        <w:t xml:space="preserve">in </w:t>
      </w:r>
      <w:r w:rsidRPr="00633D45">
        <w:t xml:space="preserve">Docket No. 20070592-GU, </w:t>
      </w:r>
      <w:r w:rsidRPr="001651AB">
        <w:rPr>
          <w:i/>
        </w:rPr>
        <w:t>In re: Petition for rate increase by St. Joe Natural Gas Company,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73" w:rsidRDefault="00754973" w:rsidP="00220732">
    <w:pPr>
      <w:pStyle w:val="Header"/>
      <w:tabs>
        <w:tab w:val="clear" w:pos="4320"/>
        <w:tab w:val="clear" w:pos="8640"/>
        <w:tab w:val="right" w:pos="9360"/>
      </w:tabs>
    </w:pPr>
    <w:bookmarkStart w:id="11" w:name="DocketLabel"/>
    <w:r>
      <w:t>Docket No.</w:t>
    </w:r>
    <w:bookmarkEnd w:id="11"/>
    <w:r>
      <w:t xml:space="preserve"> </w:t>
    </w:r>
    <w:bookmarkStart w:id="12" w:name="DocketList"/>
    <w:r>
      <w:t>20190083-GU</w:t>
    </w:r>
    <w:bookmarkEnd w:id="12"/>
  </w:p>
  <w:p w:rsidR="00754973" w:rsidRDefault="00754973">
    <w:pPr>
      <w:pStyle w:val="Header"/>
    </w:pPr>
    <w:r>
      <w:t>Date: January 2, 2020</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73" w:rsidRDefault="00754973" w:rsidP="00220732">
    <w:pPr>
      <w:pStyle w:val="Header"/>
      <w:tabs>
        <w:tab w:val="clear" w:pos="4320"/>
        <w:tab w:val="clear" w:pos="8640"/>
        <w:tab w:val="right" w:pos="9360"/>
      </w:tabs>
    </w:pPr>
    <w:r>
      <w:fldChar w:fldCharType="begin"/>
    </w:r>
    <w:r>
      <w:instrText xml:space="preserve"> REF DocketLabel</w:instrText>
    </w:r>
    <w:r>
      <w:fldChar w:fldCharType="separate"/>
    </w:r>
    <w:r w:rsidR="005A792F">
      <w:t>Docket No.</w:t>
    </w:r>
    <w:r>
      <w:fldChar w:fldCharType="end"/>
    </w:r>
    <w:r>
      <w:t xml:space="preserve"> </w:t>
    </w:r>
    <w:r>
      <w:fldChar w:fldCharType="begin"/>
    </w:r>
    <w:r>
      <w:instrText xml:space="preserve"> REF DocketList</w:instrText>
    </w:r>
    <w:r>
      <w:fldChar w:fldCharType="separate"/>
    </w:r>
    <w:r w:rsidR="005A792F">
      <w:t>20190083-GU</w:t>
    </w:r>
    <w:r>
      <w:fldChar w:fldCharType="end"/>
    </w:r>
    <w:r>
      <w:tab/>
    </w:r>
    <w:r>
      <w:tab/>
    </w:r>
    <w:r>
      <w:tab/>
      <w:t xml:space="preserve">         Schedule No. 2</w:t>
    </w:r>
  </w:p>
  <w:p w:rsidR="00754973" w:rsidRDefault="00754973">
    <w:pPr>
      <w:pStyle w:val="Header"/>
    </w:pPr>
    <w:r>
      <w:t>Date: January 2, 2020</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73" w:rsidRDefault="00754973">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73" w:rsidRDefault="00754973">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73" w:rsidRDefault="00754973" w:rsidP="00220732">
    <w:pPr>
      <w:pStyle w:val="Header"/>
      <w:tabs>
        <w:tab w:val="clear" w:pos="4320"/>
        <w:tab w:val="clear" w:pos="8640"/>
        <w:tab w:val="right" w:pos="9360"/>
      </w:tabs>
    </w:pPr>
    <w:r>
      <w:fldChar w:fldCharType="begin"/>
    </w:r>
    <w:r>
      <w:instrText xml:space="preserve"> REF DocketLabel</w:instrText>
    </w:r>
    <w:r>
      <w:fldChar w:fldCharType="separate"/>
    </w:r>
    <w:r w:rsidR="005A792F">
      <w:t>Docket No.</w:t>
    </w:r>
    <w:r>
      <w:fldChar w:fldCharType="end"/>
    </w:r>
    <w:r>
      <w:t xml:space="preserve"> </w:t>
    </w:r>
    <w:r>
      <w:fldChar w:fldCharType="begin"/>
    </w:r>
    <w:r>
      <w:instrText xml:space="preserve"> REF DocketList</w:instrText>
    </w:r>
    <w:r>
      <w:fldChar w:fldCharType="separate"/>
    </w:r>
    <w:r w:rsidR="005A792F">
      <w:t>20190083-GU</w:t>
    </w:r>
    <w:r>
      <w:fldChar w:fldCharType="end"/>
    </w:r>
    <w:r>
      <w:tab/>
      <w:t>Schedule No. 3</w:t>
    </w:r>
  </w:p>
  <w:p w:rsidR="00754973" w:rsidRDefault="00754973">
    <w:pPr>
      <w:pStyle w:val="Header"/>
    </w:pPr>
    <w:r>
      <w:t>Date: January 2, 2020</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73" w:rsidRDefault="00754973">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ECA" w:rsidRDefault="00A40ECA" w:rsidP="00220732">
    <w:pPr>
      <w:pStyle w:val="Header"/>
      <w:tabs>
        <w:tab w:val="clear" w:pos="4320"/>
        <w:tab w:val="clear" w:pos="8640"/>
        <w:tab w:val="right" w:pos="9360"/>
      </w:tabs>
    </w:pPr>
    <w:r>
      <w:fldChar w:fldCharType="begin"/>
    </w:r>
    <w:r>
      <w:instrText xml:space="preserve"> REF DocketLabel</w:instrText>
    </w:r>
    <w:r>
      <w:fldChar w:fldCharType="separate"/>
    </w:r>
    <w:r w:rsidR="005A792F">
      <w:t>Docket No.</w:t>
    </w:r>
    <w:r>
      <w:fldChar w:fldCharType="end"/>
    </w:r>
    <w:r>
      <w:t xml:space="preserve"> </w:t>
    </w:r>
    <w:r>
      <w:fldChar w:fldCharType="begin"/>
    </w:r>
    <w:r>
      <w:instrText xml:space="preserve"> REF DocketList</w:instrText>
    </w:r>
    <w:r>
      <w:fldChar w:fldCharType="separate"/>
    </w:r>
    <w:r w:rsidR="005A792F">
      <w:t>20190083-GU</w:t>
    </w:r>
    <w:r>
      <w:fldChar w:fldCharType="end"/>
    </w:r>
    <w:r>
      <w:tab/>
      <w:t>Schedule No. 4</w:t>
    </w:r>
  </w:p>
  <w:p w:rsidR="00A40ECA" w:rsidRDefault="00A40ECA">
    <w:pPr>
      <w:pStyle w:val="Header"/>
    </w:pPr>
    <w:r>
      <w:t>Date: January 2, 2020</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73" w:rsidRDefault="00754973">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73" w:rsidRDefault="00754973" w:rsidP="00220732">
    <w:pPr>
      <w:pStyle w:val="Header"/>
      <w:tabs>
        <w:tab w:val="clear" w:pos="4320"/>
        <w:tab w:val="clear" w:pos="8640"/>
        <w:tab w:val="right" w:pos="9360"/>
      </w:tabs>
    </w:pPr>
    <w:r>
      <w:fldChar w:fldCharType="begin"/>
    </w:r>
    <w:r>
      <w:instrText xml:space="preserve"> REF DocketLabel</w:instrText>
    </w:r>
    <w:r>
      <w:fldChar w:fldCharType="separate"/>
    </w:r>
    <w:r w:rsidR="005A792F">
      <w:t>Docket No.</w:t>
    </w:r>
    <w:r>
      <w:fldChar w:fldCharType="end"/>
    </w:r>
    <w:r>
      <w:t xml:space="preserve"> </w:t>
    </w:r>
    <w:r>
      <w:fldChar w:fldCharType="begin"/>
    </w:r>
    <w:r>
      <w:instrText xml:space="preserve"> REF DocketList</w:instrText>
    </w:r>
    <w:r>
      <w:fldChar w:fldCharType="separate"/>
    </w:r>
    <w:r w:rsidR="005A792F">
      <w:t>20190083-GU</w:t>
    </w:r>
    <w:r>
      <w:fldChar w:fldCharType="end"/>
    </w:r>
    <w:r>
      <w:tab/>
      <w:t>Schedule No. 5</w:t>
    </w:r>
  </w:p>
  <w:p w:rsidR="00754973" w:rsidRDefault="00754973">
    <w:pPr>
      <w:pStyle w:val="Header"/>
    </w:pPr>
    <w:r>
      <w:t>Date: January 2, 2020</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73" w:rsidRDefault="00754973">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73" w:rsidRDefault="007549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73" w:rsidRDefault="00754973">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73" w:rsidRDefault="00754973" w:rsidP="00D846AD">
    <w:pPr>
      <w:pStyle w:val="Header"/>
      <w:tabs>
        <w:tab w:val="clear" w:pos="4320"/>
        <w:tab w:val="clear" w:pos="8640"/>
        <w:tab w:val="right" w:pos="9360"/>
      </w:tabs>
      <w:jc w:val="left"/>
    </w:pPr>
    <w:r>
      <w:fldChar w:fldCharType="begin"/>
    </w:r>
    <w:r>
      <w:instrText xml:space="preserve"> REF DocketLabel</w:instrText>
    </w:r>
    <w:r>
      <w:fldChar w:fldCharType="separate"/>
    </w:r>
    <w:r w:rsidR="005A792F">
      <w:t>Docket No.</w:t>
    </w:r>
    <w:r>
      <w:fldChar w:fldCharType="end"/>
    </w:r>
    <w:r>
      <w:t xml:space="preserve"> </w:t>
    </w:r>
    <w:r>
      <w:fldChar w:fldCharType="begin"/>
    </w:r>
    <w:r>
      <w:instrText xml:space="preserve"> REF DocketList</w:instrText>
    </w:r>
    <w:r>
      <w:fldChar w:fldCharType="separate"/>
    </w:r>
    <w:r w:rsidR="005A792F">
      <w:t>20190083-GU</w:t>
    </w:r>
    <w:r>
      <w:fldChar w:fldCharType="end"/>
    </w:r>
    <w:r>
      <w:tab/>
    </w:r>
    <w:r w:rsidR="00C73DB6">
      <w:t>Schedule No. 6</w:t>
    </w:r>
  </w:p>
  <w:p w:rsidR="00754973" w:rsidRDefault="00754973" w:rsidP="008C22F3">
    <w:pPr>
      <w:pStyle w:val="Header"/>
      <w:tabs>
        <w:tab w:val="clear" w:pos="4320"/>
        <w:tab w:val="clear" w:pos="8640"/>
        <w:tab w:val="right" w:pos="12780"/>
      </w:tabs>
    </w:pPr>
    <w:r>
      <w:t>Date: January 2, 2020</w:t>
    </w:r>
    <w:r>
      <w:tab/>
      <w:t xml:space="preserve">Page </w:t>
    </w:r>
    <w:r>
      <w:fldChar w:fldCharType="begin"/>
    </w:r>
    <w:r>
      <w:instrText xml:space="preserve"> PAGE  \* Arabic  \* MERGEFORMAT </w:instrText>
    </w:r>
    <w:r>
      <w:fldChar w:fldCharType="separate"/>
    </w:r>
    <w:r w:rsidR="00B62869">
      <w:rPr>
        <w:noProof/>
      </w:rPr>
      <w:t>52</w:t>
    </w:r>
    <w:r>
      <w:fldChar w:fldCharType="end"/>
    </w:r>
    <w:r>
      <w:t xml:space="preserve"> of </w:t>
    </w:r>
    <w:fldSimple w:instr=" SECTIONPAGES   \* MERGEFORMAT ">
      <w:r w:rsidR="00B62869">
        <w:rPr>
          <w:noProof/>
        </w:rPr>
        <w:t>1</w:t>
      </w:r>
    </w:fldSimple>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73" w:rsidRDefault="00754973">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DB6" w:rsidRDefault="00C73DB6" w:rsidP="00D846AD">
    <w:pPr>
      <w:pStyle w:val="Header"/>
      <w:tabs>
        <w:tab w:val="clear" w:pos="4320"/>
        <w:tab w:val="clear" w:pos="8640"/>
        <w:tab w:val="right" w:pos="9360"/>
      </w:tabs>
      <w:jc w:val="left"/>
    </w:pPr>
    <w:r>
      <w:fldChar w:fldCharType="begin"/>
    </w:r>
    <w:r>
      <w:instrText xml:space="preserve"> REF DocketLabel</w:instrText>
    </w:r>
    <w:r>
      <w:fldChar w:fldCharType="separate"/>
    </w:r>
    <w:r w:rsidR="005A792F">
      <w:t>Docket No.</w:t>
    </w:r>
    <w:r>
      <w:fldChar w:fldCharType="end"/>
    </w:r>
    <w:r>
      <w:t xml:space="preserve"> </w:t>
    </w:r>
    <w:r>
      <w:fldChar w:fldCharType="begin"/>
    </w:r>
    <w:r>
      <w:instrText xml:space="preserve"> REF DocketList</w:instrText>
    </w:r>
    <w:r>
      <w:fldChar w:fldCharType="separate"/>
    </w:r>
    <w:r w:rsidR="005A792F">
      <w:t>20190083-GU</w:t>
    </w:r>
    <w:r>
      <w:fldChar w:fldCharType="end"/>
    </w:r>
    <w:r>
      <w:tab/>
    </w:r>
    <w:r>
      <w:tab/>
    </w:r>
    <w:r>
      <w:tab/>
      <w:t xml:space="preserve">           Attachment A</w:t>
    </w:r>
  </w:p>
  <w:p w:rsidR="00C73DB6" w:rsidRDefault="00C73DB6" w:rsidP="008C22F3">
    <w:pPr>
      <w:pStyle w:val="Header"/>
      <w:tabs>
        <w:tab w:val="clear" w:pos="4320"/>
        <w:tab w:val="clear" w:pos="8640"/>
        <w:tab w:val="right" w:pos="12780"/>
      </w:tabs>
    </w:pPr>
    <w:r>
      <w:t>Date: January 2, 2020</w:t>
    </w:r>
    <w:r>
      <w:tab/>
      <w:t xml:space="preserve">Page </w:t>
    </w:r>
    <w:r>
      <w:fldChar w:fldCharType="begin"/>
    </w:r>
    <w:r>
      <w:instrText xml:space="preserve"> PAGE  \* Arabic  \* MERGEFORMAT </w:instrText>
    </w:r>
    <w:r>
      <w:fldChar w:fldCharType="separate"/>
    </w:r>
    <w:r w:rsidR="00B62869">
      <w:rPr>
        <w:noProof/>
      </w:rPr>
      <w:t>13</w:t>
    </w:r>
    <w:r>
      <w:fldChar w:fldCharType="end"/>
    </w:r>
    <w:r>
      <w:t xml:space="preserve"> of </w:t>
    </w:r>
    <w:fldSimple w:instr=" SECTIONPAGES   \* MERGEFORMAT ">
      <w:r w:rsidR="00B62869">
        <w:rPr>
          <w:noProof/>
        </w:rPr>
        <w:t>13</w:t>
      </w:r>
    </w:fldSimple>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73" w:rsidRDefault="00754973">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73" w:rsidRDefault="00754973" w:rsidP="00220732">
    <w:pPr>
      <w:pStyle w:val="Header"/>
      <w:tabs>
        <w:tab w:val="clear" w:pos="4320"/>
        <w:tab w:val="clear" w:pos="8640"/>
        <w:tab w:val="right" w:pos="9360"/>
      </w:tabs>
    </w:pPr>
    <w:r>
      <w:fldChar w:fldCharType="begin"/>
    </w:r>
    <w:r>
      <w:instrText xml:space="preserve"> REF DocketLabel</w:instrText>
    </w:r>
    <w:r>
      <w:fldChar w:fldCharType="separate"/>
    </w:r>
    <w:r w:rsidR="005A792F">
      <w:t>Docket No.</w:t>
    </w:r>
    <w:r>
      <w:fldChar w:fldCharType="end"/>
    </w:r>
    <w:r>
      <w:t xml:space="preserve"> </w:t>
    </w:r>
    <w:r>
      <w:fldChar w:fldCharType="begin"/>
    </w:r>
    <w:r>
      <w:instrText xml:space="preserve"> REF DocketList</w:instrText>
    </w:r>
    <w:r>
      <w:fldChar w:fldCharType="separate"/>
    </w:r>
    <w:r w:rsidR="005A792F">
      <w:t>20190083-GU</w:t>
    </w:r>
    <w:r>
      <w:fldChar w:fldCharType="end"/>
    </w:r>
    <w:r>
      <w:tab/>
    </w:r>
    <w:r w:rsidR="008612C4">
      <w:t>Attachment B</w:t>
    </w:r>
  </w:p>
  <w:p w:rsidR="00754973" w:rsidRDefault="00754973" w:rsidP="00716F30">
    <w:pPr>
      <w:pStyle w:val="Header"/>
      <w:tabs>
        <w:tab w:val="clear" w:pos="8640"/>
        <w:tab w:val="left" w:pos="3570"/>
        <w:tab w:val="right" w:pos="9360"/>
      </w:tabs>
    </w:pPr>
    <w:r>
      <w:t>Date: January 2, 2020</w:t>
    </w:r>
    <w:r w:rsidR="00716F30">
      <w:t xml:space="preserve">  </w:t>
    </w:r>
    <w:r w:rsidR="00716F30">
      <w:tab/>
    </w:r>
    <w:r w:rsidR="00716F30">
      <w:tab/>
    </w:r>
    <w:r w:rsidR="00716F30">
      <w:tab/>
      <w:t xml:space="preserve">Page </w:t>
    </w:r>
    <w:r w:rsidR="00716F30">
      <w:fldChar w:fldCharType="begin"/>
    </w:r>
    <w:r w:rsidR="00716F30">
      <w:instrText xml:space="preserve"> PAGE  \* Arabic  \* MERGEFORMAT </w:instrText>
    </w:r>
    <w:r w:rsidR="00716F30">
      <w:fldChar w:fldCharType="separate"/>
    </w:r>
    <w:r w:rsidR="00B62869">
      <w:rPr>
        <w:noProof/>
      </w:rPr>
      <w:t>5</w:t>
    </w:r>
    <w:r w:rsidR="00716F30">
      <w:fldChar w:fldCharType="end"/>
    </w:r>
    <w:r w:rsidR="00716F30">
      <w:t xml:space="preserve"> of </w:t>
    </w:r>
    <w:r w:rsidR="003444B0">
      <w:fldChar w:fldCharType="begin"/>
    </w:r>
    <w:r w:rsidR="003444B0">
      <w:instrText xml:space="preserve"> SECTIONPAGES   \* MERGEFORMAT </w:instrText>
    </w:r>
    <w:r w:rsidR="003444B0">
      <w:fldChar w:fldCharType="separate"/>
    </w:r>
    <w:r w:rsidR="00B62869">
      <w:rPr>
        <w:noProof/>
      </w:rPr>
      <w:t>5</w:t>
    </w:r>
    <w:r w:rsidR="003444B0">
      <w:rPr>
        <w:noProof/>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73" w:rsidRDefault="007549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73" w:rsidRDefault="00754973" w:rsidP="00220732">
    <w:pPr>
      <w:pStyle w:val="Header"/>
      <w:tabs>
        <w:tab w:val="clear" w:pos="4320"/>
        <w:tab w:val="clear" w:pos="8640"/>
        <w:tab w:val="right" w:pos="9360"/>
      </w:tabs>
    </w:pPr>
    <w:r>
      <w:fldChar w:fldCharType="begin"/>
    </w:r>
    <w:r>
      <w:instrText xml:space="preserve"> REF DocketLabel</w:instrText>
    </w:r>
    <w:r>
      <w:fldChar w:fldCharType="separate"/>
    </w:r>
    <w:r w:rsidR="005A792F">
      <w:t>Docket No.</w:t>
    </w:r>
    <w:r>
      <w:fldChar w:fldCharType="end"/>
    </w:r>
    <w:r>
      <w:t xml:space="preserve"> </w:t>
    </w:r>
    <w:r>
      <w:fldChar w:fldCharType="begin"/>
    </w:r>
    <w:r>
      <w:instrText xml:space="preserve"> REF DocketList</w:instrText>
    </w:r>
    <w:r>
      <w:fldChar w:fldCharType="separate"/>
    </w:r>
    <w:r w:rsidR="005A792F">
      <w:t>20190083-GU</w:t>
    </w:r>
    <w:r>
      <w:fldChar w:fldCharType="end"/>
    </w:r>
    <w:r>
      <w:tab/>
      <w:t xml:space="preserve">Issue </w:t>
    </w:r>
    <w:fldSimple w:instr=" Seq Issue \c \* Arabic ">
      <w:r w:rsidR="00B62869">
        <w:rPr>
          <w:noProof/>
        </w:rPr>
        <w:t>30</w:t>
      </w:r>
    </w:fldSimple>
  </w:p>
  <w:p w:rsidR="00754973" w:rsidRDefault="00754973">
    <w:pPr>
      <w:pStyle w:val="Header"/>
    </w:pPr>
    <w:r>
      <w:t>Date: January 2, 2020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73" w:rsidRDefault="0075497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73" w:rsidRDefault="0075497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73" w:rsidRDefault="00754973" w:rsidP="00220732">
    <w:pPr>
      <w:pStyle w:val="Header"/>
      <w:tabs>
        <w:tab w:val="clear" w:pos="4320"/>
        <w:tab w:val="clear" w:pos="8640"/>
        <w:tab w:val="right" w:pos="9360"/>
      </w:tabs>
    </w:pPr>
    <w:r>
      <w:fldChar w:fldCharType="begin"/>
    </w:r>
    <w:r>
      <w:instrText xml:space="preserve"> REF DocketLabel</w:instrText>
    </w:r>
    <w:r>
      <w:fldChar w:fldCharType="separate"/>
    </w:r>
    <w:r w:rsidR="005A792F">
      <w:t>Docket No.</w:t>
    </w:r>
    <w:r>
      <w:fldChar w:fldCharType="end"/>
    </w:r>
    <w:r>
      <w:t xml:space="preserve"> </w:t>
    </w:r>
    <w:r>
      <w:fldChar w:fldCharType="begin"/>
    </w:r>
    <w:r>
      <w:instrText xml:space="preserve"> REF DocketList</w:instrText>
    </w:r>
    <w:r>
      <w:fldChar w:fldCharType="separate"/>
    </w:r>
    <w:r w:rsidR="005A792F">
      <w:t>20190083-GU</w:t>
    </w:r>
    <w:r>
      <w:fldChar w:fldCharType="end"/>
    </w:r>
    <w:r>
      <w:tab/>
      <w:t>Schedule No. 1A</w:t>
    </w:r>
  </w:p>
  <w:p w:rsidR="00754973" w:rsidRDefault="00754973">
    <w:pPr>
      <w:pStyle w:val="Header"/>
    </w:pPr>
    <w:r>
      <w:t>Date: January 2, 2020</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73" w:rsidRDefault="0075497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359" w:rsidRDefault="000A1359" w:rsidP="00220732">
    <w:pPr>
      <w:pStyle w:val="Header"/>
      <w:tabs>
        <w:tab w:val="clear" w:pos="4320"/>
        <w:tab w:val="clear" w:pos="8640"/>
        <w:tab w:val="right" w:pos="9360"/>
      </w:tabs>
    </w:pPr>
    <w:r>
      <w:fldChar w:fldCharType="begin"/>
    </w:r>
    <w:r>
      <w:instrText xml:space="preserve"> REF DocketLabel</w:instrText>
    </w:r>
    <w:r>
      <w:fldChar w:fldCharType="separate"/>
    </w:r>
    <w:r w:rsidR="005A792F">
      <w:t>Docket No.</w:t>
    </w:r>
    <w:r>
      <w:fldChar w:fldCharType="end"/>
    </w:r>
    <w:r>
      <w:t xml:space="preserve"> </w:t>
    </w:r>
    <w:r>
      <w:fldChar w:fldCharType="begin"/>
    </w:r>
    <w:r>
      <w:instrText xml:space="preserve"> REF DocketList</w:instrText>
    </w:r>
    <w:r>
      <w:fldChar w:fldCharType="separate"/>
    </w:r>
    <w:r w:rsidR="005A792F">
      <w:t>20190083-GU</w:t>
    </w:r>
    <w:r>
      <w:fldChar w:fldCharType="end"/>
    </w:r>
    <w:r>
      <w:tab/>
      <w:t>Schedule No. 1B</w:t>
    </w:r>
  </w:p>
  <w:p w:rsidR="000A1359" w:rsidRDefault="000A1359">
    <w:pPr>
      <w:pStyle w:val="Header"/>
    </w:pPr>
    <w:r>
      <w:t>Date: January 2, 2020</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73" w:rsidRDefault="007549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False"/>
    <w:docVar w:name="NumberOfIssues" w:val="0"/>
    <w:docVar w:name="StaffInToC" w:val="True"/>
  </w:docVars>
  <w:rsids>
    <w:rsidRoot w:val="00703A2C"/>
    <w:rsid w:val="000037F6"/>
    <w:rsid w:val="000043D5"/>
    <w:rsid w:val="00004A95"/>
    <w:rsid w:val="00006170"/>
    <w:rsid w:val="000066BE"/>
    <w:rsid w:val="00010E37"/>
    <w:rsid w:val="00016864"/>
    <w:rsid w:val="00016C99"/>
    <w:rsid w:val="000172DA"/>
    <w:rsid w:val="000204B4"/>
    <w:rsid w:val="00022B31"/>
    <w:rsid w:val="000247C5"/>
    <w:rsid w:val="00025CC3"/>
    <w:rsid w:val="000277C2"/>
    <w:rsid w:val="00027803"/>
    <w:rsid w:val="00030E63"/>
    <w:rsid w:val="000346F3"/>
    <w:rsid w:val="00035B48"/>
    <w:rsid w:val="00036CE2"/>
    <w:rsid w:val="000437FE"/>
    <w:rsid w:val="00043DEA"/>
    <w:rsid w:val="00044765"/>
    <w:rsid w:val="000513BE"/>
    <w:rsid w:val="00053567"/>
    <w:rsid w:val="00053B40"/>
    <w:rsid w:val="00055BF3"/>
    <w:rsid w:val="00065A06"/>
    <w:rsid w:val="000666F3"/>
    <w:rsid w:val="00070DCB"/>
    <w:rsid w:val="00072CCA"/>
    <w:rsid w:val="00073120"/>
    <w:rsid w:val="000735B1"/>
    <w:rsid w:val="0007453A"/>
    <w:rsid w:val="000764D0"/>
    <w:rsid w:val="000828D3"/>
    <w:rsid w:val="000847A7"/>
    <w:rsid w:val="00091C29"/>
    <w:rsid w:val="00097217"/>
    <w:rsid w:val="00097860"/>
    <w:rsid w:val="000A1359"/>
    <w:rsid w:val="000A2B57"/>
    <w:rsid w:val="000A3B05"/>
    <w:rsid w:val="000A418B"/>
    <w:rsid w:val="000A4DA8"/>
    <w:rsid w:val="000A6F69"/>
    <w:rsid w:val="000B37B6"/>
    <w:rsid w:val="000B67D8"/>
    <w:rsid w:val="000C06EB"/>
    <w:rsid w:val="000C4431"/>
    <w:rsid w:val="000C4732"/>
    <w:rsid w:val="000C5677"/>
    <w:rsid w:val="000C71D1"/>
    <w:rsid w:val="000D013A"/>
    <w:rsid w:val="000D1C06"/>
    <w:rsid w:val="000D1E4A"/>
    <w:rsid w:val="000D4319"/>
    <w:rsid w:val="000D4665"/>
    <w:rsid w:val="000D4C3E"/>
    <w:rsid w:val="000D5D8D"/>
    <w:rsid w:val="000E1F1A"/>
    <w:rsid w:val="000E5383"/>
    <w:rsid w:val="000F374A"/>
    <w:rsid w:val="000F471D"/>
    <w:rsid w:val="000F6FA3"/>
    <w:rsid w:val="000F73A9"/>
    <w:rsid w:val="000F7A56"/>
    <w:rsid w:val="00101281"/>
    <w:rsid w:val="00104C23"/>
    <w:rsid w:val="001076AF"/>
    <w:rsid w:val="00111773"/>
    <w:rsid w:val="00113C9D"/>
    <w:rsid w:val="00117C8C"/>
    <w:rsid w:val="00124C38"/>
    <w:rsid w:val="00124C53"/>
    <w:rsid w:val="00124E2E"/>
    <w:rsid w:val="00125ED4"/>
    <w:rsid w:val="0012624D"/>
    <w:rsid w:val="001262C9"/>
    <w:rsid w:val="001305E9"/>
    <w:rsid w:val="001307AF"/>
    <w:rsid w:val="00133516"/>
    <w:rsid w:val="00135687"/>
    <w:rsid w:val="0013727F"/>
    <w:rsid w:val="00143E12"/>
    <w:rsid w:val="0014486C"/>
    <w:rsid w:val="00144B99"/>
    <w:rsid w:val="00147F88"/>
    <w:rsid w:val="00152807"/>
    <w:rsid w:val="001533FB"/>
    <w:rsid w:val="0015506E"/>
    <w:rsid w:val="00163031"/>
    <w:rsid w:val="00164821"/>
    <w:rsid w:val="001651AB"/>
    <w:rsid w:val="0016637D"/>
    <w:rsid w:val="00167CCE"/>
    <w:rsid w:val="00171A90"/>
    <w:rsid w:val="0017480B"/>
    <w:rsid w:val="00176EC5"/>
    <w:rsid w:val="00180254"/>
    <w:rsid w:val="00186EF0"/>
    <w:rsid w:val="00191E1F"/>
    <w:rsid w:val="00192943"/>
    <w:rsid w:val="00194151"/>
    <w:rsid w:val="001A1996"/>
    <w:rsid w:val="001A3F54"/>
    <w:rsid w:val="001A7406"/>
    <w:rsid w:val="001A7543"/>
    <w:rsid w:val="001B4FEE"/>
    <w:rsid w:val="001B51C5"/>
    <w:rsid w:val="001B5675"/>
    <w:rsid w:val="001B6F3F"/>
    <w:rsid w:val="001C36CF"/>
    <w:rsid w:val="001C41E4"/>
    <w:rsid w:val="001C52B5"/>
    <w:rsid w:val="001D0776"/>
    <w:rsid w:val="001D0D3E"/>
    <w:rsid w:val="001D3BD6"/>
    <w:rsid w:val="001D7991"/>
    <w:rsid w:val="001E2820"/>
    <w:rsid w:val="001E3AFB"/>
    <w:rsid w:val="001E57DB"/>
    <w:rsid w:val="001E5B1E"/>
    <w:rsid w:val="001E6497"/>
    <w:rsid w:val="001F2245"/>
    <w:rsid w:val="001F2C63"/>
    <w:rsid w:val="001F432F"/>
    <w:rsid w:val="001F48C7"/>
    <w:rsid w:val="001F6DA1"/>
    <w:rsid w:val="00200BC2"/>
    <w:rsid w:val="002044E6"/>
    <w:rsid w:val="00205C82"/>
    <w:rsid w:val="00205DC2"/>
    <w:rsid w:val="00206F07"/>
    <w:rsid w:val="00211CCE"/>
    <w:rsid w:val="00212B17"/>
    <w:rsid w:val="00213CBB"/>
    <w:rsid w:val="002154D7"/>
    <w:rsid w:val="002163B6"/>
    <w:rsid w:val="00220732"/>
    <w:rsid w:val="00221D32"/>
    <w:rsid w:val="00224D4E"/>
    <w:rsid w:val="00225B92"/>
    <w:rsid w:val="00225C3F"/>
    <w:rsid w:val="00230418"/>
    <w:rsid w:val="00232FFB"/>
    <w:rsid w:val="002341D8"/>
    <w:rsid w:val="00236A74"/>
    <w:rsid w:val="002404D1"/>
    <w:rsid w:val="00240DBE"/>
    <w:rsid w:val="00240F45"/>
    <w:rsid w:val="00241179"/>
    <w:rsid w:val="00243F7A"/>
    <w:rsid w:val="00244F78"/>
    <w:rsid w:val="0024612B"/>
    <w:rsid w:val="002507D9"/>
    <w:rsid w:val="00252424"/>
    <w:rsid w:val="00255D0F"/>
    <w:rsid w:val="00257299"/>
    <w:rsid w:val="00263050"/>
    <w:rsid w:val="00263D44"/>
    <w:rsid w:val="00266DA9"/>
    <w:rsid w:val="002702AD"/>
    <w:rsid w:val="00272131"/>
    <w:rsid w:val="00282425"/>
    <w:rsid w:val="00282F16"/>
    <w:rsid w:val="00284F50"/>
    <w:rsid w:val="00292D82"/>
    <w:rsid w:val="00293AA9"/>
    <w:rsid w:val="002963CB"/>
    <w:rsid w:val="00296889"/>
    <w:rsid w:val="002969EC"/>
    <w:rsid w:val="002B1EED"/>
    <w:rsid w:val="002B4A01"/>
    <w:rsid w:val="002B63E3"/>
    <w:rsid w:val="002C3604"/>
    <w:rsid w:val="002C6B7F"/>
    <w:rsid w:val="002D226D"/>
    <w:rsid w:val="002D4720"/>
    <w:rsid w:val="002D5164"/>
    <w:rsid w:val="002D6AB6"/>
    <w:rsid w:val="002D6AF6"/>
    <w:rsid w:val="002E22C7"/>
    <w:rsid w:val="002E4026"/>
    <w:rsid w:val="002E4133"/>
    <w:rsid w:val="002F6030"/>
    <w:rsid w:val="00300DC4"/>
    <w:rsid w:val="003026C4"/>
    <w:rsid w:val="003037E1"/>
    <w:rsid w:val="00307D2F"/>
    <w:rsid w:val="00307D31"/>
    <w:rsid w:val="00307E51"/>
    <w:rsid w:val="003103EC"/>
    <w:rsid w:val="00312131"/>
    <w:rsid w:val="003144EF"/>
    <w:rsid w:val="00315420"/>
    <w:rsid w:val="00315836"/>
    <w:rsid w:val="00317087"/>
    <w:rsid w:val="00317D27"/>
    <w:rsid w:val="003202AC"/>
    <w:rsid w:val="0032033B"/>
    <w:rsid w:val="00322F74"/>
    <w:rsid w:val="0032461A"/>
    <w:rsid w:val="00333747"/>
    <w:rsid w:val="003346AF"/>
    <w:rsid w:val="00336DA5"/>
    <w:rsid w:val="00337DBB"/>
    <w:rsid w:val="00340073"/>
    <w:rsid w:val="00361AF0"/>
    <w:rsid w:val="00361BCB"/>
    <w:rsid w:val="003632FD"/>
    <w:rsid w:val="00371290"/>
    <w:rsid w:val="00372805"/>
    <w:rsid w:val="0037296C"/>
    <w:rsid w:val="003730F1"/>
    <w:rsid w:val="00373180"/>
    <w:rsid w:val="00375AB9"/>
    <w:rsid w:val="00376709"/>
    <w:rsid w:val="003821A0"/>
    <w:rsid w:val="00385B04"/>
    <w:rsid w:val="003864CF"/>
    <w:rsid w:val="00390073"/>
    <w:rsid w:val="0039453A"/>
    <w:rsid w:val="003948AE"/>
    <w:rsid w:val="003A22A6"/>
    <w:rsid w:val="003A5494"/>
    <w:rsid w:val="003B2510"/>
    <w:rsid w:val="003B2C98"/>
    <w:rsid w:val="003C1EF5"/>
    <w:rsid w:val="003C2CC4"/>
    <w:rsid w:val="003C3710"/>
    <w:rsid w:val="003C4305"/>
    <w:rsid w:val="003C4D9C"/>
    <w:rsid w:val="003C5916"/>
    <w:rsid w:val="003D1348"/>
    <w:rsid w:val="003D6361"/>
    <w:rsid w:val="003D7A53"/>
    <w:rsid w:val="003E0EFC"/>
    <w:rsid w:val="003E1F4E"/>
    <w:rsid w:val="003E284B"/>
    <w:rsid w:val="003E4A2B"/>
    <w:rsid w:val="003E5277"/>
    <w:rsid w:val="003E76C2"/>
    <w:rsid w:val="003F1679"/>
    <w:rsid w:val="003F21EB"/>
    <w:rsid w:val="003F4A35"/>
    <w:rsid w:val="003F6F4C"/>
    <w:rsid w:val="003F7FDD"/>
    <w:rsid w:val="00402481"/>
    <w:rsid w:val="004035AB"/>
    <w:rsid w:val="004042B4"/>
    <w:rsid w:val="00410DC4"/>
    <w:rsid w:val="00412DAE"/>
    <w:rsid w:val="00412FDD"/>
    <w:rsid w:val="00415DB8"/>
    <w:rsid w:val="00422A07"/>
    <w:rsid w:val="00423B65"/>
    <w:rsid w:val="00423D8A"/>
    <w:rsid w:val="004242E6"/>
    <w:rsid w:val="00426087"/>
    <w:rsid w:val="00431587"/>
    <w:rsid w:val="00431598"/>
    <w:rsid w:val="004319AD"/>
    <w:rsid w:val="00433C8C"/>
    <w:rsid w:val="00441F15"/>
    <w:rsid w:val="004426B8"/>
    <w:rsid w:val="004434D8"/>
    <w:rsid w:val="00444432"/>
    <w:rsid w:val="00447136"/>
    <w:rsid w:val="00447F44"/>
    <w:rsid w:val="00453481"/>
    <w:rsid w:val="00457873"/>
    <w:rsid w:val="00463DC7"/>
    <w:rsid w:val="00471860"/>
    <w:rsid w:val="004726A3"/>
    <w:rsid w:val="004726B9"/>
    <w:rsid w:val="00473270"/>
    <w:rsid w:val="0047493C"/>
    <w:rsid w:val="00474C6A"/>
    <w:rsid w:val="00475FC7"/>
    <w:rsid w:val="0047647B"/>
    <w:rsid w:val="00476D01"/>
    <w:rsid w:val="00477026"/>
    <w:rsid w:val="00481174"/>
    <w:rsid w:val="004816DE"/>
    <w:rsid w:val="004817B8"/>
    <w:rsid w:val="00481D16"/>
    <w:rsid w:val="00490A6A"/>
    <w:rsid w:val="00490E87"/>
    <w:rsid w:val="004A06A1"/>
    <w:rsid w:val="004A4272"/>
    <w:rsid w:val="004A489E"/>
    <w:rsid w:val="004A744D"/>
    <w:rsid w:val="004B22EE"/>
    <w:rsid w:val="004B35DA"/>
    <w:rsid w:val="004B45D1"/>
    <w:rsid w:val="004B60BD"/>
    <w:rsid w:val="004B71A1"/>
    <w:rsid w:val="004C3150"/>
    <w:rsid w:val="004C3641"/>
    <w:rsid w:val="004C4390"/>
    <w:rsid w:val="004C4AF7"/>
    <w:rsid w:val="004C7861"/>
    <w:rsid w:val="004D2881"/>
    <w:rsid w:val="004D385F"/>
    <w:rsid w:val="004D418B"/>
    <w:rsid w:val="004D5B39"/>
    <w:rsid w:val="004E330D"/>
    <w:rsid w:val="004E3877"/>
    <w:rsid w:val="004E5147"/>
    <w:rsid w:val="004E61E4"/>
    <w:rsid w:val="004E69B5"/>
    <w:rsid w:val="004F0AB7"/>
    <w:rsid w:val="004F2C26"/>
    <w:rsid w:val="004F554C"/>
    <w:rsid w:val="004F5C43"/>
    <w:rsid w:val="004F71D2"/>
    <w:rsid w:val="00500215"/>
    <w:rsid w:val="005003A0"/>
    <w:rsid w:val="00502FD1"/>
    <w:rsid w:val="00503690"/>
    <w:rsid w:val="0050652D"/>
    <w:rsid w:val="00506C03"/>
    <w:rsid w:val="00510B90"/>
    <w:rsid w:val="00511A11"/>
    <w:rsid w:val="00514BFB"/>
    <w:rsid w:val="00516496"/>
    <w:rsid w:val="00517B76"/>
    <w:rsid w:val="00520EE9"/>
    <w:rsid w:val="00523B11"/>
    <w:rsid w:val="005240F0"/>
    <w:rsid w:val="00524F43"/>
    <w:rsid w:val="0052572A"/>
    <w:rsid w:val="00527C29"/>
    <w:rsid w:val="00532DFB"/>
    <w:rsid w:val="00534931"/>
    <w:rsid w:val="00535C27"/>
    <w:rsid w:val="00536A7F"/>
    <w:rsid w:val="00541683"/>
    <w:rsid w:val="00543CB3"/>
    <w:rsid w:val="00544010"/>
    <w:rsid w:val="005442E4"/>
    <w:rsid w:val="00545553"/>
    <w:rsid w:val="00546519"/>
    <w:rsid w:val="0054673A"/>
    <w:rsid w:val="00554394"/>
    <w:rsid w:val="00555042"/>
    <w:rsid w:val="0055529B"/>
    <w:rsid w:val="00560874"/>
    <w:rsid w:val="00560FF0"/>
    <w:rsid w:val="005614BD"/>
    <w:rsid w:val="00567EC6"/>
    <w:rsid w:val="0057154F"/>
    <w:rsid w:val="00572354"/>
    <w:rsid w:val="00572EA4"/>
    <w:rsid w:val="00574AA2"/>
    <w:rsid w:val="00576599"/>
    <w:rsid w:val="0057799A"/>
    <w:rsid w:val="00580F69"/>
    <w:rsid w:val="00581CA3"/>
    <w:rsid w:val="005836B2"/>
    <w:rsid w:val="00586C82"/>
    <w:rsid w:val="00587A44"/>
    <w:rsid w:val="00591E40"/>
    <w:rsid w:val="00594D0D"/>
    <w:rsid w:val="00597730"/>
    <w:rsid w:val="005977EC"/>
    <w:rsid w:val="00597DE7"/>
    <w:rsid w:val="005A1E4C"/>
    <w:rsid w:val="005A4119"/>
    <w:rsid w:val="005A4AA2"/>
    <w:rsid w:val="005A766E"/>
    <w:rsid w:val="005A792F"/>
    <w:rsid w:val="005B17C2"/>
    <w:rsid w:val="005B34B6"/>
    <w:rsid w:val="005B4601"/>
    <w:rsid w:val="005B6C8F"/>
    <w:rsid w:val="005B6EC3"/>
    <w:rsid w:val="005C2839"/>
    <w:rsid w:val="005D0F74"/>
    <w:rsid w:val="005D2E7D"/>
    <w:rsid w:val="005D4A8F"/>
    <w:rsid w:val="005D561B"/>
    <w:rsid w:val="005D5ECF"/>
    <w:rsid w:val="005D6A61"/>
    <w:rsid w:val="005E0865"/>
    <w:rsid w:val="005E15C6"/>
    <w:rsid w:val="005E2C9A"/>
    <w:rsid w:val="005E6613"/>
    <w:rsid w:val="005F468D"/>
    <w:rsid w:val="005F5D44"/>
    <w:rsid w:val="005F69A3"/>
    <w:rsid w:val="006016C8"/>
    <w:rsid w:val="00603FC2"/>
    <w:rsid w:val="00604CC7"/>
    <w:rsid w:val="00610D44"/>
    <w:rsid w:val="0061400D"/>
    <w:rsid w:val="006142DE"/>
    <w:rsid w:val="00615423"/>
    <w:rsid w:val="006165B2"/>
    <w:rsid w:val="00617276"/>
    <w:rsid w:val="0062527B"/>
    <w:rsid w:val="00625D97"/>
    <w:rsid w:val="00625F1C"/>
    <w:rsid w:val="006279E1"/>
    <w:rsid w:val="00630CEB"/>
    <w:rsid w:val="00631ADB"/>
    <w:rsid w:val="00632264"/>
    <w:rsid w:val="006333C9"/>
    <w:rsid w:val="00633D45"/>
    <w:rsid w:val="0063640A"/>
    <w:rsid w:val="00642B22"/>
    <w:rsid w:val="00645F05"/>
    <w:rsid w:val="006470BC"/>
    <w:rsid w:val="00647A86"/>
    <w:rsid w:val="0065109E"/>
    <w:rsid w:val="00652ADF"/>
    <w:rsid w:val="006551DB"/>
    <w:rsid w:val="006554D3"/>
    <w:rsid w:val="00657517"/>
    <w:rsid w:val="00660EED"/>
    <w:rsid w:val="006614F6"/>
    <w:rsid w:val="00667036"/>
    <w:rsid w:val="0067039B"/>
    <w:rsid w:val="00673BDB"/>
    <w:rsid w:val="00674341"/>
    <w:rsid w:val="00674C81"/>
    <w:rsid w:val="00674C90"/>
    <w:rsid w:val="00675EE9"/>
    <w:rsid w:val="006761C6"/>
    <w:rsid w:val="006771B8"/>
    <w:rsid w:val="006837DD"/>
    <w:rsid w:val="006843B6"/>
    <w:rsid w:val="0068481F"/>
    <w:rsid w:val="00685BD5"/>
    <w:rsid w:val="00686D0A"/>
    <w:rsid w:val="00690601"/>
    <w:rsid w:val="00691CD2"/>
    <w:rsid w:val="00694070"/>
    <w:rsid w:val="0069654F"/>
    <w:rsid w:val="00696D33"/>
    <w:rsid w:val="00696EB5"/>
    <w:rsid w:val="00696F5D"/>
    <w:rsid w:val="00697249"/>
    <w:rsid w:val="006A0E0F"/>
    <w:rsid w:val="006A3FFE"/>
    <w:rsid w:val="006A4E21"/>
    <w:rsid w:val="006A6485"/>
    <w:rsid w:val="006B014F"/>
    <w:rsid w:val="006B1DC7"/>
    <w:rsid w:val="006B3947"/>
    <w:rsid w:val="006B3B63"/>
    <w:rsid w:val="006B4293"/>
    <w:rsid w:val="006B624F"/>
    <w:rsid w:val="006C0C95"/>
    <w:rsid w:val="006C31E3"/>
    <w:rsid w:val="006C4B03"/>
    <w:rsid w:val="006C6011"/>
    <w:rsid w:val="006D092C"/>
    <w:rsid w:val="006D18D3"/>
    <w:rsid w:val="006D2B9A"/>
    <w:rsid w:val="006D2DEF"/>
    <w:rsid w:val="006D32D4"/>
    <w:rsid w:val="006D4B4B"/>
    <w:rsid w:val="006E07FC"/>
    <w:rsid w:val="006E08CB"/>
    <w:rsid w:val="006E21B0"/>
    <w:rsid w:val="006E21DF"/>
    <w:rsid w:val="006E5298"/>
    <w:rsid w:val="006E598D"/>
    <w:rsid w:val="006E7A13"/>
    <w:rsid w:val="006F65F3"/>
    <w:rsid w:val="006F7C7E"/>
    <w:rsid w:val="007018F9"/>
    <w:rsid w:val="00703A2C"/>
    <w:rsid w:val="0070437D"/>
    <w:rsid w:val="00704CF1"/>
    <w:rsid w:val="00705184"/>
    <w:rsid w:val="00705B04"/>
    <w:rsid w:val="00707EBE"/>
    <w:rsid w:val="00710D86"/>
    <w:rsid w:val="00716F30"/>
    <w:rsid w:val="00721400"/>
    <w:rsid w:val="0072148C"/>
    <w:rsid w:val="00724992"/>
    <w:rsid w:val="007304A4"/>
    <w:rsid w:val="00731D49"/>
    <w:rsid w:val="00734820"/>
    <w:rsid w:val="007349DC"/>
    <w:rsid w:val="00736E63"/>
    <w:rsid w:val="00742E30"/>
    <w:rsid w:val="0074365E"/>
    <w:rsid w:val="00744B55"/>
    <w:rsid w:val="00745FDA"/>
    <w:rsid w:val="007471F3"/>
    <w:rsid w:val="007515FD"/>
    <w:rsid w:val="00754973"/>
    <w:rsid w:val="00755526"/>
    <w:rsid w:val="00756696"/>
    <w:rsid w:val="007602A5"/>
    <w:rsid w:val="00760D80"/>
    <w:rsid w:val="00767F9B"/>
    <w:rsid w:val="007769BF"/>
    <w:rsid w:val="00780C09"/>
    <w:rsid w:val="00780DDF"/>
    <w:rsid w:val="007816F5"/>
    <w:rsid w:val="007834E9"/>
    <w:rsid w:val="00787DBC"/>
    <w:rsid w:val="0079019A"/>
    <w:rsid w:val="00790C38"/>
    <w:rsid w:val="00792935"/>
    <w:rsid w:val="0079442E"/>
    <w:rsid w:val="007A04A1"/>
    <w:rsid w:val="007A0806"/>
    <w:rsid w:val="007A129A"/>
    <w:rsid w:val="007A1840"/>
    <w:rsid w:val="007A18DB"/>
    <w:rsid w:val="007A332E"/>
    <w:rsid w:val="007A50DB"/>
    <w:rsid w:val="007A5194"/>
    <w:rsid w:val="007A65A3"/>
    <w:rsid w:val="007B18E5"/>
    <w:rsid w:val="007B3A8C"/>
    <w:rsid w:val="007B7B7A"/>
    <w:rsid w:val="007C011F"/>
    <w:rsid w:val="007C0528"/>
    <w:rsid w:val="007C3D38"/>
    <w:rsid w:val="007C52C1"/>
    <w:rsid w:val="007C6519"/>
    <w:rsid w:val="007C7E56"/>
    <w:rsid w:val="007D0F35"/>
    <w:rsid w:val="007D4FEB"/>
    <w:rsid w:val="007D6146"/>
    <w:rsid w:val="007E05C6"/>
    <w:rsid w:val="007E0CE7"/>
    <w:rsid w:val="007E2E52"/>
    <w:rsid w:val="007E60FD"/>
    <w:rsid w:val="007E629E"/>
    <w:rsid w:val="007E64F1"/>
    <w:rsid w:val="007F1193"/>
    <w:rsid w:val="007F29D0"/>
    <w:rsid w:val="007F2BD9"/>
    <w:rsid w:val="007F3AD6"/>
    <w:rsid w:val="007F417F"/>
    <w:rsid w:val="007F4608"/>
    <w:rsid w:val="007F50C7"/>
    <w:rsid w:val="007F7644"/>
    <w:rsid w:val="00803611"/>
    <w:rsid w:val="008042BD"/>
    <w:rsid w:val="008046B0"/>
    <w:rsid w:val="00811E9A"/>
    <w:rsid w:val="0081594F"/>
    <w:rsid w:val="00816624"/>
    <w:rsid w:val="008214CB"/>
    <w:rsid w:val="00821736"/>
    <w:rsid w:val="00822427"/>
    <w:rsid w:val="00822562"/>
    <w:rsid w:val="00823663"/>
    <w:rsid w:val="00823BAD"/>
    <w:rsid w:val="0082707F"/>
    <w:rsid w:val="008326CE"/>
    <w:rsid w:val="00832DDC"/>
    <w:rsid w:val="00834EC9"/>
    <w:rsid w:val="00840341"/>
    <w:rsid w:val="0084065B"/>
    <w:rsid w:val="00844DEF"/>
    <w:rsid w:val="008452A5"/>
    <w:rsid w:val="00850BAC"/>
    <w:rsid w:val="00852904"/>
    <w:rsid w:val="00854A3E"/>
    <w:rsid w:val="00855D08"/>
    <w:rsid w:val="008612C4"/>
    <w:rsid w:val="008709D7"/>
    <w:rsid w:val="00874344"/>
    <w:rsid w:val="00880BA6"/>
    <w:rsid w:val="00882155"/>
    <w:rsid w:val="0088233B"/>
    <w:rsid w:val="0088460A"/>
    <w:rsid w:val="0088599E"/>
    <w:rsid w:val="00886C37"/>
    <w:rsid w:val="00892A47"/>
    <w:rsid w:val="00892D99"/>
    <w:rsid w:val="00893315"/>
    <w:rsid w:val="008944E1"/>
    <w:rsid w:val="008965DB"/>
    <w:rsid w:val="00896D2A"/>
    <w:rsid w:val="008A4DC0"/>
    <w:rsid w:val="008A6A34"/>
    <w:rsid w:val="008A6F4A"/>
    <w:rsid w:val="008B06BF"/>
    <w:rsid w:val="008B62AE"/>
    <w:rsid w:val="008B6898"/>
    <w:rsid w:val="008C04B5"/>
    <w:rsid w:val="008C1227"/>
    <w:rsid w:val="008C14FA"/>
    <w:rsid w:val="008C22F3"/>
    <w:rsid w:val="008C300D"/>
    <w:rsid w:val="008C6342"/>
    <w:rsid w:val="008C63FC"/>
    <w:rsid w:val="008C7B0B"/>
    <w:rsid w:val="008D4057"/>
    <w:rsid w:val="008D4BEC"/>
    <w:rsid w:val="008E1F19"/>
    <w:rsid w:val="008F1398"/>
    <w:rsid w:val="008F2262"/>
    <w:rsid w:val="008F4D2B"/>
    <w:rsid w:val="008F7736"/>
    <w:rsid w:val="0090019E"/>
    <w:rsid w:val="009009BB"/>
    <w:rsid w:val="00901086"/>
    <w:rsid w:val="00901C8A"/>
    <w:rsid w:val="0090569D"/>
    <w:rsid w:val="00905886"/>
    <w:rsid w:val="009070D6"/>
    <w:rsid w:val="009076C6"/>
    <w:rsid w:val="0091019E"/>
    <w:rsid w:val="009106F1"/>
    <w:rsid w:val="00912404"/>
    <w:rsid w:val="009145D6"/>
    <w:rsid w:val="00920E64"/>
    <w:rsid w:val="00921360"/>
    <w:rsid w:val="00921DD7"/>
    <w:rsid w:val="00922002"/>
    <w:rsid w:val="00924020"/>
    <w:rsid w:val="009271A7"/>
    <w:rsid w:val="0093658B"/>
    <w:rsid w:val="009429FF"/>
    <w:rsid w:val="00945BD6"/>
    <w:rsid w:val="009479FB"/>
    <w:rsid w:val="00951C45"/>
    <w:rsid w:val="00956C40"/>
    <w:rsid w:val="00961EB7"/>
    <w:rsid w:val="0096474D"/>
    <w:rsid w:val="009656F2"/>
    <w:rsid w:val="00966A08"/>
    <w:rsid w:val="00971207"/>
    <w:rsid w:val="009742C4"/>
    <w:rsid w:val="00975CB4"/>
    <w:rsid w:val="00976F1C"/>
    <w:rsid w:val="009863B0"/>
    <w:rsid w:val="0098797B"/>
    <w:rsid w:val="00987DE1"/>
    <w:rsid w:val="00990571"/>
    <w:rsid w:val="00991567"/>
    <w:rsid w:val="00992A06"/>
    <w:rsid w:val="00995460"/>
    <w:rsid w:val="00995AAE"/>
    <w:rsid w:val="0099673A"/>
    <w:rsid w:val="009A13DE"/>
    <w:rsid w:val="009A3330"/>
    <w:rsid w:val="009A37BA"/>
    <w:rsid w:val="009A421C"/>
    <w:rsid w:val="009A4530"/>
    <w:rsid w:val="009A6B50"/>
    <w:rsid w:val="009A7C96"/>
    <w:rsid w:val="009B03A2"/>
    <w:rsid w:val="009B2209"/>
    <w:rsid w:val="009B5408"/>
    <w:rsid w:val="009C21D3"/>
    <w:rsid w:val="009C379B"/>
    <w:rsid w:val="009C3898"/>
    <w:rsid w:val="009C3DB9"/>
    <w:rsid w:val="009D2CF1"/>
    <w:rsid w:val="009D2D99"/>
    <w:rsid w:val="009D46E5"/>
    <w:rsid w:val="009D568A"/>
    <w:rsid w:val="009D70D1"/>
    <w:rsid w:val="009D733F"/>
    <w:rsid w:val="009D78C9"/>
    <w:rsid w:val="009E2A19"/>
    <w:rsid w:val="009E2F41"/>
    <w:rsid w:val="009F04EC"/>
    <w:rsid w:val="009F2442"/>
    <w:rsid w:val="009F2A7C"/>
    <w:rsid w:val="009F3B36"/>
    <w:rsid w:val="009F3BBC"/>
    <w:rsid w:val="009F4E77"/>
    <w:rsid w:val="009F7594"/>
    <w:rsid w:val="00A019B9"/>
    <w:rsid w:val="00A04B65"/>
    <w:rsid w:val="00A1196F"/>
    <w:rsid w:val="00A11994"/>
    <w:rsid w:val="00A12508"/>
    <w:rsid w:val="00A1282B"/>
    <w:rsid w:val="00A13A27"/>
    <w:rsid w:val="00A1551E"/>
    <w:rsid w:val="00A175B6"/>
    <w:rsid w:val="00A21108"/>
    <w:rsid w:val="00A21216"/>
    <w:rsid w:val="00A21835"/>
    <w:rsid w:val="00A22A3C"/>
    <w:rsid w:val="00A2374B"/>
    <w:rsid w:val="00A27D6E"/>
    <w:rsid w:val="00A31C69"/>
    <w:rsid w:val="00A31F65"/>
    <w:rsid w:val="00A328EC"/>
    <w:rsid w:val="00A33A51"/>
    <w:rsid w:val="00A40ECA"/>
    <w:rsid w:val="00A41CA6"/>
    <w:rsid w:val="00A45695"/>
    <w:rsid w:val="00A476B8"/>
    <w:rsid w:val="00A47927"/>
    <w:rsid w:val="00A47FFC"/>
    <w:rsid w:val="00A5442F"/>
    <w:rsid w:val="00A54FF9"/>
    <w:rsid w:val="00A56765"/>
    <w:rsid w:val="00A57D76"/>
    <w:rsid w:val="00A64F09"/>
    <w:rsid w:val="00A675AC"/>
    <w:rsid w:val="00A7581F"/>
    <w:rsid w:val="00A90C25"/>
    <w:rsid w:val="00A90DC4"/>
    <w:rsid w:val="00A91DF4"/>
    <w:rsid w:val="00A92FB1"/>
    <w:rsid w:val="00A93B78"/>
    <w:rsid w:val="00A95A0C"/>
    <w:rsid w:val="00A963FE"/>
    <w:rsid w:val="00A97B3A"/>
    <w:rsid w:val="00AA2765"/>
    <w:rsid w:val="00AA4042"/>
    <w:rsid w:val="00AA77B5"/>
    <w:rsid w:val="00AB6B62"/>
    <w:rsid w:val="00AB6C5D"/>
    <w:rsid w:val="00AB7CC8"/>
    <w:rsid w:val="00AC2846"/>
    <w:rsid w:val="00AC3401"/>
    <w:rsid w:val="00AC51A7"/>
    <w:rsid w:val="00AC6BB1"/>
    <w:rsid w:val="00AD444B"/>
    <w:rsid w:val="00AD45F8"/>
    <w:rsid w:val="00AD5614"/>
    <w:rsid w:val="00AD614A"/>
    <w:rsid w:val="00AD6C78"/>
    <w:rsid w:val="00AE147D"/>
    <w:rsid w:val="00AE2EAB"/>
    <w:rsid w:val="00AE5921"/>
    <w:rsid w:val="00AE6AE3"/>
    <w:rsid w:val="00AF2C74"/>
    <w:rsid w:val="00AF5A6B"/>
    <w:rsid w:val="00AF5F89"/>
    <w:rsid w:val="00AF73CB"/>
    <w:rsid w:val="00B002D6"/>
    <w:rsid w:val="00B01B0B"/>
    <w:rsid w:val="00B021E4"/>
    <w:rsid w:val="00B03379"/>
    <w:rsid w:val="00B037A7"/>
    <w:rsid w:val="00B03E89"/>
    <w:rsid w:val="00B05B51"/>
    <w:rsid w:val="00B06C67"/>
    <w:rsid w:val="00B070BC"/>
    <w:rsid w:val="00B114C0"/>
    <w:rsid w:val="00B127B3"/>
    <w:rsid w:val="00B14E5A"/>
    <w:rsid w:val="00B15370"/>
    <w:rsid w:val="00B15C0F"/>
    <w:rsid w:val="00B15ECE"/>
    <w:rsid w:val="00B16DA4"/>
    <w:rsid w:val="00B17BEB"/>
    <w:rsid w:val="00B215A1"/>
    <w:rsid w:val="00B21A3C"/>
    <w:rsid w:val="00B223C0"/>
    <w:rsid w:val="00B2266A"/>
    <w:rsid w:val="00B226E9"/>
    <w:rsid w:val="00B234ED"/>
    <w:rsid w:val="00B249B2"/>
    <w:rsid w:val="00B25CA3"/>
    <w:rsid w:val="00B274C7"/>
    <w:rsid w:val="00B2765A"/>
    <w:rsid w:val="00B30E47"/>
    <w:rsid w:val="00B3109A"/>
    <w:rsid w:val="00B31CAD"/>
    <w:rsid w:val="00B44D8D"/>
    <w:rsid w:val="00B516ED"/>
    <w:rsid w:val="00B52C70"/>
    <w:rsid w:val="00B52EF5"/>
    <w:rsid w:val="00B54DFA"/>
    <w:rsid w:val="00B55CD6"/>
    <w:rsid w:val="00B5723B"/>
    <w:rsid w:val="00B57A6A"/>
    <w:rsid w:val="00B57BA2"/>
    <w:rsid w:val="00B62869"/>
    <w:rsid w:val="00B71196"/>
    <w:rsid w:val="00B759B0"/>
    <w:rsid w:val="00B760F1"/>
    <w:rsid w:val="00B7669E"/>
    <w:rsid w:val="00B76C81"/>
    <w:rsid w:val="00B7717D"/>
    <w:rsid w:val="00B777FF"/>
    <w:rsid w:val="00B77DA1"/>
    <w:rsid w:val="00B822A0"/>
    <w:rsid w:val="00B82BA4"/>
    <w:rsid w:val="00B858AE"/>
    <w:rsid w:val="00B85964"/>
    <w:rsid w:val="00B87898"/>
    <w:rsid w:val="00B90D20"/>
    <w:rsid w:val="00B9161B"/>
    <w:rsid w:val="00B943A1"/>
    <w:rsid w:val="00B95115"/>
    <w:rsid w:val="00B96250"/>
    <w:rsid w:val="00BA0301"/>
    <w:rsid w:val="00BA0D55"/>
    <w:rsid w:val="00BA37B3"/>
    <w:rsid w:val="00BA4CC6"/>
    <w:rsid w:val="00BA509E"/>
    <w:rsid w:val="00BA51C1"/>
    <w:rsid w:val="00BB3493"/>
    <w:rsid w:val="00BB4184"/>
    <w:rsid w:val="00BB5258"/>
    <w:rsid w:val="00BB65D8"/>
    <w:rsid w:val="00BB7468"/>
    <w:rsid w:val="00BC0690"/>
    <w:rsid w:val="00BC11B1"/>
    <w:rsid w:val="00BC188A"/>
    <w:rsid w:val="00BC213D"/>
    <w:rsid w:val="00BC402E"/>
    <w:rsid w:val="00BC4295"/>
    <w:rsid w:val="00BD0F48"/>
    <w:rsid w:val="00BD1882"/>
    <w:rsid w:val="00BE0F25"/>
    <w:rsid w:val="00BE2627"/>
    <w:rsid w:val="00BE3707"/>
    <w:rsid w:val="00BE6AB2"/>
    <w:rsid w:val="00BE6DDB"/>
    <w:rsid w:val="00BE7A86"/>
    <w:rsid w:val="00BF5010"/>
    <w:rsid w:val="00BF6CBB"/>
    <w:rsid w:val="00C0257A"/>
    <w:rsid w:val="00C03D5F"/>
    <w:rsid w:val="00C04567"/>
    <w:rsid w:val="00C13791"/>
    <w:rsid w:val="00C141C7"/>
    <w:rsid w:val="00C1478F"/>
    <w:rsid w:val="00C15663"/>
    <w:rsid w:val="00C16323"/>
    <w:rsid w:val="00C170C0"/>
    <w:rsid w:val="00C2134B"/>
    <w:rsid w:val="00C21810"/>
    <w:rsid w:val="00C22771"/>
    <w:rsid w:val="00C229A1"/>
    <w:rsid w:val="00C23EB1"/>
    <w:rsid w:val="00C27096"/>
    <w:rsid w:val="00C272E7"/>
    <w:rsid w:val="00C30A90"/>
    <w:rsid w:val="00C31468"/>
    <w:rsid w:val="00C31BB3"/>
    <w:rsid w:val="00C3402A"/>
    <w:rsid w:val="00C36977"/>
    <w:rsid w:val="00C40619"/>
    <w:rsid w:val="00C43820"/>
    <w:rsid w:val="00C467DA"/>
    <w:rsid w:val="00C477D9"/>
    <w:rsid w:val="00C50D64"/>
    <w:rsid w:val="00C56E80"/>
    <w:rsid w:val="00C609B4"/>
    <w:rsid w:val="00C60BA3"/>
    <w:rsid w:val="00C623F7"/>
    <w:rsid w:val="00C62827"/>
    <w:rsid w:val="00C62A81"/>
    <w:rsid w:val="00C63312"/>
    <w:rsid w:val="00C64D36"/>
    <w:rsid w:val="00C73DB6"/>
    <w:rsid w:val="00C7418E"/>
    <w:rsid w:val="00C75BC5"/>
    <w:rsid w:val="00C77D78"/>
    <w:rsid w:val="00C81670"/>
    <w:rsid w:val="00C81773"/>
    <w:rsid w:val="00C81E3E"/>
    <w:rsid w:val="00C82861"/>
    <w:rsid w:val="00C8318B"/>
    <w:rsid w:val="00C83BD9"/>
    <w:rsid w:val="00C84281"/>
    <w:rsid w:val="00C84C17"/>
    <w:rsid w:val="00C86896"/>
    <w:rsid w:val="00C907A8"/>
    <w:rsid w:val="00C91BF8"/>
    <w:rsid w:val="00C93211"/>
    <w:rsid w:val="00C942EC"/>
    <w:rsid w:val="00C96047"/>
    <w:rsid w:val="00C979D0"/>
    <w:rsid w:val="00C97E8F"/>
    <w:rsid w:val="00CA0818"/>
    <w:rsid w:val="00CA15C8"/>
    <w:rsid w:val="00CA2C8F"/>
    <w:rsid w:val="00CA30DA"/>
    <w:rsid w:val="00CA3A24"/>
    <w:rsid w:val="00CA3B6F"/>
    <w:rsid w:val="00CA3F60"/>
    <w:rsid w:val="00CA4789"/>
    <w:rsid w:val="00CA7BDB"/>
    <w:rsid w:val="00CB1777"/>
    <w:rsid w:val="00CB33E9"/>
    <w:rsid w:val="00CC10A9"/>
    <w:rsid w:val="00CC1A24"/>
    <w:rsid w:val="00CC218F"/>
    <w:rsid w:val="00CD4427"/>
    <w:rsid w:val="00CD536C"/>
    <w:rsid w:val="00CE2BF8"/>
    <w:rsid w:val="00CE2DB3"/>
    <w:rsid w:val="00CE3B9C"/>
    <w:rsid w:val="00CE484E"/>
    <w:rsid w:val="00CE656F"/>
    <w:rsid w:val="00CE6D89"/>
    <w:rsid w:val="00CF0545"/>
    <w:rsid w:val="00CF0DA8"/>
    <w:rsid w:val="00CF2E25"/>
    <w:rsid w:val="00CF4453"/>
    <w:rsid w:val="00CF5D94"/>
    <w:rsid w:val="00CF6391"/>
    <w:rsid w:val="00CF7E0F"/>
    <w:rsid w:val="00D00C0E"/>
    <w:rsid w:val="00D034D7"/>
    <w:rsid w:val="00D038B8"/>
    <w:rsid w:val="00D04617"/>
    <w:rsid w:val="00D04BE4"/>
    <w:rsid w:val="00D06654"/>
    <w:rsid w:val="00D06CCB"/>
    <w:rsid w:val="00D06FC7"/>
    <w:rsid w:val="00D12565"/>
    <w:rsid w:val="00D12DA3"/>
    <w:rsid w:val="00D14127"/>
    <w:rsid w:val="00D14CCF"/>
    <w:rsid w:val="00D153CB"/>
    <w:rsid w:val="00D200F2"/>
    <w:rsid w:val="00D22137"/>
    <w:rsid w:val="00D23D22"/>
    <w:rsid w:val="00D2531F"/>
    <w:rsid w:val="00D26813"/>
    <w:rsid w:val="00D30335"/>
    <w:rsid w:val="00D30492"/>
    <w:rsid w:val="00D33B84"/>
    <w:rsid w:val="00D33D21"/>
    <w:rsid w:val="00D34F28"/>
    <w:rsid w:val="00D36894"/>
    <w:rsid w:val="00D40CF4"/>
    <w:rsid w:val="00D41736"/>
    <w:rsid w:val="00D4268D"/>
    <w:rsid w:val="00D46290"/>
    <w:rsid w:val="00D471E7"/>
    <w:rsid w:val="00D47FDF"/>
    <w:rsid w:val="00D50742"/>
    <w:rsid w:val="00D5134E"/>
    <w:rsid w:val="00D51D53"/>
    <w:rsid w:val="00D525CA"/>
    <w:rsid w:val="00D52BDC"/>
    <w:rsid w:val="00D5623F"/>
    <w:rsid w:val="00D60B16"/>
    <w:rsid w:val="00D60F02"/>
    <w:rsid w:val="00D66E49"/>
    <w:rsid w:val="00D70D71"/>
    <w:rsid w:val="00D72D8F"/>
    <w:rsid w:val="00D72F74"/>
    <w:rsid w:val="00D81563"/>
    <w:rsid w:val="00D83DDD"/>
    <w:rsid w:val="00D846AD"/>
    <w:rsid w:val="00D85907"/>
    <w:rsid w:val="00D87871"/>
    <w:rsid w:val="00D9073E"/>
    <w:rsid w:val="00D9221D"/>
    <w:rsid w:val="00D928A5"/>
    <w:rsid w:val="00D9455D"/>
    <w:rsid w:val="00D94BF1"/>
    <w:rsid w:val="00D958DF"/>
    <w:rsid w:val="00D96DA1"/>
    <w:rsid w:val="00DA1A22"/>
    <w:rsid w:val="00DA2615"/>
    <w:rsid w:val="00DA51E7"/>
    <w:rsid w:val="00DB0260"/>
    <w:rsid w:val="00DB1C78"/>
    <w:rsid w:val="00DB7D96"/>
    <w:rsid w:val="00DB7F93"/>
    <w:rsid w:val="00DC23FE"/>
    <w:rsid w:val="00DC3D9D"/>
    <w:rsid w:val="00DC59E6"/>
    <w:rsid w:val="00DD150B"/>
    <w:rsid w:val="00DD5025"/>
    <w:rsid w:val="00DD73CC"/>
    <w:rsid w:val="00DE10B1"/>
    <w:rsid w:val="00DF1510"/>
    <w:rsid w:val="00E02F1F"/>
    <w:rsid w:val="00E044D6"/>
    <w:rsid w:val="00E04F16"/>
    <w:rsid w:val="00E06484"/>
    <w:rsid w:val="00E06589"/>
    <w:rsid w:val="00E07F2D"/>
    <w:rsid w:val="00E17B2A"/>
    <w:rsid w:val="00E20A7D"/>
    <w:rsid w:val="00E275D8"/>
    <w:rsid w:val="00E3072A"/>
    <w:rsid w:val="00E30AEA"/>
    <w:rsid w:val="00E30F6A"/>
    <w:rsid w:val="00E3117C"/>
    <w:rsid w:val="00E33421"/>
    <w:rsid w:val="00E34EBD"/>
    <w:rsid w:val="00E3756A"/>
    <w:rsid w:val="00E375CA"/>
    <w:rsid w:val="00E4350A"/>
    <w:rsid w:val="00E47CA9"/>
    <w:rsid w:val="00E51C2F"/>
    <w:rsid w:val="00E5227B"/>
    <w:rsid w:val="00E5364F"/>
    <w:rsid w:val="00E5623D"/>
    <w:rsid w:val="00E567E8"/>
    <w:rsid w:val="00E56B04"/>
    <w:rsid w:val="00E6109E"/>
    <w:rsid w:val="00E61E85"/>
    <w:rsid w:val="00E64679"/>
    <w:rsid w:val="00E65EBC"/>
    <w:rsid w:val="00E66FE9"/>
    <w:rsid w:val="00E677FE"/>
    <w:rsid w:val="00E70723"/>
    <w:rsid w:val="00E73432"/>
    <w:rsid w:val="00E77B0C"/>
    <w:rsid w:val="00E77FB8"/>
    <w:rsid w:val="00E80E19"/>
    <w:rsid w:val="00E838B0"/>
    <w:rsid w:val="00E865D4"/>
    <w:rsid w:val="00E86A7C"/>
    <w:rsid w:val="00E878E1"/>
    <w:rsid w:val="00E87F2C"/>
    <w:rsid w:val="00E91617"/>
    <w:rsid w:val="00E92D43"/>
    <w:rsid w:val="00E94485"/>
    <w:rsid w:val="00E94CF9"/>
    <w:rsid w:val="00E95278"/>
    <w:rsid w:val="00E95782"/>
    <w:rsid w:val="00E96A66"/>
    <w:rsid w:val="00EA2273"/>
    <w:rsid w:val="00EA6B62"/>
    <w:rsid w:val="00EA7C3C"/>
    <w:rsid w:val="00EB252A"/>
    <w:rsid w:val="00EB2DB3"/>
    <w:rsid w:val="00EC3FBB"/>
    <w:rsid w:val="00EC42C6"/>
    <w:rsid w:val="00EC6514"/>
    <w:rsid w:val="00EC6B7A"/>
    <w:rsid w:val="00ED3A87"/>
    <w:rsid w:val="00ED5B67"/>
    <w:rsid w:val="00ED5F04"/>
    <w:rsid w:val="00EF255F"/>
    <w:rsid w:val="00EF262E"/>
    <w:rsid w:val="00EF264C"/>
    <w:rsid w:val="00EF3FEE"/>
    <w:rsid w:val="00F0122E"/>
    <w:rsid w:val="00F01F0B"/>
    <w:rsid w:val="00F04B59"/>
    <w:rsid w:val="00F1144E"/>
    <w:rsid w:val="00F11741"/>
    <w:rsid w:val="00F11C6D"/>
    <w:rsid w:val="00F12B1C"/>
    <w:rsid w:val="00F13CF8"/>
    <w:rsid w:val="00F15669"/>
    <w:rsid w:val="00F15855"/>
    <w:rsid w:val="00F165E6"/>
    <w:rsid w:val="00F16FD5"/>
    <w:rsid w:val="00F171EE"/>
    <w:rsid w:val="00F200B2"/>
    <w:rsid w:val="00F227DC"/>
    <w:rsid w:val="00F235A7"/>
    <w:rsid w:val="00F235D4"/>
    <w:rsid w:val="00F32978"/>
    <w:rsid w:val="00F34758"/>
    <w:rsid w:val="00F36A0E"/>
    <w:rsid w:val="00F44764"/>
    <w:rsid w:val="00F45CB2"/>
    <w:rsid w:val="00F45EB3"/>
    <w:rsid w:val="00F514DA"/>
    <w:rsid w:val="00F52EA9"/>
    <w:rsid w:val="00F5406A"/>
    <w:rsid w:val="00F544C0"/>
    <w:rsid w:val="00F55332"/>
    <w:rsid w:val="00F56893"/>
    <w:rsid w:val="00F60DBD"/>
    <w:rsid w:val="00F623B5"/>
    <w:rsid w:val="00F6504A"/>
    <w:rsid w:val="00F65519"/>
    <w:rsid w:val="00F67532"/>
    <w:rsid w:val="00F713C0"/>
    <w:rsid w:val="00F75DDC"/>
    <w:rsid w:val="00F7792F"/>
    <w:rsid w:val="00F82991"/>
    <w:rsid w:val="00F83D78"/>
    <w:rsid w:val="00F842AA"/>
    <w:rsid w:val="00F846AB"/>
    <w:rsid w:val="00F8476F"/>
    <w:rsid w:val="00F853E1"/>
    <w:rsid w:val="00F85604"/>
    <w:rsid w:val="00F86836"/>
    <w:rsid w:val="00F87BFE"/>
    <w:rsid w:val="00F900DC"/>
    <w:rsid w:val="00F9101C"/>
    <w:rsid w:val="00F93720"/>
    <w:rsid w:val="00F93FDA"/>
    <w:rsid w:val="00F94B7A"/>
    <w:rsid w:val="00F953CE"/>
    <w:rsid w:val="00FA17AC"/>
    <w:rsid w:val="00FA32DE"/>
    <w:rsid w:val="00FA3382"/>
    <w:rsid w:val="00FA59CD"/>
    <w:rsid w:val="00FA63A9"/>
    <w:rsid w:val="00FA79F3"/>
    <w:rsid w:val="00FB0813"/>
    <w:rsid w:val="00FB0F72"/>
    <w:rsid w:val="00FB0FDB"/>
    <w:rsid w:val="00FB1740"/>
    <w:rsid w:val="00FB1759"/>
    <w:rsid w:val="00FC0810"/>
    <w:rsid w:val="00FC5469"/>
    <w:rsid w:val="00FC6D7D"/>
    <w:rsid w:val="00FD07EA"/>
    <w:rsid w:val="00FD16B0"/>
    <w:rsid w:val="00FD4FED"/>
    <w:rsid w:val="00FD6728"/>
    <w:rsid w:val="00FD7095"/>
    <w:rsid w:val="00FE0577"/>
    <w:rsid w:val="00FE1697"/>
    <w:rsid w:val="00FE191A"/>
    <w:rsid w:val="00FE59EC"/>
    <w:rsid w:val="00FE5B67"/>
    <w:rsid w:val="00FE60D6"/>
    <w:rsid w:val="00FF02F0"/>
    <w:rsid w:val="00FF0BA8"/>
    <w:rsid w:val="00FF193B"/>
    <w:rsid w:val="00FF486B"/>
    <w:rsid w:val="00FF55ED"/>
    <w:rsid w:val="00FF7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EndnoteReference">
    <w:name w:val="endnote reference"/>
    <w:basedOn w:val="DefaultParagraphFont"/>
    <w:semiHidden/>
    <w:unhideWhenUsed/>
    <w:rsid w:val="00E34EBD"/>
    <w:rPr>
      <w:vertAlign w:val="superscript"/>
    </w:rPr>
  </w:style>
  <w:style w:type="character" w:styleId="FootnoteReference">
    <w:name w:val="footnote reference"/>
    <w:basedOn w:val="DefaultParagraphFont"/>
    <w:unhideWhenUsed/>
    <w:rsid w:val="00E34EBD"/>
    <w:rPr>
      <w:vertAlign w:val="superscript"/>
    </w:rPr>
  </w:style>
  <w:style w:type="table" w:customStyle="1" w:styleId="TableGrid1">
    <w:name w:val="Table Grid1"/>
    <w:basedOn w:val="TableNormal"/>
    <w:next w:val="TableGrid"/>
    <w:rsid w:val="00CA478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31F6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F054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0F6FA3"/>
  </w:style>
  <w:style w:type="character" w:customStyle="1" w:styleId="FooterChar">
    <w:name w:val="Footer Char"/>
    <w:basedOn w:val="DefaultParagraphFont"/>
    <w:link w:val="Footer"/>
    <w:uiPriority w:val="99"/>
    <w:rsid w:val="007602A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EndnoteReference">
    <w:name w:val="endnote reference"/>
    <w:basedOn w:val="DefaultParagraphFont"/>
    <w:semiHidden/>
    <w:unhideWhenUsed/>
    <w:rsid w:val="00E34EBD"/>
    <w:rPr>
      <w:vertAlign w:val="superscript"/>
    </w:rPr>
  </w:style>
  <w:style w:type="character" w:styleId="FootnoteReference">
    <w:name w:val="footnote reference"/>
    <w:basedOn w:val="DefaultParagraphFont"/>
    <w:unhideWhenUsed/>
    <w:rsid w:val="00E34EBD"/>
    <w:rPr>
      <w:vertAlign w:val="superscript"/>
    </w:rPr>
  </w:style>
  <w:style w:type="table" w:customStyle="1" w:styleId="TableGrid1">
    <w:name w:val="Table Grid1"/>
    <w:basedOn w:val="TableNormal"/>
    <w:next w:val="TableGrid"/>
    <w:rsid w:val="00CA478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31F6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F054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0F6FA3"/>
  </w:style>
  <w:style w:type="character" w:customStyle="1" w:styleId="FooterChar">
    <w:name w:val="Footer Char"/>
    <w:basedOn w:val="DefaultParagraphFont"/>
    <w:link w:val="Footer"/>
    <w:uiPriority w:val="99"/>
    <w:rsid w:val="007602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image" Target="media/image8.emf"/><Relationship Id="rId21" Type="http://schemas.openxmlformats.org/officeDocument/2006/relationships/header" Target="header10.xml"/><Relationship Id="rId34" Type="http://schemas.openxmlformats.org/officeDocument/2006/relationships/image" Target="media/image3.emf"/><Relationship Id="rId42" Type="http://schemas.openxmlformats.org/officeDocument/2006/relationships/image" Target="media/image11.emf"/><Relationship Id="rId47" Type="http://schemas.openxmlformats.org/officeDocument/2006/relationships/footer" Target="footer3.xml"/><Relationship Id="rId50" Type="http://schemas.openxmlformats.org/officeDocument/2006/relationships/image" Target="media/image17.emf"/><Relationship Id="rId55"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image" Target="media/image2.emf"/><Relationship Id="rId38" Type="http://schemas.openxmlformats.org/officeDocument/2006/relationships/image" Target="media/image7.emf"/><Relationship Id="rId46"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41" Type="http://schemas.openxmlformats.org/officeDocument/2006/relationships/image" Target="media/image10.emf"/><Relationship Id="rId54"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image" Target="media/image6.emf"/><Relationship Id="rId40" Type="http://schemas.openxmlformats.org/officeDocument/2006/relationships/image" Target="media/image9.emf"/><Relationship Id="rId45" Type="http://schemas.openxmlformats.org/officeDocument/2006/relationships/image" Target="media/image14.emf"/><Relationship Id="rId53" Type="http://schemas.openxmlformats.org/officeDocument/2006/relationships/header" Target="header23.xm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image" Target="media/image5.emf"/><Relationship Id="rId49" Type="http://schemas.openxmlformats.org/officeDocument/2006/relationships/image" Target="media/image16.emf"/><Relationship Id="rId57"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eader" Target="header20.xml"/><Relationship Id="rId44" Type="http://schemas.openxmlformats.org/officeDocument/2006/relationships/image" Target="media/image13.emf"/><Relationship Id="rId52" Type="http://schemas.openxmlformats.org/officeDocument/2006/relationships/image" Target="media/image19.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image" Target="media/image4.emf"/><Relationship Id="rId43" Type="http://schemas.openxmlformats.org/officeDocument/2006/relationships/image" Target="media/image12.emf"/><Relationship Id="rId48" Type="http://schemas.openxmlformats.org/officeDocument/2006/relationships/image" Target="media/image15.emf"/><Relationship Id="rId56" Type="http://schemas.openxmlformats.org/officeDocument/2006/relationships/header" Target="header25.xml"/><Relationship Id="rId8" Type="http://schemas.openxmlformats.org/officeDocument/2006/relationships/endnotes" Target="endnotes.xml"/><Relationship Id="rId51" Type="http://schemas.openxmlformats.org/officeDocument/2006/relationships/image" Target="media/image18.emf"/><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7EB76-031B-4C34-BBE0-EE2A62925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70</Pages>
  <Words>12332</Words>
  <Characters>75435</Characters>
  <Application>Microsoft Office Word</Application>
  <DocSecurity>0</DocSecurity>
  <Lines>628</Lines>
  <Paragraphs>175</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87592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Andrea Mick</dc:creator>
  <cp:lastModifiedBy>Andrea Mick</cp:lastModifiedBy>
  <cp:revision>2</cp:revision>
  <cp:lastPrinted>2020-01-02T15:02:00Z</cp:lastPrinted>
  <dcterms:created xsi:type="dcterms:W3CDTF">2020-01-02T16:21:00Z</dcterms:created>
  <dcterms:modified xsi:type="dcterms:W3CDTF">2020-01-02T16:21:00Z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20190083-GU</vt:lpwstr>
  </property>
  <property fmtid="{D5CDD505-2E9C-101B-9397-08002B2CF9AE}" pid="3" name="MasterDocument">
    <vt:bool>false</vt:bool>
  </property>
</Properties>
</file>