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539C5" w:rsidP="00F539C5">
      <w:pPr>
        <w:pStyle w:val="OrderHeading"/>
      </w:pPr>
      <w:r>
        <w:t>BEFORE THE FLORIDA PUBLIC SERVICE COMMISSION</w:t>
      </w:r>
    </w:p>
    <w:p w:rsidR="00F539C5" w:rsidRDefault="00F539C5" w:rsidP="00F539C5">
      <w:pPr>
        <w:pStyle w:val="OrderBody"/>
      </w:pPr>
    </w:p>
    <w:p w:rsidR="00F539C5" w:rsidRDefault="00F539C5" w:rsidP="00F539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39C5" w:rsidRPr="00C63FCF" w:rsidTr="00C63FCF">
        <w:trPr>
          <w:trHeight w:val="828"/>
        </w:trPr>
        <w:tc>
          <w:tcPr>
            <w:tcW w:w="4788" w:type="dxa"/>
            <w:tcBorders>
              <w:bottom w:val="single" w:sz="8" w:space="0" w:color="auto"/>
              <w:right w:val="double" w:sz="6" w:space="0" w:color="auto"/>
            </w:tcBorders>
            <w:shd w:val="clear" w:color="auto" w:fill="auto"/>
          </w:tcPr>
          <w:p w:rsidR="00F539C5" w:rsidRDefault="00F539C5" w:rsidP="00C63FCF">
            <w:pPr>
              <w:pStyle w:val="OrderBody"/>
              <w:tabs>
                <w:tab w:val="center" w:pos="4320"/>
                <w:tab w:val="right" w:pos="8640"/>
              </w:tabs>
              <w:jc w:val="left"/>
            </w:pPr>
            <w:r>
              <w:t xml:space="preserve">In re: </w:t>
            </w:r>
            <w:bookmarkStart w:id="0" w:name="SSInRe"/>
            <w:bookmarkEnd w:id="0"/>
            <w:r>
              <w:t>Petition to compel Florida Power &amp; Light to comply with Section 366.91, F.S. and Rule 25.6-065, F.A.C., by Floyd Gonzales and Robert Irwin.</w:t>
            </w:r>
          </w:p>
        </w:tc>
        <w:tc>
          <w:tcPr>
            <w:tcW w:w="4788" w:type="dxa"/>
            <w:tcBorders>
              <w:left w:val="double" w:sz="6" w:space="0" w:color="auto"/>
            </w:tcBorders>
            <w:shd w:val="clear" w:color="auto" w:fill="auto"/>
          </w:tcPr>
          <w:p w:rsidR="00F539C5" w:rsidRDefault="00F539C5" w:rsidP="00F539C5">
            <w:pPr>
              <w:pStyle w:val="OrderBody"/>
            </w:pPr>
            <w:r>
              <w:t xml:space="preserve">DOCKET NO. </w:t>
            </w:r>
            <w:bookmarkStart w:id="1" w:name="SSDocketNo"/>
            <w:bookmarkEnd w:id="1"/>
            <w:r>
              <w:t>20190167-EI</w:t>
            </w:r>
          </w:p>
          <w:p w:rsidR="00F539C5" w:rsidRDefault="00F539C5" w:rsidP="00C63FCF">
            <w:pPr>
              <w:pStyle w:val="OrderBody"/>
              <w:tabs>
                <w:tab w:val="center" w:pos="4320"/>
                <w:tab w:val="right" w:pos="8640"/>
              </w:tabs>
              <w:jc w:val="left"/>
            </w:pPr>
            <w:r>
              <w:t xml:space="preserve">ORDER NO. </w:t>
            </w:r>
            <w:bookmarkStart w:id="2" w:name="OrderNo0016"/>
            <w:r w:rsidR="0027009A">
              <w:t>PSC-2020-0016-PCO-EI</w:t>
            </w:r>
            <w:bookmarkEnd w:id="2"/>
          </w:p>
          <w:p w:rsidR="00F539C5" w:rsidRDefault="00F539C5" w:rsidP="00C63FCF">
            <w:pPr>
              <w:pStyle w:val="OrderBody"/>
              <w:tabs>
                <w:tab w:val="center" w:pos="4320"/>
                <w:tab w:val="right" w:pos="8640"/>
              </w:tabs>
              <w:jc w:val="left"/>
            </w:pPr>
            <w:r>
              <w:t xml:space="preserve">ISSUED: </w:t>
            </w:r>
            <w:r w:rsidR="0027009A">
              <w:t>January 9, 2020</w:t>
            </w:r>
          </w:p>
        </w:tc>
      </w:tr>
    </w:tbl>
    <w:p w:rsidR="00F539C5" w:rsidRDefault="00F539C5" w:rsidP="00F539C5"/>
    <w:p w:rsidR="00F539C5" w:rsidRDefault="00F539C5" w:rsidP="00F539C5"/>
    <w:p w:rsidR="00CB5276" w:rsidRDefault="00F539C5" w:rsidP="00F539C5">
      <w:pPr>
        <w:pStyle w:val="CenterUnderline"/>
      </w:pPr>
      <w:bookmarkStart w:id="3" w:name="Commissioners"/>
      <w:bookmarkEnd w:id="3"/>
      <w:r>
        <w:t>ORDER</w:t>
      </w:r>
      <w:bookmarkStart w:id="4" w:name="OrderTitle"/>
      <w:r w:rsidR="001F6148">
        <w:t xml:space="preserve"> DENYING PETITION TO INTERVENE</w:t>
      </w:r>
      <w:bookmarkEnd w:id="4"/>
    </w:p>
    <w:p w:rsidR="001F6148" w:rsidRDefault="001F6148" w:rsidP="00F539C5">
      <w:pPr>
        <w:pStyle w:val="CenterUnderline"/>
      </w:pPr>
    </w:p>
    <w:p w:rsidR="001F6148" w:rsidRDefault="00203939" w:rsidP="001F6148">
      <w:pPr>
        <w:pStyle w:val="CenterUnderline"/>
        <w:jc w:val="both"/>
        <w:rPr>
          <w:u w:val="none"/>
        </w:rPr>
      </w:pPr>
      <w:r>
        <w:rPr>
          <w:u w:val="none"/>
        </w:rPr>
        <w:tab/>
      </w:r>
      <w:r w:rsidR="00716BE9">
        <w:rPr>
          <w:u w:val="none"/>
        </w:rPr>
        <w:t>The Florida Public Service Commission (Commission) opened this Docket to address a petition filed by Floyd Gonzales and Robert Irwin (Gonzales/Irwin) to compel Florida Power &amp; Light (FPL) to comply with Section 366.91, F.S., and Rule 25-6.065, F.A.C., and thereby permit Gonzales/Irwin to participate in FPL’s net metering program.</w:t>
      </w:r>
      <w:r w:rsidR="00716BE9" w:rsidRPr="00497FE6">
        <w:rPr>
          <w:u w:val="none"/>
        </w:rPr>
        <w:t xml:space="preserve"> </w:t>
      </w:r>
      <w:r w:rsidR="00716BE9">
        <w:rPr>
          <w:u w:val="none"/>
        </w:rPr>
        <w:t xml:space="preserve">Gonzales/Irwin also asked for a refund based upon the delay in being permitted to join the program. </w:t>
      </w:r>
      <w:r w:rsidR="001F6148" w:rsidRPr="001F6148">
        <w:rPr>
          <w:u w:val="none"/>
        </w:rPr>
        <w:t>On January 6, 20</w:t>
      </w:r>
      <w:r w:rsidR="001F6148">
        <w:rPr>
          <w:u w:val="none"/>
        </w:rPr>
        <w:t>20, pursuant to Section</w:t>
      </w:r>
      <w:r w:rsidR="00631228">
        <w:rPr>
          <w:u w:val="none"/>
        </w:rPr>
        <w:t>s</w:t>
      </w:r>
      <w:r w:rsidR="001F6148">
        <w:rPr>
          <w:u w:val="none"/>
        </w:rPr>
        <w:t xml:space="preserve"> </w:t>
      </w:r>
      <w:r w:rsidR="00631228">
        <w:rPr>
          <w:u w:val="none"/>
        </w:rPr>
        <w:t xml:space="preserve">120.569 and </w:t>
      </w:r>
      <w:r w:rsidR="001F6148">
        <w:rPr>
          <w:u w:val="none"/>
        </w:rPr>
        <w:t>120.57</w:t>
      </w:r>
      <w:r w:rsidR="00631228">
        <w:rPr>
          <w:u w:val="none"/>
        </w:rPr>
        <w:t>,</w:t>
      </w:r>
      <w:r w:rsidR="001F6148">
        <w:rPr>
          <w:u w:val="none"/>
        </w:rPr>
        <w:t xml:space="preserve"> Florida Statutes (F.S.), and Rule 28-106.205, Florida Administrative Code (F.A.C.), </w:t>
      </w:r>
      <w:proofErr w:type="spellStart"/>
      <w:r w:rsidR="001F6148">
        <w:rPr>
          <w:u w:val="none"/>
        </w:rPr>
        <w:t>Achim</w:t>
      </w:r>
      <w:proofErr w:type="spellEnd"/>
      <w:r w:rsidR="001F6148">
        <w:rPr>
          <w:u w:val="none"/>
        </w:rPr>
        <w:t xml:space="preserve"> Ginsberg-</w:t>
      </w:r>
      <w:proofErr w:type="spellStart"/>
      <w:r w:rsidR="001F6148">
        <w:rPr>
          <w:u w:val="none"/>
        </w:rPr>
        <w:t>Klemmt</w:t>
      </w:r>
      <w:proofErr w:type="spellEnd"/>
      <w:r w:rsidR="001F6148">
        <w:rPr>
          <w:u w:val="none"/>
        </w:rPr>
        <w:t xml:space="preserve"> (</w:t>
      </w:r>
      <w:r w:rsidR="008A0E03">
        <w:rPr>
          <w:u w:val="none"/>
        </w:rPr>
        <w:t>Ginsberg-</w:t>
      </w:r>
      <w:proofErr w:type="spellStart"/>
      <w:r w:rsidR="008A0E03">
        <w:rPr>
          <w:u w:val="none"/>
        </w:rPr>
        <w:t>Klemmt</w:t>
      </w:r>
      <w:proofErr w:type="spellEnd"/>
      <w:r w:rsidR="00C405C6">
        <w:rPr>
          <w:u w:val="none"/>
        </w:rPr>
        <w:t>)</w:t>
      </w:r>
      <w:r w:rsidR="001F6148">
        <w:rPr>
          <w:u w:val="none"/>
        </w:rPr>
        <w:t xml:space="preserve"> filed a Petition to </w:t>
      </w:r>
      <w:proofErr w:type="gramStart"/>
      <w:r w:rsidR="001F6148">
        <w:rPr>
          <w:u w:val="none"/>
        </w:rPr>
        <w:t>Intervene</w:t>
      </w:r>
      <w:proofErr w:type="gramEnd"/>
      <w:r w:rsidR="001F6148">
        <w:rPr>
          <w:u w:val="none"/>
        </w:rPr>
        <w:t xml:space="preserve"> in th</w:t>
      </w:r>
      <w:r w:rsidR="008A0E03">
        <w:rPr>
          <w:u w:val="none"/>
        </w:rPr>
        <w:t>is</w:t>
      </w:r>
      <w:r w:rsidR="001F6148">
        <w:rPr>
          <w:u w:val="none"/>
        </w:rPr>
        <w:t xml:space="preserve"> docket</w:t>
      </w:r>
      <w:r w:rsidR="008A0E03">
        <w:rPr>
          <w:u w:val="none"/>
        </w:rPr>
        <w:t>. Ginsberg-</w:t>
      </w:r>
      <w:proofErr w:type="spellStart"/>
      <w:r w:rsidR="008A0E03">
        <w:rPr>
          <w:u w:val="none"/>
        </w:rPr>
        <w:t>Klemmt</w:t>
      </w:r>
      <w:proofErr w:type="spellEnd"/>
      <w:r w:rsidR="008A0E03">
        <w:rPr>
          <w:u w:val="none"/>
        </w:rPr>
        <w:t xml:space="preserve"> </w:t>
      </w:r>
      <w:r w:rsidR="00716BE9">
        <w:rPr>
          <w:u w:val="none"/>
        </w:rPr>
        <w:t xml:space="preserve">states </w:t>
      </w:r>
      <w:r w:rsidR="00C405C6">
        <w:rPr>
          <w:u w:val="none"/>
        </w:rPr>
        <w:t>that FPL opposes the intervention and counsel for Gonzales</w:t>
      </w:r>
      <w:r w:rsidR="007F086B">
        <w:rPr>
          <w:u w:val="none"/>
        </w:rPr>
        <w:t>/</w:t>
      </w:r>
      <w:r w:rsidR="00C405C6">
        <w:rPr>
          <w:u w:val="none"/>
        </w:rPr>
        <w:t>Irwin has been silent on the question.</w:t>
      </w:r>
    </w:p>
    <w:p w:rsidR="001F6148" w:rsidRDefault="001F6148" w:rsidP="001F6148">
      <w:pPr>
        <w:pStyle w:val="CenterUnderline"/>
        <w:jc w:val="both"/>
        <w:rPr>
          <w:u w:val="none"/>
        </w:rPr>
      </w:pPr>
    </w:p>
    <w:p w:rsidR="00FE1C8C" w:rsidRDefault="00203939" w:rsidP="001F6148">
      <w:pPr>
        <w:pStyle w:val="CenterUnderline"/>
        <w:jc w:val="both"/>
        <w:rPr>
          <w:u w:val="none"/>
        </w:rPr>
      </w:pPr>
      <w:r>
        <w:rPr>
          <w:u w:val="none"/>
        </w:rPr>
        <w:tab/>
      </w:r>
      <w:r w:rsidR="001F6148">
        <w:rPr>
          <w:u w:val="none"/>
        </w:rPr>
        <w:t xml:space="preserve">This </w:t>
      </w:r>
      <w:r w:rsidR="00716BE9">
        <w:rPr>
          <w:u w:val="none"/>
        </w:rPr>
        <w:t xml:space="preserve">docket </w:t>
      </w:r>
      <w:r w:rsidR="001F6148">
        <w:rPr>
          <w:u w:val="none"/>
        </w:rPr>
        <w:t>has been noticed for consideration at the Commission</w:t>
      </w:r>
      <w:r w:rsidR="008A0E03">
        <w:rPr>
          <w:u w:val="none"/>
        </w:rPr>
        <w:t>’s</w:t>
      </w:r>
      <w:r w:rsidR="00180F20">
        <w:rPr>
          <w:u w:val="none"/>
        </w:rPr>
        <w:t xml:space="preserve"> </w:t>
      </w:r>
      <w:r w:rsidR="001F6148">
        <w:rPr>
          <w:u w:val="none"/>
        </w:rPr>
        <w:t xml:space="preserve">January 14, 2020 Agenda Conference as a </w:t>
      </w:r>
      <w:r w:rsidR="00FE1C8C">
        <w:rPr>
          <w:u w:val="none"/>
        </w:rPr>
        <w:t>P</w:t>
      </w:r>
      <w:r w:rsidR="001F6148">
        <w:rPr>
          <w:u w:val="none"/>
        </w:rPr>
        <w:t xml:space="preserve">roposed </w:t>
      </w:r>
      <w:r w:rsidR="00FE1C8C">
        <w:rPr>
          <w:u w:val="none"/>
        </w:rPr>
        <w:t>A</w:t>
      </w:r>
      <w:r w:rsidR="001F6148">
        <w:rPr>
          <w:u w:val="none"/>
        </w:rPr>
        <w:t xml:space="preserve">gency </w:t>
      </w:r>
      <w:r w:rsidR="00FE1C8C">
        <w:rPr>
          <w:u w:val="none"/>
        </w:rPr>
        <w:t>A</w:t>
      </w:r>
      <w:r w:rsidR="001F6148">
        <w:rPr>
          <w:u w:val="none"/>
        </w:rPr>
        <w:t xml:space="preserve">ction </w:t>
      </w:r>
      <w:r w:rsidR="00497FE6">
        <w:rPr>
          <w:u w:val="none"/>
        </w:rPr>
        <w:t xml:space="preserve">decision </w:t>
      </w:r>
      <w:r w:rsidR="001F6148">
        <w:rPr>
          <w:u w:val="none"/>
        </w:rPr>
        <w:t>in which interested persons may participate.</w:t>
      </w:r>
      <w:r w:rsidR="00C405C6">
        <w:rPr>
          <w:u w:val="none"/>
        </w:rPr>
        <w:t xml:space="preserve"> </w:t>
      </w:r>
      <w:r w:rsidR="00180F20">
        <w:rPr>
          <w:u w:val="none"/>
        </w:rPr>
        <w:t>A formal hearing is not currently scheduled</w:t>
      </w:r>
      <w:r w:rsidR="009148EA">
        <w:rPr>
          <w:u w:val="none"/>
        </w:rPr>
        <w:t xml:space="preserve"> </w:t>
      </w:r>
      <w:r w:rsidR="00541D8F">
        <w:rPr>
          <w:u w:val="none"/>
        </w:rPr>
        <w:t>in this matter. T</w:t>
      </w:r>
      <w:r w:rsidR="009148EA">
        <w:rPr>
          <w:u w:val="none"/>
        </w:rPr>
        <w:t xml:space="preserve">he point of entry into </w:t>
      </w:r>
      <w:r w:rsidR="00425481">
        <w:rPr>
          <w:u w:val="none"/>
        </w:rPr>
        <w:t>this proceeding</w:t>
      </w:r>
      <w:r w:rsidR="00541D8F">
        <w:rPr>
          <w:u w:val="none"/>
        </w:rPr>
        <w:t xml:space="preserve">, </w:t>
      </w:r>
      <w:r w:rsidR="00425481">
        <w:rPr>
          <w:u w:val="none"/>
        </w:rPr>
        <w:t>which is</w:t>
      </w:r>
      <w:r w:rsidR="00541D8F">
        <w:rPr>
          <w:u w:val="none"/>
        </w:rPr>
        <w:t xml:space="preserve"> </w:t>
      </w:r>
      <w:r w:rsidR="0016102F">
        <w:rPr>
          <w:u w:val="none"/>
        </w:rPr>
        <w:t>governed</w:t>
      </w:r>
      <w:r w:rsidR="009148EA">
        <w:rPr>
          <w:u w:val="none"/>
        </w:rPr>
        <w:t xml:space="preserve"> by Rule 25-22.029, F.A.C.</w:t>
      </w:r>
      <w:r w:rsidR="00541D8F">
        <w:rPr>
          <w:u w:val="none"/>
        </w:rPr>
        <w:t>,</w:t>
      </w:r>
      <w:r w:rsidR="009148EA">
        <w:rPr>
          <w:u w:val="none"/>
        </w:rPr>
        <w:t xml:space="preserve"> </w:t>
      </w:r>
      <w:r w:rsidR="00541D8F">
        <w:rPr>
          <w:u w:val="none"/>
        </w:rPr>
        <w:t xml:space="preserve">is not contemplated until a Proposed Agency Action Order is issued </w:t>
      </w:r>
      <w:r w:rsidR="00FE1C8C">
        <w:rPr>
          <w:u w:val="none"/>
        </w:rPr>
        <w:t>addressing the merits of the case. That has not yet occurred in this case and therefore, the Ginsburg-</w:t>
      </w:r>
      <w:proofErr w:type="spellStart"/>
      <w:r w:rsidR="00FE1C8C">
        <w:rPr>
          <w:u w:val="none"/>
        </w:rPr>
        <w:t>Klemmt</w:t>
      </w:r>
      <w:proofErr w:type="spellEnd"/>
      <w:r w:rsidR="00FE1C8C">
        <w:rPr>
          <w:u w:val="none"/>
        </w:rPr>
        <w:t xml:space="preserve"> petition to intervene is </w:t>
      </w:r>
      <w:r w:rsidR="007B0498">
        <w:rPr>
          <w:u w:val="none"/>
        </w:rPr>
        <w:t>premature</w:t>
      </w:r>
      <w:r w:rsidR="00FE1C8C">
        <w:rPr>
          <w:u w:val="none"/>
        </w:rPr>
        <w:t xml:space="preserve"> </w:t>
      </w:r>
      <w:r w:rsidR="00DF7FEA" w:rsidRPr="00347DDA">
        <w:rPr>
          <w:u w:val="none"/>
        </w:rPr>
        <w:t>and thus, inappropriate</w:t>
      </w:r>
      <w:r w:rsidR="00DF7FEA">
        <w:rPr>
          <w:u w:val="none"/>
        </w:rPr>
        <w:t xml:space="preserve"> </w:t>
      </w:r>
      <w:r w:rsidR="00FE1C8C">
        <w:rPr>
          <w:u w:val="none"/>
        </w:rPr>
        <w:t xml:space="preserve">under the Rule. </w:t>
      </w:r>
    </w:p>
    <w:p w:rsidR="00FE1C8C" w:rsidRDefault="00FE1C8C" w:rsidP="001F6148">
      <w:pPr>
        <w:pStyle w:val="CenterUnderline"/>
        <w:jc w:val="both"/>
        <w:rPr>
          <w:u w:val="none"/>
        </w:rPr>
      </w:pPr>
    </w:p>
    <w:p w:rsidR="009148EA" w:rsidRDefault="00FE1C8C" w:rsidP="001F6148">
      <w:pPr>
        <w:pStyle w:val="CenterUnderline"/>
        <w:jc w:val="both"/>
        <w:rPr>
          <w:u w:val="none"/>
        </w:rPr>
      </w:pPr>
      <w:r>
        <w:rPr>
          <w:u w:val="none"/>
        </w:rPr>
        <w:tab/>
      </w:r>
      <w:r w:rsidR="00541D8F">
        <w:rPr>
          <w:u w:val="none"/>
        </w:rPr>
        <w:t>Moreover, t</w:t>
      </w:r>
      <w:r w:rsidR="00541D8F" w:rsidRPr="00541D8F">
        <w:rPr>
          <w:u w:val="none"/>
        </w:rPr>
        <w:t xml:space="preserve">his is not a generic </w:t>
      </w:r>
      <w:r w:rsidR="007469A0">
        <w:rPr>
          <w:u w:val="none"/>
        </w:rPr>
        <w:t>d</w:t>
      </w:r>
      <w:r w:rsidR="007469A0" w:rsidRPr="00541D8F">
        <w:rPr>
          <w:u w:val="none"/>
        </w:rPr>
        <w:t>ocket</w:t>
      </w:r>
      <w:r w:rsidR="00425481" w:rsidRPr="00541D8F">
        <w:rPr>
          <w:u w:val="none"/>
        </w:rPr>
        <w:t>;</w:t>
      </w:r>
      <w:r w:rsidR="00541D8F" w:rsidRPr="00541D8F">
        <w:rPr>
          <w:u w:val="none"/>
        </w:rPr>
        <w:t xml:space="preserve"> </w:t>
      </w:r>
      <w:r>
        <w:rPr>
          <w:u w:val="none"/>
        </w:rPr>
        <w:t xml:space="preserve">it is more akin to a complaint by </w:t>
      </w:r>
      <w:r w:rsidRPr="00541D8F">
        <w:rPr>
          <w:u w:val="none"/>
        </w:rPr>
        <w:t xml:space="preserve">Gonzales/Irwin </w:t>
      </w:r>
      <w:r>
        <w:rPr>
          <w:u w:val="none"/>
        </w:rPr>
        <w:t>against FPL. W</w:t>
      </w:r>
      <w:r w:rsidR="00541D8F" w:rsidRPr="00541D8F">
        <w:rPr>
          <w:u w:val="none"/>
        </w:rPr>
        <w:t xml:space="preserve">hile the referenced </w:t>
      </w:r>
      <w:r>
        <w:rPr>
          <w:u w:val="none"/>
        </w:rPr>
        <w:t>R</w:t>
      </w:r>
      <w:r w:rsidR="00541D8F" w:rsidRPr="00541D8F">
        <w:rPr>
          <w:u w:val="none"/>
        </w:rPr>
        <w:t xml:space="preserve">ule governs the point of entry into </w:t>
      </w:r>
      <w:r>
        <w:rPr>
          <w:u w:val="none"/>
        </w:rPr>
        <w:t>this P</w:t>
      </w:r>
      <w:r w:rsidR="00541D8F" w:rsidRPr="00541D8F">
        <w:rPr>
          <w:u w:val="none"/>
        </w:rPr>
        <w:t xml:space="preserve">roposed </w:t>
      </w:r>
      <w:r>
        <w:rPr>
          <w:u w:val="none"/>
        </w:rPr>
        <w:t>A</w:t>
      </w:r>
      <w:r w:rsidR="00541D8F" w:rsidRPr="00541D8F">
        <w:rPr>
          <w:u w:val="none"/>
        </w:rPr>
        <w:t xml:space="preserve">gency </w:t>
      </w:r>
      <w:r>
        <w:rPr>
          <w:u w:val="none"/>
        </w:rPr>
        <w:t>A</w:t>
      </w:r>
      <w:r w:rsidR="00541D8F" w:rsidRPr="00541D8F">
        <w:rPr>
          <w:u w:val="none"/>
        </w:rPr>
        <w:t xml:space="preserve">ction proceeding, </w:t>
      </w:r>
      <w:r w:rsidR="00DF7FEA" w:rsidRPr="00347DDA">
        <w:rPr>
          <w:u w:val="none"/>
        </w:rPr>
        <w:t xml:space="preserve">if no </w:t>
      </w:r>
      <w:r w:rsidRPr="00347DDA">
        <w:rPr>
          <w:u w:val="none"/>
        </w:rPr>
        <w:t>issues</w:t>
      </w:r>
      <w:r w:rsidR="00DF7FEA" w:rsidRPr="00347DDA">
        <w:rPr>
          <w:u w:val="none"/>
        </w:rPr>
        <w:t xml:space="preserve"> </w:t>
      </w:r>
      <w:r w:rsidRPr="00347DDA">
        <w:rPr>
          <w:u w:val="none"/>
        </w:rPr>
        <w:t>remain</w:t>
      </w:r>
      <w:r>
        <w:rPr>
          <w:u w:val="none"/>
        </w:rPr>
        <w:t xml:space="preserve"> between </w:t>
      </w:r>
      <w:r w:rsidR="00541D8F" w:rsidRPr="00541D8F">
        <w:rPr>
          <w:u w:val="none"/>
        </w:rPr>
        <w:t>Gonzales/Irwin and FPL</w:t>
      </w:r>
      <w:r w:rsidR="00541D8F">
        <w:rPr>
          <w:u w:val="none"/>
        </w:rPr>
        <w:t xml:space="preserve"> </w:t>
      </w:r>
      <w:r>
        <w:rPr>
          <w:u w:val="none"/>
        </w:rPr>
        <w:t xml:space="preserve">when a Proposed Agency </w:t>
      </w:r>
      <w:r w:rsidR="00425481">
        <w:rPr>
          <w:u w:val="none"/>
        </w:rPr>
        <w:t>Action</w:t>
      </w:r>
      <w:r>
        <w:rPr>
          <w:u w:val="none"/>
        </w:rPr>
        <w:t xml:space="preserve"> Order is issued</w:t>
      </w:r>
      <w:r w:rsidR="00DF7FEA">
        <w:rPr>
          <w:u w:val="none"/>
        </w:rPr>
        <w:t xml:space="preserve">, </w:t>
      </w:r>
      <w:r w:rsidR="00541D8F">
        <w:rPr>
          <w:u w:val="none"/>
        </w:rPr>
        <w:t xml:space="preserve">it is unlikely that </w:t>
      </w:r>
      <w:r w:rsidR="00541D8F" w:rsidRPr="00541D8F">
        <w:rPr>
          <w:u w:val="none"/>
        </w:rPr>
        <w:t>Ginsberg-</w:t>
      </w:r>
      <w:proofErr w:type="spellStart"/>
      <w:r w:rsidR="00541D8F" w:rsidRPr="00541D8F">
        <w:rPr>
          <w:u w:val="none"/>
        </w:rPr>
        <w:t>Klemmt</w:t>
      </w:r>
      <w:proofErr w:type="spellEnd"/>
      <w:r w:rsidR="00541D8F" w:rsidRPr="00541D8F">
        <w:rPr>
          <w:u w:val="none"/>
        </w:rPr>
        <w:t xml:space="preserve"> </w:t>
      </w:r>
      <w:r w:rsidR="00541D8F">
        <w:rPr>
          <w:u w:val="none"/>
        </w:rPr>
        <w:t xml:space="preserve">will be able to establish standing in this </w:t>
      </w:r>
      <w:r>
        <w:rPr>
          <w:u w:val="none"/>
        </w:rPr>
        <w:t>D</w:t>
      </w:r>
      <w:r w:rsidR="00541D8F">
        <w:rPr>
          <w:u w:val="none"/>
        </w:rPr>
        <w:t>ocket.</w:t>
      </w:r>
      <w:r w:rsidR="00DF7FEA">
        <w:rPr>
          <w:u w:val="none"/>
        </w:rPr>
        <w:t xml:space="preserve"> </w:t>
      </w:r>
      <w:r w:rsidR="00DF7FEA" w:rsidRPr="00347DDA">
        <w:rPr>
          <w:u w:val="none"/>
        </w:rPr>
        <w:t>Even if</w:t>
      </w:r>
      <w:r w:rsidR="00541D8F" w:rsidRPr="00347DDA">
        <w:rPr>
          <w:u w:val="none"/>
        </w:rPr>
        <w:t xml:space="preserve"> </w:t>
      </w:r>
      <w:r w:rsidR="00DF7FEA" w:rsidRPr="00347DDA">
        <w:rPr>
          <w:u w:val="none"/>
        </w:rPr>
        <w:t xml:space="preserve">specific factual disputes remain between Gonzales/Irwin and FPL, such issues are </w:t>
      </w:r>
      <w:r w:rsidR="00BF1EA4" w:rsidRPr="00347DDA">
        <w:rPr>
          <w:u w:val="none"/>
        </w:rPr>
        <w:t>particular</w:t>
      </w:r>
      <w:r w:rsidR="00DF7FEA" w:rsidRPr="00347DDA">
        <w:rPr>
          <w:u w:val="none"/>
        </w:rPr>
        <w:t xml:space="preserve"> to those parties.</w:t>
      </w:r>
      <w:r w:rsidR="00D82914">
        <w:rPr>
          <w:u w:val="none"/>
        </w:rPr>
        <w:t xml:space="preserve"> As such, </w:t>
      </w:r>
      <w:r w:rsidR="00C405C6">
        <w:rPr>
          <w:u w:val="none"/>
        </w:rPr>
        <w:t xml:space="preserve">intervention </w:t>
      </w:r>
      <w:r w:rsidR="003C631A">
        <w:rPr>
          <w:u w:val="none"/>
        </w:rPr>
        <w:t>shall be</w:t>
      </w:r>
      <w:r w:rsidR="00C405C6">
        <w:rPr>
          <w:u w:val="none"/>
        </w:rPr>
        <w:t xml:space="preserve"> denied without prejudice. </w:t>
      </w:r>
    </w:p>
    <w:p w:rsidR="00C405C6" w:rsidRDefault="009148EA" w:rsidP="001F6148">
      <w:pPr>
        <w:pStyle w:val="CenterUnderline"/>
        <w:jc w:val="both"/>
        <w:rPr>
          <w:u w:val="none"/>
        </w:rPr>
      </w:pPr>
      <w:r>
        <w:rPr>
          <w:u w:val="none"/>
        </w:rPr>
        <w:t xml:space="preserve">  </w:t>
      </w:r>
    </w:p>
    <w:p w:rsidR="00F539C5" w:rsidRPr="00817318" w:rsidRDefault="00711C96" w:rsidP="00F539C5">
      <w:pPr>
        <w:pStyle w:val="ListParagraph"/>
        <w:ind w:left="0"/>
        <w:jc w:val="both"/>
        <w:rPr>
          <w:rFonts w:ascii="Times New Roman" w:hAnsi="Times New Roman"/>
          <w:iCs/>
          <w:color w:val="212121"/>
        </w:rPr>
      </w:pPr>
      <w:r>
        <w:rPr>
          <w:rFonts w:ascii="Times New Roman" w:hAnsi="Times New Roman"/>
          <w:iCs/>
          <w:color w:val="212121"/>
        </w:rPr>
        <w:tab/>
      </w:r>
      <w:r w:rsidR="00F539C5" w:rsidRPr="00817318">
        <w:rPr>
          <w:rFonts w:ascii="Times New Roman" w:hAnsi="Times New Roman"/>
          <w:iCs/>
          <w:color w:val="212121"/>
        </w:rPr>
        <w:t>Therefore, it is</w:t>
      </w:r>
      <w:r w:rsidR="007469A0">
        <w:rPr>
          <w:rFonts w:ascii="Times New Roman" w:hAnsi="Times New Roman"/>
          <w:iCs/>
          <w:color w:val="212121"/>
        </w:rPr>
        <w:t xml:space="preserve"> hereby</w:t>
      </w:r>
    </w:p>
    <w:p w:rsidR="00F539C5" w:rsidRPr="00817318" w:rsidRDefault="00F539C5" w:rsidP="00F539C5">
      <w:pPr>
        <w:pStyle w:val="ListParagraph"/>
        <w:ind w:left="0"/>
        <w:jc w:val="both"/>
        <w:rPr>
          <w:rFonts w:ascii="Times New Roman" w:hAnsi="Times New Roman"/>
          <w:iCs/>
          <w:color w:val="212121"/>
        </w:rPr>
      </w:pPr>
    </w:p>
    <w:p w:rsidR="00F539C5" w:rsidRPr="00817318" w:rsidRDefault="00F539C5" w:rsidP="00F539C5">
      <w:pPr>
        <w:pStyle w:val="ListParagraph"/>
        <w:ind w:left="0"/>
        <w:jc w:val="both"/>
        <w:rPr>
          <w:rFonts w:ascii="Times New Roman" w:hAnsi="Times New Roman"/>
          <w:iCs/>
          <w:color w:val="212121"/>
        </w:rPr>
      </w:pPr>
      <w:r w:rsidRPr="00817318">
        <w:rPr>
          <w:rFonts w:ascii="Times New Roman" w:hAnsi="Times New Roman"/>
          <w:iCs/>
          <w:color w:val="212121"/>
        </w:rPr>
        <w:tab/>
        <w:t>ORDERED by Commissioner</w:t>
      </w:r>
      <w:r>
        <w:rPr>
          <w:rFonts w:ascii="Times New Roman" w:hAnsi="Times New Roman"/>
          <w:iCs/>
          <w:color w:val="212121"/>
        </w:rPr>
        <w:t xml:space="preserve"> Julie I. Brown</w:t>
      </w:r>
      <w:r w:rsidRPr="00817318">
        <w:rPr>
          <w:rFonts w:ascii="Times New Roman" w:hAnsi="Times New Roman"/>
          <w:iCs/>
          <w:color w:val="212121"/>
        </w:rPr>
        <w:t xml:space="preserve">, as Prehearing Officer, that the </w:t>
      </w:r>
      <w:r>
        <w:rPr>
          <w:rFonts w:ascii="Times New Roman" w:hAnsi="Times New Roman"/>
          <w:iCs/>
          <w:color w:val="212121"/>
        </w:rPr>
        <w:t>Petition</w:t>
      </w:r>
      <w:r w:rsidR="00180F20">
        <w:rPr>
          <w:rFonts w:ascii="Times New Roman" w:hAnsi="Times New Roman"/>
          <w:iCs/>
          <w:color w:val="212121"/>
        </w:rPr>
        <w:t xml:space="preserve"> to </w:t>
      </w:r>
      <w:proofErr w:type="gramStart"/>
      <w:r w:rsidR="00180F20">
        <w:rPr>
          <w:rFonts w:ascii="Times New Roman" w:hAnsi="Times New Roman"/>
          <w:iCs/>
          <w:color w:val="212121"/>
        </w:rPr>
        <w:t>Intervene</w:t>
      </w:r>
      <w:proofErr w:type="gramEnd"/>
      <w:r w:rsidR="00180F20">
        <w:rPr>
          <w:rFonts w:ascii="Times New Roman" w:hAnsi="Times New Roman"/>
          <w:iCs/>
          <w:color w:val="212121"/>
        </w:rPr>
        <w:t xml:space="preserve"> filed by </w:t>
      </w:r>
      <w:proofErr w:type="spellStart"/>
      <w:r w:rsidR="00180F20">
        <w:rPr>
          <w:rFonts w:ascii="Times New Roman" w:hAnsi="Times New Roman"/>
          <w:iCs/>
          <w:color w:val="212121"/>
        </w:rPr>
        <w:t>Achim</w:t>
      </w:r>
      <w:proofErr w:type="spellEnd"/>
      <w:r w:rsidR="00180F20">
        <w:rPr>
          <w:rFonts w:ascii="Times New Roman" w:hAnsi="Times New Roman"/>
          <w:iCs/>
          <w:color w:val="212121"/>
        </w:rPr>
        <w:t xml:space="preserve"> Ginsberg-</w:t>
      </w:r>
      <w:proofErr w:type="spellStart"/>
      <w:r w:rsidR="00180F20">
        <w:rPr>
          <w:rFonts w:ascii="Times New Roman" w:hAnsi="Times New Roman"/>
          <w:iCs/>
          <w:color w:val="212121"/>
        </w:rPr>
        <w:t>Klemmt</w:t>
      </w:r>
      <w:proofErr w:type="spellEnd"/>
      <w:r w:rsidR="00180F20">
        <w:rPr>
          <w:rFonts w:ascii="Times New Roman" w:hAnsi="Times New Roman"/>
          <w:iCs/>
          <w:color w:val="212121"/>
        </w:rPr>
        <w:t xml:space="preserve"> on January 6, 2020, is hereby denied without prejudice. </w:t>
      </w:r>
      <w:r w:rsidRPr="00817318">
        <w:rPr>
          <w:rFonts w:ascii="Times New Roman" w:hAnsi="Times New Roman"/>
          <w:iCs/>
          <w:color w:val="212121"/>
        </w:rPr>
        <w:t xml:space="preserve"> </w:t>
      </w:r>
    </w:p>
    <w:p w:rsidR="00F539C5" w:rsidRDefault="00F539C5" w:rsidP="00F539C5">
      <w:pPr>
        <w:pStyle w:val="ListParagraph"/>
        <w:ind w:left="0"/>
        <w:jc w:val="both"/>
        <w:rPr>
          <w:rFonts w:ascii="Times New Roman" w:hAnsi="Times New Roman"/>
          <w:iCs/>
          <w:color w:val="212121"/>
        </w:rPr>
      </w:pPr>
    </w:p>
    <w:p w:rsidR="00F539C5" w:rsidRDefault="00F539C5" w:rsidP="00F539C5">
      <w:pPr>
        <w:pStyle w:val="ListParagraph"/>
        <w:keepNext/>
        <w:keepLines/>
        <w:ind w:left="0"/>
        <w:jc w:val="both"/>
        <w:rPr>
          <w:rFonts w:ascii="Times New Roman" w:hAnsi="Times New Roman"/>
          <w:iCs/>
          <w:color w:val="212121"/>
        </w:rPr>
      </w:pPr>
      <w:r>
        <w:rPr>
          <w:rFonts w:ascii="Times New Roman" w:hAnsi="Times New Roman"/>
          <w:iCs/>
          <w:color w:val="212121"/>
        </w:rPr>
        <w:lastRenderedPageBreak/>
        <w:tab/>
      </w:r>
      <w:proofErr w:type="gramStart"/>
      <w:r>
        <w:rPr>
          <w:rFonts w:ascii="Times New Roman" w:hAnsi="Times New Roman"/>
          <w:iCs/>
          <w:color w:val="212121"/>
        </w:rPr>
        <w:t xml:space="preserve">By ORDER of Commissioner Julie I. Brown, as Prehearing Officer, this </w:t>
      </w:r>
      <w:bookmarkStart w:id="5" w:name="replaceDate"/>
      <w:bookmarkEnd w:id="5"/>
      <w:r w:rsidR="0027009A">
        <w:rPr>
          <w:rFonts w:ascii="Times New Roman" w:hAnsi="Times New Roman"/>
          <w:iCs/>
          <w:color w:val="212121"/>
          <w:u w:val="single"/>
        </w:rPr>
        <w:t>9th</w:t>
      </w:r>
      <w:r w:rsidR="0027009A">
        <w:rPr>
          <w:rFonts w:ascii="Times New Roman" w:hAnsi="Times New Roman"/>
          <w:iCs/>
          <w:color w:val="212121"/>
        </w:rPr>
        <w:t xml:space="preserve"> day of </w:t>
      </w:r>
      <w:r w:rsidR="0027009A">
        <w:rPr>
          <w:rFonts w:ascii="Times New Roman" w:hAnsi="Times New Roman"/>
          <w:iCs/>
          <w:color w:val="212121"/>
          <w:u w:val="single"/>
        </w:rPr>
        <w:t>January</w:t>
      </w:r>
      <w:r w:rsidR="0027009A">
        <w:rPr>
          <w:rFonts w:ascii="Times New Roman" w:hAnsi="Times New Roman"/>
          <w:iCs/>
          <w:color w:val="212121"/>
        </w:rPr>
        <w:t xml:space="preserve">, </w:t>
      </w:r>
      <w:r w:rsidR="0027009A">
        <w:rPr>
          <w:rFonts w:ascii="Times New Roman" w:hAnsi="Times New Roman"/>
          <w:iCs/>
          <w:color w:val="212121"/>
          <w:u w:val="single"/>
        </w:rPr>
        <w:t>2020</w:t>
      </w:r>
      <w:r w:rsidR="0027009A">
        <w:rPr>
          <w:rFonts w:ascii="Times New Roman" w:hAnsi="Times New Roman"/>
          <w:iCs/>
          <w:color w:val="212121"/>
        </w:rPr>
        <w:t>.</w:t>
      </w:r>
      <w:proofErr w:type="gramEnd"/>
    </w:p>
    <w:p w:rsidR="0027009A" w:rsidRPr="0027009A" w:rsidRDefault="0027009A" w:rsidP="00F539C5">
      <w:pPr>
        <w:pStyle w:val="ListParagraph"/>
        <w:keepNext/>
        <w:keepLines/>
        <w:ind w:left="0"/>
        <w:jc w:val="both"/>
        <w:rPr>
          <w:rFonts w:ascii="Times New Roman" w:hAnsi="Times New Roman"/>
          <w:iCs/>
          <w:color w:val="212121"/>
        </w:rPr>
      </w:pPr>
    </w:p>
    <w:p w:rsidR="00F539C5" w:rsidRDefault="00F539C5" w:rsidP="00F539C5">
      <w:pPr>
        <w:pStyle w:val="ListParagraph"/>
        <w:keepNext/>
        <w:keepLines/>
        <w:ind w:left="0"/>
        <w:jc w:val="both"/>
        <w:rPr>
          <w:rFonts w:ascii="Times New Roman" w:hAnsi="Times New Roman"/>
          <w:iCs/>
          <w:color w:val="212121"/>
        </w:rPr>
      </w:pPr>
    </w:p>
    <w:p w:rsidR="00F539C5" w:rsidRDefault="00F539C5" w:rsidP="00F539C5">
      <w:pPr>
        <w:pStyle w:val="ListParagraph"/>
        <w:keepNext/>
        <w:keepLines/>
        <w:ind w:left="0"/>
        <w:jc w:val="both"/>
        <w:rPr>
          <w:rFonts w:ascii="Times New Roman" w:hAnsi="Times New Roman"/>
          <w:iCs/>
          <w:color w:val="212121"/>
        </w:rPr>
      </w:pPr>
    </w:p>
    <w:p w:rsidR="00F539C5" w:rsidRDefault="00F539C5" w:rsidP="00F539C5">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F539C5" w:rsidTr="00F539C5">
        <w:tc>
          <w:tcPr>
            <w:tcW w:w="720" w:type="dxa"/>
            <w:shd w:val="clear" w:color="auto" w:fill="auto"/>
          </w:tcPr>
          <w:p w:rsidR="00F539C5" w:rsidRDefault="00F539C5" w:rsidP="00F539C5">
            <w:pPr>
              <w:pStyle w:val="ListParagraph"/>
              <w:keepNext/>
              <w:keepLines/>
              <w:ind w:left="0"/>
              <w:jc w:val="both"/>
              <w:rPr>
                <w:rFonts w:ascii="Times New Roman" w:hAnsi="Times New Roman"/>
                <w:iCs/>
                <w:color w:val="212121"/>
              </w:rPr>
            </w:pPr>
            <w:bookmarkStart w:id="6" w:name="bkmrkSignature" w:colFirst="0" w:colLast="0"/>
          </w:p>
        </w:tc>
        <w:tc>
          <w:tcPr>
            <w:tcW w:w="4320" w:type="dxa"/>
            <w:tcBorders>
              <w:bottom w:val="single" w:sz="4" w:space="0" w:color="auto"/>
            </w:tcBorders>
            <w:shd w:val="clear" w:color="auto" w:fill="auto"/>
          </w:tcPr>
          <w:p w:rsidR="00F539C5" w:rsidRDefault="0027009A" w:rsidP="00F539C5">
            <w:pPr>
              <w:pStyle w:val="ListParagraph"/>
              <w:keepNext/>
              <w:keepLines/>
              <w:ind w:left="0"/>
              <w:jc w:val="both"/>
              <w:rPr>
                <w:rFonts w:ascii="Times New Roman" w:hAnsi="Times New Roman"/>
                <w:iCs/>
                <w:color w:val="212121"/>
              </w:rPr>
            </w:pPr>
            <w:r>
              <w:rPr>
                <w:rFonts w:ascii="Times New Roman" w:hAnsi="Times New Roman"/>
                <w:iCs/>
                <w:color w:val="212121"/>
              </w:rPr>
              <w:t>/s/ Julie I. Brown</w:t>
            </w:r>
            <w:bookmarkStart w:id="7" w:name="_GoBack"/>
            <w:bookmarkEnd w:id="7"/>
          </w:p>
        </w:tc>
      </w:tr>
      <w:bookmarkEnd w:id="6"/>
      <w:tr w:rsidR="00F539C5" w:rsidTr="00F539C5">
        <w:tc>
          <w:tcPr>
            <w:tcW w:w="720" w:type="dxa"/>
            <w:shd w:val="clear" w:color="auto" w:fill="auto"/>
          </w:tcPr>
          <w:p w:rsidR="00F539C5" w:rsidRDefault="00F539C5" w:rsidP="00F539C5">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F539C5" w:rsidRDefault="00F539C5" w:rsidP="00F539C5">
            <w:pPr>
              <w:pStyle w:val="ListParagraph"/>
              <w:keepNext/>
              <w:keepLines/>
              <w:ind w:left="0"/>
              <w:jc w:val="both"/>
              <w:rPr>
                <w:rFonts w:ascii="Times New Roman" w:hAnsi="Times New Roman"/>
                <w:iCs/>
                <w:color w:val="212121"/>
              </w:rPr>
            </w:pPr>
            <w:r>
              <w:rPr>
                <w:rFonts w:ascii="Times New Roman" w:hAnsi="Times New Roman"/>
                <w:iCs/>
                <w:color w:val="212121"/>
              </w:rPr>
              <w:t>JULIE I. BROWN</w:t>
            </w:r>
          </w:p>
          <w:p w:rsidR="00F539C5" w:rsidRDefault="00F539C5" w:rsidP="00F539C5">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rsidR="00F539C5" w:rsidRDefault="00F539C5" w:rsidP="00F539C5">
      <w:pPr>
        <w:pStyle w:val="OrderSigInfo"/>
        <w:keepNext/>
        <w:keepLines/>
      </w:pPr>
      <w:r>
        <w:t>Florida Public Service Commission</w:t>
      </w:r>
    </w:p>
    <w:p w:rsidR="00F539C5" w:rsidRDefault="00F539C5" w:rsidP="00F539C5">
      <w:pPr>
        <w:pStyle w:val="OrderSigInfo"/>
        <w:keepNext/>
        <w:keepLines/>
      </w:pPr>
      <w:r>
        <w:t>2540 Shumard Oak Boulevard</w:t>
      </w:r>
    </w:p>
    <w:p w:rsidR="00F539C5" w:rsidRDefault="00F539C5" w:rsidP="00F539C5">
      <w:pPr>
        <w:pStyle w:val="OrderSigInfo"/>
        <w:keepNext/>
        <w:keepLines/>
      </w:pPr>
      <w:r>
        <w:t>Tallahassee, Florida 32399</w:t>
      </w:r>
    </w:p>
    <w:p w:rsidR="00F539C5" w:rsidRDefault="00F539C5" w:rsidP="00F539C5">
      <w:pPr>
        <w:pStyle w:val="OrderSigInfo"/>
        <w:keepNext/>
        <w:keepLines/>
      </w:pPr>
      <w:r>
        <w:t>(850) 413</w:t>
      </w:r>
      <w:r>
        <w:noBreakHyphen/>
        <w:t>6770</w:t>
      </w:r>
    </w:p>
    <w:p w:rsidR="00F539C5" w:rsidRDefault="00F539C5" w:rsidP="00F539C5">
      <w:pPr>
        <w:pStyle w:val="OrderSigInfo"/>
        <w:keepNext/>
        <w:keepLines/>
      </w:pPr>
      <w:r>
        <w:t>www.floridapsc.com</w:t>
      </w:r>
    </w:p>
    <w:p w:rsidR="00F539C5" w:rsidRDefault="00F539C5" w:rsidP="00F539C5">
      <w:pPr>
        <w:pStyle w:val="OrderSigInfo"/>
        <w:keepNext/>
        <w:keepLines/>
      </w:pPr>
    </w:p>
    <w:p w:rsidR="00F539C5" w:rsidRDefault="00F539C5" w:rsidP="00F539C5">
      <w:pPr>
        <w:pStyle w:val="OrderSigInfo"/>
        <w:keepNext/>
        <w:keepLines/>
      </w:pPr>
      <w:r>
        <w:t>Copies furnished:  A copy of this document is provided to the parties of record at the time of issuance and, if applicable, interested persons.</w:t>
      </w:r>
    </w:p>
    <w:p w:rsidR="00F539C5" w:rsidRDefault="00F539C5" w:rsidP="00F539C5">
      <w:pPr>
        <w:pStyle w:val="OrderBody"/>
        <w:keepNext/>
        <w:keepLines/>
      </w:pPr>
    </w:p>
    <w:p w:rsidR="00F539C5" w:rsidRDefault="00F539C5" w:rsidP="00F539C5">
      <w:pPr>
        <w:pStyle w:val="ListParagraph"/>
        <w:keepNext/>
        <w:keepLines/>
        <w:ind w:left="0"/>
        <w:jc w:val="both"/>
        <w:rPr>
          <w:rFonts w:ascii="Times New Roman" w:hAnsi="Times New Roman"/>
          <w:iCs/>
          <w:color w:val="212121"/>
        </w:rPr>
      </w:pPr>
    </w:p>
    <w:p w:rsidR="00F539C5" w:rsidRDefault="00F539C5" w:rsidP="00F539C5">
      <w:pPr>
        <w:pStyle w:val="ListParagraph"/>
        <w:keepNext/>
        <w:keepLines/>
        <w:ind w:left="0"/>
        <w:jc w:val="both"/>
        <w:rPr>
          <w:rFonts w:ascii="Times New Roman" w:hAnsi="Times New Roman"/>
          <w:iCs/>
          <w:color w:val="212121"/>
        </w:rPr>
      </w:pPr>
      <w:r>
        <w:rPr>
          <w:rFonts w:ascii="Times New Roman" w:hAnsi="Times New Roman"/>
          <w:iCs/>
          <w:color w:val="212121"/>
        </w:rPr>
        <w:t>CWM</w:t>
      </w:r>
    </w:p>
    <w:p w:rsidR="00F539C5" w:rsidRDefault="00F539C5" w:rsidP="00F539C5">
      <w:pPr>
        <w:pStyle w:val="ListParagraph"/>
        <w:ind w:left="0"/>
        <w:jc w:val="both"/>
        <w:rPr>
          <w:rFonts w:ascii="Times New Roman" w:hAnsi="Times New Roman"/>
          <w:iCs/>
          <w:color w:val="212121"/>
        </w:rPr>
      </w:pPr>
    </w:p>
    <w:p w:rsidR="00F539C5" w:rsidRDefault="00F539C5" w:rsidP="00F539C5">
      <w:pPr>
        <w:pStyle w:val="ListParagraph"/>
        <w:ind w:left="0"/>
        <w:jc w:val="both"/>
        <w:rPr>
          <w:rFonts w:ascii="Times New Roman" w:hAnsi="Times New Roman"/>
          <w:iCs/>
          <w:color w:val="212121"/>
        </w:rPr>
      </w:pPr>
    </w:p>
    <w:p w:rsidR="00F539C5" w:rsidRDefault="00F539C5" w:rsidP="00F539C5">
      <w:pPr>
        <w:pStyle w:val="CenterUnderline"/>
      </w:pPr>
      <w:r>
        <w:t>NOTICE OF FURTHER PROCEEDINGS OR JUDICIAL REVIEW</w:t>
      </w:r>
    </w:p>
    <w:p w:rsidR="00F539C5" w:rsidRDefault="00F539C5" w:rsidP="00F539C5">
      <w:pPr>
        <w:pStyle w:val="CenterUnderline"/>
        <w:rPr>
          <w:u w:val="none"/>
        </w:rPr>
      </w:pPr>
    </w:p>
    <w:p w:rsidR="00F539C5" w:rsidRDefault="00F539C5" w:rsidP="00F539C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539C5" w:rsidRDefault="00F539C5" w:rsidP="00F539C5">
      <w:pPr>
        <w:pStyle w:val="OrderBody"/>
      </w:pPr>
    </w:p>
    <w:p w:rsidR="00F539C5" w:rsidRDefault="00F539C5" w:rsidP="00F539C5">
      <w:pPr>
        <w:pStyle w:val="OrderBody"/>
      </w:pPr>
      <w:r>
        <w:tab/>
        <w:t>Mediation may be available on a case-by-case basis.  If mediation is conducted, it does not affect a substantially interested person's right to a hearing.</w:t>
      </w:r>
    </w:p>
    <w:p w:rsidR="00F539C5" w:rsidRDefault="00F539C5" w:rsidP="00F539C5">
      <w:pPr>
        <w:pStyle w:val="OrderBody"/>
      </w:pPr>
    </w:p>
    <w:p w:rsidR="00F539C5" w:rsidRDefault="00F539C5" w:rsidP="00F539C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539C5" w:rsidRPr="00F539C5" w:rsidRDefault="00F539C5" w:rsidP="00F539C5">
      <w:pPr>
        <w:pStyle w:val="OrderBody"/>
      </w:pPr>
    </w:p>
    <w:sectPr w:rsidR="00F539C5" w:rsidRPr="00F539C5">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9C5" w:rsidRDefault="00F539C5">
      <w:r>
        <w:separator/>
      </w:r>
    </w:p>
  </w:endnote>
  <w:endnote w:type="continuationSeparator" w:id="0">
    <w:p w:rsidR="00F539C5" w:rsidRDefault="00F5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9C5" w:rsidRDefault="00F539C5">
      <w:r>
        <w:separator/>
      </w:r>
    </w:p>
  </w:footnote>
  <w:footnote w:type="continuationSeparator" w:id="0">
    <w:p w:rsidR="00F539C5" w:rsidRDefault="00F53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6 ">
      <w:r w:rsidR="0027009A">
        <w:t>PSC-2020-0016-PCO-EI</w:t>
      </w:r>
    </w:fldSimple>
  </w:p>
  <w:p w:rsidR="00FA6EFD" w:rsidRDefault="00F539C5">
    <w:pPr>
      <w:pStyle w:val="OrderHeader"/>
    </w:pPr>
    <w:bookmarkStart w:id="8" w:name="HeaderDocketNo"/>
    <w:bookmarkEnd w:id="8"/>
    <w:r>
      <w:t>DOCKET NO. 20190167-EI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009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7-EI"/>
  </w:docVars>
  <w:rsids>
    <w:rsidRoot w:val="00F539C5"/>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102F"/>
    <w:rsid w:val="00180F20"/>
    <w:rsid w:val="001875ED"/>
    <w:rsid w:val="00187E32"/>
    <w:rsid w:val="00194E81"/>
    <w:rsid w:val="001A15E7"/>
    <w:rsid w:val="001A33C9"/>
    <w:rsid w:val="001A58F3"/>
    <w:rsid w:val="001C2847"/>
    <w:rsid w:val="001C3F8C"/>
    <w:rsid w:val="001C6097"/>
    <w:rsid w:val="001D008A"/>
    <w:rsid w:val="001E0152"/>
    <w:rsid w:val="001E0FF5"/>
    <w:rsid w:val="001F6148"/>
    <w:rsid w:val="002002ED"/>
    <w:rsid w:val="00203939"/>
    <w:rsid w:val="002170E5"/>
    <w:rsid w:val="00220D57"/>
    <w:rsid w:val="0022721A"/>
    <w:rsid w:val="00230BB9"/>
    <w:rsid w:val="00241CEF"/>
    <w:rsid w:val="0025124E"/>
    <w:rsid w:val="00252B30"/>
    <w:rsid w:val="002613E4"/>
    <w:rsid w:val="0026544B"/>
    <w:rsid w:val="0027009A"/>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04759"/>
    <w:rsid w:val="00310E2F"/>
    <w:rsid w:val="003140E8"/>
    <w:rsid w:val="003231C7"/>
    <w:rsid w:val="00323839"/>
    <w:rsid w:val="003270C4"/>
    <w:rsid w:val="00331ED0"/>
    <w:rsid w:val="00332B0A"/>
    <w:rsid w:val="00333A41"/>
    <w:rsid w:val="00345434"/>
    <w:rsid w:val="00347DDA"/>
    <w:rsid w:val="0035495B"/>
    <w:rsid w:val="00355A93"/>
    <w:rsid w:val="00361522"/>
    <w:rsid w:val="0037196E"/>
    <w:rsid w:val="003744F5"/>
    <w:rsid w:val="00387BDE"/>
    <w:rsid w:val="00387E72"/>
    <w:rsid w:val="00390DD8"/>
    <w:rsid w:val="00394DC6"/>
    <w:rsid w:val="00397C3E"/>
    <w:rsid w:val="003B1A09"/>
    <w:rsid w:val="003C631A"/>
    <w:rsid w:val="003D4CCA"/>
    <w:rsid w:val="003D52A6"/>
    <w:rsid w:val="003D6416"/>
    <w:rsid w:val="003E1D48"/>
    <w:rsid w:val="003F1D2B"/>
    <w:rsid w:val="00411DF2"/>
    <w:rsid w:val="00411E8F"/>
    <w:rsid w:val="0042527B"/>
    <w:rsid w:val="00425481"/>
    <w:rsid w:val="0045537F"/>
    <w:rsid w:val="00457DC7"/>
    <w:rsid w:val="00472BCC"/>
    <w:rsid w:val="00497FE6"/>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1D8F"/>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228"/>
    <w:rsid w:val="0063168D"/>
    <w:rsid w:val="006531A4"/>
    <w:rsid w:val="00660774"/>
    <w:rsid w:val="0066389A"/>
    <w:rsid w:val="0066495C"/>
    <w:rsid w:val="00665CC7"/>
    <w:rsid w:val="00672612"/>
    <w:rsid w:val="00677F18"/>
    <w:rsid w:val="006918CF"/>
    <w:rsid w:val="00693483"/>
    <w:rsid w:val="006A0BF3"/>
    <w:rsid w:val="006B0DA6"/>
    <w:rsid w:val="006C547E"/>
    <w:rsid w:val="006D2B51"/>
    <w:rsid w:val="006D5575"/>
    <w:rsid w:val="006E42BE"/>
    <w:rsid w:val="006F16A5"/>
    <w:rsid w:val="00704C5D"/>
    <w:rsid w:val="007072BC"/>
    <w:rsid w:val="00711C96"/>
    <w:rsid w:val="00715275"/>
    <w:rsid w:val="00716BE9"/>
    <w:rsid w:val="00721B44"/>
    <w:rsid w:val="007232A2"/>
    <w:rsid w:val="00726366"/>
    <w:rsid w:val="00733B6B"/>
    <w:rsid w:val="00740808"/>
    <w:rsid w:val="007467C4"/>
    <w:rsid w:val="007469A0"/>
    <w:rsid w:val="0076170F"/>
    <w:rsid w:val="0076669C"/>
    <w:rsid w:val="00766E46"/>
    <w:rsid w:val="00777727"/>
    <w:rsid w:val="00782B79"/>
    <w:rsid w:val="007865E9"/>
    <w:rsid w:val="00792383"/>
    <w:rsid w:val="00794D5A"/>
    <w:rsid w:val="00794DD9"/>
    <w:rsid w:val="007A060F"/>
    <w:rsid w:val="007B0498"/>
    <w:rsid w:val="007B350E"/>
    <w:rsid w:val="007C0FBC"/>
    <w:rsid w:val="007C36E3"/>
    <w:rsid w:val="007C7134"/>
    <w:rsid w:val="007D3D20"/>
    <w:rsid w:val="007D742E"/>
    <w:rsid w:val="007E3AFD"/>
    <w:rsid w:val="007F086B"/>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0E03"/>
    <w:rsid w:val="008A12EC"/>
    <w:rsid w:val="008B19A6"/>
    <w:rsid w:val="008C21C8"/>
    <w:rsid w:val="008C6375"/>
    <w:rsid w:val="008C6A5B"/>
    <w:rsid w:val="008E26A5"/>
    <w:rsid w:val="008E42D2"/>
    <w:rsid w:val="008E6328"/>
    <w:rsid w:val="009040EE"/>
    <w:rsid w:val="009057FD"/>
    <w:rsid w:val="00906FBA"/>
    <w:rsid w:val="009148E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5381"/>
    <w:rsid w:val="00BC786E"/>
    <w:rsid w:val="00BD5C92"/>
    <w:rsid w:val="00BE50E6"/>
    <w:rsid w:val="00BF1EA4"/>
    <w:rsid w:val="00BF6691"/>
    <w:rsid w:val="00C028FC"/>
    <w:rsid w:val="00C037F2"/>
    <w:rsid w:val="00C0386D"/>
    <w:rsid w:val="00C065A1"/>
    <w:rsid w:val="00C10ED5"/>
    <w:rsid w:val="00C151A6"/>
    <w:rsid w:val="00C24098"/>
    <w:rsid w:val="00C268BA"/>
    <w:rsid w:val="00C30A4E"/>
    <w:rsid w:val="00C405C6"/>
    <w:rsid w:val="00C411F3"/>
    <w:rsid w:val="00C44105"/>
    <w:rsid w:val="00C55A33"/>
    <w:rsid w:val="00C66692"/>
    <w:rsid w:val="00C673B5"/>
    <w:rsid w:val="00C7063D"/>
    <w:rsid w:val="00C830BC"/>
    <w:rsid w:val="00C8524D"/>
    <w:rsid w:val="00C86A6A"/>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2914"/>
    <w:rsid w:val="00D84D5E"/>
    <w:rsid w:val="00D8560E"/>
    <w:rsid w:val="00D8758F"/>
    <w:rsid w:val="00DA4EDD"/>
    <w:rsid w:val="00DA6B78"/>
    <w:rsid w:val="00DC1D94"/>
    <w:rsid w:val="00DC42CF"/>
    <w:rsid w:val="00DC5A60"/>
    <w:rsid w:val="00DE057F"/>
    <w:rsid w:val="00DE2082"/>
    <w:rsid w:val="00DE2289"/>
    <w:rsid w:val="00DF09A7"/>
    <w:rsid w:val="00DF7FEA"/>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56A5"/>
    <w:rsid w:val="00EF6312"/>
    <w:rsid w:val="00F038B0"/>
    <w:rsid w:val="00F22B27"/>
    <w:rsid w:val="00F234A7"/>
    <w:rsid w:val="00F277B6"/>
    <w:rsid w:val="00F27DA5"/>
    <w:rsid w:val="00F37E07"/>
    <w:rsid w:val="00F4182A"/>
    <w:rsid w:val="00F539C5"/>
    <w:rsid w:val="00F54380"/>
    <w:rsid w:val="00F54B47"/>
    <w:rsid w:val="00F61247"/>
    <w:rsid w:val="00F6702E"/>
    <w:rsid w:val="00F70E84"/>
    <w:rsid w:val="00FA092B"/>
    <w:rsid w:val="00FA4F6C"/>
    <w:rsid w:val="00FA6EFD"/>
    <w:rsid w:val="00FB74EA"/>
    <w:rsid w:val="00FD2C9E"/>
    <w:rsid w:val="00FD4786"/>
    <w:rsid w:val="00FD616C"/>
    <w:rsid w:val="00FE1C8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F539C5"/>
    <w:pPr>
      <w:ind w:left="720"/>
      <w:contextualSpacing/>
    </w:pPr>
    <w:rPr>
      <w:rFonts w:ascii="Calibri" w:eastAsia="Calibri" w:hAnsi="Calibri"/>
    </w:rPr>
  </w:style>
  <w:style w:type="paragraph" w:styleId="BalloonText">
    <w:name w:val="Balloon Text"/>
    <w:basedOn w:val="Normal"/>
    <w:link w:val="BalloonTextChar"/>
    <w:rsid w:val="001875ED"/>
    <w:rPr>
      <w:rFonts w:ascii="Tahoma" w:hAnsi="Tahoma" w:cs="Tahoma"/>
      <w:sz w:val="16"/>
      <w:szCs w:val="16"/>
    </w:rPr>
  </w:style>
  <w:style w:type="character" w:customStyle="1" w:styleId="BalloonTextChar">
    <w:name w:val="Balloon Text Char"/>
    <w:basedOn w:val="DefaultParagraphFont"/>
    <w:link w:val="BalloonText"/>
    <w:rsid w:val="001875ED"/>
    <w:rPr>
      <w:rFonts w:ascii="Tahoma" w:hAnsi="Tahoma" w:cs="Tahoma"/>
      <w:sz w:val="16"/>
      <w:szCs w:val="16"/>
    </w:rPr>
  </w:style>
  <w:style w:type="character" w:styleId="CommentReference">
    <w:name w:val="annotation reference"/>
    <w:basedOn w:val="DefaultParagraphFont"/>
    <w:rsid w:val="00716BE9"/>
    <w:rPr>
      <w:sz w:val="16"/>
      <w:szCs w:val="16"/>
    </w:rPr>
  </w:style>
  <w:style w:type="paragraph" w:styleId="CommentText">
    <w:name w:val="annotation text"/>
    <w:basedOn w:val="Normal"/>
    <w:link w:val="CommentTextChar"/>
    <w:rsid w:val="00716BE9"/>
    <w:rPr>
      <w:sz w:val="20"/>
      <w:szCs w:val="20"/>
    </w:rPr>
  </w:style>
  <w:style w:type="character" w:customStyle="1" w:styleId="CommentTextChar">
    <w:name w:val="Comment Text Char"/>
    <w:basedOn w:val="DefaultParagraphFont"/>
    <w:link w:val="CommentText"/>
    <w:rsid w:val="00716BE9"/>
  </w:style>
  <w:style w:type="paragraph" w:styleId="CommentSubject">
    <w:name w:val="annotation subject"/>
    <w:basedOn w:val="CommentText"/>
    <w:next w:val="CommentText"/>
    <w:link w:val="CommentSubjectChar"/>
    <w:rsid w:val="00716BE9"/>
    <w:rPr>
      <w:b/>
      <w:bCs/>
    </w:rPr>
  </w:style>
  <w:style w:type="character" w:customStyle="1" w:styleId="CommentSubjectChar">
    <w:name w:val="Comment Subject Char"/>
    <w:basedOn w:val="CommentTextChar"/>
    <w:link w:val="CommentSubject"/>
    <w:rsid w:val="00716B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F539C5"/>
    <w:pPr>
      <w:ind w:left="720"/>
      <w:contextualSpacing/>
    </w:pPr>
    <w:rPr>
      <w:rFonts w:ascii="Calibri" w:eastAsia="Calibri" w:hAnsi="Calibri"/>
    </w:rPr>
  </w:style>
  <w:style w:type="paragraph" w:styleId="BalloonText">
    <w:name w:val="Balloon Text"/>
    <w:basedOn w:val="Normal"/>
    <w:link w:val="BalloonTextChar"/>
    <w:rsid w:val="001875ED"/>
    <w:rPr>
      <w:rFonts w:ascii="Tahoma" w:hAnsi="Tahoma" w:cs="Tahoma"/>
      <w:sz w:val="16"/>
      <w:szCs w:val="16"/>
    </w:rPr>
  </w:style>
  <w:style w:type="character" w:customStyle="1" w:styleId="BalloonTextChar">
    <w:name w:val="Balloon Text Char"/>
    <w:basedOn w:val="DefaultParagraphFont"/>
    <w:link w:val="BalloonText"/>
    <w:rsid w:val="001875ED"/>
    <w:rPr>
      <w:rFonts w:ascii="Tahoma" w:hAnsi="Tahoma" w:cs="Tahoma"/>
      <w:sz w:val="16"/>
      <w:szCs w:val="16"/>
    </w:rPr>
  </w:style>
  <w:style w:type="character" w:styleId="CommentReference">
    <w:name w:val="annotation reference"/>
    <w:basedOn w:val="DefaultParagraphFont"/>
    <w:rsid w:val="00716BE9"/>
    <w:rPr>
      <w:sz w:val="16"/>
      <w:szCs w:val="16"/>
    </w:rPr>
  </w:style>
  <w:style w:type="paragraph" w:styleId="CommentText">
    <w:name w:val="annotation text"/>
    <w:basedOn w:val="Normal"/>
    <w:link w:val="CommentTextChar"/>
    <w:rsid w:val="00716BE9"/>
    <w:rPr>
      <w:sz w:val="20"/>
      <w:szCs w:val="20"/>
    </w:rPr>
  </w:style>
  <w:style w:type="character" w:customStyle="1" w:styleId="CommentTextChar">
    <w:name w:val="Comment Text Char"/>
    <w:basedOn w:val="DefaultParagraphFont"/>
    <w:link w:val="CommentText"/>
    <w:rsid w:val="00716BE9"/>
  </w:style>
  <w:style w:type="paragraph" w:styleId="CommentSubject">
    <w:name w:val="annotation subject"/>
    <w:basedOn w:val="CommentText"/>
    <w:next w:val="CommentText"/>
    <w:link w:val="CommentSubjectChar"/>
    <w:rsid w:val="00716BE9"/>
    <w:rPr>
      <w:b/>
      <w:bCs/>
    </w:rPr>
  </w:style>
  <w:style w:type="character" w:customStyle="1" w:styleId="CommentSubjectChar">
    <w:name w:val="Comment Subject Char"/>
    <w:basedOn w:val="CommentTextChar"/>
    <w:link w:val="CommentSubject"/>
    <w:rsid w:val="00716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B6C5E-E093-4429-B4F8-73A2DE51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671</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2020-01-09T16:58:00Z</dcterms:created>
  <dcterms:modified xsi:type="dcterms:W3CDTF">2020-01-09T17:19:00Z</dcterms:modified>
</cp:coreProperties>
</file>