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69D25E40"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2286BA75" w14:textId="77777777" w:rsidR="007C0528" w:rsidRDefault="007C0528" w:rsidP="00532DFB">
            <w:pPr>
              <w:pStyle w:val="MastHeadState"/>
            </w:pPr>
            <w:bookmarkStart w:id="0" w:name="_GoBack"/>
            <w:bookmarkEnd w:id="0"/>
            <w:r>
              <w:t>State of Florida</w:t>
            </w:r>
          </w:p>
          <w:p w14:paraId="25ABD21A" w14:textId="77777777" w:rsidR="007C0528" w:rsidRDefault="00072CCA">
            <w:pPr>
              <w:jc w:val="center"/>
            </w:pPr>
            <w:r>
              <w:rPr>
                <w:noProof/>
              </w:rPr>
              <w:drawing>
                <wp:inline distT="0" distB="0" distL="0" distR="0" wp14:anchorId="1A5E2BDE" wp14:editId="29C596E7">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4BA800BE"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073155F0" w14:textId="77777777" w:rsidR="007C0528" w:rsidRDefault="007C0528">
            <w:pPr>
              <w:pStyle w:val="MastHeadPSC"/>
            </w:pPr>
            <w:r>
              <w:t>Public Service Commission</w:t>
            </w:r>
          </w:p>
          <w:p w14:paraId="0ABA94A9" w14:textId="77777777" w:rsidR="007C0528" w:rsidRDefault="007C0528">
            <w:pPr>
              <w:pStyle w:val="MastHeadAddress"/>
            </w:pPr>
            <w:r>
              <w:t>Capital Circle Office Center ● 2540 Shumard Oak Boulevard</w:t>
            </w:r>
            <w:r>
              <w:br/>
              <w:t>Tallahassee, Florida 32399-0850</w:t>
            </w:r>
          </w:p>
          <w:p w14:paraId="32E5BAE9" w14:textId="77777777" w:rsidR="007C0528" w:rsidRDefault="007C0528">
            <w:pPr>
              <w:pStyle w:val="MastHeadMemorandum"/>
            </w:pPr>
            <w:r>
              <w:t>-M-E-M-O-R-A-N-D-U-M-</w:t>
            </w:r>
          </w:p>
          <w:p w14:paraId="32405A3B" w14:textId="77777777" w:rsidR="007C0528" w:rsidRDefault="007C0528">
            <w:pPr>
              <w:pStyle w:val="MemoHeading"/>
            </w:pPr>
          </w:p>
        </w:tc>
      </w:tr>
      <w:tr w:rsidR="007C0528" w14:paraId="0290DE63"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4676AEC4"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521B7629" w14:textId="77777777" w:rsidR="007C0528" w:rsidRDefault="00A9487F">
            <w:pPr>
              <w:pStyle w:val="MemoHeading"/>
            </w:pPr>
            <w:bookmarkStart w:id="1" w:name="FilingDate"/>
            <w:r>
              <w:t>June 24, 2020</w:t>
            </w:r>
            <w:bookmarkEnd w:id="1"/>
          </w:p>
        </w:tc>
      </w:tr>
      <w:tr w:rsidR="007C0528" w14:paraId="16F766BB" w14:textId="77777777">
        <w:tc>
          <w:tcPr>
            <w:tcW w:w="1254" w:type="dxa"/>
            <w:tcBorders>
              <w:top w:val="nil"/>
              <w:left w:val="nil"/>
              <w:bottom w:val="nil"/>
              <w:right w:val="nil"/>
            </w:tcBorders>
            <w:shd w:val="clear" w:color="auto" w:fill="auto"/>
            <w:tcMar>
              <w:top w:w="288" w:type="dxa"/>
              <w:bottom w:w="0" w:type="dxa"/>
              <w:right w:w="0" w:type="dxa"/>
            </w:tcMar>
          </w:tcPr>
          <w:p w14:paraId="0AB02721"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22D9C215" w14:textId="77777777" w:rsidR="007C0528" w:rsidRDefault="007C0528" w:rsidP="0093658B">
            <w:pPr>
              <w:pStyle w:val="MemoHeading"/>
            </w:pPr>
            <w:r>
              <w:t>Office of Commission Clerk (</w:t>
            </w:r>
            <w:r w:rsidR="004E69B5">
              <w:t>Teitzman</w:t>
            </w:r>
            <w:r>
              <w:t>)</w:t>
            </w:r>
          </w:p>
        </w:tc>
      </w:tr>
      <w:tr w:rsidR="007C0528" w14:paraId="13C0DE90" w14:textId="77777777">
        <w:tc>
          <w:tcPr>
            <w:tcW w:w="1254" w:type="dxa"/>
            <w:tcBorders>
              <w:top w:val="nil"/>
              <w:left w:val="nil"/>
              <w:bottom w:val="nil"/>
              <w:right w:val="nil"/>
            </w:tcBorders>
            <w:shd w:val="clear" w:color="auto" w:fill="auto"/>
            <w:tcMar>
              <w:top w:w="288" w:type="dxa"/>
              <w:right w:w="0" w:type="dxa"/>
            </w:tcMar>
          </w:tcPr>
          <w:p w14:paraId="2C2CC6A0"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4CCCAA2D" w14:textId="77777777" w:rsidR="00A9487F" w:rsidRDefault="00A9487F">
            <w:pPr>
              <w:pStyle w:val="MemoHeading"/>
            </w:pPr>
            <w:bookmarkStart w:id="2" w:name="From"/>
            <w:r>
              <w:t>Division of Economics (Ward, Coston)</w:t>
            </w:r>
          </w:p>
          <w:p w14:paraId="62A94B76" w14:textId="77777777" w:rsidR="007C0528" w:rsidRDefault="00A9487F">
            <w:pPr>
              <w:pStyle w:val="MemoHeading"/>
            </w:pPr>
            <w:r>
              <w:t>Office of the General Counsel (Stiller)</w:t>
            </w:r>
            <w:bookmarkEnd w:id="2"/>
          </w:p>
        </w:tc>
      </w:tr>
      <w:tr w:rsidR="007C0528" w14:paraId="591117FA" w14:textId="77777777">
        <w:tc>
          <w:tcPr>
            <w:tcW w:w="1254" w:type="dxa"/>
            <w:tcBorders>
              <w:top w:val="nil"/>
              <w:left w:val="nil"/>
              <w:bottom w:val="nil"/>
              <w:right w:val="nil"/>
            </w:tcBorders>
            <w:shd w:val="clear" w:color="auto" w:fill="auto"/>
            <w:tcMar>
              <w:top w:w="288" w:type="dxa"/>
              <w:right w:w="0" w:type="dxa"/>
            </w:tcMar>
          </w:tcPr>
          <w:p w14:paraId="6926F4FB"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169123A4" w14:textId="77777777" w:rsidR="007C0528" w:rsidRDefault="00A9487F">
            <w:pPr>
              <w:pStyle w:val="MemoHeadingRe"/>
            </w:pPr>
            <w:bookmarkStart w:id="3" w:name="Re"/>
            <w:r>
              <w:t>Docket No. 20200113-EI – Petition for approval of 2020 revisions to underground residential tariffs and for approval of initial commercial differential tariffs, by Gulf Power Company.</w:t>
            </w:r>
            <w:bookmarkEnd w:id="3"/>
          </w:p>
        </w:tc>
      </w:tr>
      <w:tr w:rsidR="007C0528" w14:paraId="5CAB881B" w14:textId="77777777">
        <w:tc>
          <w:tcPr>
            <w:tcW w:w="1254" w:type="dxa"/>
            <w:tcBorders>
              <w:top w:val="nil"/>
              <w:left w:val="nil"/>
              <w:bottom w:val="nil"/>
              <w:right w:val="nil"/>
            </w:tcBorders>
            <w:shd w:val="clear" w:color="auto" w:fill="auto"/>
            <w:tcMar>
              <w:top w:w="288" w:type="dxa"/>
              <w:bottom w:w="0" w:type="dxa"/>
              <w:right w:w="0" w:type="dxa"/>
            </w:tcMar>
          </w:tcPr>
          <w:p w14:paraId="7FD1C402"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2D597A09" w14:textId="77777777" w:rsidR="007C0528" w:rsidRDefault="00A9487F">
            <w:pPr>
              <w:pStyle w:val="MemoHeading"/>
            </w:pPr>
            <w:bookmarkStart w:id="4" w:name="AgendaDate"/>
            <w:r>
              <w:t>07/07/20</w:t>
            </w:r>
            <w:bookmarkEnd w:id="4"/>
            <w:r w:rsidR="007C0528">
              <w:t xml:space="preserve"> – </w:t>
            </w:r>
            <w:bookmarkStart w:id="5" w:name="PermittedStatus"/>
            <w:r>
              <w:t>Regular Agenda – Interested Persons May Participate</w:t>
            </w:r>
            <w:bookmarkEnd w:id="5"/>
          </w:p>
        </w:tc>
      </w:tr>
      <w:tr w:rsidR="007C0528" w14:paraId="2F853D42" w14:textId="77777777">
        <w:tc>
          <w:tcPr>
            <w:tcW w:w="3690" w:type="dxa"/>
            <w:gridSpan w:val="3"/>
            <w:tcBorders>
              <w:top w:val="nil"/>
              <w:left w:val="nil"/>
              <w:bottom w:val="nil"/>
              <w:right w:val="nil"/>
            </w:tcBorders>
            <w:shd w:val="clear" w:color="auto" w:fill="auto"/>
            <w:tcMar>
              <w:top w:w="288" w:type="dxa"/>
              <w:bottom w:w="0" w:type="dxa"/>
              <w:right w:w="0" w:type="dxa"/>
            </w:tcMar>
          </w:tcPr>
          <w:p w14:paraId="3B914FAC"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50AA477C" w14:textId="77777777" w:rsidR="007C0528" w:rsidRDefault="00A9487F">
            <w:pPr>
              <w:pStyle w:val="MemoHeading"/>
            </w:pPr>
            <w:bookmarkStart w:id="6" w:name="CommissionersAssigned"/>
            <w:r>
              <w:t>All Commissioners</w:t>
            </w:r>
            <w:bookmarkEnd w:id="6"/>
          </w:p>
        </w:tc>
      </w:tr>
      <w:tr w:rsidR="007C0528" w14:paraId="4783CE28" w14:textId="77777777">
        <w:tc>
          <w:tcPr>
            <w:tcW w:w="3690" w:type="dxa"/>
            <w:gridSpan w:val="3"/>
            <w:tcBorders>
              <w:top w:val="nil"/>
              <w:left w:val="nil"/>
              <w:bottom w:val="nil"/>
              <w:right w:val="nil"/>
            </w:tcBorders>
            <w:shd w:val="clear" w:color="auto" w:fill="auto"/>
            <w:tcMar>
              <w:top w:w="288" w:type="dxa"/>
              <w:bottom w:w="0" w:type="dxa"/>
              <w:right w:w="0" w:type="dxa"/>
            </w:tcMar>
          </w:tcPr>
          <w:p w14:paraId="258BE552"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02E93430" w14:textId="77777777" w:rsidR="007C0528" w:rsidRDefault="00A9487F">
            <w:pPr>
              <w:pStyle w:val="MemoHeading"/>
            </w:pPr>
            <w:bookmarkStart w:id="7" w:name="PrehearingOfficer"/>
            <w:r>
              <w:t>Administrative</w:t>
            </w:r>
            <w:bookmarkEnd w:id="7"/>
          </w:p>
        </w:tc>
      </w:tr>
      <w:tr w:rsidR="007C0528" w14:paraId="2BE55EAA"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2688C1A2"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677919F3" w14:textId="77777777" w:rsidR="007C0528" w:rsidRDefault="00A9487F">
            <w:pPr>
              <w:pStyle w:val="MemoHeading"/>
            </w:pPr>
            <w:bookmarkStart w:id="9" w:name="CriticalDates"/>
            <w:r>
              <w:t>12/01/20 (8-Month Effective Date)</w:t>
            </w:r>
            <w:bookmarkEnd w:id="9"/>
          </w:p>
        </w:tc>
      </w:tr>
      <w:tr w:rsidR="007C0528" w14:paraId="2F109831"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196D5C01"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136F4757" w14:textId="77777777" w:rsidR="007C0528" w:rsidRDefault="00A9487F">
            <w:pPr>
              <w:pStyle w:val="MemoHeading"/>
            </w:pPr>
            <w:bookmarkStart w:id="10" w:name="SpecialInstructions"/>
            <w:r>
              <w:t>None</w:t>
            </w:r>
            <w:bookmarkEnd w:id="10"/>
          </w:p>
        </w:tc>
      </w:tr>
    </w:tbl>
    <w:p w14:paraId="2AAB637F" w14:textId="77777777" w:rsidR="007C0528" w:rsidRDefault="007C0528">
      <w:pPr>
        <w:pStyle w:val="BodyText"/>
      </w:pPr>
    </w:p>
    <w:p w14:paraId="0C14D4DC"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1636A79C" w14:textId="785B354F" w:rsidR="00A9487F" w:rsidRDefault="00A9487F" w:rsidP="00A9487F">
      <w:pPr>
        <w:pStyle w:val="BodyText"/>
      </w:pPr>
      <w:r>
        <w:t>On April 1, 2020, Gulf Power Company (Gulf or utility) filed a petition for approval of revisions to its 2020 underground residential distribution (URD) tariffs and associated charges. These tariffs represent the additional costs</w:t>
      </w:r>
      <w:r w:rsidR="00357D62">
        <w:t xml:space="preserve">, if </w:t>
      </w:r>
      <w:proofErr w:type="gramStart"/>
      <w:r w:rsidR="00357D62">
        <w:t>any,</w:t>
      </w:r>
      <w:proofErr w:type="gramEnd"/>
      <w:r>
        <w:t xml:space="preserve"> Gulf incurs to provide underground service in place of overhead service in new residential subdivisions. </w:t>
      </w:r>
      <w:r w:rsidRPr="006D0054">
        <w:t>Gulf</w:t>
      </w:r>
      <w:r w:rsidR="00E4217A" w:rsidRPr="006D0054">
        <w:t>’</w:t>
      </w:r>
      <w:r w:rsidR="006D0054" w:rsidRPr="006D0054">
        <w:t>s</w:t>
      </w:r>
      <w:r w:rsidRPr="004A6811">
        <w:t xml:space="preserve"> current URD charges were approved in Order No. </w:t>
      </w:r>
      <w:proofErr w:type="gramStart"/>
      <w:r>
        <w:t>PSC-2019-0448-TRF-EI.</w:t>
      </w:r>
      <w:proofErr w:type="gramEnd"/>
      <w:r>
        <w:rPr>
          <w:rStyle w:val="FootnoteReference"/>
        </w:rPr>
        <w:footnoteReference w:id="1"/>
      </w:r>
      <w:r>
        <w:t xml:space="preserve"> </w:t>
      </w:r>
      <w:r w:rsidRPr="004A6811">
        <w:t>The proposed URD tariffs (legislative version) are contained in Atta</w:t>
      </w:r>
      <w:r>
        <w:t>chment A to the recommendation. Gulf is also seeking approval of its initial underground commercial differential (UCD) tariff sheets. The</w:t>
      </w:r>
      <w:r w:rsidR="005C555A">
        <w:t xml:space="preserve"> utility state</w:t>
      </w:r>
      <w:r w:rsidR="006F0DE7">
        <w:t>d</w:t>
      </w:r>
      <w:r w:rsidR="005C555A">
        <w:t xml:space="preserve"> t</w:t>
      </w:r>
      <w:r w:rsidR="00774C83">
        <w:t>hat t</w:t>
      </w:r>
      <w:r w:rsidR="005C555A">
        <w:t>he</w:t>
      </w:r>
      <w:r>
        <w:t xml:space="preserve"> tariffs would </w:t>
      </w:r>
      <w:r w:rsidR="005C555A">
        <w:t>apply to requests for underground service facilities made by small commercial/industrial applicants</w:t>
      </w:r>
      <w:r w:rsidR="00CC0FE6">
        <w:t xml:space="preserve"> for new service</w:t>
      </w:r>
      <w:r>
        <w:t xml:space="preserve">. The proposed underground commercial differential tariffs (legislative </w:t>
      </w:r>
      <w:r>
        <w:lastRenderedPageBreak/>
        <w:t xml:space="preserve">version) are contained in Attachment B to the recommendation. Gulf requests that the </w:t>
      </w:r>
      <w:r w:rsidR="00E4217A" w:rsidRPr="006D0054">
        <w:t xml:space="preserve">URD and UCD </w:t>
      </w:r>
      <w:r w:rsidRPr="006D0054">
        <w:t>tariffs</w:t>
      </w:r>
      <w:r w:rsidR="00E4217A" w:rsidRPr="006D0054">
        <w:t>’</w:t>
      </w:r>
      <w:r w:rsidRPr="006D0054">
        <w:t xml:space="preserve"> </w:t>
      </w:r>
      <w:r>
        <w:t xml:space="preserve">effective date be 30 days after the Commission vote. </w:t>
      </w:r>
    </w:p>
    <w:p w14:paraId="49C8BB2D" w14:textId="7E4FC4DA" w:rsidR="00A9487F" w:rsidRDefault="00A9487F" w:rsidP="00A9487F">
      <w:pPr>
        <w:pStyle w:val="BodyText"/>
      </w:pPr>
      <w:proofErr w:type="gramStart"/>
      <w:r>
        <w:t>Gulf waived the 60-day file and suspend</w:t>
      </w:r>
      <w:proofErr w:type="gramEnd"/>
      <w:r>
        <w:t xml:space="preserve"> provision pursuant to Section 366.06(3), Florida Statutes (F.S.)</w:t>
      </w:r>
      <w:r w:rsidR="00357D62">
        <w:t>,</w:t>
      </w:r>
      <w:r>
        <w:t xml:space="preserve"> in an email dated April 7, 2020.</w:t>
      </w:r>
      <w:r>
        <w:rPr>
          <w:rStyle w:val="FootnoteReference"/>
        </w:rPr>
        <w:footnoteReference w:id="2"/>
      </w:r>
      <w:r>
        <w:t xml:space="preserve"> During the review of this petition, staff issued one data request to the </w:t>
      </w:r>
      <w:r w:rsidR="00E33310">
        <w:t>utility</w:t>
      </w:r>
      <w:r>
        <w:t xml:space="preserve"> on April 28, 2020, for which responses were received on May 8, 2020. The Commission has jurisdiction over this matter pursuant to Sections 366.03, 366.04, 366.05, and 366.06, F.S. </w:t>
      </w:r>
    </w:p>
    <w:bookmarkEnd w:id="12"/>
    <w:p w14:paraId="34C18D55" w14:textId="77777777"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14:paraId="0057C382" w14:textId="77777777" w:rsidR="007C0528" w:rsidRDefault="007C0528">
      <w:pPr>
        <w:pStyle w:val="RecommendationMajorSectionHeading"/>
      </w:pPr>
      <w:bookmarkStart w:id="16" w:name="DiscussionOfIssues"/>
      <w:r>
        <w:lastRenderedPageBreak/>
        <w:t>Discussion of Issues</w:t>
      </w:r>
    </w:p>
    <w:bookmarkEnd w:id="16"/>
    <w:p w14:paraId="41F40C99" w14:textId="77777777" w:rsidR="00A9487F" w:rsidRDefault="00A9487F">
      <w:pPr>
        <w:pStyle w:val="IssueHeading"/>
        <w:rPr>
          <w:vanish/>
          <w:specVanish/>
        </w:rPr>
      </w:pPr>
      <w:r w:rsidRPr="004C3641">
        <w:t xml:space="preserve">Issue </w:t>
      </w:r>
      <w:fldSimple w:instr=" SEQ Issue \* MERGEFORMAT ">
        <w:r>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 \l 1 </w:instrText>
      </w:r>
      <w:r>
        <w:fldChar w:fldCharType="end"/>
      </w:r>
      <w:r>
        <w:t> </w:t>
      </w:r>
    </w:p>
    <w:p w14:paraId="4A94102A" w14:textId="77777777" w:rsidR="00A9487F" w:rsidRDefault="00A9487F">
      <w:pPr>
        <w:pStyle w:val="BodyText"/>
      </w:pPr>
      <w:r>
        <w:t> Should the Commission approve Gulf's proposed underground differential tariff revisions and proposed commercial differential tariffs?</w:t>
      </w:r>
    </w:p>
    <w:p w14:paraId="2D3D0788" w14:textId="77777777" w:rsidR="00A9487F" w:rsidRPr="004C3641" w:rsidRDefault="00A9487F">
      <w:pPr>
        <w:pStyle w:val="IssueSubsectionHeading"/>
        <w:rPr>
          <w:vanish/>
          <w:specVanish/>
        </w:rPr>
      </w:pPr>
      <w:r w:rsidRPr="004C3641">
        <w:t>Recommendation: </w:t>
      </w:r>
    </w:p>
    <w:p w14:paraId="1956B1F1" w14:textId="77777777" w:rsidR="00A9487F" w:rsidRDefault="00A9487F" w:rsidP="00A9487F">
      <w:pPr>
        <w:pStyle w:val="BodyText"/>
      </w:pPr>
      <w:r>
        <w:t> Yes, the Commission should approve Gulf’s proposed URD and UCD tariffs and associated charges, as shown in Attachments A and B, effective August 6, 2020. (Ward)</w:t>
      </w:r>
    </w:p>
    <w:p w14:paraId="2DF5339B" w14:textId="77777777" w:rsidR="00A9487F" w:rsidRPr="004C3641" w:rsidRDefault="00A9487F">
      <w:pPr>
        <w:pStyle w:val="IssueSubsectionHeading"/>
        <w:rPr>
          <w:vanish/>
          <w:specVanish/>
        </w:rPr>
      </w:pPr>
      <w:r w:rsidRPr="004C3641">
        <w:t>Staff Analysis: </w:t>
      </w:r>
    </w:p>
    <w:p w14:paraId="32C99EF8" w14:textId="2C368840" w:rsidR="00A9487F" w:rsidRDefault="00A9487F" w:rsidP="00A9487F">
      <w:pPr>
        <w:pStyle w:val="BodyText"/>
      </w:pPr>
      <w:r>
        <w:t> </w:t>
      </w:r>
      <w:r w:rsidRPr="008E0DCA">
        <w:t>Rule 25-6.078, Florida Administrative Code (F.A.C.), specifies investor</w:t>
      </w:r>
      <w:r w:rsidR="00330362" w:rsidRPr="006D0054">
        <w:t>-</w:t>
      </w:r>
      <w:r>
        <w:t xml:space="preserve"> </w:t>
      </w:r>
      <w:r w:rsidRPr="008E0DCA">
        <w:t>owned utilities' (IOU) responsibilities for filing updated URD tariffs. Gulf filed the instant petition pursuant to subsection (3) of the rule, which requires IOUs to file supporting data and analyses for updated URD tariffs if the cost varies from the Commission-approved differential by more than ten percent.</w:t>
      </w:r>
      <w:r>
        <w:t xml:space="preserve"> On October 15, 2019, pursuant to Rule 25-6.078, F.A.C., Gulf informed the Commission that while </w:t>
      </w:r>
      <w:r w:rsidR="00E33310">
        <w:t>it</w:t>
      </w:r>
      <w:r>
        <w:t xml:space="preserve"> was </w:t>
      </w:r>
      <w:r w:rsidR="00E33310">
        <w:t>not finished</w:t>
      </w:r>
      <w:r>
        <w:t xml:space="preserve"> calculating the avoid</w:t>
      </w:r>
      <w:r w:rsidR="005C555A">
        <w:t>ed</w:t>
      </w:r>
      <w:r>
        <w:t xml:space="preserve"> storm costs associated with Hurricane Michael, it anticipated filing supporting data and analysis by April 1, 2020 demonstrating a 10 percent low-density differential in URD costs.</w:t>
      </w:r>
      <w:r w:rsidR="00357D62">
        <w:t xml:space="preserve"> </w:t>
      </w:r>
      <w:r w:rsidR="00357D62" w:rsidRPr="00357D62">
        <w:t>The proposed URD tariffs, therefore, include Hurricane Michael data in the calculation of the operational cost differential.</w:t>
      </w:r>
    </w:p>
    <w:p w14:paraId="7BE46BE1" w14:textId="77777777" w:rsidR="00A9487F" w:rsidRDefault="00A9487F" w:rsidP="00A9487F">
      <w:pPr>
        <w:pStyle w:val="BodyText"/>
      </w:pPr>
      <w:r w:rsidRPr="00EE5D92">
        <w:t xml:space="preserve">The URD tariffs provide charges for underground service in new residential subdivisions and represent the additional costs, if </w:t>
      </w:r>
      <w:proofErr w:type="gramStart"/>
      <w:r w:rsidRPr="00EE5D92">
        <w:t>any,</w:t>
      </w:r>
      <w:proofErr w:type="gramEnd"/>
      <w:r w:rsidRPr="00EE5D92">
        <w:t xml:space="preserve"> the utility incurs to provide underground service in place of overhead service. The cost of standard overhead construction is recovered through base rates from all ratepayers. In lieu of overhead construction, customers have the option of requesting underground facilities. Any additional cost is paid by the customer as contribution-in-aid-of construction. Typically, the URD customer is the developer of a subdivision.</w:t>
      </w:r>
    </w:p>
    <w:p w14:paraId="050B8423" w14:textId="3BFE7AC1" w:rsidR="00A9487F" w:rsidRDefault="00A9487F" w:rsidP="00A9487F">
      <w:pPr>
        <w:pStyle w:val="BodyText"/>
      </w:pPr>
      <w:r w:rsidRPr="00EE5D92">
        <w:t>G</w:t>
      </w:r>
      <w:r w:rsidRPr="006D0054">
        <w:t>ulf</w:t>
      </w:r>
      <w:r w:rsidR="00E4217A" w:rsidRPr="006D0054">
        <w:t>’</w:t>
      </w:r>
      <w:r w:rsidRPr="006D0054">
        <w:t>s</w:t>
      </w:r>
      <w:r w:rsidRPr="00EE5D92">
        <w:t xml:space="preserve"> URD charges are based on two standard model subdivisions: a 210-lot low density subdivision and a 176-lot high density subdivision. While actual construction may differ from the model subdivisions, the subdivisions are designed to reflect average overhead and underground </w:t>
      </w:r>
      <w:r>
        <w:t>design plans</w:t>
      </w:r>
      <w:r w:rsidRPr="00EE5D92">
        <w:t xml:space="preserve">. </w:t>
      </w:r>
    </w:p>
    <w:p w14:paraId="25D8EDAF" w14:textId="07E3D97D" w:rsidR="00A9487F" w:rsidRDefault="00A9487F" w:rsidP="00A9487F">
      <w:pPr>
        <w:pStyle w:val="BodyText"/>
      </w:pPr>
      <w:r w:rsidRPr="00EE5D92">
        <w:t xml:space="preserve">Table 1-1 shows the current and proposed URD differentials for the low and high density subdivisions. The charges shown are per-lot charges. </w:t>
      </w:r>
      <w:r>
        <w:t xml:space="preserve">While the charges noted in this table represent the utility performing all construction, </w:t>
      </w:r>
      <w:r w:rsidRPr="00EE5D92">
        <w:t>Gulf</w:t>
      </w:r>
      <w:r>
        <w:t>’</w:t>
      </w:r>
      <w:r w:rsidRPr="00EE5D92">
        <w:t xml:space="preserve">s URD tariffs also provide </w:t>
      </w:r>
      <w:r>
        <w:t xml:space="preserve">cost options </w:t>
      </w:r>
      <w:proofErr w:type="gramStart"/>
      <w:r>
        <w:t xml:space="preserve">for </w:t>
      </w:r>
      <w:r w:rsidRPr="00EE5D92">
        <w:t xml:space="preserve"> </w:t>
      </w:r>
      <w:r w:rsidR="00E4217A" w:rsidRPr="006D0054">
        <w:t>a</w:t>
      </w:r>
      <w:proofErr w:type="gramEnd"/>
      <w:r w:rsidR="00E4217A">
        <w:t xml:space="preserve"> </w:t>
      </w:r>
      <w:r w:rsidRPr="00EE5D92">
        <w:t xml:space="preserve">customer </w:t>
      </w:r>
      <w:r>
        <w:t xml:space="preserve">who may </w:t>
      </w:r>
      <w:r w:rsidRPr="00EE5D92">
        <w:t>choos</w:t>
      </w:r>
      <w:r>
        <w:t xml:space="preserve">e to supply, or </w:t>
      </w:r>
      <w:r w:rsidRPr="00EE5D92">
        <w:t>install</w:t>
      </w:r>
      <w:r>
        <w:t>,</w:t>
      </w:r>
      <w:r w:rsidRPr="00EE5D92">
        <w:t xml:space="preserve"> the primary</w:t>
      </w:r>
      <w:r>
        <w:t xml:space="preserve"> trench, </w:t>
      </w:r>
      <w:r w:rsidRPr="00EE5D92">
        <w:t>secondary trench</w:t>
      </w:r>
      <w:r>
        <w:t xml:space="preserve">, or </w:t>
      </w:r>
      <w:r w:rsidRPr="00EE5D92">
        <w:t>duct system.</w:t>
      </w:r>
    </w:p>
    <w:p w14:paraId="0E232A8B" w14:textId="77777777" w:rsidR="00CD0F9B" w:rsidRDefault="00CD0F9B" w:rsidP="00A9487F">
      <w:pPr>
        <w:pStyle w:val="BodyText"/>
      </w:pPr>
    </w:p>
    <w:p w14:paraId="7623D369" w14:textId="77777777" w:rsidR="00CD0F9B" w:rsidRDefault="00CD0F9B" w:rsidP="00A9487F">
      <w:pPr>
        <w:pStyle w:val="BodyText"/>
      </w:pPr>
    </w:p>
    <w:p w14:paraId="577256D5" w14:textId="77777777" w:rsidR="00CD0F9B" w:rsidRDefault="00CD0F9B" w:rsidP="00A9487F">
      <w:pPr>
        <w:pStyle w:val="BodyText"/>
      </w:pPr>
    </w:p>
    <w:p w14:paraId="587A149A" w14:textId="77777777" w:rsidR="00CD0F9B" w:rsidRDefault="00CD0F9B" w:rsidP="00A9487F">
      <w:pPr>
        <w:pStyle w:val="BodyText"/>
      </w:pPr>
    </w:p>
    <w:p w14:paraId="5E752F03" w14:textId="77777777" w:rsidR="00A9487F" w:rsidRDefault="00A9487F" w:rsidP="00A9487F">
      <w:pPr>
        <w:pStyle w:val="TableNumber"/>
        <w:keepNext/>
      </w:pPr>
      <w:r>
        <w:lastRenderedPageBreak/>
        <w:t xml:space="preserve">Table </w:t>
      </w:r>
      <w:fldSimple w:instr=" SEQ Issue \c ">
        <w:r>
          <w:rPr>
            <w:noProof/>
          </w:rPr>
          <w:t>1</w:t>
        </w:r>
      </w:fldSimple>
      <w:r>
        <w:t>-1</w:t>
      </w:r>
    </w:p>
    <w:p w14:paraId="5099627A" w14:textId="77777777" w:rsidR="00A9487F" w:rsidRDefault="00A9487F" w:rsidP="00A9487F">
      <w:pPr>
        <w:pStyle w:val="TableTitle"/>
        <w:keepNext/>
      </w:pPr>
      <w:r>
        <w:t xml:space="preserve"> Comparison of URD Differential per Lot</w:t>
      </w:r>
    </w:p>
    <w:tbl>
      <w:tblPr>
        <w:tblStyle w:val="TableGrid1"/>
        <w:tblpPr w:leftFromText="180" w:rightFromText="180" w:vertAnchor="page" w:horzAnchor="margin" w:tblpY="2541"/>
        <w:tblW w:w="0" w:type="auto"/>
        <w:tblLook w:val="04A0" w:firstRow="1" w:lastRow="0" w:firstColumn="1" w:lastColumn="0" w:noHBand="0" w:noVBand="1"/>
      </w:tblPr>
      <w:tblGrid>
        <w:gridCol w:w="3084"/>
        <w:gridCol w:w="3192"/>
        <w:gridCol w:w="3192"/>
      </w:tblGrid>
      <w:tr w:rsidR="00CD0F9B" w:rsidRPr="00F01D9E" w14:paraId="00264BBE" w14:textId="77777777" w:rsidTr="00CD0F9B">
        <w:tc>
          <w:tcPr>
            <w:tcW w:w="3084" w:type="dxa"/>
          </w:tcPr>
          <w:p w14:paraId="2763BABD" w14:textId="77777777" w:rsidR="00CD0F9B" w:rsidRPr="00A81FFB" w:rsidRDefault="00CD0F9B" w:rsidP="00CD0F9B">
            <w:pPr>
              <w:jc w:val="center"/>
              <w:rPr>
                <w:b/>
              </w:rPr>
            </w:pPr>
            <w:r w:rsidRPr="00A81FFB">
              <w:rPr>
                <w:b/>
              </w:rPr>
              <w:t>Type of Subdivision</w:t>
            </w:r>
          </w:p>
        </w:tc>
        <w:tc>
          <w:tcPr>
            <w:tcW w:w="3192" w:type="dxa"/>
          </w:tcPr>
          <w:p w14:paraId="37FFA506" w14:textId="77777777" w:rsidR="00CD0F9B" w:rsidRPr="00A81FFB" w:rsidRDefault="00CD0F9B" w:rsidP="00CD0F9B">
            <w:pPr>
              <w:jc w:val="center"/>
              <w:rPr>
                <w:b/>
              </w:rPr>
            </w:pPr>
            <w:r w:rsidRPr="00A81FFB">
              <w:rPr>
                <w:b/>
              </w:rPr>
              <w:t>Current URD</w:t>
            </w:r>
          </w:p>
          <w:p w14:paraId="656AB224" w14:textId="77777777" w:rsidR="00CD0F9B" w:rsidRPr="00A81FFB" w:rsidRDefault="00CD0F9B" w:rsidP="00CD0F9B">
            <w:pPr>
              <w:jc w:val="center"/>
              <w:rPr>
                <w:b/>
              </w:rPr>
            </w:pPr>
            <w:r w:rsidRPr="00A81FFB">
              <w:rPr>
                <w:b/>
              </w:rPr>
              <w:t>Differential</w:t>
            </w:r>
          </w:p>
        </w:tc>
        <w:tc>
          <w:tcPr>
            <w:tcW w:w="3192" w:type="dxa"/>
          </w:tcPr>
          <w:p w14:paraId="4940FC8C" w14:textId="77777777" w:rsidR="00CD0F9B" w:rsidRPr="00A81FFB" w:rsidRDefault="00CD0F9B" w:rsidP="00CD0F9B">
            <w:pPr>
              <w:jc w:val="center"/>
              <w:rPr>
                <w:b/>
              </w:rPr>
            </w:pPr>
            <w:r w:rsidRPr="00A81FFB">
              <w:rPr>
                <w:b/>
              </w:rPr>
              <w:t>Proposed URD</w:t>
            </w:r>
          </w:p>
          <w:p w14:paraId="5D256F28" w14:textId="77777777" w:rsidR="00CD0F9B" w:rsidRPr="00A81FFB" w:rsidRDefault="00CD0F9B" w:rsidP="00CD0F9B">
            <w:pPr>
              <w:jc w:val="center"/>
              <w:rPr>
                <w:b/>
              </w:rPr>
            </w:pPr>
            <w:r w:rsidRPr="00A81FFB">
              <w:rPr>
                <w:b/>
              </w:rPr>
              <w:t>Differential</w:t>
            </w:r>
          </w:p>
        </w:tc>
      </w:tr>
      <w:tr w:rsidR="00CD0F9B" w:rsidRPr="00F01D9E" w14:paraId="4FE446D5" w14:textId="77777777" w:rsidTr="00CD0F9B">
        <w:tc>
          <w:tcPr>
            <w:tcW w:w="3084" w:type="dxa"/>
          </w:tcPr>
          <w:p w14:paraId="58347550" w14:textId="77777777" w:rsidR="00CD0F9B" w:rsidRPr="00F01D9E" w:rsidRDefault="00CD0F9B" w:rsidP="00CD0F9B">
            <w:pPr>
              <w:jc w:val="center"/>
            </w:pPr>
            <w:r w:rsidRPr="00F01D9E">
              <w:t>Low Density</w:t>
            </w:r>
          </w:p>
        </w:tc>
        <w:tc>
          <w:tcPr>
            <w:tcW w:w="3192" w:type="dxa"/>
          </w:tcPr>
          <w:p w14:paraId="6F856E3B" w14:textId="77777777" w:rsidR="00CD0F9B" w:rsidRPr="00F01D9E" w:rsidRDefault="00CD0F9B" w:rsidP="00CD0F9B">
            <w:pPr>
              <w:jc w:val="center"/>
            </w:pPr>
            <w:r w:rsidRPr="00F01D9E">
              <w:t>$568</w:t>
            </w:r>
          </w:p>
        </w:tc>
        <w:tc>
          <w:tcPr>
            <w:tcW w:w="3192" w:type="dxa"/>
          </w:tcPr>
          <w:p w14:paraId="6CE2B26F" w14:textId="77777777" w:rsidR="00CD0F9B" w:rsidRPr="00F01D9E" w:rsidRDefault="00CD0F9B" w:rsidP="00CD0F9B">
            <w:pPr>
              <w:jc w:val="center"/>
            </w:pPr>
            <w:r w:rsidRPr="00F01D9E">
              <w:t>$</w:t>
            </w:r>
            <w:r>
              <w:t>0</w:t>
            </w:r>
          </w:p>
        </w:tc>
      </w:tr>
      <w:tr w:rsidR="00CD0F9B" w:rsidRPr="00F01D9E" w14:paraId="3C6D7A13" w14:textId="77777777" w:rsidTr="00CD0F9B">
        <w:tc>
          <w:tcPr>
            <w:tcW w:w="3084" w:type="dxa"/>
          </w:tcPr>
          <w:p w14:paraId="037E329F" w14:textId="77777777" w:rsidR="00CD0F9B" w:rsidRPr="00F01D9E" w:rsidRDefault="00CD0F9B" w:rsidP="00CD0F9B">
            <w:pPr>
              <w:jc w:val="center"/>
            </w:pPr>
            <w:r w:rsidRPr="00F01D9E">
              <w:t>High Density</w:t>
            </w:r>
          </w:p>
        </w:tc>
        <w:tc>
          <w:tcPr>
            <w:tcW w:w="3192" w:type="dxa"/>
          </w:tcPr>
          <w:p w14:paraId="1B68BE0E" w14:textId="77777777" w:rsidR="00CD0F9B" w:rsidRPr="00F01D9E" w:rsidRDefault="00CD0F9B" w:rsidP="00CD0F9B">
            <w:pPr>
              <w:jc w:val="center"/>
            </w:pPr>
            <w:r w:rsidRPr="00F01D9E">
              <w:t>$609</w:t>
            </w:r>
          </w:p>
        </w:tc>
        <w:tc>
          <w:tcPr>
            <w:tcW w:w="3192" w:type="dxa"/>
          </w:tcPr>
          <w:p w14:paraId="1C4FCCB8" w14:textId="77777777" w:rsidR="00CD0F9B" w:rsidRPr="00F01D9E" w:rsidRDefault="00CD0F9B" w:rsidP="00CD0F9B">
            <w:pPr>
              <w:jc w:val="center"/>
            </w:pPr>
            <w:r w:rsidRPr="00F01D9E">
              <w:t>$</w:t>
            </w:r>
            <w:r>
              <w:t>0</w:t>
            </w:r>
          </w:p>
        </w:tc>
      </w:tr>
    </w:tbl>
    <w:p w14:paraId="4EF0EC77" w14:textId="50E1778F" w:rsidR="00A9487F" w:rsidRPr="00A04531" w:rsidRDefault="00A9487F" w:rsidP="00A9487F">
      <w:pPr>
        <w:pStyle w:val="BodyText"/>
      </w:pPr>
      <w:r>
        <w:t xml:space="preserve">Source: Commission Order </w:t>
      </w:r>
      <w:r w:rsidR="00E4217A" w:rsidRPr="006D0054">
        <w:t xml:space="preserve">No. </w:t>
      </w:r>
      <w:proofErr w:type="gramStart"/>
      <w:r w:rsidRPr="00AC62C4">
        <w:t>PSC-2019-0448-TRF-EI</w:t>
      </w:r>
      <w:r>
        <w:t xml:space="preserve"> and 2020 Petition.</w:t>
      </w:r>
      <w:proofErr w:type="gramEnd"/>
    </w:p>
    <w:p w14:paraId="0BAC689A" w14:textId="77777777" w:rsidR="00A9487F" w:rsidRDefault="00A9487F" w:rsidP="00A9487F">
      <w:pPr>
        <w:pStyle w:val="First-LevelSubheading"/>
      </w:pPr>
      <w:r>
        <w:t>Labor and Material Costs</w:t>
      </w:r>
    </w:p>
    <w:p w14:paraId="7035877A" w14:textId="5ED64D1B" w:rsidR="00A9487F" w:rsidRPr="006D0054" w:rsidRDefault="00A9487F" w:rsidP="00A9487F">
      <w:pPr>
        <w:pStyle w:val="BodyText"/>
      </w:pPr>
      <w:r w:rsidRPr="003B702A">
        <w:t>The installation costs of both underground and overhead facilities include the labor and material costs to provide primary, secondary, and service distribution lines, as well as transformers. The costs of poles are specific to overhead service, while the costs of trenching and backfilling are specific to underground service. Utilities are requir</w:t>
      </w:r>
      <w:r w:rsidRPr="006D0054">
        <w:t>ed by Rule 25-6.078(5)</w:t>
      </w:r>
      <w:r w:rsidR="00E4217A" w:rsidRPr="006D0054">
        <w:t>,</w:t>
      </w:r>
      <w:r w:rsidRPr="006D0054">
        <w:t xml:space="preserve"> F.A.C., to use current labor and materials costs in calculating underground and overhead differential</w:t>
      </w:r>
      <w:r w:rsidR="00E4217A" w:rsidRPr="006D0054">
        <w:t>s</w:t>
      </w:r>
      <w:r w:rsidRPr="006D0054">
        <w:t>.</w:t>
      </w:r>
    </w:p>
    <w:p w14:paraId="509B419D" w14:textId="4E45979D" w:rsidR="00A9487F" w:rsidRPr="006D0054" w:rsidRDefault="00A9487F" w:rsidP="00A9487F">
      <w:pPr>
        <w:pStyle w:val="BodyText"/>
      </w:pPr>
      <w:r w:rsidRPr="006D0054">
        <w:t xml:space="preserve">Gulf stated that it has made design modifications </w:t>
      </w:r>
      <w:r w:rsidR="00E4217A" w:rsidRPr="006D0054">
        <w:t xml:space="preserve">for installations in </w:t>
      </w:r>
      <w:r w:rsidRPr="006D0054">
        <w:t xml:space="preserve">both low and high density subdivisions in this petition. The utility explained that these changes were necessary to ensure its designs met the extreme wind loading requirements and the utility’s improved construction standards related to storm hardening. These changes increased certain </w:t>
      </w:r>
      <w:r w:rsidR="00E4217A" w:rsidRPr="006D0054">
        <w:t xml:space="preserve">materials </w:t>
      </w:r>
      <w:r w:rsidRPr="006D0054">
        <w:t>cost</w:t>
      </w:r>
      <w:r w:rsidR="00E4217A" w:rsidRPr="006D0054">
        <w:t>s,</w:t>
      </w:r>
      <w:r w:rsidRPr="006D0054">
        <w:t xml:space="preserve"> such as poles and transformers.</w:t>
      </w:r>
      <w:r w:rsidRPr="006D0054">
        <w:rPr>
          <w:rStyle w:val="FootnoteReference"/>
        </w:rPr>
        <w:footnoteReference w:id="3"/>
      </w:r>
    </w:p>
    <w:p w14:paraId="6F310C42" w14:textId="49545AF5" w:rsidR="00A9487F" w:rsidRDefault="00A9487F" w:rsidP="00A9487F">
      <w:pPr>
        <w:pStyle w:val="BodyText"/>
      </w:pPr>
      <w:r w:rsidRPr="006D0054">
        <w:t xml:space="preserve">The </w:t>
      </w:r>
      <w:r w:rsidR="000B1434" w:rsidRPr="006D0054">
        <w:t>assumed contributions</w:t>
      </w:r>
      <w:r w:rsidRPr="006D0054">
        <w:t xml:space="preserve"> of Gulf employee and contractor labor remains the same a</w:t>
      </w:r>
      <w:r>
        <w:t>s in 2019</w:t>
      </w:r>
      <w:r w:rsidRPr="002373FC">
        <w:t>. Gulf employees continue to perform distribution construction activities</w:t>
      </w:r>
      <w:r>
        <w:t>, while</w:t>
      </w:r>
      <w:r w:rsidRPr="002373FC">
        <w:t xml:space="preserve"> contract labor is utilized to perform distribution overhead construction. B</w:t>
      </w:r>
      <w:r>
        <w:t>oth Gulf and contractor labor ra</w:t>
      </w:r>
      <w:r w:rsidRPr="002373FC">
        <w:t>tes have increase</w:t>
      </w:r>
      <w:r>
        <w:t>d</w:t>
      </w:r>
      <w:r w:rsidRPr="002373FC">
        <w:t xml:space="preserve"> as specified in their respective contracts. Table</w:t>
      </w:r>
      <w:r>
        <w:t xml:space="preserve"> 1-2 below compares total 2019 and 2020</w:t>
      </w:r>
      <w:r w:rsidRPr="002373FC">
        <w:t xml:space="preserve"> per-lot labor and material costs for the two subdivisions.</w:t>
      </w:r>
    </w:p>
    <w:p w14:paraId="47B03337" w14:textId="77777777" w:rsidR="00A9487F" w:rsidRDefault="00A9487F" w:rsidP="00A9487F">
      <w:pPr>
        <w:pStyle w:val="TableNumber"/>
        <w:keepNext/>
      </w:pPr>
      <w:r>
        <w:t xml:space="preserve">Table </w:t>
      </w:r>
      <w:fldSimple w:instr=" SEQ Issue \c ">
        <w:r>
          <w:rPr>
            <w:noProof/>
          </w:rPr>
          <w:t>1</w:t>
        </w:r>
      </w:fldSimple>
      <w:r>
        <w:t>-2</w:t>
      </w:r>
    </w:p>
    <w:p w14:paraId="4DA9ACE8" w14:textId="77777777" w:rsidR="00A9487F" w:rsidRDefault="00A9487F" w:rsidP="00A9487F">
      <w:pPr>
        <w:pStyle w:val="TableTitle"/>
        <w:keepNext/>
      </w:pPr>
      <w:r>
        <w:t>Labor and Material Costs per Lot</w:t>
      </w:r>
    </w:p>
    <w:tbl>
      <w:tblPr>
        <w:tblStyle w:val="TableGrid"/>
        <w:tblW w:w="0" w:type="auto"/>
        <w:tblInd w:w="108" w:type="dxa"/>
        <w:tblLook w:val="04A0" w:firstRow="1" w:lastRow="0" w:firstColumn="1" w:lastColumn="0" w:noHBand="0" w:noVBand="1"/>
      </w:tblPr>
      <w:tblGrid>
        <w:gridCol w:w="4320"/>
        <w:gridCol w:w="1530"/>
        <w:gridCol w:w="1710"/>
        <w:gridCol w:w="1794"/>
      </w:tblGrid>
      <w:tr w:rsidR="00A9487F" w14:paraId="459493FA" w14:textId="77777777" w:rsidTr="00863E2A">
        <w:tc>
          <w:tcPr>
            <w:tcW w:w="4320" w:type="dxa"/>
          </w:tcPr>
          <w:p w14:paraId="015B17A7" w14:textId="77777777" w:rsidR="00A9487F" w:rsidRPr="000C3BDD" w:rsidRDefault="00A9487F" w:rsidP="00863E2A">
            <w:pPr>
              <w:rPr>
                <w:i/>
              </w:rPr>
            </w:pPr>
          </w:p>
        </w:tc>
        <w:tc>
          <w:tcPr>
            <w:tcW w:w="1530" w:type="dxa"/>
          </w:tcPr>
          <w:p w14:paraId="1EA70D34" w14:textId="30914717" w:rsidR="00A9487F" w:rsidRPr="00311D65" w:rsidRDefault="00A9487F" w:rsidP="001073D8">
            <w:pPr>
              <w:jc w:val="center"/>
              <w:rPr>
                <w:b/>
              </w:rPr>
            </w:pPr>
            <w:r w:rsidRPr="00311D65">
              <w:rPr>
                <w:b/>
              </w:rPr>
              <w:t>201</w:t>
            </w:r>
            <w:r w:rsidR="001073D8">
              <w:rPr>
                <w:b/>
              </w:rPr>
              <w:t>9</w:t>
            </w:r>
            <w:r w:rsidRPr="00311D65">
              <w:rPr>
                <w:b/>
              </w:rPr>
              <w:t xml:space="preserve"> Costs</w:t>
            </w:r>
          </w:p>
        </w:tc>
        <w:tc>
          <w:tcPr>
            <w:tcW w:w="1710" w:type="dxa"/>
          </w:tcPr>
          <w:p w14:paraId="09B24BD4" w14:textId="2B1270B6" w:rsidR="00A9487F" w:rsidRPr="00311D65" w:rsidRDefault="00A9487F" w:rsidP="001073D8">
            <w:pPr>
              <w:jc w:val="center"/>
              <w:rPr>
                <w:b/>
              </w:rPr>
            </w:pPr>
            <w:r w:rsidRPr="00311D65">
              <w:rPr>
                <w:b/>
              </w:rPr>
              <w:t>20</w:t>
            </w:r>
            <w:r w:rsidR="001073D8">
              <w:rPr>
                <w:b/>
              </w:rPr>
              <w:t>20</w:t>
            </w:r>
            <w:r w:rsidRPr="00311D65">
              <w:rPr>
                <w:b/>
              </w:rPr>
              <w:t xml:space="preserve"> Costs</w:t>
            </w:r>
          </w:p>
        </w:tc>
        <w:tc>
          <w:tcPr>
            <w:tcW w:w="1794" w:type="dxa"/>
          </w:tcPr>
          <w:p w14:paraId="1813AB05" w14:textId="77777777" w:rsidR="00A9487F" w:rsidRPr="00311D65" w:rsidRDefault="00A9487F" w:rsidP="00863E2A">
            <w:pPr>
              <w:jc w:val="center"/>
              <w:rPr>
                <w:b/>
              </w:rPr>
            </w:pPr>
            <w:r w:rsidRPr="00311D65">
              <w:rPr>
                <w:b/>
              </w:rPr>
              <w:t>Difference</w:t>
            </w:r>
          </w:p>
        </w:tc>
      </w:tr>
      <w:tr w:rsidR="00A9487F" w14:paraId="75A21756" w14:textId="77777777" w:rsidTr="00863E2A">
        <w:tc>
          <w:tcPr>
            <w:tcW w:w="9354" w:type="dxa"/>
            <w:gridSpan w:val="4"/>
          </w:tcPr>
          <w:p w14:paraId="6FFDC601" w14:textId="77777777" w:rsidR="00A9487F" w:rsidRDefault="00A9487F" w:rsidP="00863E2A">
            <w:r w:rsidRPr="00311D65">
              <w:rPr>
                <w:b/>
              </w:rPr>
              <w:t>Low Density</w:t>
            </w:r>
          </w:p>
        </w:tc>
      </w:tr>
      <w:tr w:rsidR="00A9487F" w14:paraId="112B36CE" w14:textId="77777777" w:rsidTr="00863E2A">
        <w:tc>
          <w:tcPr>
            <w:tcW w:w="4320" w:type="dxa"/>
          </w:tcPr>
          <w:p w14:paraId="66662B90" w14:textId="77777777" w:rsidR="00A9487F" w:rsidRDefault="00A9487F" w:rsidP="00863E2A">
            <w:r>
              <w:t>Underground Labor/Material Costs</w:t>
            </w:r>
          </w:p>
        </w:tc>
        <w:tc>
          <w:tcPr>
            <w:tcW w:w="1530" w:type="dxa"/>
          </w:tcPr>
          <w:p w14:paraId="78A20DBF" w14:textId="77777777" w:rsidR="00A9487F" w:rsidRDefault="00A9487F" w:rsidP="00863E2A">
            <w:pPr>
              <w:jc w:val="center"/>
            </w:pPr>
            <w:r>
              <w:t>$2,749</w:t>
            </w:r>
          </w:p>
        </w:tc>
        <w:tc>
          <w:tcPr>
            <w:tcW w:w="1710" w:type="dxa"/>
          </w:tcPr>
          <w:p w14:paraId="7BF661CD" w14:textId="77777777" w:rsidR="00A9487F" w:rsidRDefault="00A9487F" w:rsidP="00863E2A">
            <w:pPr>
              <w:jc w:val="center"/>
            </w:pPr>
            <w:r>
              <w:t>$3,080</w:t>
            </w:r>
          </w:p>
        </w:tc>
        <w:tc>
          <w:tcPr>
            <w:tcW w:w="1794" w:type="dxa"/>
          </w:tcPr>
          <w:p w14:paraId="3612FAC5" w14:textId="77777777" w:rsidR="00A9487F" w:rsidRDefault="00A9487F" w:rsidP="00863E2A">
            <w:pPr>
              <w:jc w:val="center"/>
            </w:pPr>
            <w:r>
              <w:t>$331</w:t>
            </w:r>
          </w:p>
        </w:tc>
      </w:tr>
      <w:tr w:rsidR="00A9487F" w14:paraId="5413E3A0" w14:textId="77777777" w:rsidTr="00863E2A">
        <w:tc>
          <w:tcPr>
            <w:tcW w:w="4320" w:type="dxa"/>
          </w:tcPr>
          <w:p w14:paraId="41E22B24" w14:textId="77777777" w:rsidR="00A9487F" w:rsidRDefault="00A9487F" w:rsidP="00863E2A">
            <w:r>
              <w:t>Overhead Labor/Material Costs</w:t>
            </w:r>
          </w:p>
        </w:tc>
        <w:tc>
          <w:tcPr>
            <w:tcW w:w="1530" w:type="dxa"/>
          </w:tcPr>
          <w:p w14:paraId="1C9DE7A9" w14:textId="77777777" w:rsidR="00A9487F" w:rsidRDefault="00A9487F" w:rsidP="00863E2A">
            <w:pPr>
              <w:jc w:val="center"/>
            </w:pPr>
            <w:r>
              <w:t>$1,972</w:t>
            </w:r>
          </w:p>
        </w:tc>
        <w:tc>
          <w:tcPr>
            <w:tcW w:w="1710" w:type="dxa"/>
          </w:tcPr>
          <w:p w14:paraId="70CD013A" w14:textId="77777777" w:rsidR="00A9487F" w:rsidRDefault="00A9487F" w:rsidP="00863E2A">
            <w:pPr>
              <w:jc w:val="center"/>
            </w:pPr>
            <w:r>
              <w:t>$2,521</w:t>
            </w:r>
          </w:p>
        </w:tc>
        <w:tc>
          <w:tcPr>
            <w:tcW w:w="1794" w:type="dxa"/>
          </w:tcPr>
          <w:p w14:paraId="03B50F2D" w14:textId="77777777" w:rsidR="00A9487F" w:rsidRDefault="00A9487F" w:rsidP="00863E2A">
            <w:pPr>
              <w:jc w:val="center"/>
            </w:pPr>
            <w:r>
              <w:t>$549</w:t>
            </w:r>
          </w:p>
        </w:tc>
      </w:tr>
      <w:tr w:rsidR="00A9487F" w14:paraId="63D791D7" w14:textId="77777777" w:rsidTr="00863E2A">
        <w:tc>
          <w:tcPr>
            <w:tcW w:w="4320" w:type="dxa"/>
          </w:tcPr>
          <w:p w14:paraId="1A104665" w14:textId="77777777" w:rsidR="00A9487F" w:rsidRDefault="00A9487F" w:rsidP="00863E2A">
            <w:r>
              <w:t>Per lot Differential</w:t>
            </w:r>
          </w:p>
        </w:tc>
        <w:tc>
          <w:tcPr>
            <w:tcW w:w="1530" w:type="dxa"/>
          </w:tcPr>
          <w:p w14:paraId="7D695F4A" w14:textId="77777777" w:rsidR="00A9487F" w:rsidRDefault="00A9487F" w:rsidP="00863E2A">
            <w:pPr>
              <w:jc w:val="center"/>
            </w:pPr>
            <w:r>
              <w:t>$777</w:t>
            </w:r>
          </w:p>
        </w:tc>
        <w:tc>
          <w:tcPr>
            <w:tcW w:w="1710" w:type="dxa"/>
          </w:tcPr>
          <w:p w14:paraId="4E79887A" w14:textId="77777777" w:rsidR="00A9487F" w:rsidRDefault="00A9487F" w:rsidP="00863E2A">
            <w:pPr>
              <w:jc w:val="center"/>
            </w:pPr>
            <w:r>
              <w:t>$560</w:t>
            </w:r>
          </w:p>
        </w:tc>
        <w:tc>
          <w:tcPr>
            <w:tcW w:w="1794" w:type="dxa"/>
          </w:tcPr>
          <w:p w14:paraId="27758E0F" w14:textId="77777777" w:rsidR="00A9487F" w:rsidRDefault="00A9487F" w:rsidP="00863E2A">
            <w:pPr>
              <w:jc w:val="center"/>
            </w:pPr>
            <w:r>
              <w:t>$218</w:t>
            </w:r>
          </w:p>
        </w:tc>
      </w:tr>
      <w:tr w:rsidR="00A9487F" w14:paraId="66B440F1" w14:textId="77777777" w:rsidTr="00863E2A">
        <w:tc>
          <w:tcPr>
            <w:tcW w:w="9354" w:type="dxa"/>
            <w:gridSpan w:val="4"/>
          </w:tcPr>
          <w:p w14:paraId="6002CE61" w14:textId="77777777" w:rsidR="00A9487F" w:rsidRDefault="00A9487F" w:rsidP="00863E2A">
            <w:r w:rsidRPr="00311D65">
              <w:rPr>
                <w:b/>
              </w:rPr>
              <w:t>High Density</w:t>
            </w:r>
          </w:p>
        </w:tc>
      </w:tr>
      <w:tr w:rsidR="00A9487F" w14:paraId="5DA8EDB2" w14:textId="77777777" w:rsidTr="00863E2A">
        <w:tc>
          <w:tcPr>
            <w:tcW w:w="4320" w:type="dxa"/>
          </w:tcPr>
          <w:p w14:paraId="2C2C585C" w14:textId="77777777" w:rsidR="00A9487F" w:rsidRDefault="00A9487F" w:rsidP="00863E2A">
            <w:r>
              <w:t>Underground Labor/Material Costs</w:t>
            </w:r>
          </w:p>
        </w:tc>
        <w:tc>
          <w:tcPr>
            <w:tcW w:w="1530" w:type="dxa"/>
          </w:tcPr>
          <w:p w14:paraId="3C469019" w14:textId="77777777" w:rsidR="00A9487F" w:rsidRDefault="00A9487F" w:rsidP="00863E2A">
            <w:pPr>
              <w:jc w:val="center"/>
            </w:pPr>
            <w:r>
              <w:t>$2,198</w:t>
            </w:r>
          </w:p>
        </w:tc>
        <w:tc>
          <w:tcPr>
            <w:tcW w:w="1710" w:type="dxa"/>
          </w:tcPr>
          <w:p w14:paraId="7A12DE47" w14:textId="77777777" w:rsidR="00A9487F" w:rsidRDefault="00A9487F" w:rsidP="00863E2A">
            <w:pPr>
              <w:jc w:val="center"/>
            </w:pPr>
            <w:r>
              <w:t>$2,421</w:t>
            </w:r>
          </w:p>
        </w:tc>
        <w:tc>
          <w:tcPr>
            <w:tcW w:w="1794" w:type="dxa"/>
          </w:tcPr>
          <w:p w14:paraId="40E649C5" w14:textId="77777777" w:rsidR="00A9487F" w:rsidRDefault="00A9487F" w:rsidP="00863E2A">
            <w:pPr>
              <w:jc w:val="center"/>
            </w:pPr>
            <w:r>
              <w:t>$223</w:t>
            </w:r>
          </w:p>
        </w:tc>
      </w:tr>
      <w:tr w:rsidR="00A9487F" w14:paraId="52AC31AF" w14:textId="77777777" w:rsidTr="00863E2A">
        <w:tc>
          <w:tcPr>
            <w:tcW w:w="4320" w:type="dxa"/>
          </w:tcPr>
          <w:p w14:paraId="34B3AB6B" w14:textId="77777777" w:rsidR="00A9487F" w:rsidRDefault="00A9487F" w:rsidP="00863E2A">
            <w:r>
              <w:t>Overhead Labor/Material Costs</w:t>
            </w:r>
          </w:p>
        </w:tc>
        <w:tc>
          <w:tcPr>
            <w:tcW w:w="1530" w:type="dxa"/>
          </w:tcPr>
          <w:p w14:paraId="6BC3F4F8" w14:textId="77777777" w:rsidR="00A9487F" w:rsidRDefault="00A9487F" w:rsidP="00863E2A">
            <w:pPr>
              <w:jc w:val="center"/>
            </w:pPr>
            <w:r>
              <w:t>$1,528</w:t>
            </w:r>
          </w:p>
        </w:tc>
        <w:tc>
          <w:tcPr>
            <w:tcW w:w="1710" w:type="dxa"/>
          </w:tcPr>
          <w:p w14:paraId="5799CAC6" w14:textId="77777777" w:rsidR="00A9487F" w:rsidRDefault="00A9487F" w:rsidP="00863E2A">
            <w:pPr>
              <w:jc w:val="center"/>
            </w:pPr>
            <w:r>
              <w:t>$2,075</w:t>
            </w:r>
          </w:p>
        </w:tc>
        <w:tc>
          <w:tcPr>
            <w:tcW w:w="1794" w:type="dxa"/>
          </w:tcPr>
          <w:p w14:paraId="4204F15C" w14:textId="77777777" w:rsidR="00A9487F" w:rsidRDefault="00A9487F" w:rsidP="00863E2A">
            <w:pPr>
              <w:jc w:val="center"/>
            </w:pPr>
            <w:r>
              <w:t>$547</w:t>
            </w:r>
          </w:p>
        </w:tc>
      </w:tr>
      <w:tr w:rsidR="00A9487F" w14:paraId="0A56CE42" w14:textId="77777777" w:rsidTr="00863E2A">
        <w:tc>
          <w:tcPr>
            <w:tcW w:w="4320" w:type="dxa"/>
          </w:tcPr>
          <w:p w14:paraId="32FAE98E" w14:textId="77777777" w:rsidR="00A9487F" w:rsidRDefault="00A9487F" w:rsidP="00863E2A">
            <w:r>
              <w:t>Per lot Differential</w:t>
            </w:r>
          </w:p>
        </w:tc>
        <w:tc>
          <w:tcPr>
            <w:tcW w:w="1530" w:type="dxa"/>
          </w:tcPr>
          <w:p w14:paraId="5EDEC466" w14:textId="77777777" w:rsidR="00A9487F" w:rsidRDefault="00A9487F" w:rsidP="00863E2A">
            <w:pPr>
              <w:jc w:val="center"/>
            </w:pPr>
            <w:r>
              <w:t>$670</w:t>
            </w:r>
          </w:p>
        </w:tc>
        <w:tc>
          <w:tcPr>
            <w:tcW w:w="1710" w:type="dxa"/>
          </w:tcPr>
          <w:p w14:paraId="232178C3" w14:textId="77777777" w:rsidR="00A9487F" w:rsidRDefault="00A9487F" w:rsidP="00863E2A">
            <w:pPr>
              <w:jc w:val="center"/>
            </w:pPr>
            <w:r>
              <w:t>$346</w:t>
            </w:r>
          </w:p>
        </w:tc>
        <w:tc>
          <w:tcPr>
            <w:tcW w:w="1794" w:type="dxa"/>
          </w:tcPr>
          <w:p w14:paraId="5622A668" w14:textId="3767AEFA" w:rsidR="00A9487F" w:rsidRDefault="00A9487F" w:rsidP="001073D8">
            <w:pPr>
              <w:jc w:val="center"/>
            </w:pPr>
            <w:r>
              <w:t>$3</w:t>
            </w:r>
            <w:r w:rsidR="001073D8">
              <w:t>2</w:t>
            </w:r>
            <w:r>
              <w:t>4</w:t>
            </w:r>
          </w:p>
        </w:tc>
      </w:tr>
    </w:tbl>
    <w:p w14:paraId="3F3371B9" w14:textId="0D0F25CC" w:rsidR="00A9487F" w:rsidRDefault="00A9487F" w:rsidP="00A9487F">
      <w:pPr>
        <w:pStyle w:val="BodyText"/>
      </w:pPr>
      <w:r>
        <w:t xml:space="preserve">Source: Commission Order </w:t>
      </w:r>
      <w:r w:rsidR="000B1434" w:rsidRPr="006D0054">
        <w:t xml:space="preserve">No. </w:t>
      </w:r>
      <w:proofErr w:type="gramStart"/>
      <w:r w:rsidRPr="00AC62C4">
        <w:t>PSC-2019-0448-TRF-EI</w:t>
      </w:r>
      <w:r>
        <w:t xml:space="preserve"> and 2020 Petition.</w:t>
      </w:r>
      <w:proofErr w:type="gramEnd"/>
    </w:p>
    <w:p w14:paraId="5E58F44D" w14:textId="77777777" w:rsidR="006D0054" w:rsidRDefault="006D0054" w:rsidP="00A9487F">
      <w:pPr>
        <w:pStyle w:val="First-LevelSubheading"/>
      </w:pPr>
    </w:p>
    <w:p w14:paraId="15A1129B" w14:textId="77777777" w:rsidR="006D0054" w:rsidRDefault="006D0054" w:rsidP="00A9487F">
      <w:pPr>
        <w:pStyle w:val="First-LevelSubheading"/>
      </w:pPr>
    </w:p>
    <w:p w14:paraId="339EA571" w14:textId="77777777" w:rsidR="00A9487F" w:rsidRDefault="00A9487F" w:rsidP="00A9487F">
      <w:pPr>
        <w:pStyle w:val="First-LevelSubheading"/>
      </w:pPr>
      <w:r>
        <w:lastRenderedPageBreak/>
        <w:t>Operational Costs</w:t>
      </w:r>
    </w:p>
    <w:p w14:paraId="683DB4B8" w14:textId="77777777" w:rsidR="00A9487F" w:rsidRDefault="00A9487F" w:rsidP="00A9487F">
      <w:pPr>
        <w:pStyle w:val="BodyText"/>
      </w:pPr>
      <w:r w:rsidRPr="00A04531">
        <w:t>Rule 25-6.078(4), F.A.C., requires that the differences in net present value (NPV) of operational costs between overhead and underground systems, including average historical storm restoration costs over the life of the facilities, be included in the URD charge. The inclusion of the operational cost is intended to capture longer term costs and benefits of undergrounding.</w:t>
      </w:r>
    </w:p>
    <w:p w14:paraId="224ADA6D" w14:textId="77777777" w:rsidR="00A9487F" w:rsidRDefault="00A9487F" w:rsidP="00A9487F">
      <w:pPr>
        <w:pStyle w:val="BodyText"/>
      </w:pPr>
      <w:r w:rsidRPr="00890ED0">
        <w:t xml:space="preserve">Operational costs include operations and maintenance costs and capital costs and represent the cost differential between maintaining and operating an underground versus an overhead system over the life of the facilities. The inclusion of the storm restoration cost in the URD differential lowers the differential, since an underground distribution system generally incurs less damage than an overhead system as a result of a storm and, therefore, less restoration costs when compared to an overhead system. </w:t>
      </w:r>
    </w:p>
    <w:p w14:paraId="2CAA4A6F" w14:textId="28820189" w:rsidR="00A9487F" w:rsidRDefault="00A9487F" w:rsidP="00A9487F">
      <w:pPr>
        <w:pStyle w:val="BodyText"/>
      </w:pPr>
      <w:r>
        <w:t xml:space="preserve">The utility used a 5-year average of historical operational costs (2015-2019) for its calculations in this docket. The </w:t>
      </w:r>
      <w:r w:rsidRPr="00D80CA4">
        <w:t xml:space="preserve">methodology used by Gulf for calculating the NPV of operational costs was approved </w:t>
      </w:r>
      <w:r w:rsidR="00E33310">
        <w:t>by</w:t>
      </w:r>
      <w:r>
        <w:t xml:space="preserve"> Order No. </w:t>
      </w:r>
      <w:proofErr w:type="gramStart"/>
      <w:r>
        <w:t>PSC-12-0531- TRF-EI.</w:t>
      </w:r>
      <w:proofErr w:type="gramEnd"/>
      <w:r w:rsidRPr="00D80CA4">
        <w:t xml:space="preserve"> Gulf</w:t>
      </w:r>
      <w:r>
        <w:t>’</w:t>
      </w:r>
      <w:r w:rsidRPr="00D80CA4">
        <w:t>s NPV calculation used a 32-year life of the facilities and a 7.35 percent discount rate. Staff notes that operational costs may vary in amount for different IOUs as a result of differences in size of service territory, miles of coastline, regions subject to extreme winds, age of the distribution system, or construction standards.</w:t>
      </w:r>
    </w:p>
    <w:p w14:paraId="1BF65F11" w14:textId="1E81B7B8" w:rsidR="00A9487F" w:rsidRDefault="00A9487F" w:rsidP="00A9487F">
      <w:pPr>
        <w:pStyle w:val="BodyText"/>
      </w:pPr>
      <w:r>
        <w:t>Prior to adding the year 2019 to its operational cost calculation cycle, the utility did not have a significant amount of avoided storm operationa</w:t>
      </w:r>
      <w:r w:rsidR="00357D62">
        <w:t>l costs in its URD calculation.</w:t>
      </w:r>
      <w:r>
        <w:t xml:space="preserve"> In 2019, the utility incorporated the impact of Hurricane Michael in its avoided storm cost calculations. In response to staff’s data request, Gulf </w:t>
      </w:r>
      <w:proofErr w:type="gramStart"/>
      <w:r>
        <w:t>states</w:t>
      </w:r>
      <w:proofErr w:type="gramEnd"/>
      <w:r>
        <w:t xml:space="preserve"> that its overhead storm </w:t>
      </w:r>
      <w:r w:rsidR="00357D62">
        <w:t xml:space="preserve">restoration </w:t>
      </w:r>
      <w:r>
        <w:t>costs related to Hurricane Michael were approximately $342 million, compared to $38 million in underground costs.</w:t>
      </w:r>
      <w:r>
        <w:rPr>
          <w:rStyle w:val="FootnoteReference"/>
        </w:rPr>
        <w:footnoteReference w:id="4"/>
      </w:r>
      <w:r>
        <w:t xml:space="preserve"> The incorporation of these costs created a significant shift in the operational cost offset.</w:t>
      </w:r>
      <w:r w:rsidR="000B1434">
        <w:t xml:space="preserve"> </w:t>
      </w:r>
      <w:r w:rsidR="006D0054">
        <w:t>The proposed differential is $0 when the calculation results in a negative number.</w:t>
      </w:r>
    </w:p>
    <w:p w14:paraId="55A9C160" w14:textId="77777777" w:rsidR="00A9487F" w:rsidRPr="00A04531" w:rsidRDefault="00A9487F" w:rsidP="00A9487F">
      <w:pPr>
        <w:pStyle w:val="BodyText"/>
      </w:pPr>
      <w:r w:rsidRPr="00890ED0">
        <w:t>Table 1-3 presents the pre-operational, non-storm operational, and the avoided storm restoration cost differentials between overhead and underground systems.</w:t>
      </w:r>
      <w:r>
        <w:t xml:space="preserve"> </w:t>
      </w:r>
    </w:p>
    <w:p w14:paraId="6C6C7489" w14:textId="77777777" w:rsidR="00A9487F" w:rsidRDefault="00A9487F" w:rsidP="00A9487F">
      <w:pPr>
        <w:pStyle w:val="TableNumber"/>
        <w:keepNext/>
      </w:pPr>
      <w:r>
        <w:t xml:space="preserve">Table </w:t>
      </w:r>
      <w:fldSimple w:instr=" SEQ Issue \c ">
        <w:r>
          <w:rPr>
            <w:noProof/>
          </w:rPr>
          <w:t>1</w:t>
        </w:r>
      </w:fldSimple>
      <w:r>
        <w:t>-3</w:t>
      </w:r>
    </w:p>
    <w:p w14:paraId="17BFA4DB" w14:textId="77777777" w:rsidR="00A9487F" w:rsidRDefault="00A9487F" w:rsidP="00A9487F">
      <w:pPr>
        <w:pStyle w:val="TableTitle"/>
        <w:keepNext/>
      </w:pPr>
      <w:r>
        <w:t>NPV of Operational Costs Differential per Lot</w:t>
      </w:r>
    </w:p>
    <w:tbl>
      <w:tblPr>
        <w:tblW w:w="0" w:type="auto"/>
        <w:tblInd w:w="108" w:type="dxa"/>
        <w:tblCellMar>
          <w:left w:w="0" w:type="dxa"/>
          <w:right w:w="0" w:type="dxa"/>
        </w:tblCellMar>
        <w:tblLook w:val="04A0" w:firstRow="1" w:lastRow="0" w:firstColumn="1" w:lastColumn="0" w:noHBand="0" w:noVBand="1"/>
      </w:tblPr>
      <w:tblGrid>
        <w:gridCol w:w="1710"/>
        <w:gridCol w:w="1897"/>
        <w:gridCol w:w="2093"/>
        <w:gridCol w:w="1877"/>
        <w:gridCol w:w="1891"/>
      </w:tblGrid>
      <w:tr w:rsidR="00A9487F" w14:paraId="1FEBDEB3" w14:textId="77777777" w:rsidTr="00863E2A">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242D6B" w14:textId="77777777" w:rsidR="00A9487F" w:rsidRPr="00EC1A85" w:rsidRDefault="00A9487F" w:rsidP="00863E2A">
            <w:pPr>
              <w:jc w:val="center"/>
              <w:rPr>
                <w:rFonts w:eastAsiaTheme="minorHAnsi"/>
              </w:rPr>
            </w:pPr>
            <w:r w:rsidRPr="00EC1A85">
              <w:rPr>
                <w:b/>
                <w:bCs/>
              </w:rPr>
              <w:t>Type of Subdivision</w:t>
            </w:r>
          </w:p>
        </w:tc>
        <w:tc>
          <w:tcPr>
            <w:tcW w:w="189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CEF1CC4" w14:textId="77777777" w:rsidR="00A9487F" w:rsidRPr="00EC1A85" w:rsidRDefault="00A9487F" w:rsidP="00863E2A">
            <w:pPr>
              <w:jc w:val="center"/>
              <w:rPr>
                <w:rFonts w:eastAsiaTheme="minorHAnsi"/>
                <w:b/>
                <w:bCs/>
              </w:rPr>
            </w:pPr>
            <w:r w:rsidRPr="00EC1A85">
              <w:rPr>
                <w:b/>
                <w:bCs/>
              </w:rPr>
              <w:t>Pre-Operational</w:t>
            </w:r>
          </w:p>
          <w:p w14:paraId="3C2F5C33" w14:textId="77777777" w:rsidR="00A9487F" w:rsidRPr="00EC1A85" w:rsidRDefault="00A9487F" w:rsidP="00863E2A">
            <w:pPr>
              <w:jc w:val="center"/>
              <w:rPr>
                <w:rFonts w:eastAsiaTheme="minorHAnsi"/>
                <w:b/>
                <w:bCs/>
              </w:rPr>
            </w:pPr>
            <w:r w:rsidRPr="00EC1A85">
              <w:rPr>
                <w:b/>
                <w:bCs/>
              </w:rPr>
              <w:t>(A)</w:t>
            </w:r>
          </w:p>
        </w:tc>
        <w:tc>
          <w:tcPr>
            <w:tcW w:w="209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FF0F7ED" w14:textId="65D41E15" w:rsidR="00A9487F" w:rsidRPr="006D0054" w:rsidRDefault="00A9487F" w:rsidP="00863E2A">
            <w:pPr>
              <w:jc w:val="center"/>
              <w:rPr>
                <w:rFonts w:eastAsiaTheme="minorHAnsi"/>
                <w:b/>
                <w:bCs/>
              </w:rPr>
            </w:pPr>
            <w:r w:rsidRPr="006D0054">
              <w:rPr>
                <w:b/>
                <w:bCs/>
              </w:rPr>
              <w:t>Non-</w:t>
            </w:r>
            <w:r w:rsidR="000B1434" w:rsidRPr="006D0054">
              <w:rPr>
                <w:b/>
                <w:bCs/>
              </w:rPr>
              <w:t>S</w:t>
            </w:r>
            <w:r w:rsidRPr="006D0054">
              <w:rPr>
                <w:b/>
                <w:bCs/>
              </w:rPr>
              <w:t xml:space="preserve">torm Operational </w:t>
            </w:r>
            <w:r w:rsidR="00F81EDE">
              <w:rPr>
                <w:b/>
                <w:bCs/>
              </w:rPr>
              <w:t>C</w:t>
            </w:r>
            <w:r w:rsidRPr="006D0054">
              <w:rPr>
                <w:b/>
                <w:bCs/>
              </w:rPr>
              <w:t>osts</w:t>
            </w:r>
          </w:p>
          <w:p w14:paraId="5A643269" w14:textId="77777777" w:rsidR="00A9487F" w:rsidRPr="006D0054" w:rsidRDefault="00A9487F" w:rsidP="00863E2A">
            <w:pPr>
              <w:jc w:val="center"/>
              <w:rPr>
                <w:rFonts w:eastAsiaTheme="minorHAnsi"/>
              </w:rPr>
            </w:pPr>
            <w:r w:rsidRPr="006D0054">
              <w:rPr>
                <w:b/>
                <w:bCs/>
              </w:rPr>
              <w:t>(B)</w:t>
            </w:r>
          </w:p>
        </w:tc>
        <w:tc>
          <w:tcPr>
            <w:tcW w:w="18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0EED4F6" w14:textId="42604678" w:rsidR="00A9487F" w:rsidRPr="006D0054" w:rsidRDefault="00A9487F" w:rsidP="00863E2A">
            <w:pPr>
              <w:jc w:val="center"/>
              <w:rPr>
                <w:rFonts w:eastAsiaTheme="minorHAnsi"/>
                <w:b/>
                <w:bCs/>
              </w:rPr>
            </w:pPr>
            <w:r w:rsidRPr="006D0054">
              <w:rPr>
                <w:b/>
                <w:bCs/>
              </w:rPr>
              <w:t xml:space="preserve">Avoided Storm </w:t>
            </w:r>
            <w:r w:rsidR="000B1434" w:rsidRPr="006D0054">
              <w:rPr>
                <w:b/>
                <w:bCs/>
              </w:rPr>
              <w:t>C</w:t>
            </w:r>
            <w:r w:rsidRPr="006D0054">
              <w:rPr>
                <w:b/>
                <w:bCs/>
              </w:rPr>
              <w:t>osts</w:t>
            </w:r>
          </w:p>
          <w:p w14:paraId="756CD401" w14:textId="77777777" w:rsidR="00A9487F" w:rsidRPr="006D0054" w:rsidRDefault="00A9487F" w:rsidP="00863E2A">
            <w:pPr>
              <w:jc w:val="center"/>
              <w:rPr>
                <w:rFonts w:eastAsiaTheme="minorHAnsi"/>
                <w:b/>
              </w:rPr>
            </w:pPr>
            <w:r w:rsidRPr="006D0054">
              <w:rPr>
                <w:b/>
              </w:rPr>
              <w:t>(C)</w:t>
            </w:r>
          </w:p>
        </w:tc>
        <w:tc>
          <w:tcPr>
            <w:tcW w:w="189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B0E271E" w14:textId="77777777" w:rsidR="00A9487F" w:rsidRPr="00EC1A85" w:rsidRDefault="00A9487F" w:rsidP="00863E2A">
            <w:pPr>
              <w:jc w:val="center"/>
              <w:rPr>
                <w:rFonts w:eastAsiaTheme="minorHAnsi"/>
                <w:b/>
                <w:bCs/>
              </w:rPr>
            </w:pPr>
            <w:r w:rsidRPr="00EC1A85">
              <w:rPr>
                <w:b/>
                <w:bCs/>
              </w:rPr>
              <w:t xml:space="preserve">Proposed URD Differentials </w:t>
            </w:r>
          </w:p>
          <w:p w14:paraId="18FF9460" w14:textId="77777777" w:rsidR="00A9487F" w:rsidRPr="00EC1A85" w:rsidRDefault="00A9487F" w:rsidP="00863E2A">
            <w:pPr>
              <w:jc w:val="center"/>
              <w:rPr>
                <w:rFonts w:eastAsiaTheme="minorHAnsi"/>
              </w:rPr>
            </w:pPr>
            <w:r w:rsidRPr="00EC1A85">
              <w:rPr>
                <w:b/>
                <w:bCs/>
              </w:rPr>
              <w:t>(A)+(B)+(C)</w:t>
            </w:r>
          </w:p>
        </w:tc>
      </w:tr>
      <w:tr w:rsidR="00A9487F" w14:paraId="76BA03FD" w14:textId="77777777" w:rsidTr="00863E2A">
        <w:tc>
          <w:tcPr>
            <w:tcW w:w="17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CB38DE" w14:textId="77777777" w:rsidR="00A9487F" w:rsidRDefault="00A9487F" w:rsidP="00863E2A">
            <w:pPr>
              <w:rPr>
                <w:rFonts w:eastAsiaTheme="minorHAnsi"/>
              </w:rPr>
            </w:pPr>
            <w:r>
              <w:t>Low Density</w:t>
            </w:r>
          </w:p>
        </w:tc>
        <w:tc>
          <w:tcPr>
            <w:tcW w:w="1897" w:type="dxa"/>
            <w:tcBorders>
              <w:top w:val="nil"/>
              <w:left w:val="nil"/>
              <w:bottom w:val="single" w:sz="8" w:space="0" w:color="auto"/>
              <w:right w:val="single" w:sz="8" w:space="0" w:color="auto"/>
            </w:tcBorders>
            <w:tcMar>
              <w:top w:w="0" w:type="dxa"/>
              <w:left w:w="108" w:type="dxa"/>
              <w:bottom w:w="0" w:type="dxa"/>
              <w:right w:w="108" w:type="dxa"/>
            </w:tcMar>
            <w:hideMark/>
          </w:tcPr>
          <w:p w14:paraId="2D516D33" w14:textId="77777777" w:rsidR="00A9487F" w:rsidRDefault="00A9487F" w:rsidP="00863E2A">
            <w:pPr>
              <w:jc w:val="center"/>
              <w:rPr>
                <w:rFonts w:eastAsiaTheme="minorHAnsi"/>
              </w:rPr>
            </w:pPr>
            <w:r>
              <w:t>$560</w:t>
            </w:r>
          </w:p>
        </w:tc>
        <w:tc>
          <w:tcPr>
            <w:tcW w:w="2093" w:type="dxa"/>
            <w:tcBorders>
              <w:top w:val="nil"/>
              <w:left w:val="nil"/>
              <w:bottom w:val="single" w:sz="8" w:space="0" w:color="auto"/>
              <w:right w:val="single" w:sz="8" w:space="0" w:color="auto"/>
            </w:tcBorders>
            <w:tcMar>
              <w:top w:w="0" w:type="dxa"/>
              <w:left w:w="108" w:type="dxa"/>
              <w:bottom w:w="0" w:type="dxa"/>
              <w:right w:w="108" w:type="dxa"/>
            </w:tcMar>
            <w:hideMark/>
          </w:tcPr>
          <w:p w14:paraId="27D6FB1F" w14:textId="77777777" w:rsidR="00A9487F" w:rsidRPr="00E476AC" w:rsidRDefault="00A9487F" w:rsidP="00863E2A">
            <w:pPr>
              <w:jc w:val="center"/>
            </w:pPr>
            <w:r>
              <w:t>$816</w:t>
            </w:r>
          </w:p>
        </w:tc>
        <w:tc>
          <w:tcPr>
            <w:tcW w:w="1877" w:type="dxa"/>
            <w:tcBorders>
              <w:top w:val="nil"/>
              <w:left w:val="nil"/>
              <w:bottom w:val="single" w:sz="8" w:space="0" w:color="auto"/>
              <w:right w:val="single" w:sz="8" w:space="0" w:color="auto"/>
            </w:tcBorders>
            <w:tcMar>
              <w:top w:w="0" w:type="dxa"/>
              <w:left w:w="108" w:type="dxa"/>
              <w:bottom w:w="0" w:type="dxa"/>
              <w:right w:w="108" w:type="dxa"/>
            </w:tcMar>
            <w:hideMark/>
          </w:tcPr>
          <w:p w14:paraId="7D6C9393" w14:textId="77777777" w:rsidR="00A9487F" w:rsidRPr="00E476AC" w:rsidRDefault="00A9487F" w:rsidP="00863E2A">
            <w:pPr>
              <w:jc w:val="center"/>
            </w:pPr>
            <w:r>
              <w:t>($9,480)</w:t>
            </w:r>
          </w:p>
        </w:tc>
        <w:tc>
          <w:tcPr>
            <w:tcW w:w="1891" w:type="dxa"/>
            <w:tcBorders>
              <w:top w:val="nil"/>
              <w:left w:val="nil"/>
              <w:bottom w:val="single" w:sz="8" w:space="0" w:color="auto"/>
              <w:right w:val="single" w:sz="8" w:space="0" w:color="auto"/>
            </w:tcBorders>
            <w:tcMar>
              <w:top w:w="0" w:type="dxa"/>
              <w:left w:w="108" w:type="dxa"/>
              <w:bottom w:w="0" w:type="dxa"/>
              <w:right w:w="108" w:type="dxa"/>
            </w:tcMar>
            <w:hideMark/>
          </w:tcPr>
          <w:p w14:paraId="49665AE6" w14:textId="77777777" w:rsidR="00A9487F" w:rsidRDefault="00A9487F" w:rsidP="00863E2A">
            <w:pPr>
              <w:jc w:val="center"/>
              <w:rPr>
                <w:rFonts w:eastAsiaTheme="minorHAnsi"/>
              </w:rPr>
            </w:pPr>
            <w:r>
              <w:t>$0</w:t>
            </w:r>
          </w:p>
        </w:tc>
      </w:tr>
      <w:tr w:rsidR="00A9487F" w14:paraId="0C201D16" w14:textId="77777777" w:rsidTr="00863E2A">
        <w:tc>
          <w:tcPr>
            <w:tcW w:w="17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380A54" w14:textId="77777777" w:rsidR="00A9487F" w:rsidRDefault="00A9487F" w:rsidP="00863E2A">
            <w:pPr>
              <w:rPr>
                <w:rFonts w:eastAsiaTheme="minorHAnsi"/>
              </w:rPr>
            </w:pPr>
            <w:r>
              <w:t>High Density</w:t>
            </w:r>
          </w:p>
        </w:tc>
        <w:tc>
          <w:tcPr>
            <w:tcW w:w="1897" w:type="dxa"/>
            <w:tcBorders>
              <w:top w:val="nil"/>
              <w:left w:val="nil"/>
              <w:bottom w:val="single" w:sz="8" w:space="0" w:color="auto"/>
              <w:right w:val="single" w:sz="8" w:space="0" w:color="auto"/>
            </w:tcBorders>
            <w:tcMar>
              <w:top w:w="0" w:type="dxa"/>
              <w:left w:w="108" w:type="dxa"/>
              <w:bottom w:w="0" w:type="dxa"/>
              <w:right w:w="108" w:type="dxa"/>
            </w:tcMar>
            <w:hideMark/>
          </w:tcPr>
          <w:p w14:paraId="55F11773" w14:textId="77777777" w:rsidR="00A9487F" w:rsidRDefault="00A9487F" w:rsidP="00863E2A">
            <w:pPr>
              <w:jc w:val="center"/>
              <w:rPr>
                <w:rFonts w:eastAsiaTheme="minorHAnsi"/>
              </w:rPr>
            </w:pPr>
            <w:r w:rsidRPr="00E476AC">
              <w:t>$</w:t>
            </w:r>
            <w:r>
              <w:t>346</w:t>
            </w:r>
          </w:p>
        </w:tc>
        <w:tc>
          <w:tcPr>
            <w:tcW w:w="2093" w:type="dxa"/>
            <w:tcBorders>
              <w:top w:val="nil"/>
              <w:left w:val="nil"/>
              <w:bottom w:val="single" w:sz="8" w:space="0" w:color="auto"/>
              <w:right w:val="single" w:sz="8" w:space="0" w:color="auto"/>
            </w:tcBorders>
            <w:tcMar>
              <w:top w:w="0" w:type="dxa"/>
              <w:left w:w="108" w:type="dxa"/>
              <w:bottom w:w="0" w:type="dxa"/>
              <w:right w:w="108" w:type="dxa"/>
            </w:tcMar>
            <w:hideMark/>
          </w:tcPr>
          <w:p w14:paraId="1D1D75F0" w14:textId="77777777" w:rsidR="00A9487F" w:rsidRPr="00E476AC" w:rsidRDefault="00A9487F" w:rsidP="00863E2A">
            <w:pPr>
              <w:jc w:val="center"/>
            </w:pPr>
            <w:r>
              <w:t>$599</w:t>
            </w:r>
          </w:p>
        </w:tc>
        <w:tc>
          <w:tcPr>
            <w:tcW w:w="1877" w:type="dxa"/>
            <w:tcBorders>
              <w:top w:val="nil"/>
              <w:left w:val="nil"/>
              <w:bottom w:val="single" w:sz="8" w:space="0" w:color="auto"/>
              <w:right w:val="single" w:sz="8" w:space="0" w:color="auto"/>
            </w:tcBorders>
            <w:tcMar>
              <w:top w:w="0" w:type="dxa"/>
              <w:left w:w="108" w:type="dxa"/>
              <w:bottom w:w="0" w:type="dxa"/>
              <w:right w:w="108" w:type="dxa"/>
            </w:tcMar>
            <w:hideMark/>
          </w:tcPr>
          <w:p w14:paraId="0E4245E4" w14:textId="77777777" w:rsidR="00A9487F" w:rsidRPr="00E476AC" w:rsidRDefault="00A9487F" w:rsidP="00863E2A">
            <w:pPr>
              <w:jc w:val="center"/>
            </w:pPr>
            <w:r>
              <w:t>($9,376)</w:t>
            </w:r>
          </w:p>
        </w:tc>
        <w:tc>
          <w:tcPr>
            <w:tcW w:w="1891" w:type="dxa"/>
            <w:tcBorders>
              <w:top w:val="nil"/>
              <w:left w:val="nil"/>
              <w:bottom w:val="single" w:sz="8" w:space="0" w:color="auto"/>
              <w:right w:val="single" w:sz="8" w:space="0" w:color="auto"/>
            </w:tcBorders>
            <w:tcMar>
              <w:top w:w="0" w:type="dxa"/>
              <w:left w:w="108" w:type="dxa"/>
              <w:bottom w:w="0" w:type="dxa"/>
              <w:right w:w="108" w:type="dxa"/>
            </w:tcMar>
            <w:hideMark/>
          </w:tcPr>
          <w:p w14:paraId="1F7FFD2B" w14:textId="77777777" w:rsidR="00A9487F" w:rsidRDefault="00A9487F" w:rsidP="00863E2A">
            <w:pPr>
              <w:jc w:val="center"/>
              <w:rPr>
                <w:rFonts w:eastAsiaTheme="minorHAnsi"/>
              </w:rPr>
            </w:pPr>
            <w:r>
              <w:t>$0</w:t>
            </w:r>
          </w:p>
        </w:tc>
      </w:tr>
    </w:tbl>
    <w:p w14:paraId="47088CE3" w14:textId="2955140D" w:rsidR="00A9487F" w:rsidRDefault="00A9487F" w:rsidP="00A9487F">
      <w:pPr>
        <w:pStyle w:val="TableSource"/>
      </w:pPr>
      <w:r w:rsidRPr="006D0054">
        <w:t>Source: 202</w:t>
      </w:r>
      <w:r w:rsidR="000B1434" w:rsidRPr="006D0054">
        <w:t>0</w:t>
      </w:r>
      <w:r w:rsidRPr="006D0054">
        <w:t xml:space="preserve"> Petition</w:t>
      </w:r>
      <w:r>
        <w:t>.</w:t>
      </w:r>
    </w:p>
    <w:p w14:paraId="2E11CDA3" w14:textId="77777777" w:rsidR="00A9487F" w:rsidRDefault="00A9487F" w:rsidP="00A9487F">
      <w:pPr>
        <w:pStyle w:val="First-LevelSubheading"/>
      </w:pPr>
      <w:r>
        <w:t>URD Tariff Language</w:t>
      </w:r>
    </w:p>
    <w:p w14:paraId="7C0AB2A3" w14:textId="77777777" w:rsidR="00A9487F" w:rsidRDefault="00A9487F" w:rsidP="00A9487F">
      <w:pPr>
        <w:pStyle w:val="BodyText"/>
      </w:pPr>
      <w:r>
        <w:t>In this petition, Gulf has proposed to restructure certain language in its URD tariffs. In response to staff’s data request, the utility stated that the modified language</w:t>
      </w:r>
      <w:r w:rsidRPr="0015710C">
        <w:t xml:space="preserve"> offer</w:t>
      </w:r>
      <w:r>
        <w:t>s a more</w:t>
      </w:r>
      <w:r w:rsidRPr="0015710C">
        <w:t xml:space="preserve"> simplified</w:t>
      </w:r>
      <w:r>
        <w:t xml:space="preserve"> cost </w:t>
      </w:r>
      <w:r>
        <w:lastRenderedPageBreak/>
        <w:t xml:space="preserve">structure which should allow customers to better </w:t>
      </w:r>
      <w:r w:rsidRPr="0015710C">
        <w:t>gauge the total costs for installing underground</w:t>
      </w:r>
      <w:r>
        <w:t xml:space="preserve"> facilities. Additionally, the new language allows</w:t>
      </w:r>
      <w:r w:rsidRPr="00336C76">
        <w:t xml:space="preserve"> the customer to choose</w:t>
      </w:r>
      <w:r>
        <w:t xml:space="preserve"> either</w:t>
      </w:r>
      <w:r w:rsidRPr="00336C76">
        <w:t xml:space="preserve"> </w:t>
      </w:r>
      <w:proofErr w:type="gramStart"/>
      <w:r w:rsidRPr="00336C76">
        <w:t>credits</w:t>
      </w:r>
      <w:proofErr w:type="gramEnd"/>
      <w:r w:rsidRPr="00336C76">
        <w:t xml:space="preserve"> per lot or per </w:t>
      </w:r>
      <w:r>
        <w:t>distance, which should provide</w:t>
      </w:r>
      <w:r w:rsidRPr="00336C76">
        <w:t xml:space="preserve"> flexibility in the amount of work a customer </w:t>
      </w:r>
      <w:r>
        <w:t>is able to</w:t>
      </w:r>
      <w:r w:rsidRPr="00336C76">
        <w:t xml:space="preserve"> contribute </w:t>
      </w:r>
      <w:r>
        <w:t>in</w:t>
      </w:r>
      <w:r w:rsidRPr="00336C76">
        <w:t xml:space="preserve"> undergrounding their facilities.</w:t>
      </w:r>
      <w:r>
        <w:t xml:space="preserve"> Overall, the utility believes the changes will encourage customers to install new underground facilities. Staff believes the changes are clear and the restructuring mainta</w:t>
      </w:r>
      <w:r w:rsidR="00357D62">
        <w:t xml:space="preserve">ins the intent of the tariffs. </w:t>
      </w:r>
      <w:r>
        <w:t>The proposed tariff language is similar to Florida Power &amp; Light Company’s current Commission-approved URD tariffs.</w:t>
      </w:r>
    </w:p>
    <w:p w14:paraId="417421E8" w14:textId="053997DA" w:rsidR="00A9487F" w:rsidRDefault="00A9487F" w:rsidP="00A9487F">
      <w:pPr>
        <w:pStyle w:val="First-LevelSubheading"/>
      </w:pPr>
      <w:r>
        <w:t xml:space="preserve">Proposed Underground Commercial </w:t>
      </w:r>
      <w:r w:rsidR="006F0DE7">
        <w:t xml:space="preserve">Differential </w:t>
      </w:r>
      <w:r>
        <w:t>Tariffs</w:t>
      </w:r>
    </w:p>
    <w:p w14:paraId="1F45A384" w14:textId="7737BE14" w:rsidR="00A9487F" w:rsidRDefault="00A9487F" w:rsidP="00A9487F">
      <w:pPr>
        <w:pStyle w:val="BodyText"/>
      </w:pPr>
      <w:r>
        <w:t xml:space="preserve">Along with its revised URD tariffs, Gulf is requesting approval of its initial Underground Commercial Differential (UCD) tariffs. </w:t>
      </w:r>
      <w:r w:rsidR="006F0DE7">
        <w:t xml:space="preserve">These tariffs would apply to requests for underground service facilities made by small commercial/industrial applicants for new service. </w:t>
      </w:r>
      <w:r>
        <w:t xml:space="preserve">UCD tariffs are not required by Rule 25-6.078, F.A.C., and as such, are not required to use the operational or avoided storm cost methodology in calculating the overhead/underground cost differentials. Gulf stated in its petition that while it considered the effects of overhead hardening in its UCD calculation, the operational cost structure used </w:t>
      </w:r>
      <w:r w:rsidR="000B1434" w:rsidRPr="006D0054">
        <w:t>in</w:t>
      </w:r>
      <w:r w:rsidRPr="006D0054">
        <w:t xml:space="preserve"> its URD tariffs </w:t>
      </w:r>
      <w:r w:rsidR="000B1434" w:rsidRPr="006D0054">
        <w:t>is</w:t>
      </w:r>
      <w:r w:rsidR="000B1434" w:rsidRPr="00E33310">
        <w:t xml:space="preserve"> </w:t>
      </w:r>
      <w:r>
        <w:t xml:space="preserve">not directly transferable to its UCD calculation approach. Gulf stated that its proposed UCD tariff charges are tailored to specific </w:t>
      </w:r>
      <w:r w:rsidRPr="003B702A">
        <w:t>equipment and materials that are utilized to provide underground service to a single or limited number of comme</w:t>
      </w:r>
      <w:r w:rsidR="00357D62">
        <w:t xml:space="preserve">rcial buildings. </w:t>
      </w:r>
      <w:r>
        <w:t xml:space="preserve">The utility stated that commercial facilities can vary widely and differ between customers. As such, the utility did not apply the operational cost differential to UCD </w:t>
      </w:r>
      <w:proofErr w:type="gramStart"/>
      <w:r>
        <w:t>tariffs,</w:t>
      </w:r>
      <w:proofErr w:type="gramEnd"/>
      <w:r>
        <w:t xml:space="preserve"> rather, the tariffs provide specific labor and material cost differential for </w:t>
      </w:r>
      <w:r w:rsidR="00357D62">
        <w:t>differing construction options.</w:t>
      </w:r>
    </w:p>
    <w:p w14:paraId="4D9EB773" w14:textId="3710E638" w:rsidR="00A9487F" w:rsidRPr="007A3D8E" w:rsidRDefault="00A9487F" w:rsidP="00A9487F">
      <w:pPr>
        <w:pStyle w:val="BodyText"/>
      </w:pPr>
      <w:r>
        <w:t>Staff reviewed the proposed initial UCD tariffs and determined that the utility provided appropriate support for the material and labor costs associated with the differing commercial overhead</w:t>
      </w:r>
      <w:r w:rsidR="00357D62">
        <w:t xml:space="preserve"> and underground inst</w:t>
      </w:r>
      <w:r w:rsidR="005C555A">
        <w:t>a</w:t>
      </w:r>
      <w:r w:rsidR="00357D62">
        <w:t>llations.</w:t>
      </w:r>
      <w:r>
        <w:t xml:space="preserve"> Gulf stated in its petition that the cost estimates were based on standard company design criteria and system-wide</w:t>
      </w:r>
      <w:r w:rsidR="00357D62">
        <w:t xml:space="preserve"> costs, as of the end of 2019. </w:t>
      </w:r>
      <w:r>
        <w:t>Staff believes the UCD tariffs are appropriate and provide additional clarity for commercial customers. In addition, staff recognizes that Gulf’s UCD tariffs are similarly structured to the current Commission-approved Flo</w:t>
      </w:r>
      <w:r w:rsidR="00357D62">
        <w:t xml:space="preserve">rida Power &amp; Light </w:t>
      </w:r>
      <w:r w:rsidR="000B1434" w:rsidRPr="006D0054">
        <w:t xml:space="preserve">Company </w:t>
      </w:r>
      <w:r w:rsidR="00357D62">
        <w:t>UCD tariffs.</w:t>
      </w:r>
      <w:r w:rsidR="00E33310" w:rsidRPr="00E33310">
        <w:rPr>
          <w:rStyle w:val="FootnoteReference"/>
        </w:rPr>
        <w:t xml:space="preserve"> </w:t>
      </w:r>
      <w:r w:rsidR="00E33310">
        <w:rPr>
          <w:rStyle w:val="FootnoteReference"/>
        </w:rPr>
        <w:footnoteReference w:id="5"/>
      </w:r>
      <w:r>
        <w:t xml:space="preserve"> </w:t>
      </w:r>
    </w:p>
    <w:p w14:paraId="5CF08EF7" w14:textId="77777777" w:rsidR="00A9487F" w:rsidRDefault="00A9487F" w:rsidP="00A9487F">
      <w:pPr>
        <w:pStyle w:val="First-LevelSubheading"/>
      </w:pPr>
      <w:r>
        <w:t>Conclusion</w:t>
      </w:r>
    </w:p>
    <w:p w14:paraId="13A991EB" w14:textId="06CBD040" w:rsidR="00A9487F" w:rsidRDefault="00A9487F" w:rsidP="00A9487F">
      <w:pPr>
        <w:pStyle w:val="BodyText"/>
      </w:pPr>
      <w:r>
        <w:t xml:space="preserve">Staff has reviewed Gulf’s proposed URD and UCD tariffs and associated charges, its accompanying work papers, and responses to </w:t>
      </w:r>
      <w:r w:rsidRPr="006D0054">
        <w:t>staff</w:t>
      </w:r>
      <w:r w:rsidR="000B1434" w:rsidRPr="006D0054">
        <w:t>’</w:t>
      </w:r>
      <w:r w:rsidRPr="006D0054">
        <w:t>s</w:t>
      </w:r>
      <w:r>
        <w:t xml:space="preserve"> data request. Staff believes the proposed URD and UCD tariffs and associated charges are reasonable. Staff recommends approval of Gulf</w:t>
      </w:r>
      <w:r w:rsidR="006D0054">
        <w:rPr>
          <w:u w:val="single"/>
        </w:rPr>
        <w:t>’</w:t>
      </w:r>
      <w:r>
        <w:t>s proposed URD and UCD tariffs and associated charges, as shown in Attachments A and B, effective August 6, 2020.</w:t>
      </w:r>
    </w:p>
    <w:p w14:paraId="6B4FA555" w14:textId="77777777" w:rsidR="00A9487F" w:rsidRDefault="00A9487F" w:rsidP="00A9487F">
      <w:pPr>
        <w:pStyle w:val="BodyText"/>
      </w:pPr>
    </w:p>
    <w:p w14:paraId="69869A39" w14:textId="77777777" w:rsidR="00A9487F" w:rsidRDefault="00A9487F">
      <w:pPr>
        <w:pStyle w:val="BodyText"/>
      </w:pPr>
    </w:p>
    <w:p w14:paraId="6BD76FB8" w14:textId="77777777" w:rsidR="00A9487F" w:rsidRDefault="00A9487F">
      <w:pPr>
        <w:pStyle w:val="IssueHeading"/>
        <w:rPr>
          <w:vanish/>
          <w:specVanish/>
        </w:rPr>
      </w:pPr>
      <w:r w:rsidRPr="004C3641">
        <w:rPr>
          <w:b w:val="0"/>
          <w:i w:val="0"/>
        </w:rPr>
        <w:br w:type="page"/>
      </w:r>
      <w:r w:rsidRPr="004C3641">
        <w:lastRenderedPageBreak/>
        <w:t xml:space="preserve">Issue </w:t>
      </w:r>
      <w:fldSimple w:instr=" SEQ Issue \* MERGEFORMAT ">
        <w:r>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14:paraId="42E5DF14" w14:textId="77777777" w:rsidR="00A9487F" w:rsidRDefault="00A9487F">
      <w:pPr>
        <w:pStyle w:val="BodyText"/>
      </w:pPr>
      <w:r>
        <w:t> Should this docket be closed?</w:t>
      </w:r>
    </w:p>
    <w:p w14:paraId="07ABD836" w14:textId="77777777" w:rsidR="00A9487F" w:rsidRPr="004C3641" w:rsidRDefault="00A9487F">
      <w:pPr>
        <w:pStyle w:val="IssueSubsectionHeading"/>
        <w:rPr>
          <w:vanish/>
          <w:specVanish/>
        </w:rPr>
      </w:pPr>
      <w:r w:rsidRPr="004C3641">
        <w:t>Recommendation: </w:t>
      </w:r>
    </w:p>
    <w:p w14:paraId="66925034" w14:textId="77777777" w:rsidR="00A9487F" w:rsidRDefault="00A9487F" w:rsidP="00A9487F">
      <w:pPr>
        <w:pStyle w:val="BodyText"/>
      </w:pPr>
      <w:r>
        <w:t> If Issue 1 is approved and a protest is filed within 21 days of the issuance of the order, the tariffs should remain in effect, with any revenues held subject to refund, pending resolution of the protest. If no timely protest is filed, this docket should be closed upon the issuance of a consummating order.  (Stiller)</w:t>
      </w:r>
    </w:p>
    <w:p w14:paraId="161BCAC3" w14:textId="77777777" w:rsidR="00A9487F" w:rsidRPr="004C3641" w:rsidRDefault="00A9487F">
      <w:pPr>
        <w:pStyle w:val="IssueSubsectionHeading"/>
        <w:rPr>
          <w:vanish/>
          <w:specVanish/>
        </w:rPr>
      </w:pPr>
      <w:r w:rsidRPr="004C3641">
        <w:t>Staff Analysis: </w:t>
      </w:r>
    </w:p>
    <w:p w14:paraId="433E5595" w14:textId="77777777" w:rsidR="00357D62" w:rsidRDefault="00A9487F">
      <w:pPr>
        <w:pStyle w:val="BodyText"/>
        <w:sectPr w:rsidR="00357D62"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r>
        <w:t> If Issue 1 is approved and a protest is filed within 21 days of the issuance of the order, the tariffs should remain in effect, with any revenues held subject to refund, pending resolution of the protest. If no timely protest is filed, this docket should be closed upon the issuance of a consummating order.</w:t>
      </w:r>
    </w:p>
    <w:p w14:paraId="49661E8E" w14:textId="77777777" w:rsidR="00A9487F" w:rsidRDefault="00A9487F">
      <w:pPr>
        <w:pStyle w:val="BodyText"/>
      </w:pPr>
    </w:p>
    <w:p w14:paraId="6DAEF6DD" w14:textId="77777777" w:rsidR="00357D62" w:rsidRDefault="00357D62">
      <w:pPr>
        <w:pStyle w:val="BodyText"/>
      </w:pPr>
    </w:p>
    <w:p w14:paraId="6C416ED9" w14:textId="77777777" w:rsidR="00CC3C3D" w:rsidRDefault="00357D62" w:rsidP="00E275D8">
      <w:pPr>
        <w:pStyle w:val="BodyText"/>
        <w:sectPr w:rsidR="00CC3C3D" w:rsidSect="00357D62">
          <w:headerReference w:type="default" r:id="rId15"/>
          <w:type w:val="continuous"/>
          <w:pgSz w:w="12240" w:h="15840" w:code="1"/>
          <w:pgMar w:top="1584" w:right="1440" w:bottom="1440" w:left="1440" w:header="720" w:footer="720" w:gutter="0"/>
          <w:cols w:space="720"/>
          <w:formProt w:val="0"/>
          <w:docGrid w:linePitch="360"/>
        </w:sectPr>
      </w:pPr>
      <w:r>
        <w:rPr>
          <w:noProof/>
        </w:rPr>
        <w:lastRenderedPageBreak/>
        <w:drawing>
          <wp:inline distT="0" distB="0" distL="0" distR="0" wp14:anchorId="1C3AD8B0" wp14:editId="18979754">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A953E9F" wp14:editId="1A9009B8">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2D194EA" wp14:editId="5D4A89E8">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F996C44" wp14:editId="0BDB1E29">
            <wp:extent cx="5943600" cy="76898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7020B9DF" wp14:editId="32879BF2">
            <wp:extent cx="5943600" cy="76898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1776572D" wp14:editId="31FB1F08">
            <wp:extent cx="5943600" cy="76898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09E24CE7" wp14:editId="49ACE8F9">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97274FF" wp14:editId="06FF1AA1">
            <wp:extent cx="5943600" cy="76898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03AD4A9D" wp14:editId="2A141E63">
            <wp:extent cx="5943600" cy="76898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60DE7C07" wp14:editId="5248FDFF">
            <wp:extent cx="5943600" cy="76898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5544F73A" wp14:editId="51CD52DF">
            <wp:extent cx="5943600" cy="76898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4CF116F1" wp14:editId="580A04E6">
            <wp:extent cx="5943600" cy="7689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136AD43C" wp14:editId="045CABC3">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2360086" wp14:editId="1CBF06B9">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771AC5D" wp14:editId="0EEE5EBA">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9B4D178" wp14:editId="58D4E8DF">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AF68BA6" wp14:editId="5F585AEF">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BA577F0" wp14:editId="75F7085A">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08608E" wp14:editId="596CE4CD">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19275AC" wp14:editId="2AB92239">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B62BD46" wp14:editId="3603F4BB">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0D07CA7" wp14:editId="694B00E3">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6DE5B8" wp14:editId="7C12BB34">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5A4A15D" wp14:editId="47CF6725">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AB4C1BE" wp14:editId="037984EC">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54670B2" w14:textId="77777777" w:rsidR="00E06484" w:rsidRDefault="00CC3C3D" w:rsidP="00E275D8">
      <w:pPr>
        <w:pStyle w:val="BodyText"/>
      </w:pPr>
      <w:r>
        <w:rPr>
          <w:noProof/>
        </w:rPr>
        <w:lastRenderedPageBreak/>
        <w:drawing>
          <wp:inline distT="0" distB="0" distL="0" distR="0" wp14:anchorId="67ECFE9D" wp14:editId="09F0C5AC">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CD tariffs_Page_1.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4DC1BE4" wp14:editId="3B26F3D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CD tariffs_Page_2.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064414F" wp14:editId="012A703C">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CD tariffs_Page_3.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205CED" wp14:editId="7899D39A">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CD tariffs_Page_4.jpg"/>
                    <pic:cNvPicPr/>
                  </pic:nvPicPr>
                  <pic:blipFill>
                    <a:blip r:embed="rId4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357D62">
      <w:headerReference w:type="default" r:id="rId45"/>
      <w:type w:val="continuous"/>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D65653" w14:textId="77777777" w:rsidR="00A9487F" w:rsidRDefault="00A9487F">
      <w:r>
        <w:separator/>
      </w:r>
    </w:p>
  </w:endnote>
  <w:endnote w:type="continuationSeparator" w:id="0">
    <w:p w14:paraId="04CA28F5" w14:textId="77777777" w:rsidR="00A9487F" w:rsidRDefault="00A948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26889" w14:textId="77777777"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1D715F">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0D8B0" w14:textId="77777777"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57A8A4" w14:textId="77777777" w:rsidR="00A9487F" w:rsidRDefault="00A9487F">
      <w:r>
        <w:separator/>
      </w:r>
    </w:p>
  </w:footnote>
  <w:footnote w:type="continuationSeparator" w:id="0">
    <w:p w14:paraId="194B60B8" w14:textId="77777777" w:rsidR="00A9487F" w:rsidRDefault="00A9487F">
      <w:r>
        <w:continuationSeparator/>
      </w:r>
    </w:p>
  </w:footnote>
  <w:footnote w:id="1">
    <w:p w14:paraId="03F9F637" w14:textId="77777777" w:rsidR="00A9487F" w:rsidRPr="00AC62C4" w:rsidRDefault="00A9487F" w:rsidP="00A9487F">
      <w:pPr>
        <w:pStyle w:val="FootnoteText"/>
        <w:rPr>
          <w:i/>
        </w:rPr>
      </w:pPr>
      <w:r>
        <w:rPr>
          <w:rStyle w:val="FootnoteReference"/>
        </w:rPr>
        <w:footnoteRef/>
      </w:r>
      <w:r>
        <w:t xml:space="preserve"> </w:t>
      </w:r>
      <w:proofErr w:type="gramStart"/>
      <w:r>
        <w:t>Order No.</w:t>
      </w:r>
      <w:proofErr w:type="gramEnd"/>
      <w:r>
        <w:t xml:space="preserve"> PSC-2019-0448-TRF-EI, issued October 23, 2019, in Docket No. </w:t>
      </w:r>
      <w:r w:rsidRPr="004A6811">
        <w:t>20190078-EI</w:t>
      </w:r>
      <w:r>
        <w:t xml:space="preserve">, </w:t>
      </w:r>
      <w:r w:rsidRPr="00AC62C4">
        <w:rPr>
          <w:i/>
        </w:rPr>
        <w:t>In re: Petition for approval of 2019 revisions to underground residential distribution tariffs, by Gulf Power Company.</w:t>
      </w:r>
    </w:p>
  </w:footnote>
  <w:footnote w:id="2">
    <w:p w14:paraId="276747AA" w14:textId="77777777" w:rsidR="00A9487F" w:rsidRDefault="00A9487F" w:rsidP="00A9487F">
      <w:pPr>
        <w:pStyle w:val="FootnoteText"/>
      </w:pPr>
      <w:r>
        <w:rPr>
          <w:rStyle w:val="FootnoteReference"/>
        </w:rPr>
        <w:footnoteRef/>
      </w:r>
      <w:r>
        <w:t xml:space="preserve"> Document No. 01808-2020.</w:t>
      </w:r>
    </w:p>
  </w:footnote>
  <w:footnote w:id="3">
    <w:p w14:paraId="40351AA0" w14:textId="29066DC5" w:rsidR="00A9487F" w:rsidRDefault="00A9487F" w:rsidP="00A9487F">
      <w:pPr>
        <w:pStyle w:val="FootnoteText"/>
      </w:pPr>
      <w:r>
        <w:rPr>
          <w:rStyle w:val="FootnoteReference"/>
        </w:rPr>
        <w:footnoteRef/>
      </w:r>
      <w:r>
        <w:t xml:space="preserve"> </w:t>
      </w:r>
      <w:r w:rsidRPr="006D0054">
        <w:t>Gulf</w:t>
      </w:r>
      <w:r w:rsidR="000B1434" w:rsidRPr="006D0054">
        <w:t>’s</w:t>
      </w:r>
      <w:r>
        <w:t xml:space="preserve"> Response to Staff’s First Data Request (Document No. 02475-2020).</w:t>
      </w:r>
    </w:p>
  </w:footnote>
  <w:footnote w:id="4">
    <w:p w14:paraId="504B4C1C" w14:textId="360B1EF0" w:rsidR="00A9487F" w:rsidRDefault="00A9487F" w:rsidP="00A9487F">
      <w:pPr>
        <w:pStyle w:val="FootnoteText"/>
      </w:pPr>
      <w:r>
        <w:rPr>
          <w:rStyle w:val="FootnoteReference"/>
        </w:rPr>
        <w:footnoteRef/>
      </w:r>
      <w:r>
        <w:t xml:space="preserve"> Gulf</w:t>
      </w:r>
      <w:r w:rsidR="000B1434" w:rsidRPr="006D0054">
        <w:t>’s</w:t>
      </w:r>
      <w:r>
        <w:t xml:space="preserve"> Response to Staff’s First Data Request (Document No. 02475-2020).</w:t>
      </w:r>
    </w:p>
  </w:footnote>
  <w:footnote w:id="5">
    <w:p w14:paraId="4AC494EB" w14:textId="14E5CE05" w:rsidR="00E33310" w:rsidRPr="00351895" w:rsidRDefault="00E33310" w:rsidP="00E33310">
      <w:pPr>
        <w:pStyle w:val="FootnoteText"/>
        <w:rPr>
          <w:i/>
        </w:rPr>
      </w:pPr>
      <w:r>
        <w:rPr>
          <w:rStyle w:val="FootnoteReference"/>
        </w:rPr>
        <w:footnoteRef/>
      </w:r>
      <w:r>
        <w:t xml:space="preserve"> </w:t>
      </w:r>
      <w:proofErr w:type="gramStart"/>
      <w:r w:rsidRPr="00351895">
        <w:t>Order No.</w:t>
      </w:r>
      <w:proofErr w:type="gramEnd"/>
      <w:r w:rsidRPr="00351895">
        <w:t xml:space="preserve"> PSC-2019-0360-TRF-EI, issued August 26, 2019, in Docket No. 20190081-EI, </w:t>
      </w:r>
      <w:r w:rsidRPr="00351895">
        <w:rPr>
          <w:i/>
        </w:rPr>
        <w:t>In re: Petition for approval of 2019 revisions to underground residential and commercial differential tariffs, by Florida Power &amp; Light Company</w:t>
      </w:r>
      <w:r w:rsidR="00351895" w:rsidRPr="00351895">
        <w:rPr>
          <w:i/>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8F57B" w14:textId="77777777" w:rsidR="00BC402E" w:rsidRDefault="00A9487F"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20200113-EI</w:t>
    </w:r>
    <w:bookmarkEnd w:id="15"/>
  </w:p>
  <w:p w14:paraId="778E2BD9" w14:textId="77777777" w:rsidR="00BC402E" w:rsidRDefault="00BC402E">
    <w:pPr>
      <w:pStyle w:val="Header"/>
    </w:pPr>
    <w:r>
      <w:t xml:space="preserve">Date: </w:t>
    </w:r>
    <w:fldSimple w:instr=" REF FilingDate ">
      <w:r w:rsidR="00A9487F">
        <w:t>June 24, 2020</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2ECC2" w14:textId="1E231262"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A9487F">
      <w:t>Docket No.</w:t>
    </w:r>
    <w:r>
      <w:fldChar w:fldCharType="end"/>
    </w:r>
    <w:r>
      <w:t xml:space="preserve"> </w:t>
    </w:r>
    <w:r>
      <w:fldChar w:fldCharType="begin"/>
    </w:r>
    <w:r>
      <w:instrText xml:space="preserve"> REF DocketList</w:instrText>
    </w:r>
    <w:r>
      <w:fldChar w:fldCharType="separate"/>
    </w:r>
    <w:r w:rsidR="00A9487F">
      <w:t>20200113-EI</w:t>
    </w:r>
    <w:r>
      <w:fldChar w:fldCharType="end"/>
    </w:r>
    <w:r>
      <w:tab/>
      <w:t xml:space="preserve">Issue </w:t>
    </w:r>
    <w:fldSimple w:instr=" Seq Issue \c \* Arabic ">
      <w:r w:rsidR="001D715F">
        <w:rPr>
          <w:noProof/>
        </w:rPr>
        <w:t>1</w:t>
      </w:r>
    </w:fldSimple>
  </w:p>
  <w:p w14:paraId="11918F84" w14:textId="77777777" w:rsidR="00BC402E" w:rsidRDefault="00BC402E" w:rsidP="00357D62">
    <w:pPr>
      <w:pStyle w:val="Header"/>
      <w:tabs>
        <w:tab w:val="clear" w:pos="4320"/>
        <w:tab w:val="clear" w:pos="8640"/>
        <w:tab w:val="left" w:pos="2605"/>
      </w:tabs>
    </w:pPr>
    <w:r>
      <w:t xml:space="preserve">Date: </w:t>
    </w:r>
    <w:fldSimple w:instr=" REF FilingDate ">
      <w:r w:rsidR="00A9487F">
        <w:t>June 24, 2020</w:t>
      </w:r>
    </w:fldSimple>
    <w:r w:rsidR="00357D62">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997AA" w14:textId="77777777"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ED509" w14:textId="77777777" w:rsidR="00357D62" w:rsidRDefault="00357D62"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20200113-EI</w:t>
    </w:r>
    <w:r>
      <w:fldChar w:fldCharType="end"/>
    </w:r>
    <w:r>
      <w:tab/>
      <w:t>Attachment A</w:t>
    </w:r>
  </w:p>
  <w:p w14:paraId="520F65A7" w14:textId="6BDA68A1" w:rsidR="00357D62" w:rsidRDefault="00357D62" w:rsidP="003F3448">
    <w:pPr>
      <w:pStyle w:val="Header"/>
      <w:tabs>
        <w:tab w:val="clear" w:pos="4320"/>
        <w:tab w:val="clear" w:pos="8640"/>
        <w:tab w:val="left" w:pos="2605"/>
        <w:tab w:val="right" w:pos="9360"/>
      </w:tabs>
    </w:pPr>
    <w:r>
      <w:t xml:space="preserve">Date: </w:t>
    </w:r>
    <w:fldSimple w:instr=" REF FilingDate ">
      <w:r>
        <w:t>June 24, 2020</w:t>
      </w:r>
    </w:fldSimple>
    <w:r>
      <w:tab/>
    </w:r>
    <w:r w:rsidR="003F3448">
      <w:tab/>
      <w:t xml:space="preserve">Page </w:t>
    </w:r>
    <w:r w:rsidR="003F3448">
      <w:fldChar w:fldCharType="begin"/>
    </w:r>
    <w:r w:rsidR="003F3448">
      <w:instrText>=</w:instrText>
    </w:r>
    <w:r w:rsidR="003F3448">
      <w:fldChar w:fldCharType="begin"/>
    </w:r>
    <w:r w:rsidR="003F3448">
      <w:instrText>page</w:instrText>
    </w:r>
    <w:r w:rsidR="003F3448">
      <w:fldChar w:fldCharType="separate"/>
    </w:r>
    <w:r w:rsidR="001D715F">
      <w:rPr>
        <w:noProof/>
      </w:rPr>
      <w:instrText>8</w:instrText>
    </w:r>
    <w:r w:rsidR="003F3448">
      <w:fldChar w:fldCharType="end"/>
    </w:r>
    <w:r w:rsidR="003F3448">
      <w:instrText>-7</w:instrText>
    </w:r>
    <w:r w:rsidR="003F3448">
      <w:fldChar w:fldCharType="separate"/>
    </w:r>
    <w:r w:rsidR="001D715F">
      <w:rPr>
        <w:noProof/>
      </w:rPr>
      <w:t>1</w:t>
    </w:r>
    <w:r w:rsidR="003F3448">
      <w:fldChar w:fldCharType="end"/>
    </w:r>
    <w:r w:rsidR="003F3448">
      <w:t xml:space="preserve"> of 25</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40EA6" w14:textId="77777777" w:rsidR="00CC3C3D" w:rsidRDefault="00CC3C3D"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20200113-EI</w:t>
    </w:r>
    <w:r>
      <w:fldChar w:fldCharType="end"/>
    </w:r>
    <w:r>
      <w:tab/>
      <w:t>Attachment B</w:t>
    </w:r>
  </w:p>
  <w:p w14:paraId="0272C270" w14:textId="6C9AFF5B" w:rsidR="00CC3C3D" w:rsidRDefault="00CC3C3D" w:rsidP="003F3448">
    <w:pPr>
      <w:pStyle w:val="Header"/>
      <w:tabs>
        <w:tab w:val="clear" w:pos="4320"/>
        <w:tab w:val="clear" w:pos="8640"/>
        <w:tab w:val="left" w:pos="2605"/>
        <w:tab w:val="right" w:pos="9360"/>
      </w:tabs>
    </w:pPr>
    <w:r>
      <w:t xml:space="preserve">Date: </w:t>
    </w:r>
    <w:fldSimple w:instr=" REF FilingDate ">
      <w:r>
        <w:t>June 24, 2020</w:t>
      </w:r>
    </w:fldSimple>
    <w:r>
      <w:tab/>
    </w:r>
    <w:r w:rsidR="003F3448">
      <w:tab/>
      <w:t xml:space="preserve">Page </w:t>
    </w:r>
    <w:r w:rsidR="003F3448">
      <w:fldChar w:fldCharType="begin"/>
    </w:r>
    <w:r w:rsidR="003F3448">
      <w:instrText>=</w:instrText>
    </w:r>
    <w:r w:rsidR="003F3448">
      <w:fldChar w:fldCharType="begin"/>
    </w:r>
    <w:r w:rsidR="003F3448">
      <w:instrText>page</w:instrText>
    </w:r>
    <w:r w:rsidR="003F3448">
      <w:fldChar w:fldCharType="separate"/>
    </w:r>
    <w:r w:rsidR="001D715F">
      <w:rPr>
        <w:noProof/>
      </w:rPr>
      <w:instrText>36</w:instrText>
    </w:r>
    <w:r w:rsidR="003F3448">
      <w:fldChar w:fldCharType="end"/>
    </w:r>
    <w:r w:rsidR="003F3448">
      <w:instrText>-32</w:instrText>
    </w:r>
    <w:r w:rsidR="003F3448">
      <w:fldChar w:fldCharType="separate"/>
    </w:r>
    <w:r w:rsidR="001D715F">
      <w:rPr>
        <w:noProof/>
      </w:rPr>
      <w:t>4</w:t>
    </w:r>
    <w:r w:rsidR="003F3448">
      <w:fldChar w:fldCharType="end"/>
    </w:r>
    <w:r w:rsidR="003F3448">
      <w:t xml:space="preserve"> of 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activeWritingStyle w:appName="MSWord" w:lang="en-US" w:vendorID="64" w:dllVersion="6" w:nlCheck="1" w:checkStyle="1"/>
  <w:activeWritingStyle w:appName="MSWord" w:lang="es-MX" w:vendorID="64" w:dllVersion="6" w:nlCheck="1" w:checkStyle="1"/>
  <w:activeWritingStyle w:appName="MSWord" w:lang="en-US" w:vendorID="64" w:dllVersion="4096" w:nlCheck="1" w:checkStyle="0"/>
  <w:activeWritingStyle w:appName="MSWord" w:lang="en-US"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252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A9487F"/>
    <w:rsid w:val="000043D5"/>
    <w:rsid w:val="00006170"/>
    <w:rsid w:val="00010E37"/>
    <w:rsid w:val="000172DA"/>
    <w:rsid w:val="000247C5"/>
    <w:rsid w:val="000277C2"/>
    <w:rsid w:val="00035B48"/>
    <w:rsid w:val="00036CE2"/>
    <w:rsid w:val="000437FE"/>
    <w:rsid w:val="000513BE"/>
    <w:rsid w:val="00065A06"/>
    <w:rsid w:val="000666F3"/>
    <w:rsid w:val="00070DCB"/>
    <w:rsid w:val="00072CCA"/>
    <w:rsid w:val="00073120"/>
    <w:rsid w:val="000764D0"/>
    <w:rsid w:val="000828D3"/>
    <w:rsid w:val="000A2B57"/>
    <w:rsid w:val="000A418B"/>
    <w:rsid w:val="000B1434"/>
    <w:rsid w:val="000C4431"/>
    <w:rsid w:val="000D1C06"/>
    <w:rsid w:val="000D4319"/>
    <w:rsid w:val="000F374A"/>
    <w:rsid w:val="001073D8"/>
    <w:rsid w:val="001076AF"/>
    <w:rsid w:val="00117C8C"/>
    <w:rsid w:val="00124C38"/>
    <w:rsid w:val="00124E2E"/>
    <w:rsid w:val="00125ED4"/>
    <w:rsid w:val="001305E9"/>
    <w:rsid w:val="001307AF"/>
    <w:rsid w:val="00135687"/>
    <w:rsid w:val="0015506E"/>
    <w:rsid w:val="00163031"/>
    <w:rsid w:val="00171A90"/>
    <w:rsid w:val="00180254"/>
    <w:rsid w:val="00191E1F"/>
    <w:rsid w:val="00192943"/>
    <w:rsid w:val="001A7406"/>
    <w:rsid w:val="001B4FEE"/>
    <w:rsid w:val="001B51C5"/>
    <w:rsid w:val="001B6F3F"/>
    <w:rsid w:val="001C52B5"/>
    <w:rsid w:val="001D0D3E"/>
    <w:rsid w:val="001D715F"/>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92D82"/>
    <w:rsid w:val="002963CB"/>
    <w:rsid w:val="002B4A01"/>
    <w:rsid w:val="002D226D"/>
    <w:rsid w:val="002F6030"/>
    <w:rsid w:val="003037E1"/>
    <w:rsid w:val="00307E51"/>
    <w:rsid w:val="003103EC"/>
    <w:rsid w:val="003144EF"/>
    <w:rsid w:val="00322F74"/>
    <w:rsid w:val="00323C84"/>
    <w:rsid w:val="00330362"/>
    <w:rsid w:val="00340073"/>
    <w:rsid w:val="00351895"/>
    <w:rsid w:val="00357D62"/>
    <w:rsid w:val="003632FD"/>
    <w:rsid w:val="00372805"/>
    <w:rsid w:val="00373180"/>
    <w:rsid w:val="00375AB9"/>
    <w:rsid w:val="003821A0"/>
    <w:rsid w:val="00385B04"/>
    <w:rsid w:val="003864CF"/>
    <w:rsid w:val="003948AE"/>
    <w:rsid w:val="003A22A6"/>
    <w:rsid w:val="003A5494"/>
    <w:rsid w:val="003B2510"/>
    <w:rsid w:val="003C2CC4"/>
    <w:rsid w:val="003C3710"/>
    <w:rsid w:val="003E0EFC"/>
    <w:rsid w:val="003E4A2B"/>
    <w:rsid w:val="003E76C2"/>
    <w:rsid w:val="003F1679"/>
    <w:rsid w:val="003F21EB"/>
    <w:rsid w:val="003F3448"/>
    <w:rsid w:val="003F4A35"/>
    <w:rsid w:val="003F7FDD"/>
    <w:rsid w:val="00402481"/>
    <w:rsid w:val="004042B4"/>
    <w:rsid w:val="00410DC4"/>
    <w:rsid w:val="00412DAE"/>
    <w:rsid w:val="004242E6"/>
    <w:rsid w:val="00431598"/>
    <w:rsid w:val="004319AD"/>
    <w:rsid w:val="004426B8"/>
    <w:rsid w:val="00444432"/>
    <w:rsid w:val="00471860"/>
    <w:rsid w:val="00477026"/>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C03"/>
    <w:rsid w:val="00511A11"/>
    <w:rsid w:val="00516496"/>
    <w:rsid w:val="00523B11"/>
    <w:rsid w:val="0052572A"/>
    <w:rsid w:val="00532DFB"/>
    <w:rsid w:val="00543CB3"/>
    <w:rsid w:val="005442E4"/>
    <w:rsid w:val="0055529B"/>
    <w:rsid w:val="00560FF0"/>
    <w:rsid w:val="005614BD"/>
    <w:rsid w:val="0057154F"/>
    <w:rsid w:val="00580F69"/>
    <w:rsid w:val="00581CA3"/>
    <w:rsid w:val="00587A44"/>
    <w:rsid w:val="00597730"/>
    <w:rsid w:val="005977EC"/>
    <w:rsid w:val="00597DE7"/>
    <w:rsid w:val="005A4AA2"/>
    <w:rsid w:val="005B34B6"/>
    <w:rsid w:val="005B6C8F"/>
    <w:rsid w:val="005B6EC3"/>
    <w:rsid w:val="005C555A"/>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B3947"/>
    <w:rsid w:val="006B4293"/>
    <w:rsid w:val="006B624F"/>
    <w:rsid w:val="006C0C95"/>
    <w:rsid w:val="006C31E3"/>
    <w:rsid w:val="006D0054"/>
    <w:rsid w:val="006D18D3"/>
    <w:rsid w:val="006E08CB"/>
    <w:rsid w:val="006E598D"/>
    <w:rsid w:val="006F0DE7"/>
    <w:rsid w:val="0070437D"/>
    <w:rsid w:val="00704CF1"/>
    <w:rsid w:val="00705B04"/>
    <w:rsid w:val="00724992"/>
    <w:rsid w:val="00734820"/>
    <w:rsid w:val="007349DC"/>
    <w:rsid w:val="0074365E"/>
    <w:rsid w:val="00744B55"/>
    <w:rsid w:val="007515FD"/>
    <w:rsid w:val="00760D80"/>
    <w:rsid w:val="00774C83"/>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62AE"/>
    <w:rsid w:val="008C04B5"/>
    <w:rsid w:val="008C14FA"/>
    <w:rsid w:val="008C7B0B"/>
    <w:rsid w:val="008D4057"/>
    <w:rsid w:val="008E1F19"/>
    <w:rsid w:val="008F2262"/>
    <w:rsid w:val="008F4D2B"/>
    <w:rsid w:val="008F7736"/>
    <w:rsid w:val="0090019E"/>
    <w:rsid w:val="009003CD"/>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92FB1"/>
    <w:rsid w:val="00A9487F"/>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E6DDB"/>
    <w:rsid w:val="00BF5010"/>
    <w:rsid w:val="00C03D5F"/>
    <w:rsid w:val="00C13791"/>
    <w:rsid w:val="00C31BB3"/>
    <w:rsid w:val="00C36977"/>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0FE6"/>
    <w:rsid w:val="00CC10A9"/>
    <w:rsid w:val="00CC3C3D"/>
    <w:rsid w:val="00CD0F9B"/>
    <w:rsid w:val="00CE2BF8"/>
    <w:rsid w:val="00CE484E"/>
    <w:rsid w:val="00CE656F"/>
    <w:rsid w:val="00CF0DA8"/>
    <w:rsid w:val="00CF2E25"/>
    <w:rsid w:val="00CF4453"/>
    <w:rsid w:val="00CF5D94"/>
    <w:rsid w:val="00CF7E0F"/>
    <w:rsid w:val="00D034D7"/>
    <w:rsid w:val="00D04BE4"/>
    <w:rsid w:val="00D06FC7"/>
    <w:rsid w:val="00D12565"/>
    <w:rsid w:val="00D14127"/>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5025"/>
    <w:rsid w:val="00DF1510"/>
    <w:rsid w:val="00E02F1F"/>
    <w:rsid w:val="00E06484"/>
    <w:rsid w:val="00E20A7D"/>
    <w:rsid w:val="00E275D8"/>
    <w:rsid w:val="00E30F6A"/>
    <w:rsid w:val="00E3117C"/>
    <w:rsid w:val="00E33310"/>
    <w:rsid w:val="00E375CA"/>
    <w:rsid w:val="00E4217A"/>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C3FBB"/>
    <w:rsid w:val="00EC6B7A"/>
    <w:rsid w:val="00ED3A87"/>
    <w:rsid w:val="00ED5B67"/>
    <w:rsid w:val="00EF264C"/>
    <w:rsid w:val="00EF3FEE"/>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792F"/>
    <w:rsid w:val="00F81EDE"/>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4:docId w14:val="03554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A9487F"/>
    <w:rPr>
      <w:vertAlign w:val="superscript"/>
    </w:rPr>
  </w:style>
  <w:style w:type="character" w:customStyle="1" w:styleId="FootnoteTextChar">
    <w:name w:val="Footnote Text Char"/>
    <w:basedOn w:val="DefaultParagraphFont"/>
    <w:link w:val="FootnoteText"/>
    <w:rsid w:val="00A9487F"/>
  </w:style>
  <w:style w:type="table" w:customStyle="1" w:styleId="TableGrid1">
    <w:name w:val="Table Grid1"/>
    <w:basedOn w:val="TableNormal"/>
    <w:next w:val="TableGrid"/>
    <w:uiPriority w:val="59"/>
    <w:rsid w:val="00A9487F"/>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E33310"/>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A9487F"/>
    <w:rPr>
      <w:vertAlign w:val="superscript"/>
    </w:rPr>
  </w:style>
  <w:style w:type="character" w:customStyle="1" w:styleId="FootnoteTextChar">
    <w:name w:val="Footnote Text Char"/>
    <w:basedOn w:val="DefaultParagraphFont"/>
    <w:link w:val="FootnoteText"/>
    <w:rsid w:val="00A9487F"/>
  </w:style>
  <w:style w:type="table" w:customStyle="1" w:styleId="TableGrid1">
    <w:name w:val="Table Grid1"/>
    <w:basedOn w:val="TableNormal"/>
    <w:next w:val="TableGrid"/>
    <w:uiPriority w:val="59"/>
    <w:rsid w:val="00A9487F"/>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E33310"/>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g"/><Relationship Id="rId26" Type="http://schemas.openxmlformats.org/officeDocument/2006/relationships/image" Target="media/image12.jpg"/><Relationship Id="rId39" Type="http://schemas.openxmlformats.org/officeDocument/2006/relationships/image" Target="media/image25.jpg"/><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g"/><Relationship Id="rId29" Type="http://schemas.openxmlformats.org/officeDocument/2006/relationships/image" Target="media/image15.jp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header" Target="header1.xml"/><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image" Target="media/image30.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662715-0D72-44F0-BC9B-8A379C2C4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36</Pages>
  <Words>1905</Words>
  <Characters>11392</Characters>
  <Application>Microsoft Office Word</Application>
  <DocSecurity>0</DocSecurity>
  <Lines>237</Lines>
  <Paragraphs>80</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13217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Tripp Coston</dc:creator>
  <cp:lastModifiedBy>Sevini Guffey</cp:lastModifiedBy>
  <cp:revision>2</cp:revision>
  <cp:lastPrinted>2004-01-27T20:32:00Z</cp:lastPrinted>
  <dcterms:created xsi:type="dcterms:W3CDTF">2020-06-24T14:13:00Z</dcterms:created>
  <dcterms:modified xsi:type="dcterms:W3CDTF">2020-06-24T14:13:00Z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20200113-EI</vt:lpwstr>
  </property>
  <property fmtid="{D5CDD505-2E9C-101B-9397-08002B2CF9AE}" pid="3" name="MasterDocument">
    <vt:bool>false</vt:bool>
  </property>
</Properties>
</file>