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 xml:space="preserve">Capital Circle Office Center ● 2540 </w:t>
            </w:r>
            <w:proofErr w:type="spellStart"/>
            <w:r>
              <w:t>Shumard</w:t>
            </w:r>
            <w:proofErr w:type="spellEnd"/>
            <w:r>
              <w:t xml:space="preserve">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A1FA2">
            <w:pPr>
              <w:pStyle w:val="MemoHeading"/>
            </w:pPr>
            <w:bookmarkStart w:id="1" w:name="FilingDate"/>
            <w:r>
              <w:t>June 24,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A1FA2" w:rsidRDefault="007A1FA2">
            <w:pPr>
              <w:pStyle w:val="MemoHeading"/>
            </w:pPr>
            <w:bookmarkStart w:id="2" w:name="From"/>
            <w:r>
              <w:t>Division of Engineering (</w:t>
            </w:r>
            <w:proofErr w:type="spellStart"/>
            <w:r>
              <w:t>Doehling</w:t>
            </w:r>
            <w:proofErr w:type="spellEnd"/>
            <w:r>
              <w:t>, M. Watts)</w:t>
            </w:r>
          </w:p>
          <w:p w:rsidR="007A1FA2" w:rsidRDefault="007A1FA2">
            <w:pPr>
              <w:pStyle w:val="MemoHeading"/>
            </w:pPr>
            <w:r>
              <w:t>Division of Accounting and Finance (Bennett, Norris)</w:t>
            </w:r>
          </w:p>
          <w:p w:rsidR="007A1FA2" w:rsidRDefault="007A1FA2">
            <w:pPr>
              <w:pStyle w:val="MemoHeading"/>
            </w:pPr>
            <w:r>
              <w:t>Division of Economics (Bruce, Hudson)</w:t>
            </w:r>
          </w:p>
          <w:p w:rsidR="007C0528" w:rsidRDefault="007A1FA2">
            <w:pPr>
              <w:pStyle w:val="MemoHeading"/>
            </w:pPr>
            <w:r>
              <w:t>Office of the General Counsel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A1FA2">
            <w:pPr>
              <w:pStyle w:val="MemoHeadingRe"/>
            </w:pPr>
            <w:bookmarkStart w:id="3" w:name="Re"/>
            <w:r>
              <w:t>Docket No. 20190195-WS – Application for transfer of water and wastewater systems of Regency Utilities, Inc., and transfer of Certificate Nos. 641-W and 551-S to Duval Waterworks, Inc., in Duval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A1FA2" w:rsidP="0008051F">
            <w:pPr>
              <w:pStyle w:val="MemoHeading"/>
            </w:pPr>
            <w:bookmarkStart w:id="4" w:name="AgendaDate"/>
            <w:r>
              <w:t>07/07/20</w:t>
            </w:r>
            <w:bookmarkEnd w:id="4"/>
            <w:r w:rsidR="007C0528">
              <w:t xml:space="preserve"> – </w:t>
            </w:r>
            <w:bookmarkStart w:id="5" w:name="PermittedStatus"/>
            <w:r>
              <w:t xml:space="preserve">Regular Agenda – Proposed Agency Action </w:t>
            </w:r>
            <w:r w:rsidR="0008051F">
              <w:t>-</w:t>
            </w:r>
            <w:r>
              <w:t xml:space="preserve"> Except for Issue 1 -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A1FA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A1FA2">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A1FA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A1FA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A1FA2" w:rsidRPr="004427E7" w:rsidRDefault="007A1FA2" w:rsidP="007A1FA2">
      <w:pPr>
        <w:spacing w:after="240"/>
        <w:jc w:val="both"/>
      </w:pPr>
      <w:r w:rsidRPr="004427E7">
        <w:t xml:space="preserve">On October 28, 2019, Duval Waterworks, Inc. (DWI or Buyer) filed an application </w:t>
      </w:r>
      <w:r>
        <w:rPr>
          <w:rFonts w:eastAsiaTheme="minorHAnsi"/>
        </w:rPr>
        <w:t xml:space="preserve">with the Florida Public Service Commission (Commission) </w:t>
      </w:r>
      <w:r w:rsidRPr="004427E7">
        <w:t>for transfer of Certificate Nos. 641-W and 551-S from Regency Utilities, Inc. (Regency</w:t>
      </w:r>
      <w:r>
        <w:t xml:space="preserve"> </w:t>
      </w:r>
      <w:r w:rsidRPr="004427E7">
        <w:t xml:space="preserve">or Seller) in Duval County and a request for </w:t>
      </w:r>
      <w:r>
        <w:t>late payment and non-sufficient funds (NSF) charges</w:t>
      </w:r>
      <w:r w:rsidRPr="004427E7">
        <w:t>. Regency is a Class C utility which operates the on-site water delivery, wastewater collection, and fire protection systems providing service to Regency Square Mall (Mall) in Jacksonville, Florida. Water and wastewate</w:t>
      </w:r>
      <w:r>
        <w:t xml:space="preserve">r treatment is provided by JEA. </w:t>
      </w:r>
      <w:r w:rsidRPr="004427E7">
        <w:t xml:space="preserve">Regency serves approximately 71 water and 56 wastewater </w:t>
      </w:r>
      <w:r>
        <w:t xml:space="preserve">general service </w:t>
      </w:r>
      <w:r w:rsidRPr="004427E7">
        <w:t>customers</w:t>
      </w:r>
      <w:r>
        <w:t>, all of which are tenants of the Mall</w:t>
      </w:r>
      <w:r w:rsidRPr="004427E7">
        <w:t xml:space="preserve">. In its 2019 Annual Report, </w:t>
      </w:r>
      <w:r>
        <w:t>Regency</w:t>
      </w:r>
      <w:r w:rsidRPr="004427E7">
        <w:t xml:space="preserve"> reported annual gross revenues of $172,281 and a net operating loss of ($37,372).</w:t>
      </w:r>
    </w:p>
    <w:p w:rsidR="007A1FA2" w:rsidRPr="004427E7" w:rsidRDefault="007A1FA2" w:rsidP="007A1FA2">
      <w:pPr>
        <w:spacing w:after="240"/>
        <w:jc w:val="both"/>
      </w:pPr>
      <w:r>
        <w:lastRenderedPageBreak/>
        <w:t xml:space="preserve">The Commission granted </w:t>
      </w:r>
      <w:r w:rsidRPr="004427E7">
        <w:t>Regency water and wastewater certificates to serve the Mall in 1975.</w:t>
      </w:r>
      <w:r w:rsidRPr="004427E7">
        <w:rPr>
          <w:vertAlign w:val="superscript"/>
        </w:rPr>
        <w:footnoteReference w:id="1"/>
      </w:r>
      <w:r w:rsidRPr="004427E7">
        <w:t xml:space="preserve"> The certificates were amended twice to extend Regency’s service territory to the area surrounding the Mall.</w:t>
      </w:r>
      <w:r w:rsidRPr="004427E7">
        <w:rPr>
          <w:vertAlign w:val="superscript"/>
        </w:rPr>
        <w:footnoteReference w:id="2"/>
      </w:r>
      <w:r w:rsidRPr="004427E7">
        <w:rPr>
          <w:vertAlign w:val="superscript"/>
        </w:rPr>
        <w:t xml:space="preserve"> </w:t>
      </w:r>
      <w:r w:rsidRPr="004427E7">
        <w:t>On April 10, 2001, Regency and JEA closed on a transaction whereby Regency transferred its water and wastewater treatment facilities to JEA. Regency</w:t>
      </w:r>
      <w:r>
        <w:t xml:space="preserve"> transferred all of its </w:t>
      </w:r>
      <w:r w:rsidRPr="004427E7">
        <w:t xml:space="preserve">service territory </w:t>
      </w:r>
      <w:r>
        <w:t xml:space="preserve">to JEA </w:t>
      </w:r>
      <w:r w:rsidRPr="004427E7">
        <w:t>in the transaction except for the Mall, which JEA declined to serve directly. By Order No. PSC-02-0060-FOF-WS, the Commission approved the transfer.</w:t>
      </w:r>
      <w:r w:rsidRPr="004427E7">
        <w:rPr>
          <w:vertAlign w:val="superscript"/>
        </w:rPr>
        <w:footnoteReference w:id="3"/>
      </w:r>
      <w:r w:rsidRPr="004427E7">
        <w:t xml:space="preserve"> </w:t>
      </w:r>
      <w:r>
        <w:t>Because</w:t>
      </w:r>
      <w:r w:rsidRPr="004427E7">
        <w:t xml:space="preserve"> Regency would thereafter be reselling water and wastewater services as a reseller exempt pursuant to Section 367.022(8), Florida Statutes (F.S.), the Order also canceled Regency’s certificates.</w:t>
      </w:r>
    </w:p>
    <w:p w:rsidR="007A1FA2" w:rsidRPr="004427E7" w:rsidRDefault="007A1FA2" w:rsidP="007A1FA2">
      <w:pPr>
        <w:spacing w:after="240"/>
        <w:jc w:val="both"/>
      </w:pPr>
      <w:r w:rsidRPr="004427E7">
        <w:t xml:space="preserve">On February 26, 2008, Regency filed an application for water and wastewater certificates and authorization to charge rates in excess of the purchase price. In its petition, Regency stated that it could no longer support its operations while billing customers at the same rates for water and wastewater services, it pays to purchase the services from JEA. The Commission approved the </w:t>
      </w:r>
      <w:r>
        <w:t>certification</w:t>
      </w:r>
      <w:r w:rsidRPr="004427E7">
        <w:t xml:space="preserve"> on September 22, 2008, and Regency was issued </w:t>
      </w:r>
      <w:r>
        <w:t>C</w:t>
      </w:r>
      <w:r w:rsidRPr="004427E7">
        <w:t>ertificate Nos. 641-W and 551-S.</w:t>
      </w:r>
      <w:r w:rsidRPr="004427E7">
        <w:rPr>
          <w:vertAlign w:val="superscript"/>
        </w:rPr>
        <w:footnoteReference w:id="4"/>
      </w:r>
    </w:p>
    <w:p w:rsidR="007A1FA2" w:rsidRPr="004427E7" w:rsidRDefault="007A1FA2" w:rsidP="007A1FA2">
      <w:pPr>
        <w:spacing w:after="240"/>
        <w:jc w:val="both"/>
      </w:pPr>
      <w:r w:rsidRPr="004427E7">
        <w:t xml:space="preserve">On September 6, 2019, </w:t>
      </w:r>
      <w:r>
        <w:t xml:space="preserve">Regency and DWI executed </w:t>
      </w:r>
      <w:r w:rsidRPr="004427E7">
        <w:t xml:space="preserve">an Asset Purchase Agreement </w:t>
      </w:r>
      <w:r>
        <w:t xml:space="preserve">whereby DWI purchased </w:t>
      </w:r>
      <w:r w:rsidRPr="004427E7">
        <w:t>the water and wastewater assets of Regency. The closing of th</w:t>
      </w:r>
      <w:r>
        <w:t>is</w:t>
      </w:r>
      <w:r w:rsidRPr="004427E7">
        <w:t xml:space="preserve"> transaction occurred on September 30, 2019.</w:t>
      </w:r>
    </w:p>
    <w:p w:rsidR="0068481F" w:rsidRDefault="007A1FA2" w:rsidP="007A1FA2">
      <w:pPr>
        <w:pStyle w:val="BodyText"/>
      </w:pPr>
      <w:r w:rsidRPr="004427E7">
        <w:t>This recommendation addresses the transfer of the water and waste</w:t>
      </w:r>
      <w:r>
        <w:t>water system and DWI’s request to increase the late payment charge and establish NSF charges</w:t>
      </w:r>
      <w:r w:rsidRPr="004427E7">
        <w:t>. The Commission has jurisdiction pursuant to Sections 367.071, and 367.091 F.S</w:t>
      </w:r>
      <w:r>
        <w:t>.</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7A1FA2" w:rsidRDefault="007A1FA2">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7A1FA2" w:rsidRDefault="007A1FA2" w:rsidP="007A1FA2">
      <w:pPr>
        <w:pStyle w:val="BodyText"/>
      </w:pPr>
      <w:r>
        <w:t> </w:t>
      </w:r>
      <w:r w:rsidRPr="00D528D8">
        <w:rPr>
          <w:szCs w:val="22"/>
        </w:rPr>
        <w:t xml:space="preserve">Should the transfer of Certificate Nos. 641-W and 551-S in Duval County from Regency </w:t>
      </w:r>
      <w:r>
        <w:rPr>
          <w:szCs w:val="22"/>
        </w:rPr>
        <w:t>to DWI</w:t>
      </w:r>
      <w:r w:rsidRPr="00D528D8">
        <w:rPr>
          <w:szCs w:val="22"/>
        </w:rPr>
        <w:t>, be approved?</w:t>
      </w:r>
    </w:p>
    <w:p w:rsidR="007A1FA2" w:rsidRPr="004C3641" w:rsidRDefault="007A1FA2" w:rsidP="007A1FA2">
      <w:pPr>
        <w:pStyle w:val="IssueSubsectionHeading"/>
        <w:rPr>
          <w:vanish/>
          <w:specVanish/>
        </w:rPr>
      </w:pPr>
      <w:r w:rsidRPr="004C3641">
        <w:t>Recommendation: </w:t>
      </w:r>
    </w:p>
    <w:p w:rsidR="007A1FA2" w:rsidRPr="004427E7" w:rsidRDefault="007A1FA2" w:rsidP="007A1FA2">
      <w:pPr>
        <w:pStyle w:val="BodyText"/>
      </w:pPr>
      <w:r>
        <w:t> </w:t>
      </w:r>
      <w:r w:rsidRPr="004427E7">
        <w:t xml:space="preserve">Yes. The transfer of the water and wastewater systems and Certificate Nos. 641-W and 551-S is in the public interest and should be approved effective the date of the Commission’s vote. The resultant order should serve as the Buyer’s certificate and should be retained by the Buyer. The existing rates should remain in effect until a change is authorized by the Commission in a subsequent proceeding. The tariffs reflecting the transfer should be effective for services rendered or connections made on or after the stamped approval date on the tariffs, pursuant to Rule 25-30.475, </w:t>
      </w:r>
      <w:r>
        <w:t>Florida Administrative Code (</w:t>
      </w:r>
      <w:r w:rsidRPr="004427E7">
        <w:t>F.A.C.</w:t>
      </w:r>
      <w:r>
        <w:t>).</w:t>
      </w:r>
      <w:r w:rsidRPr="004427E7">
        <w:t xml:space="preserve"> </w:t>
      </w:r>
      <w:r>
        <w:t>DWI</w:t>
      </w:r>
      <w:r w:rsidRPr="004427E7">
        <w:t xml:space="preserve"> </w:t>
      </w:r>
      <w:r>
        <w:t>should</w:t>
      </w:r>
      <w:r w:rsidRPr="004427E7">
        <w:t xml:space="preserve"> be responsible for filing annual reports and paying </w:t>
      </w:r>
      <w:r>
        <w:t>Regulatory Assessment Fees (</w:t>
      </w:r>
      <w:r w:rsidRPr="004427E7">
        <w:t>RAFs</w:t>
      </w:r>
      <w:r>
        <w:t>)</w:t>
      </w:r>
      <w:r w:rsidRPr="004427E7">
        <w:t xml:space="preserve"> for 2020 and all future years.</w:t>
      </w:r>
      <w:r w:rsidRPr="004427E7">
        <w:rPr>
          <w:color w:val="FF0000"/>
        </w:rPr>
        <w:t xml:space="preserve"> </w:t>
      </w:r>
      <w:r w:rsidRPr="004427E7">
        <w:t>(</w:t>
      </w:r>
      <w:proofErr w:type="spellStart"/>
      <w:r w:rsidRPr="004427E7">
        <w:t>Doehling</w:t>
      </w:r>
      <w:proofErr w:type="spellEnd"/>
      <w:r w:rsidRPr="004427E7">
        <w:t>, M. Watts, Bruce,</w:t>
      </w:r>
      <w:r w:rsidRPr="004427E7">
        <w:rPr>
          <w:color w:val="FF0000"/>
        </w:rPr>
        <w:t xml:space="preserve"> </w:t>
      </w:r>
      <w:r w:rsidRPr="004427E7">
        <w:t xml:space="preserve">Bennett) </w:t>
      </w:r>
    </w:p>
    <w:p w:rsidR="007A1FA2" w:rsidRDefault="007A1FA2" w:rsidP="007A1FA2">
      <w:pPr>
        <w:spacing w:after="240"/>
        <w:jc w:val="both"/>
        <w:outlineLvl w:val="1"/>
      </w:pPr>
      <w:r w:rsidRPr="004427E7">
        <w:rPr>
          <w:rFonts w:ascii="Arial" w:hAnsi="Arial" w:cs="Arial"/>
          <w:b/>
          <w:bCs/>
          <w:i/>
          <w:iCs/>
          <w:szCs w:val="28"/>
        </w:rPr>
        <w:t>Staff Analysis: </w:t>
      </w:r>
      <w:r w:rsidRPr="004427E7">
        <w:t> On October 28, 2019, DWI filed an application for the transfer of Certificate Nos. 641-W and 551-S from Regency to DWI in Duval County. The application is in compliance with Section 367.071, F.S., and Commission rules concerning applications for transfer of certificates. The sale to DWI occurred on</w:t>
      </w:r>
      <w:r w:rsidRPr="004427E7">
        <w:rPr>
          <w:color w:val="FF0000"/>
        </w:rPr>
        <w:t xml:space="preserve"> </w:t>
      </w:r>
      <w:r w:rsidRPr="004427E7">
        <w:t>September 30, 2019, contingent upon Commission approval, pursuant to Section 367.071(1), F.S</w:t>
      </w:r>
      <w:r>
        <w:t>.</w:t>
      </w:r>
    </w:p>
    <w:p w:rsidR="007A1FA2" w:rsidRDefault="007A1FA2" w:rsidP="007A1FA2">
      <w:pPr>
        <w:pStyle w:val="First-LevelSubheading"/>
        <w:rPr>
          <w:rFonts w:eastAsiaTheme="minorHAnsi"/>
        </w:rPr>
      </w:pPr>
      <w:r w:rsidRPr="009E66B9">
        <w:rPr>
          <w:rFonts w:eastAsiaTheme="minorHAnsi"/>
        </w:rPr>
        <w:t>Noticing, Territory, and Land Ownership</w:t>
      </w:r>
    </w:p>
    <w:p w:rsidR="007A1FA2" w:rsidRPr="004427E7" w:rsidRDefault="007A1FA2" w:rsidP="007A1FA2">
      <w:pPr>
        <w:pStyle w:val="First-LevelSubheading"/>
        <w:rPr>
          <w:rFonts w:ascii="Times New Roman" w:eastAsiaTheme="minorHAnsi" w:hAnsi="Times New Roman" w:cs="Times New Roman"/>
          <w:b w:val="0"/>
        </w:rPr>
      </w:pPr>
      <w:r w:rsidRPr="004427E7">
        <w:rPr>
          <w:rFonts w:ascii="Times New Roman" w:hAnsi="Times New Roman" w:cs="Times New Roman"/>
          <w:b w:val="0"/>
        </w:rPr>
        <w:t xml:space="preserve">DWI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As a reseller, </w:t>
      </w:r>
      <w:r>
        <w:rPr>
          <w:rFonts w:ascii="Times New Roman" w:hAnsi="Times New Roman" w:cs="Times New Roman"/>
          <w:b w:val="0"/>
        </w:rPr>
        <w:t>Regency</w:t>
      </w:r>
      <w:r w:rsidRPr="004427E7">
        <w:rPr>
          <w:rFonts w:ascii="Times New Roman" w:hAnsi="Times New Roman" w:cs="Times New Roman"/>
          <w:b w:val="0"/>
        </w:rPr>
        <w:t xml:space="preserve"> does not own any treatment facilities for which it needs access. However, </w:t>
      </w:r>
      <w:r>
        <w:rPr>
          <w:rFonts w:ascii="Times New Roman" w:hAnsi="Times New Roman" w:cs="Times New Roman"/>
          <w:b w:val="0"/>
        </w:rPr>
        <w:t xml:space="preserve">DWI </w:t>
      </w:r>
      <w:r w:rsidRPr="004427E7">
        <w:rPr>
          <w:rFonts w:ascii="Times New Roman" w:hAnsi="Times New Roman" w:cs="Times New Roman"/>
          <w:b w:val="0"/>
        </w:rPr>
        <w:t>did provide a copy of the ground lease agreement which was transferred to DWI on September 26, 2019, as evidence that DWI has rights to long-term use of the land upon which the fire protection pumping system and storage tank are located pursuant to Rule 25-30.037(2)(s), F.A.C</w:t>
      </w:r>
      <w:r>
        <w:rPr>
          <w:rFonts w:ascii="Times New Roman" w:hAnsi="Times New Roman" w:cs="Times New Roman"/>
          <w:b w:val="0"/>
        </w:rPr>
        <w:t>.</w:t>
      </w:r>
    </w:p>
    <w:p w:rsidR="007A1FA2" w:rsidRPr="0082454E" w:rsidRDefault="007A1FA2" w:rsidP="007A1FA2">
      <w:pPr>
        <w:pStyle w:val="First-LevelSubheading"/>
        <w:rPr>
          <w:rFonts w:eastAsiaTheme="minorHAnsi"/>
          <w:b w:val="0"/>
        </w:rPr>
      </w:pPr>
    </w:p>
    <w:p w:rsidR="007A1FA2" w:rsidRDefault="007A1FA2" w:rsidP="007A1FA2">
      <w:pPr>
        <w:pStyle w:val="First-LevelSubheading"/>
        <w:rPr>
          <w:rFonts w:eastAsiaTheme="minorHAnsi"/>
        </w:rPr>
      </w:pPr>
      <w:r w:rsidRPr="0082454E">
        <w:rPr>
          <w:rFonts w:eastAsiaTheme="minorHAnsi"/>
        </w:rPr>
        <w:t>Purchase Agreement and Financing</w:t>
      </w:r>
    </w:p>
    <w:p w:rsidR="007A1FA2" w:rsidRDefault="007A1FA2" w:rsidP="007A1FA2">
      <w:pPr>
        <w:pStyle w:val="BodyText"/>
      </w:pPr>
      <w:r w:rsidRPr="00070DDC">
        <w:t>Pursuant to Rule 25-30.037(2)(</w:t>
      </w:r>
      <w:proofErr w:type="spellStart"/>
      <w:r w:rsidRPr="00070DDC">
        <w:t>i</w:t>
      </w:r>
      <w:proofErr w:type="spellEnd"/>
      <w:r w:rsidRPr="00070DDC">
        <w:t xml:space="preserve">), and (j), F.A.C., the application contains a statement regarding financing and a copy of the Purchase Agreement, which includes the purchase price, terms of payment and a list of the assets purchased. The </w:t>
      </w:r>
      <w:r>
        <w:t>Seller refunded all customer deposits as a credit to the customers’ final bill from the Seller before the sale</w:t>
      </w:r>
      <w:r w:rsidRPr="00070DDC">
        <w:t>.</w:t>
      </w:r>
      <w:r>
        <w:rPr>
          <w:rStyle w:val="FootnoteReference"/>
        </w:rPr>
        <w:footnoteReference w:id="5"/>
      </w:r>
      <w:r w:rsidRPr="00070DDC">
        <w:t xml:space="preserve"> There are no developer agreements or customer advances that must be disposed of with regard to the transfer. According to the purchase agreement, the total purchase price </w:t>
      </w:r>
      <w:r>
        <w:t>of the</w:t>
      </w:r>
      <w:r w:rsidRPr="00070DDC">
        <w:t xml:space="preserve"> assets is $60,000. According to the </w:t>
      </w:r>
      <w:r>
        <w:t>Buyer</w:t>
      </w:r>
      <w:r w:rsidRPr="00070DDC">
        <w:t>, the sale took place on September 30, 2019, subject to Commission approval, pursuant to Section 367.071(1), F.S</w:t>
      </w:r>
      <w:r>
        <w:t>.</w:t>
      </w:r>
    </w:p>
    <w:p w:rsidR="00616667" w:rsidRDefault="00616667" w:rsidP="007A1FA2">
      <w:pPr>
        <w:pStyle w:val="First-LevelSubheading"/>
        <w:rPr>
          <w:rFonts w:eastAsiaTheme="minorHAnsi"/>
        </w:rPr>
        <w:sectPr w:rsidR="00616667"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7A1FA2" w:rsidRDefault="007A1FA2" w:rsidP="007A1FA2">
      <w:pPr>
        <w:pStyle w:val="First-LevelSubheading"/>
        <w:rPr>
          <w:rFonts w:eastAsiaTheme="minorHAnsi"/>
        </w:rPr>
      </w:pPr>
      <w:r w:rsidRPr="001442F1">
        <w:rPr>
          <w:rFonts w:eastAsiaTheme="minorHAnsi"/>
        </w:rPr>
        <w:t>Facility Description and Compliance</w:t>
      </w:r>
    </w:p>
    <w:p w:rsidR="007A1FA2" w:rsidRPr="004427E7" w:rsidRDefault="007A1FA2" w:rsidP="007A1FA2">
      <w:pPr>
        <w:pStyle w:val="First-LevelSubheading"/>
        <w:rPr>
          <w:rFonts w:ascii="Times New Roman" w:eastAsiaTheme="minorHAnsi" w:hAnsi="Times New Roman" w:cs="Times New Roman"/>
          <w:b w:val="0"/>
        </w:rPr>
      </w:pPr>
      <w:r>
        <w:rPr>
          <w:rFonts w:ascii="Times New Roman" w:hAnsi="Times New Roman" w:cs="Times New Roman"/>
          <w:b w:val="0"/>
        </w:rPr>
        <w:t>Regency</w:t>
      </w:r>
      <w:r w:rsidRPr="004427E7">
        <w:rPr>
          <w:rFonts w:ascii="Times New Roman" w:hAnsi="Times New Roman" w:cs="Times New Roman"/>
          <w:b w:val="0"/>
        </w:rPr>
        <w:t xml:space="preserve"> is a consecutive system that purchases bulk water and wastewater service from JEA and provides water, wastewater, and fire protection services to the Mall. JEA delivers treated water to a master meter</w:t>
      </w:r>
      <w:r>
        <w:rPr>
          <w:rFonts w:ascii="Times New Roman" w:hAnsi="Times New Roman" w:cs="Times New Roman"/>
          <w:b w:val="0"/>
        </w:rPr>
        <w:t>,</w:t>
      </w:r>
      <w:r w:rsidRPr="004427E7">
        <w:rPr>
          <w:rFonts w:ascii="Times New Roman" w:hAnsi="Times New Roman" w:cs="Times New Roman"/>
          <w:b w:val="0"/>
        </w:rPr>
        <w:t xml:space="preserve"> which is then channeled into the distribution system for use by customers in the Mall. Wastewater from </w:t>
      </w:r>
      <w:r>
        <w:rPr>
          <w:rFonts w:ascii="Times New Roman" w:hAnsi="Times New Roman" w:cs="Times New Roman"/>
          <w:b w:val="0"/>
        </w:rPr>
        <w:t>Regency</w:t>
      </w:r>
      <w:r w:rsidRPr="004427E7">
        <w:rPr>
          <w:rFonts w:ascii="Times New Roman" w:hAnsi="Times New Roman" w:cs="Times New Roman"/>
          <w:b w:val="0"/>
        </w:rPr>
        <w:t xml:space="preserve">’s collection systems are delivered to JEA’s lift station for treatment. </w:t>
      </w:r>
      <w:r>
        <w:rPr>
          <w:rFonts w:ascii="Times New Roman" w:hAnsi="Times New Roman" w:cs="Times New Roman"/>
          <w:b w:val="0"/>
        </w:rPr>
        <w:t>Regency</w:t>
      </w:r>
      <w:r w:rsidRPr="004427E7">
        <w:rPr>
          <w:rFonts w:ascii="Times New Roman" w:hAnsi="Times New Roman" w:cs="Times New Roman"/>
          <w:b w:val="0"/>
        </w:rPr>
        <w:t xml:space="preserve"> operates and maintains the water distribution and wastewater collection systems. </w:t>
      </w:r>
      <w:r>
        <w:rPr>
          <w:rFonts w:ascii="Times New Roman" w:hAnsi="Times New Roman" w:cs="Times New Roman"/>
          <w:b w:val="0"/>
        </w:rPr>
        <w:t>Regency</w:t>
      </w:r>
      <w:r w:rsidRPr="004427E7">
        <w:rPr>
          <w:rFonts w:ascii="Times New Roman" w:hAnsi="Times New Roman" w:cs="Times New Roman"/>
          <w:b w:val="0"/>
        </w:rPr>
        <w:t xml:space="preserve"> </w:t>
      </w:r>
      <w:r>
        <w:rPr>
          <w:rFonts w:ascii="Times New Roman" w:hAnsi="Times New Roman" w:cs="Times New Roman"/>
          <w:b w:val="0"/>
        </w:rPr>
        <w:t>does not hold any</w:t>
      </w:r>
      <w:r w:rsidRPr="004427E7">
        <w:rPr>
          <w:rFonts w:ascii="Times New Roman" w:hAnsi="Times New Roman" w:cs="Times New Roman"/>
          <w:b w:val="0"/>
        </w:rPr>
        <w:t xml:space="preserve"> permits from the </w:t>
      </w:r>
      <w:r>
        <w:rPr>
          <w:rFonts w:ascii="Times New Roman" w:hAnsi="Times New Roman" w:cs="Times New Roman"/>
          <w:b w:val="0"/>
        </w:rPr>
        <w:t xml:space="preserve">Florida Department of Environmental Protection </w:t>
      </w:r>
      <w:r w:rsidRPr="004427E7">
        <w:rPr>
          <w:rFonts w:ascii="Times New Roman" w:hAnsi="Times New Roman" w:cs="Times New Roman"/>
          <w:b w:val="0"/>
        </w:rPr>
        <w:t xml:space="preserve">or </w:t>
      </w:r>
      <w:r>
        <w:rPr>
          <w:rFonts w:ascii="Times New Roman" w:hAnsi="Times New Roman" w:cs="Times New Roman"/>
          <w:b w:val="0"/>
        </w:rPr>
        <w:t xml:space="preserve">the Florida Department of Health </w:t>
      </w:r>
      <w:r w:rsidRPr="004427E7">
        <w:rPr>
          <w:rFonts w:ascii="Times New Roman" w:hAnsi="Times New Roman" w:cs="Times New Roman"/>
          <w:b w:val="0"/>
        </w:rPr>
        <w:t xml:space="preserve">as </w:t>
      </w:r>
      <w:r>
        <w:rPr>
          <w:rFonts w:ascii="Times New Roman" w:hAnsi="Times New Roman" w:cs="Times New Roman"/>
          <w:b w:val="0"/>
        </w:rPr>
        <w:t>Regency</w:t>
      </w:r>
      <w:r w:rsidRPr="004427E7">
        <w:rPr>
          <w:rFonts w:ascii="Times New Roman" w:hAnsi="Times New Roman" w:cs="Times New Roman"/>
          <w:b w:val="0"/>
        </w:rPr>
        <w:t xml:space="preserve"> does not have a water or wastewater treatment plant</w:t>
      </w:r>
      <w:r>
        <w:rPr>
          <w:rFonts w:ascii="Times New Roman" w:hAnsi="Times New Roman" w:cs="Times New Roman"/>
          <w:b w:val="0"/>
        </w:rPr>
        <w:t>.</w:t>
      </w:r>
    </w:p>
    <w:p w:rsidR="007A1FA2" w:rsidRPr="0082454E" w:rsidRDefault="007A1FA2" w:rsidP="007A1FA2">
      <w:pPr>
        <w:pStyle w:val="First-LevelSubheading"/>
        <w:rPr>
          <w:rFonts w:eastAsiaTheme="minorHAnsi"/>
          <w:b w:val="0"/>
        </w:rPr>
      </w:pPr>
    </w:p>
    <w:p w:rsidR="007A1FA2" w:rsidRDefault="007A1FA2" w:rsidP="007A1FA2">
      <w:pPr>
        <w:pStyle w:val="First-LevelSubheading"/>
        <w:rPr>
          <w:rFonts w:eastAsiaTheme="minorHAnsi"/>
        </w:rPr>
      </w:pPr>
      <w:r>
        <w:rPr>
          <w:rFonts w:eastAsiaTheme="minorHAnsi"/>
        </w:rPr>
        <w:t>Technical and Financial Ability</w:t>
      </w:r>
    </w:p>
    <w:p w:rsidR="007A1FA2" w:rsidRPr="00070DDC" w:rsidRDefault="007A1FA2" w:rsidP="007A1FA2">
      <w:pPr>
        <w:jc w:val="both"/>
      </w:pPr>
      <w:r w:rsidRPr="004427E7">
        <w:t>Pursuant to Rule 25-30.037(2</w:t>
      </w:r>
      <w:proofErr w:type="gramStart"/>
      <w:r w:rsidRPr="004427E7">
        <w:t>)(</w:t>
      </w:r>
      <w:proofErr w:type="gramEnd"/>
      <w:r w:rsidRPr="004427E7">
        <w:t>l)</w:t>
      </w:r>
      <w:r>
        <w:t xml:space="preserve"> and (m)</w:t>
      </w:r>
      <w:r w:rsidRPr="004427E7">
        <w:t>, F.A.C., the application contains statements describing the technical and financial ability of the Buyer to provide service to</w:t>
      </w:r>
      <w:r>
        <w:t xml:space="preserve"> the proposed service area. DWI’s </w:t>
      </w:r>
      <w:r w:rsidRPr="004427E7">
        <w:t>application states that</w:t>
      </w:r>
      <w:r>
        <w:t xml:space="preserve"> its</w:t>
      </w:r>
      <w:r w:rsidRPr="004427E7">
        <w:t xml:space="preserve"> President, Gary </w:t>
      </w:r>
      <w:proofErr w:type="spellStart"/>
      <w:r w:rsidRPr="004427E7">
        <w:t>Deremer</w:t>
      </w:r>
      <w:proofErr w:type="spellEnd"/>
      <w:r w:rsidRPr="004427E7">
        <w:t xml:space="preserve">, has over 30 years of Florida-related water and wastewater industry experience with previous private utility ownership of five utility systems. Also, </w:t>
      </w:r>
      <w:r>
        <w:t xml:space="preserve">Mr. </w:t>
      </w:r>
      <w:proofErr w:type="spellStart"/>
      <w:r>
        <w:t>Deremer</w:t>
      </w:r>
      <w:proofErr w:type="spellEnd"/>
      <w:r w:rsidRPr="004427E7">
        <w:t xml:space="preserve"> is a major shareholder in 17 water and wastewater utilities regulated by the Commission and has three other certificates of transfer pending before the Commission. Further, the application indicates that </w:t>
      </w:r>
      <w:r>
        <w:t xml:space="preserve">Mr. </w:t>
      </w:r>
      <w:proofErr w:type="spellStart"/>
      <w:r>
        <w:t>Deremer</w:t>
      </w:r>
      <w:proofErr w:type="spellEnd"/>
      <w:r w:rsidRPr="004427E7">
        <w:t xml:space="preserve"> has secured the services of U.S. Water Services Corporation </w:t>
      </w:r>
      <w:r>
        <w:t xml:space="preserve">(U.S. Water) </w:t>
      </w:r>
      <w:r w:rsidRPr="004427E7">
        <w:t xml:space="preserve">to provide contract operating service, as well as, billing and collection services. </w:t>
      </w:r>
      <w:r w:rsidRPr="003258E0">
        <w:t xml:space="preserve">Staff reviewed the personal financial statements of </w:t>
      </w:r>
      <w:r>
        <w:t>DWI’s</w:t>
      </w:r>
      <w:r w:rsidRPr="003258E0">
        <w:t xml:space="preserve"> primary shareholder, which is </w:t>
      </w:r>
      <w:r>
        <w:t xml:space="preserve">Mr. </w:t>
      </w:r>
      <w:proofErr w:type="spellStart"/>
      <w:r>
        <w:t>Deremer</w:t>
      </w:r>
      <w:proofErr w:type="spellEnd"/>
      <w:r w:rsidRPr="003258E0">
        <w:t>.</w:t>
      </w:r>
      <w:r w:rsidRPr="003258E0">
        <w:rPr>
          <w:vertAlign w:val="superscript"/>
        </w:rPr>
        <w:footnoteReference w:id="6"/>
      </w:r>
      <w:r w:rsidRPr="003258E0">
        <w:t xml:space="preserve"> </w:t>
      </w:r>
      <w:r w:rsidRPr="004427E7">
        <w:t>Based on the above, the Buyer has demonstrated the technical and financial ability to provide service to the existing service territory</w:t>
      </w:r>
      <w:r w:rsidRPr="00070DDC">
        <w:t xml:space="preserve">. </w:t>
      </w:r>
    </w:p>
    <w:p w:rsidR="007A1FA2" w:rsidRPr="0082454E" w:rsidRDefault="007A1FA2" w:rsidP="007A1FA2">
      <w:pPr>
        <w:pStyle w:val="First-LevelSubheading"/>
        <w:rPr>
          <w:rFonts w:eastAsiaTheme="minorHAnsi"/>
          <w:b w:val="0"/>
        </w:rPr>
      </w:pPr>
    </w:p>
    <w:p w:rsidR="007A1FA2" w:rsidRPr="0082454E" w:rsidRDefault="007A1FA2" w:rsidP="007A1FA2">
      <w:pPr>
        <w:pStyle w:val="First-LevelSubheading"/>
        <w:rPr>
          <w:rFonts w:eastAsiaTheme="minorHAnsi"/>
          <w:b w:val="0"/>
        </w:rPr>
      </w:pPr>
      <w:r w:rsidRPr="009E66B9">
        <w:rPr>
          <w:rFonts w:eastAsiaTheme="minorHAnsi"/>
        </w:rPr>
        <w:t>Rates and Charges</w:t>
      </w:r>
    </w:p>
    <w:p w:rsidR="007A1FA2" w:rsidRDefault="007A1FA2" w:rsidP="007A1FA2">
      <w:pPr>
        <w:pStyle w:val="First-LevelSubheading"/>
        <w:rPr>
          <w:rFonts w:ascii="Times New Roman" w:eastAsiaTheme="minorHAnsi" w:hAnsi="Times New Roman" w:cs="Times New Roman"/>
          <w:b w:val="0"/>
          <w:bCs w:val="0"/>
          <w:iCs w:val="0"/>
          <w:szCs w:val="24"/>
        </w:rPr>
      </w:pPr>
      <w:r>
        <w:rPr>
          <w:rFonts w:ascii="Times New Roman" w:eastAsiaTheme="minorHAnsi" w:hAnsi="Times New Roman" w:cs="Times New Roman"/>
          <w:b w:val="0"/>
          <w:bCs w:val="0"/>
          <w:iCs w:val="0"/>
          <w:szCs w:val="24"/>
        </w:rPr>
        <w:t>Regency</w:t>
      </w:r>
      <w:r w:rsidRPr="009E66B9">
        <w:rPr>
          <w:rFonts w:ascii="Times New Roman" w:eastAsiaTheme="minorHAnsi" w:hAnsi="Times New Roman" w:cs="Times New Roman"/>
          <w:b w:val="0"/>
          <w:bCs w:val="0"/>
          <w:iCs w:val="0"/>
          <w:szCs w:val="24"/>
        </w:rPr>
        <w:t>’s rates were last approved in a staff-assisted rate case.</w:t>
      </w:r>
      <w:r w:rsidRPr="009E66B9">
        <w:rPr>
          <w:rFonts w:ascii="Times New Roman" w:eastAsiaTheme="minorHAnsi" w:hAnsi="Times New Roman" w:cs="Times New Roman"/>
          <w:b w:val="0"/>
          <w:bCs w:val="0"/>
          <w:iCs w:val="0"/>
          <w:szCs w:val="24"/>
          <w:vertAlign w:val="superscript"/>
        </w:rPr>
        <w:footnoteReference w:id="7"/>
      </w:r>
      <w:r w:rsidRPr="009E66B9">
        <w:rPr>
          <w:rFonts w:ascii="Times New Roman" w:eastAsiaTheme="minorHAnsi" w:hAnsi="Times New Roman" w:cs="Times New Roman"/>
          <w:b w:val="0"/>
          <w:bCs w:val="0"/>
          <w:iCs w:val="0"/>
          <w:szCs w:val="24"/>
        </w:rPr>
        <w:t xml:space="preserve"> The rates were subsequently amended by five price indexes and a four-year rate reduction, as required by Section 367.0816, F.S., in 2012. </w:t>
      </w:r>
      <w:r>
        <w:rPr>
          <w:rFonts w:ascii="Times New Roman" w:eastAsiaTheme="minorHAnsi" w:hAnsi="Times New Roman" w:cs="Times New Roman"/>
          <w:b w:val="0"/>
          <w:bCs w:val="0"/>
          <w:iCs w:val="0"/>
          <w:szCs w:val="24"/>
        </w:rPr>
        <w:t>Regency</w:t>
      </w:r>
      <w:r w:rsidRPr="009E66B9">
        <w:rPr>
          <w:rFonts w:ascii="Times New Roman" w:eastAsiaTheme="minorHAnsi" w:hAnsi="Times New Roman" w:cs="Times New Roman"/>
          <w:b w:val="0"/>
          <w:bCs w:val="0"/>
          <w:iCs w:val="0"/>
          <w:szCs w:val="24"/>
        </w:rPr>
        <w:t xml:space="preserve">’s </w:t>
      </w:r>
      <w:r>
        <w:rPr>
          <w:rFonts w:ascii="Times New Roman" w:eastAsiaTheme="minorHAnsi" w:hAnsi="Times New Roman" w:cs="Times New Roman"/>
          <w:b w:val="0"/>
          <w:bCs w:val="0"/>
          <w:iCs w:val="0"/>
          <w:szCs w:val="24"/>
        </w:rPr>
        <w:t xml:space="preserve">existing </w:t>
      </w:r>
      <w:r w:rsidRPr="009E66B9">
        <w:rPr>
          <w:rFonts w:ascii="Times New Roman" w:eastAsiaTheme="minorHAnsi" w:hAnsi="Times New Roman" w:cs="Times New Roman"/>
          <w:b w:val="0"/>
          <w:bCs w:val="0"/>
          <w:iCs w:val="0"/>
          <w:szCs w:val="24"/>
        </w:rPr>
        <w:t>miscellaneous service charges were approved in Docket No. 20080113-WS</w:t>
      </w:r>
      <w:r w:rsidRPr="009E66B9">
        <w:rPr>
          <w:rFonts w:ascii="Times New Roman" w:eastAsiaTheme="minorHAnsi" w:hAnsi="Times New Roman" w:cs="Times New Roman"/>
          <w:b w:val="0"/>
          <w:bCs w:val="0"/>
          <w:iCs w:val="0"/>
          <w:szCs w:val="24"/>
          <w:vertAlign w:val="superscript"/>
        </w:rPr>
        <w:footnoteReference w:id="8"/>
      </w:r>
      <w:r>
        <w:rPr>
          <w:rFonts w:ascii="Times New Roman" w:eastAsiaTheme="minorHAnsi" w:hAnsi="Times New Roman" w:cs="Times New Roman"/>
          <w:b w:val="0"/>
          <w:bCs w:val="0"/>
          <w:iCs w:val="0"/>
          <w:szCs w:val="24"/>
        </w:rPr>
        <w:t xml:space="preserve"> and are shown on Schedule Nos. 1-A and 1-B, which are appended to this recommendation.</w:t>
      </w:r>
      <w:r w:rsidRPr="009E66B9">
        <w:rPr>
          <w:rFonts w:ascii="Times New Roman" w:eastAsiaTheme="minorHAnsi" w:hAnsi="Times New Roman" w:cs="Times New Roman"/>
          <w:b w:val="0"/>
          <w:bCs w:val="0"/>
          <w:iCs w:val="0"/>
          <w:szCs w:val="24"/>
        </w:rPr>
        <w:t xml:space="preserve"> </w:t>
      </w:r>
      <w:r>
        <w:rPr>
          <w:rFonts w:ascii="Times New Roman" w:eastAsiaTheme="minorHAnsi" w:hAnsi="Times New Roman" w:cs="Times New Roman"/>
          <w:b w:val="0"/>
          <w:bCs w:val="0"/>
          <w:iCs w:val="0"/>
          <w:szCs w:val="24"/>
        </w:rPr>
        <w:t>DWI</w:t>
      </w:r>
      <w:r w:rsidRPr="009E66B9">
        <w:rPr>
          <w:rFonts w:ascii="Times New Roman" w:eastAsiaTheme="minorHAnsi" w:hAnsi="Times New Roman" w:cs="Times New Roman"/>
          <w:b w:val="0"/>
          <w:bCs w:val="0"/>
          <w:iCs w:val="0"/>
          <w:szCs w:val="24"/>
        </w:rPr>
        <w:t xml:space="preserve"> has requested to revise the existing late payment charge, which is discussed in Issue </w:t>
      </w:r>
      <w:r>
        <w:rPr>
          <w:rFonts w:ascii="Times New Roman" w:eastAsiaTheme="minorHAnsi" w:hAnsi="Times New Roman" w:cs="Times New Roman"/>
          <w:b w:val="0"/>
          <w:bCs w:val="0"/>
          <w:iCs w:val="0"/>
          <w:szCs w:val="24"/>
        </w:rPr>
        <w:t>4, and to add NSF charges, which is discussed in Issue 5</w:t>
      </w:r>
      <w:r w:rsidRPr="009E66B9">
        <w:rPr>
          <w:rFonts w:ascii="Times New Roman" w:eastAsiaTheme="minorHAnsi" w:hAnsi="Times New Roman" w:cs="Times New Roman"/>
          <w:b w:val="0"/>
          <w:bCs w:val="0"/>
          <w:iCs w:val="0"/>
          <w:szCs w:val="24"/>
        </w:rPr>
        <w:t>.</w:t>
      </w:r>
      <w:r>
        <w:rPr>
          <w:rFonts w:ascii="Times New Roman" w:eastAsiaTheme="minorHAnsi" w:hAnsi="Times New Roman" w:cs="Times New Roman"/>
          <w:b w:val="0"/>
          <w:bCs w:val="0"/>
          <w:iCs w:val="0"/>
          <w:szCs w:val="24"/>
        </w:rPr>
        <w:t xml:space="preserve"> </w:t>
      </w:r>
      <w:r w:rsidRPr="009E66B9">
        <w:rPr>
          <w:rFonts w:ascii="Times New Roman" w:eastAsiaTheme="minorHAnsi" w:hAnsi="Times New Roman" w:cs="Times New Roman"/>
          <w:b w:val="0"/>
          <w:bCs w:val="0"/>
          <w:iCs w:val="0"/>
          <w:szCs w:val="24"/>
        </w:rPr>
        <w:t>Rule 25-9.044(1), F.A.C., provides that, in the case of a change of ownership or control of a utility, the rates, classifications, and regulations of the former owner must continue unless authorized to change by this Commission.</w:t>
      </w:r>
      <w:r>
        <w:rPr>
          <w:rFonts w:ascii="Times New Roman" w:eastAsiaTheme="minorHAnsi" w:hAnsi="Times New Roman" w:cs="Times New Roman"/>
          <w:b w:val="0"/>
          <w:bCs w:val="0"/>
          <w:iCs w:val="0"/>
          <w:szCs w:val="24"/>
        </w:rPr>
        <w:t xml:space="preserve"> </w:t>
      </w:r>
      <w:r w:rsidRPr="009E66B9">
        <w:rPr>
          <w:rFonts w:ascii="Times New Roman" w:eastAsiaTheme="minorHAnsi" w:hAnsi="Times New Roman" w:cs="Times New Roman"/>
          <w:b w:val="0"/>
          <w:bCs w:val="0"/>
          <w:iCs w:val="0"/>
          <w:szCs w:val="24"/>
        </w:rPr>
        <w:t xml:space="preserve">Therefore, staff recommends that </w:t>
      </w:r>
      <w:r>
        <w:rPr>
          <w:rFonts w:ascii="Times New Roman" w:eastAsiaTheme="minorHAnsi" w:hAnsi="Times New Roman" w:cs="Times New Roman"/>
          <w:b w:val="0"/>
          <w:bCs w:val="0"/>
          <w:iCs w:val="0"/>
          <w:szCs w:val="24"/>
        </w:rPr>
        <w:t>Regency</w:t>
      </w:r>
      <w:r w:rsidRPr="009E66B9">
        <w:rPr>
          <w:rFonts w:ascii="Times New Roman" w:eastAsiaTheme="minorHAnsi" w:hAnsi="Times New Roman" w:cs="Times New Roman"/>
          <w:b w:val="0"/>
          <w:bCs w:val="0"/>
          <w:iCs w:val="0"/>
          <w:szCs w:val="24"/>
        </w:rPr>
        <w:t xml:space="preserve">’s existing rates and charges remain in effect, </w:t>
      </w:r>
      <w:r>
        <w:rPr>
          <w:rFonts w:ascii="Times New Roman" w:eastAsiaTheme="minorHAnsi" w:hAnsi="Times New Roman" w:cs="Times New Roman"/>
          <w:b w:val="0"/>
          <w:bCs w:val="0"/>
          <w:iCs w:val="0"/>
          <w:szCs w:val="24"/>
        </w:rPr>
        <w:t xml:space="preserve">except the late payment charge and NSF charges, </w:t>
      </w:r>
      <w:r w:rsidRPr="009E66B9">
        <w:rPr>
          <w:rFonts w:ascii="Times New Roman" w:eastAsiaTheme="minorHAnsi" w:hAnsi="Times New Roman" w:cs="Times New Roman"/>
          <w:b w:val="0"/>
          <w:bCs w:val="0"/>
          <w:iCs w:val="0"/>
          <w:szCs w:val="24"/>
        </w:rPr>
        <w:t>until a change is authorized by this Commission</w:t>
      </w:r>
      <w:r>
        <w:rPr>
          <w:rFonts w:ascii="Times New Roman" w:eastAsiaTheme="minorHAnsi" w:hAnsi="Times New Roman" w:cs="Times New Roman"/>
          <w:b w:val="0"/>
          <w:bCs w:val="0"/>
          <w:iCs w:val="0"/>
          <w:szCs w:val="24"/>
        </w:rPr>
        <w:t>.</w:t>
      </w:r>
    </w:p>
    <w:p w:rsidR="007A1FA2" w:rsidRPr="009E66B9" w:rsidRDefault="007A1FA2" w:rsidP="007A1FA2">
      <w:pPr>
        <w:pStyle w:val="BodyText"/>
        <w:spacing w:after="0"/>
        <w:rPr>
          <w:rFonts w:eastAsiaTheme="minorHAnsi"/>
        </w:rPr>
      </w:pPr>
    </w:p>
    <w:p w:rsidR="00616667" w:rsidRDefault="00616667" w:rsidP="007A1FA2">
      <w:pPr>
        <w:pStyle w:val="First-LevelSubheading"/>
        <w:rPr>
          <w:rFonts w:eastAsiaTheme="minorHAnsi"/>
        </w:rPr>
        <w:sectPr w:rsidR="00616667" w:rsidSect="0068481F">
          <w:pgSz w:w="12240" w:h="15840" w:code="1"/>
          <w:pgMar w:top="1584" w:right="1440" w:bottom="1440" w:left="1440" w:header="720" w:footer="720" w:gutter="0"/>
          <w:cols w:space="720"/>
          <w:formProt w:val="0"/>
          <w:docGrid w:linePitch="360"/>
        </w:sectPr>
      </w:pPr>
    </w:p>
    <w:p w:rsidR="007A1FA2" w:rsidRDefault="007A1FA2" w:rsidP="007A1FA2">
      <w:pPr>
        <w:pStyle w:val="First-LevelSubheading"/>
        <w:rPr>
          <w:rFonts w:eastAsiaTheme="minorHAnsi"/>
        </w:rPr>
      </w:pPr>
      <w:r w:rsidRPr="0082454E">
        <w:rPr>
          <w:rFonts w:eastAsiaTheme="minorHAnsi"/>
        </w:rPr>
        <w:t>Regulatory As</w:t>
      </w:r>
      <w:r>
        <w:rPr>
          <w:rFonts w:eastAsiaTheme="minorHAnsi"/>
        </w:rPr>
        <w:t>sessment Fees and Annual Report</w:t>
      </w:r>
    </w:p>
    <w:p w:rsidR="00616667" w:rsidRDefault="007A1FA2" w:rsidP="007A1FA2">
      <w:pPr>
        <w:pStyle w:val="BodyText"/>
      </w:pPr>
      <w:r w:rsidRPr="00070DDC">
        <w:t xml:space="preserve">Staff has verified that </w:t>
      </w:r>
      <w:r>
        <w:t>Regency</w:t>
      </w:r>
      <w:r w:rsidRPr="00070DDC">
        <w:t xml:space="preserve"> is current with respect to annual reports and </w:t>
      </w:r>
      <w:r>
        <w:t>regulatory assessment fees (</w:t>
      </w:r>
      <w:r w:rsidRPr="00070DDC">
        <w:t>RAFs</w:t>
      </w:r>
      <w:r>
        <w:t>)</w:t>
      </w:r>
      <w:r w:rsidRPr="00070DDC">
        <w:t xml:space="preserve"> through December 31, 2019. </w:t>
      </w:r>
      <w:r>
        <w:t>DWI</w:t>
      </w:r>
      <w:r w:rsidRPr="00070DDC">
        <w:t xml:space="preserve"> will be responsible for filing annual reports and paying RAFs for 2020 and all future years</w:t>
      </w:r>
      <w:r>
        <w:t>.</w:t>
      </w:r>
    </w:p>
    <w:p w:rsidR="007A1FA2" w:rsidRDefault="007A1FA2" w:rsidP="007A1FA2">
      <w:pPr>
        <w:pStyle w:val="First-LevelSubheading"/>
        <w:rPr>
          <w:rFonts w:eastAsiaTheme="minorHAnsi"/>
        </w:rPr>
      </w:pPr>
      <w:r w:rsidRPr="0082454E">
        <w:rPr>
          <w:rFonts w:eastAsiaTheme="minorHAnsi"/>
        </w:rPr>
        <w:t xml:space="preserve">Conclusion </w:t>
      </w:r>
    </w:p>
    <w:p w:rsidR="007A1FA2" w:rsidRDefault="007A1FA2">
      <w:pPr>
        <w:pStyle w:val="IssueHeading"/>
        <w:rPr>
          <w:vanish/>
          <w:specVanish/>
        </w:rPr>
      </w:pPr>
      <w:r w:rsidRPr="007A1FA2">
        <w:rPr>
          <w:rFonts w:ascii="Times New Roman" w:hAnsi="Times New Roman" w:cs="Times New Roman"/>
          <w:b w:val="0"/>
          <w:i w:val="0"/>
        </w:rPr>
        <w:t>Based on the foregoing, staff recommends the transfer of the water and wastewater systems and Certificate Nos. 641-W and 551-S is in the public interest and should be approved effective the date of the Commission’s vote. The resultant order should serve as the Buyer’s certificate and should be retained by the Buyer. The existing rates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DWI should be responsible for filing annual reports and paying RAFs for 2020 and all future years.</w:t>
      </w: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7A1FA2" w:rsidRPr="0082454E" w:rsidRDefault="007A1FA2" w:rsidP="007A1FA2">
      <w:pPr>
        <w:pStyle w:val="BodyText"/>
      </w:pPr>
      <w:r>
        <w:t> </w:t>
      </w:r>
      <w:r w:rsidRPr="0082454E">
        <w:t>What is the appropriate net book value for DWI‘s water and wastewater system for transfer purposes?</w:t>
      </w:r>
    </w:p>
    <w:p w:rsidR="007A1FA2" w:rsidRPr="004C3641" w:rsidRDefault="007A1FA2" w:rsidP="007A1FA2">
      <w:pPr>
        <w:pStyle w:val="IssueSubsectionHeading"/>
        <w:rPr>
          <w:vanish/>
          <w:specVanish/>
        </w:rPr>
      </w:pPr>
      <w:r w:rsidRPr="004C3641">
        <w:t>Recommendation: </w:t>
      </w:r>
    </w:p>
    <w:p w:rsidR="007A1FA2" w:rsidRDefault="007A1FA2" w:rsidP="007A1FA2">
      <w:pPr>
        <w:jc w:val="both"/>
      </w:pPr>
      <w:r>
        <w:t> </w:t>
      </w:r>
      <w:r w:rsidRPr="00070DDC">
        <w:t>For transfer purposes</w:t>
      </w:r>
      <w:r>
        <w:t>,</w:t>
      </w:r>
      <w:r w:rsidRPr="00070DDC">
        <w:t xml:space="preserve"> the net book value (NBV) is $125,116 </w:t>
      </w:r>
      <w:r>
        <w:t xml:space="preserve">for the water system </w:t>
      </w:r>
      <w:r w:rsidRPr="00070DDC">
        <w:t>and $20,577</w:t>
      </w:r>
      <w:r>
        <w:t xml:space="preserve"> </w:t>
      </w:r>
      <w:r w:rsidRPr="00070DDC">
        <w:t xml:space="preserve">for the wastewater system as of September 30, 2019. Within 90 days of the date of the final order, </w:t>
      </w:r>
      <w:r>
        <w:t xml:space="preserve">DWI </w:t>
      </w:r>
      <w:r w:rsidRPr="00070DDC">
        <w:t xml:space="preserve">should be required to notify the Commission in writing that it has adjusted its books in accordance with the Commission’s decision. The adjustments should be reflected in </w:t>
      </w:r>
      <w:r>
        <w:t>DWI’s</w:t>
      </w:r>
      <w:r w:rsidRPr="00070DDC">
        <w:t xml:space="preserve"> 2020 Annual Report when filed. (Bennett)</w:t>
      </w:r>
    </w:p>
    <w:p w:rsidR="007A1FA2" w:rsidRPr="00070DDC" w:rsidRDefault="007A1FA2" w:rsidP="007A1FA2">
      <w:pPr>
        <w:jc w:val="both"/>
      </w:pPr>
    </w:p>
    <w:p w:rsidR="007A1FA2" w:rsidRPr="00070DDC" w:rsidRDefault="007A1FA2" w:rsidP="007A1FA2">
      <w:pPr>
        <w:jc w:val="both"/>
      </w:pPr>
      <w:r w:rsidRPr="00F43CBD">
        <w:rPr>
          <w:rFonts w:ascii="Arial" w:hAnsi="Arial" w:cs="Arial"/>
          <w:b/>
          <w:bCs/>
          <w:i/>
          <w:iCs/>
        </w:rPr>
        <w:t>Staff Analysis:</w:t>
      </w:r>
      <w:r w:rsidRPr="00070DDC">
        <w:t xml:space="preserve"> Rate base was last established as of August 24, 2012. The purpose of establishing NBV for transfers is to determine whether an acquisition adjustment should be approved. The NBV does not include normal ratemaking adjustments for non-used and useful plant and working capital. The NBV has been updated to reflect balances as of September 30, 2019.</w:t>
      </w:r>
    </w:p>
    <w:p w:rsidR="007A1FA2" w:rsidRDefault="007A1FA2" w:rsidP="007A1FA2">
      <w:pPr>
        <w:jc w:val="both"/>
        <w:rPr>
          <w:rFonts w:ascii="Arial" w:hAnsi="Arial" w:cs="Arial"/>
          <w:b/>
          <w:bCs/>
        </w:rPr>
      </w:pPr>
    </w:p>
    <w:p w:rsidR="007A1FA2" w:rsidRPr="00F43CBD" w:rsidRDefault="007A1FA2" w:rsidP="007A1FA2">
      <w:pPr>
        <w:jc w:val="both"/>
        <w:rPr>
          <w:rFonts w:ascii="Arial" w:hAnsi="Arial" w:cs="Arial"/>
          <w:b/>
          <w:bCs/>
        </w:rPr>
      </w:pPr>
      <w:r w:rsidRPr="00F43CBD">
        <w:rPr>
          <w:rFonts w:ascii="Arial" w:hAnsi="Arial" w:cs="Arial"/>
          <w:b/>
          <w:bCs/>
        </w:rPr>
        <w:t xml:space="preserve">Utility Plant in Service (UPIS) </w:t>
      </w:r>
    </w:p>
    <w:p w:rsidR="007A1FA2" w:rsidRPr="0073760F" w:rsidRDefault="007A1FA2" w:rsidP="007A1FA2">
      <w:pPr>
        <w:jc w:val="both"/>
        <w:rPr>
          <w:color w:val="000000"/>
        </w:rPr>
      </w:pPr>
      <w:r>
        <w:t>In its application for transfer, t</w:t>
      </w:r>
      <w:r w:rsidRPr="0073760F">
        <w:t>he Buyer reflected a UPIS balance of $</w:t>
      </w:r>
      <w:r>
        <w:t>1,168,266 for water and $62,315 for wastewater</w:t>
      </w:r>
      <w:r w:rsidRPr="0073760F">
        <w:t xml:space="preserve">. Staff reviewed UPIS additions and has </w:t>
      </w:r>
      <w:r>
        <w:t>increased</w:t>
      </w:r>
      <w:r w:rsidRPr="0073760F">
        <w:t xml:space="preserve"> UPIS by $</w:t>
      </w:r>
      <w:r>
        <w:t>14,470 for water</w:t>
      </w:r>
      <w:r w:rsidRPr="0073760F">
        <w:t xml:space="preserve"> to reflect plant additions. </w:t>
      </w:r>
      <w:r>
        <w:t xml:space="preserve">There have been no additions to the wastewater system. </w:t>
      </w:r>
      <w:r w:rsidRPr="0073760F">
        <w:t xml:space="preserve">Therefore, staff recommends that </w:t>
      </w:r>
      <w:r>
        <w:t>Regency</w:t>
      </w:r>
      <w:r w:rsidRPr="0073760F">
        <w:t xml:space="preserve">’s UPIS balance as of </w:t>
      </w:r>
      <w:r>
        <w:t>September 30, 2019</w:t>
      </w:r>
      <w:r w:rsidRPr="0073760F">
        <w:t>, should be $</w:t>
      </w:r>
      <w:r>
        <w:t>1,182,736 for water and $62,315 for wastewater</w:t>
      </w:r>
      <w:r w:rsidRPr="0073760F">
        <w:rPr>
          <w:color w:val="000000"/>
        </w:rPr>
        <w:t>.</w:t>
      </w:r>
    </w:p>
    <w:p w:rsidR="007A1FA2" w:rsidRDefault="007A1FA2" w:rsidP="007A1FA2">
      <w:pPr>
        <w:jc w:val="both"/>
        <w:rPr>
          <w:color w:val="000000"/>
        </w:rPr>
      </w:pPr>
    </w:p>
    <w:p w:rsidR="007A1FA2" w:rsidRPr="00F43CBD" w:rsidRDefault="007A1FA2" w:rsidP="007A1FA2">
      <w:pPr>
        <w:jc w:val="both"/>
        <w:rPr>
          <w:rFonts w:ascii="Arial" w:hAnsi="Arial" w:cs="Arial"/>
          <w:b/>
          <w:bCs/>
        </w:rPr>
      </w:pPr>
      <w:r w:rsidRPr="00F43CBD">
        <w:rPr>
          <w:rFonts w:ascii="Arial" w:hAnsi="Arial" w:cs="Arial"/>
          <w:b/>
          <w:bCs/>
        </w:rPr>
        <w:t>Land</w:t>
      </w:r>
    </w:p>
    <w:p w:rsidR="007A1FA2" w:rsidRDefault="007A1FA2" w:rsidP="007A1FA2">
      <w:pPr>
        <w:jc w:val="both"/>
      </w:pPr>
      <w:r>
        <w:t>In Order No. PSC-2012-0436-PAA-WS, the Commission established the value of DWI’s land to be $0 for both water and wastewater, as DWI is a reseller and does not own any land. DWI has not subsequently purchased any land since the Commission issued that order. Therefore, staff recommends a land balance of $0 for both water and wastewater.</w:t>
      </w:r>
    </w:p>
    <w:p w:rsidR="007A1FA2" w:rsidRPr="00070DDC" w:rsidRDefault="007A1FA2" w:rsidP="007A1FA2">
      <w:pPr>
        <w:jc w:val="both"/>
      </w:pPr>
    </w:p>
    <w:p w:rsidR="007A1FA2" w:rsidRPr="00F43CBD" w:rsidRDefault="007A1FA2" w:rsidP="007A1FA2">
      <w:pPr>
        <w:jc w:val="both"/>
        <w:rPr>
          <w:rFonts w:ascii="Arial" w:hAnsi="Arial" w:cs="Arial"/>
          <w:b/>
          <w:bCs/>
        </w:rPr>
      </w:pPr>
      <w:r w:rsidRPr="00F43CBD">
        <w:rPr>
          <w:rFonts w:ascii="Arial" w:hAnsi="Arial" w:cs="Arial"/>
          <w:b/>
          <w:bCs/>
        </w:rPr>
        <w:t>Accumulated Depreciation</w:t>
      </w:r>
    </w:p>
    <w:p w:rsidR="007A1FA2" w:rsidRDefault="007A1FA2" w:rsidP="007A1FA2">
      <w:pPr>
        <w:jc w:val="both"/>
      </w:pPr>
      <w:r>
        <w:t>Regency</w:t>
      </w:r>
      <w:r w:rsidRPr="00070DDC">
        <w:t>’s general ledger reflected an accumulated depreciation balance of $1,1</w:t>
      </w:r>
      <w:r>
        <w:t>68,266</w:t>
      </w:r>
      <w:r w:rsidRPr="00070DDC">
        <w:t xml:space="preserve"> for water and $4</w:t>
      </w:r>
      <w:r>
        <w:t>2,298</w:t>
      </w:r>
      <w:r w:rsidRPr="00070DDC">
        <w:t xml:space="preserve"> for wastewater as of September 30, 2019. Staff calculated the appropriate accumulated depreciation balances</w:t>
      </w:r>
      <w:r>
        <w:t>, pursuant to Rule 25-30.140, F.A.C.,</w:t>
      </w:r>
      <w:r w:rsidRPr="00070DDC">
        <w:t xml:space="preserve"> to be $1,057,620 for water and $41,738 for wastewater. As a result, accumulated depreciation should be decreased by </w:t>
      </w:r>
      <w:r>
        <w:t>$110,646</w:t>
      </w:r>
      <w:r w:rsidRPr="00070DDC">
        <w:t xml:space="preserve"> for water and $5</w:t>
      </w:r>
      <w:r>
        <w:t>60</w:t>
      </w:r>
      <w:r w:rsidRPr="00070DDC">
        <w:t xml:space="preserve"> for wastewater.</w:t>
      </w:r>
    </w:p>
    <w:p w:rsidR="007A1FA2" w:rsidRPr="00070DDC" w:rsidRDefault="007A1FA2" w:rsidP="007A1FA2">
      <w:pPr>
        <w:jc w:val="both"/>
      </w:pPr>
    </w:p>
    <w:p w:rsidR="007A1FA2" w:rsidRPr="00F43CBD" w:rsidRDefault="007A1FA2" w:rsidP="007A1FA2">
      <w:pPr>
        <w:jc w:val="both"/>
        <w:rPr>
          <w:rFonts w:ascii="Arial" w:hAnsi="Arial" w:cs="Arial"/>
          <w:b/>
          <w:bCs/>
        </w:rPr>
      </w:pPr>
      <w:r w:rsidRPr="00F43CBD">
        <w:rPr>
          <w:rFonts w:ascii="Arial" w:hAnsi="Arial" w:cs="Arial"/>
          <w:b/>
          <w:bCs/>
        </w:rPr>
        <w:t>Contributions-in-Aid-of-Construction (CIAC) and Accumulated Amortization of CIAC</w:t>
      </w:r>
    </w:p>
    <w:p w:rsidR="007A1FA2" w:rsidRDefault="007A1FA2" w:rsidP="007A1FA2">
      <w:pPr>
        <w:pStyle w:val="BodyText"/>
        <w:rPr>
          <w:rFonts w:eastAsiaTheme="minorHAnsi"/>
        </w:rPr>
      </w:pPr>
      <w:r w:rsidRPr="00070DDC">
        <w:t xml:space="preserve">As of September 30, 2019, </w:t>
      </w:r>
      <w:r>
        <w:t>Regency</w:t>
      </w:r>
      <w:r w:rsidRPr="00070DDC">
        <w:t xml:space="preserve">’s general ledger reflected a fully amortized CIAC balance of $21,980 for water and $30,260 for wastewater. Staff reviewed </w:t>
      </w:r>
      <w:r>
        <w:t xml:space="preserve">the </w:t>
      </w:r>
      <w:r w:rsidRPr="00070DDC">
        <w:t>CIAC balances and has no adjustments. Therefore, staff recommends a CIAC balance of $21,980 for water and $30,260 for wastewater, and accumulated amortization CIAC balance of $21,908</w:t>
      </w:r>
      <w:r>
        <w:t xml:space="preserve"> for water and $30,260 for wastewater,</w:t>
      </w:r>
      <w:r w:rsidRPr="00070DDC">
        <w:t xml:space="preserve"> as of September 30, 2019.</w:t>
      </w:r>
    </w:p>
    <w:p w:rsidR="00616667" w:rsidRDefault="00616667" w:rsidP="007A1FA2">
      <w:pPr>
        <w:pStyle w:val="First-LevelSubheading"/>
        <w:rPr>
          <w:rFonts w:eastAsiaTheme="minorHAnsi"/>
        </w:rPr>
        <w:sectPr w:rsidR="00616667" w:rsidSect="0068481F">
          <w:pgSz w:w="12240" w:h="15840" w:code="1"/>
          <w:pgMar w:top="1584" w:right="1440" w:bottom="1440" w:left="1440" w:header="720" w:footer="720" w:gutter="0"/>
          <w:cols w:space="720"/>
          <w:formProt w:val="0"/>
          <w:docGrid w:linePitch="360"/>
        </w:sectPr>
      </w:pPr>
    </w:p>
    <w:p w:rsidR="007A1FA2" w:rsidRDefault="007A1FA2" w:rsidP="007A1FA2">
      <w:pPr>
        <w:pStyle w:val="First-LevelSubheading"/>
        <w:rPr>
          <w:rFonts w:eastAsiaTheme="minorHAnsi"/>
        </w:rPr>
      </w:pPr>
      <w:r w:rsidRPr="0082454E">
        <w:rPr>
          <w:rFonts w:eastAsiaTheme="minorHAnsi"/>
        </w:rPr>
        <w:t>Net Book Value</w:t>
      </w:r>
    </w:p>
    <w:p w:rsidR="007A1FA2" w:rsidRDefault="007A1FA2" w:rsidP="007A1FA2">
      <w:pPr>
        <w:pStyle w:val="BodyText"/>
        <w:spacing w:after="0"/>
        <w:rPr>
          <w:rFonts w:eastAsiaTheme="minorHAnsi"/>
        </w:rPr>
      </w:pPr>
      <w:r>
        <w:t>Regency</w:t>
      </w:r>
      <w:r w:rsidRPr="00070DDC">
        <w:t>’s general ledger reflected a NBV of $</w:t>
      </w:r>
      <w:r>
        <w:t>0</w:t>
      </w:r>
      <w:r w:rsidRPr="00070DDC">
        <w:t xml:space="preserve"> for water and $20,</w:t>
      </w:r>
      <w:r>
        <w:t>017</w:t>
      </w:r>
      <w:r w:rsidRPr="00070DDC">
        <w:t xml:space="preserve"> for wastewater. Based on the adjustments </w:t>
      </w:r>
      <w:r>
        <w:t xml:space="preserve">discussed </w:t>
      </w:r>
      <w:r w:rsidRPr="00070DDC">
        <w:t xml:space="preserve">above, staff recommends </w:t>
      </w:r>
      <w:r>
        <w:t>a</w:t>
      </w:r>
      <w:r w:rsidRPr="00070DDC">
        <w:t xml:space="preserve"> NBV </w:t>
      </w:r>
      <w:r>
        <w:t>of</w:t>
      </w:r>
      <w:r w:rsidRPr="00070DDC">
        <w:t xml:space="preserve"> $125,116 for </w:t>
      </w:r>
      <w:r>
        <w:t xml:space="preserve">the </w:t>
      </w:r>
      <w:r w:rsidRPr="00070DDC">
        <w:t xml:space="preserve">water </w:t>
      </w:r>
      <w:r>
        <w:t xml:space="preserve">system </w:t>
      </w:r>
      <w:r w:rsidRPr="00070DDC">
        <w:t xml:space="preserve">and $20,577 for </w:t>
      </w:r>
      <w:r>
        <w:t xml:space="preserve">the </w:t>
      </w:r>
      <w:r w:rsidRPr="00070DDC">
        <w:t>wastewater</w:t>
      </w:r>
      <w:r>
        <w:t xml:space="preserve"> system</w:t>
      </w:r>
      <w:r w:rsidRPr="00070DDC">
        <w:t>.</w:t>
      </w:r>
      <w:r>
        <w:t xml:space="preserve"> Staff’s recommended NBV and adjustments, as described above are shown on Schedule Nos. 2-A, 2-B, and 2-C, which are appended to this recommendation.</w:t>
      </w:r>
    </w:p>
    <w:p w:rsidR="007A1FA2" w:rsidRDefault="007A1FA2" w:rsidP="007A1FA2">
      <w:pPr>
        <w:pStyle w:val="BodyText"/>
        <w:spacing w:after="0"/>
        <w:rPr>
          <w:rFonts w:eastAsiaTheme="minorHAnsi"/>
        </w:rPr>
      </w:pPr>
    </w:p>
    <w:p w:rsidR="007A1FA2" w:rsidRDefault="007A1FA2" w:rsidP="007A1FA2">
      <w:pPr>
        <w:pStyle w:val="First-LevelSubheading"/>
        <w:rPr>
          <w:rFonts w:eastAsiaTheme="minorHAnsi"/>
        </w:rPr>
      </w:pPr>
      <w:r w:rsidRPr="0082454E">
        <w:rPr>
          <w:rFonts w:eastAsiaTheme="minorHAnsi"/>
        </w:rPr>
        <w:t>Conclusion</w:t>
      </w:r>
    </w:p>
    <w:p w:rsidR="007A1FA2" w:rsidRDefault="007A1FA2" w:rsidP="007A1FA2">
      <w:pPr>
        <w:pStyle w:val="BodyText"/>
      </w:pPr>
      <w:r w:rsidRPr="00070DDC">
        <w:t xml:space="preserve">Based on the above, staff recommends that the NBV of </w:t>
      </w:r>
      <w:r>
        <w:t xml:space="preserve">DWI </w:t>
      </w:r>
      <w:r w:rsidRPr="00070DDC">
        <w:t xml:space="preserve">for transfer purposes is $125,116 for water and $20,577 for wastewater, as of September 30, 2019. Within 90 days of the date of the final order, the </w:t>
      </w:r>
      <w:r>
        <w:t>Buyer</w:t>
      </w:r>
      <w:r w:rsidRPr="00070DDC">
        <w:t xml:space="preserve"> should be required to notify the Commission in writing that it has adjusted its books in accordance with the Commission</w:t>
      </w:r>
      <w:r>
        <w:t>’</w:t>
      </w:r>
      <w:r w:rsidRPr="00070DDC">
        <w:t xml:space="preserve">s decision. The adjustments should be reflected in the </w:t>
      </w:r>
      <w:r>
        <w:t>DWI’s</w:t>
      </w:r>
      <w:r w:rsidRPr="00070DDC">
        <w:t xml:space="preserve"> 2020 Annual Report</w:t>
      </w:r>
      <w:r>
        <w:t>.</w:t>
      </w:r>
    </w:p>
    <w:p w:rsidR="007A1FA2" w:rsidRDefault="007A1FA2">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7A1FA2" w:rsidRDefault="007A1FA2" w:rsidP="007A1FA2">
      <w:pPr>
        <w:pStyle w:val="BodyText"/>
      </w:pPr>
      <w:r>
        <w:t> Should an acquisition adjustment be recognized for ratemaking purposes?</w:t>
      </w:r>
    </w:p>
    <w:p w:rsidR="007A1FA2" w:rsidRPr="004C3641" w:rsidRDefault="007A1FA2" w:rsidP="007A1FA2">
      <w:pPr>
        <w:pStyle w:val="IssueSubsectionHeading"/>
        <w:rPr>
          <w:vanish/>
          <w:specVanish/>
        </w:rPr>
      </w:pPr>
      <w:r w:rsidRPr="004C3641">
        <w:t>Recommendation: </w:t>
      </w:r>
    </w:p>
    <w:p w:rsidR="007A1FA2" w:rsidRDefault="007A1FA2" w:rsidP="007A1FA2">
      <w:pPr>
        <w:jc w:val="both"/>
      </w:pPr>
      <w:r>
        <w:t> Yes. Pursuant to Rule 25-30.0371, F.A.C., a negative acquisition adjustment of $48,567 for the water system and $7,987 for the wastewater system should be recognized for ratemaking purposes. Beginning with the date of the issuance of the order approving the transfer, 50 percent of the negative acquisition adjustment, which is $24,283 for the water system and $3,994 for the wastewater system, should be amortized over a seven-year period and the remaining 50 percent should be amortized over the remaining life of the assets. (Bennett)</w:t>
      </w:r>
    </w:p>
    <w:p w:rsidR="007A1FA2" w:rsidRPr="004D35C7" w:rsidRDefault="007A1FA2" w:rsidP="007A1FA2">
      <w:pPr>
        <w:jc w:val="both"/>
        <w:rPr>
          <w:i/>
          <w:iCs/>
        </w:rPr>
      </w:pPr>
    </w:p>
    <w:p w:rsidR="007A1FA2" w:rsidRDefault="007A1FA2" w:rsidP="007A1FA2">
      <w:pPr>
        <w:jc w:val="both"/>
      </w:pPr>
      <w:r>
        <w:rPr>
          <w:rFonts w:ascii="Arial" w:hAnsi="Arial" w:cs="Arial"/>
          <w:b/>
          <w:bCs/>
          <w:i/>
          <w:iCs/>
        </w:rPr>
        <w:t xml:space="preserve">Staff Analysis: </w:t>
      </w:r>
      <w:r>
        <w:t>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Rule 25-30.0371(2) F.A.C., further states that a positive acquisition adjustment shall not be included in rate base absent proof of extraordinary circumstances. Positive acquisition adjustments, if approved increase rate base. With respect to negative acquisition adjustments, Rule 25-30.0371(3), F.A.C., states that a negative acquisition adjustment is not to be included in rate base if the purchase price is greater than 80 percent of the NBV. If the purchase price is equal to or less than 80 percent of the NBV, a negative acquisition adjustment shall be included in rate base equal to 80 percent of the NBV, less the purchase price. Negative acquisition adjustments reduce rate base. Pursuant to Rule 25-30.0371(4</w:t>
      </w:r>
      <w:proofErr w:type="gramStart"/>
      <w:r>
        <w:t>)(</w:t>
      </w:r>
      <w:proofErr w:type="gramEnd"/>
      <w:r>
        <w:t>b)2, F.A.C., if the purchase price is equal to or less than 50 percent of the NBV, then 50 percent of the negative acquisition adjustment is amortized over a seven-year period and 50 percent amortized over the remaining life of the assets, beginning with the date of the issuance of the order approving the transfer of assets. Regency estimates the remaining life of the assets to be 3 years for the water system and 26 years for the wastewater system.</w:t>
      </w:r>
    </w:p>
    <w:p w:rsidR="007A1FA2" w:rsidRDefault="007A1FA2" w:rsidP="007A1FA2">
      <w:pPr>
        <w:jc w:val="both"/>
      </w:pPr>
    </w:p>
    <w:p w:rsidR="007A1FA2" w:rsidRDefault="007A1FA2" w:rsidP="007A1FA2">
      <w:pPr>
        <w:jc w:val="both"/>
      </w:pPr>
      <w:r>
        <w:t>The calculation of DWI’s acquisition adjustment is shown in Table 3-1. Regency indicated that it allotted the purchase price of $60,000 based on the relative ratio of water and wastewater to Regency’s overall NBV.</w:t>
      </w:r>
    </w:p>
    <w:p w:rsidR="007A1FA2" w:rsidRDefault="007A1FA2" w:rsidP="007A1FA2">
      <w:pPr>
        <w:jc w:val="both"/>
      </w:pPr>
    </w:p>
    <w:p w:rsidR="007A1FA2" w:rsidRDefault="007A1FA2" w:rsidP="007A1FA2">
      <w:pPr>
        <w:jc w:val="both"/>
      </w:pPr>
    </w:p>
    <w:p w:rsidR="007A1FA2" w:rsidRPr="00B008BD" w:rsidRDefault="007A1FA2" w:rsidP="007A1FA2">
      <w:pPr>
        <w:jc w:val="center"/>
        <w:rPr>
          <w:rFonts w:ascii="Arial" w:hAnsi="Arial" w:cs="Arial"/>
          <w:b/>
        </w:rPr>
      </w:pPr>
      <w:r w:rsidRPr="00B008BD">
        <w:rPr>
          <w:rFonts w:ascii="Arial" w:hAnsi="Arial" w:cs="Arial"/>
          <w:b/>
        </w:rPr>
        <w:t>Table 3-1</w:t>
      </w:r>
    </w:p>
    <w:tbl>
      <w:tblPr>
        <w:tblW w:w="648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57"/>
        <w:gridCol w:w="1573"/>
        <w:gridCol w:w="1350"/>
      </w:tblGrid>
      <w:tr w:rsidR="007A1FA2" w:rsidRPr="004D35C7" w:rsidTr="00616667">
        <w:trPr>
          <w:trHeight w:val="341"/>
          <w:jc w:val="center"/>
        </w:trPr>
        <w:tc>
          <w:tcPr>
            <w:tcW w:w="6480" w:type="dxa"/>
            <w:gridSpan w:val="3"/>
            <w:tcBorders>
              <w:top w:val="single" w:sz="4" w:space="0" w:color="auto"/>
              <w:bottom w:val="single" w:sz="4" w:space="0" w:color="auto"/>
            </w:tcBorders>
            <w:shd w:val="clear" w:color="auto" w:fill="auto"/>
            <w:noWrap/>
            <w:vAlign w:val="bottom"/>
            <w:hideMark/>
          </w:tcPr>
          <w:p w:rsidR="007A1FA2" w:rsidRPr="004D35C7" w:rsidRDefault="007A1FA2" w:rsidP="00616667">
            <w:pPr>
              <w:jc w:val="center"/>
              <w:rPr>
                <w:b/>
                <w:bCs/>
                <w:color w:val="000000"/>
              </w:rPr>
            </w:pPr>
            <w:r w:rsidRPr="004D35C7">
              <w:rPr>
                <w:b/>
                <w:bCs/>
                <w:color w:val="000000"/>
              </w:rPr>
              <w:t>Calculation of Negative Acquisition Adjustment</w:t>
            </w:r>
          </w:p>
        </w:tc>
      </w:tr>
      <w:tr w:rsidR="007A1FA2" w:rsidRPr="004D35C7" w:rsidTr="00616667">
        <w:trPr>
          <w:trHeight w:val="341"/>
          <w:jc w:val="center"/>
        </w:trPr>
        <w:tc>
          <w:tcPr>
            <w:tcW w:w="3557" w:type="dxa"/>
            <w:tcBorders>
              <w:top w:val="single" w:sz="4" w:space="0" w:color="auto"/>
            </w:tcBorders>
            <w:shd w:val="clear" w:color="auto" w:fill="auto"/>
            <w:noWrap/>
            <w:vAlign w:val="bottom"/>
            <w:hideMark/>
          </w:tcPr>
          <w:p w:rsidR="007A1FA2" w:rsidRPr="004D35C7" w:rsidRDefault="007A1FA2" w:rsidP="00616667">
            <w:pPr>
              <w:jc w:val="both"/>
              <w:rPr>
                <w:color w:val="000000"/>
              </w:rPr>
            </w:pPr>
          </w:p>
        </w:tc>
        <w:tc>
          <w:tcPr>
            <w:tcW w:w="1573" w:type="dxa"/>
            <w:tcBorders>
              <w:top w:val="single" w:sz="4" w:space="0" w:color="auto"/>
            </w:tcBorders>
            <w:shd w:val="clear" w:color="auto" w:fill="auto"/>
            <w:noWrap/>
            <w:vAlign w:val="bottom"/>
            <w:hideMark/>
          </w:tcPr>
          <w:p w:rsidR="007A1FA2" w:rsidRPr="008B4BF7" w:rsidRDefault="007A1FA2" w:rsidP="00616667">
            <w:pPr>
              <w:jc w:val="center"/>
              <w:rPr>
                <w:color w:val="000000"/>
                <w:u w:val="single"/>
              </w:rPr>
            </w:pPr>
            <w:r w:rsidRPr="00B008BD">
              <w:rPr>
                <w:color w:val="000000"/>
              </w:rPr>
              <w:t xml:space="preserve">     </w:t>
            </w:r>
            <w:r>
              <w:rPr>
                <w:color w:val="000000"/>
              </w:rPr>
              <w:t xml:space="preserve">  </w:t>
            </w:r>
            <w:r w:rsidRPr="008B4BF7">
              <w:rPr>
                <w:color w:val="000000"/>
                <w:u w:val="single"/>
              </w:rPr>
              <w:t>Water</w:t>
            </w:r>
          </w:p>
        </w:tc>
        <w:tc>
          <w:tcPr>
            <w:tcW w:w="1350" w:type="dxa"/>
            <w:tcBorders>
              <w:top w:val="single" w:sz="4" w:space="0" w:color="auto"/>
            </w:tcBorders>
            <w:shd w:val="clear" w:color="auto" w:fill="auto"/>
            <w:noWrap/>
            <w:vAlign w:val="bottom"/>
            <w:hideMark/>
          </w:tcPr>
          <w:p w:rsidR="007A1FA2" w:rsidRPr="008B4BF7" w:rsidRDefault="007A1FA2" w:rsidP="00616667">
            <w:pPr>
              <w:jc w:val="center"/>
              <w:rPr>
                <w:color w:val="000000"/>
                <w:u w:val="single"/>
              </w:rPr>
            </w:pPr>
            <w:r w:rsidRPr="008B4BF7">
              <w:rPr>
                <w:color w:val="000000"/>
                <w:u w:val="single"/>
              </w:rPr>
              <w:t>Wastewater</w:t>
            </w:r>
          </w:p>
        </w:tc>
      </w:tr>
      <w:tr w:rsidR="007A1FA2" w:rsidRPr="004D35C7" w:rsidTr="00616667">
        <w:trPr>
          <w:trHeight w:val="341"/>
          <w:jc w:val="center"/>
        </w:trPr>
        <w:tc>
          <w:tcPr>
            <w:tcW w:w="3557" w:type="dxa"/>
            <w:shd w:val="clear" w:color="auto" w:fill="auto"/>
            <w:noWrap/>
            <w:vAlign w:val="bottom"/>
            <w:hideMark/>
          </w:tcPr>
          <w:p w:rsidR="007A1FA2" w:rsidRPr="004D35C7" w:rsidRDefault="007A1FA2" w:rsidP="00616667">
            <w:pPr>
              <w:jc w:val="both"/>
              <w:rPr>
                <w:color w:val="000000"/>
              </w:rPr>
            </w:pPr>
            <w:r w:rsidRPr="004D35C7">
              <w:rPr>
                <w:color w:val="000000"/>
              </w:rPr>
              <w:t>NBV as of September 30, 2019</w:t>
            </w:r>
          </w:p>
        </w:tc>
        <w:tc>
          <w:tcPr>
            <w:tcW w:w="1573" w:type="dxa"/>
            <w:shd w:val="clear" w:color="auto" w:fill="auto"/>
            <w:noWrap/>
            <w:vAlign w:val="bottom"/>
            <w:hideMark/>
          </w:tcPr>
          <w:p w:rsidR="007A1FA2" w:rsidRPr="004D35C7" w:rsidRDefault="007A1FA2" w:rsidP="00616667">
            <w:pPr>
              <w:jc w:val="right"/>
              <w:rPr>
                <w:color w:val="000000"/>
              </w:rPr>
            </w:pPr>
            <w:r w:rsidRPr="004D35C7">
              <w:rPr>
                <w:color w:val="000000"/>
              </w:rPr>
              <w:t xml:space="preserve">$125,116 </w:t>
            </w:r>
          </w:p>
        </w:tc>
        <w:tc>
          <w:tcPr>
            <w:tcW w:w="1350" w:type="dxa"/>
            <w:shd w:val="clear" w:color="auto" w:fill="auto"/>
            <w:noWrap/>
            <w:vAlign w:val="bottom"/>
            <w:hideMark/>
          </w:tcPr>
          <w:p w:rsidR="007A1FA2" w:rsidRPr="004D35C7" w:rsidRDefault="007A1FA2" w:rsidP="00616667">
            <w:pPr>
              <w:jc w:val="right"/>
              <w:rPr>
                <w:color w:val="000000"/>
              </w:rPr>
            </w:pPr>
            <w:r w:rsidRPr="004D35C7">
              <w:rPr>
                <w:color w:val="000000"/>
              </w:rPr>
              <w:t xml:space="preserve">$20,577 </w:t>
            </w:r>
          </w:p>
        </w:tc>
      </w:tr>
      <w:tr w:rsidR="007A1FA2" w:rsidRPr="004D35C7" w:rsidTr="00616667">
        <w:trPr>
          <w:trHeight w:val="341"/>
          <w:jc w:val="center"/>
        </w:trPr>
        <w:tc>
          <w:tcPr>
            <w:tcW w:w="3557" w:type="dxa"/>
            <w:shd w:val="clear" w:color="auto" w:fill="auto"/>
            <w:noWrap/>
            <w:vAlign w:val="bottom"/>
            <w:hideMark/>
          </w:tcPr>
          <w:p w:rsidR="007A1FA2" w:rsidRPr="004D35C7" w:rsidRDefault="007A1FA2" w:rsidP="00616667">
            <w:pPr>
              <w:jc w:val="both"/>
              <w:rPr>
                <w:color w:val="000000"/>
              </w:rPr>
            </w:pPr>
            <w:r w:rsidRPr="004D35C7">
              <w:rPr>
                <w:color w:val="000000"/>
              </w:rPr>
              <w:t>80% of NBV</w:t>
            </w:r>
          </w:p>
        </w:tc>
        <w:tc>
          <w:tcPr>
            <w:tcW w:w="1573" w:type="dxa"/>
            <w:shd w:val="clear" w:color="auto" w:fill="auto"/>
            <w:noWrap/>
            <w:vAlign w:val="bottom"/>
            <w:hideMark/>
          </w:tcPr>
          <w:p w:rsidR="007A1FA2" w:rsidRPr="004D35C7" w:rsidRDefault="007A1FA2" w:rsidP="00616667">
            <w:pPr>
              <w:jc w:val="right"/>
              <w:rPr>
                <w:color w:val="000000"/>
              </w:rPr>
            </w:pPr>
            <w:r w:rsidRPr="004D35C7">
              <w:rPr>
                <w:color w:val="000000"/>
              </w:rPr>
              <w:t xml:space="preserve">100,093 </w:t>
            </w:r>
          </w:p>
        </w:tc>
        <w:tc>
          <w:tcPr>
            <w:tcW w:w="1350" w:type="dxa"/>
            <w:shd w:val="clear" w:color="auto" w:fill="auto"/>
            <w:noWrap/>
            <w:vAlign w:val="bottom"/>
            <w:hideMark/>
          </w:tcPr>
          <w:p w:rsidR="007A1FA2" w:rsidRPr="004D35C7" w:rsidRDefault="007A1FA2" w:rsidP="00616667">
            <w:pPr>
              <w:jc w:val="right"/>
              <w:rPr>
                <w:color w:val="000000"/>
              </w:rPr>
            </w:pPr>
            <w:r w:rsidRPr="004D35C7">
              <w:rPr>
                <w:color w:val="000000"/>
              </w:rPr>
              <w:t xml:space="preserve">16,462 </w:t>
            </w:r>
          </w:p>
        </w:tc>
      </w:tr>
      <w:tr w:rsidR="007A1FA2" w:rsidRPr="004D35C7" w:rsidTr="00616667">
        <w:trPr>
          <w:trHeight w:val="341"/>
          <w:jc w:val="center"/>
        </w:trPr>
        <w:tc>
          <w:tcPr>
            <w:tcW w:w="3557" w:type="dxa"/>
            <w:shd w:val="clear" w:color="auto" w:fill="auto"/>
            <w:noWrap/>
            <w:vAlign w:val="bottom"/>
            <w:hideMark/>
          </w:tcPr>
          <w:p w:rsidR="007A1FA2" w:rsidRPr="004D35C7" w:rsidRDefault="007A1FA2" w:rsidP="00616667">
            <w:pPr>
              <w:jc w:val="both"/>
              <w:rPr>
                <w:color w:val="000000"/>
              </w:rPr>
            </w:pPr>
            <w:r w:rsidRPr="004D35C7">
              <w:rPr>
                <w:color w:val="000000"/>
              </w:rPr>
              <w:t>Purchase Price</w:t>
            </w:r>
          </w:p>
        </w:tc>
        <w:tc>
          <w:tcPr>
            <w:tcW w:w="1573" w:type="dxa"/>
            <w:shd w:val="clear" w:color="auto" w:fill="auto"/>
            <w:noWrap/>
            <w:vAlign w:val="bottom"/>
            <w:hideMark/>
          </w:tcPr>
          <w:p w:rsidR="007A1FA2" w:rsidRPr="004D35C7" w:rsidRDefault="007A1FA2" w:rsidP="00616667">
            <w:pPr>
              <w:jc w:val="right"/>
              <w:rPr>
                <w:color w:val="000000"/>
                <w:u w:val="single"/>
              </w:rPr>
            </w:pPr>
            <w:r w:rsidRPr="004D35C7">
              <w:rPr>
                <w:color w:val="000000"/>
                <w:u w:val="single"/>
              </w:rPr>
              <w:t xml:space="preserve">51,526 </w:t>
            </w:r>
          </w:p>
        </w:tc>
        <w:tc>
          <w:tcPr>
            <w:tcW w:w="1350" w:type="dxa"/>
            <w:shd w:val="clear" w:color="auto" w:fill="auto"/>
            <w:noWrap/>
            <w:vAlign w:val="bottom"/>
            <w:hideMark/>
          </w:tcPr>
          <w:p w:rsidR="007A1FA2" w:rsidRPr="004D35C7" w:rsidRDefault="007A1FA2" w:rsidP="00616667">
            <w:pPr>
              <w:jc w:val="right"/>
              <w:rPr>
                <w:color w:val="000000"/>
                <w:u w:val="single"/>
              </w:rPr>
            </w:pPr>
            <w:r w:rsidRPr="004D35C7">
              <w:rPr>
                <w:color w:val="000000"/>
                <w:u w:val="single"/>
              </w:rPr>
              <w:t xml:space="preserve">8,474 </w:t>
            </w:r>
          </w:p>
        </w:tc>
      </w:tr>
      <w:tr w:rsidR="007A1FA2" w:rsidRPr="004D35C7" w:rsidTr="00616667">
        <w:trPr>
          <w:trHeight w:val="341"/>
          <w:jc w:val="center"/>
        </w:trPr>
        <w:tc>
          <w:tcPr>
            <w:tcW w:w="3557" w:type="dxa"/>
            <w:shd w:val="clear" w:color="auto" w:fill="auto"/>
            <w:noWrap/>
            <w:vAlign w:val="bottom"/>
            <w:hideMark/>
          </w:tcPr>
          <w:p w:rsidR="007A1FA2" w:rsidRPr="004D35C7" w:rsidRDefault="007A1FA2" w:rsidP="00616667">
            <w:pPr>
              <w:jc w:val="both"/>
              <w:rPr>
                <w:color w:val="000000"/>
              </w:rPr>
            </w:pPr>
            <w:r w:rsidRPr="004D35C7">
              <w:rPr>
                <w:color w:val="000000"/>
              </w:rPr>
              <w:t>Negative Acquisition Adjustment</w:t>
            </w:r>
          </w:p>
        </w:tc>
        <w:tc>
          <w:tcPr>
            <w:tcW w:w="1573" w:type="dxa"/>
            <w:shd w:val="clear" w:color="auto" w:fill="auto"/>
            <w:noWrap/>
            <w:vAlign w:val="bottom"/>
            <w:hideMark/>
          </w:tcPr>
          <w:p w:rsidR="007A1FA2" w:rsidRPr="004D35C7" w:rsidRDefault="007A1FA2" w:rsidP="00616667">
            <w:pPr>
              <w:jc w:val="right"/>
              <w:rPr>
                <w:color w:val="000000"/>
                <w:u w:val="double"/>
              </w:rPr>
            </w:pPr>
            <w:r w:rsidRPr="004D35C7">
              <w:rPr>
                <w:color w:val="000000"/>
                <w:u w:val="double"/>
              </w:rPr>
              <w:t xml:space="preserve">$48,567 </w:t>
            </w:r>
          </w:p>
        </w:tc>
        <w:tc>
          <w:tcPr>
            <w:tcW w:w="1350" w:type="dxa"/>
            <w:shd w:val="clear" w:color="auto" w:fill="auto"/>
            <w:noWrap/>
            <w:vAlign w:val="bottom"/>
            <w:hideMark/>
          </w:tcPr>
          <w:p w:rsidR="007A1FA2" w:rsidRPr="004D35C7" w:rsidRDefault="007A1FA2" w:rsidP="00616667">
            <w:pPr>
              <w:jc w:val="right"/>
              <w:rPr>
                <w:color w:val="000000"/>
                <w:u w:val="double"/>
              </w:rPr>
            </w:pPr>
            <w:r w:rsidRPr="004D35C7">
              <w:rPr>
                <w:color w:val="000000"/>
                <w:u w:val="double"/>
              </w:rPr>
              <w:t xml:space="preserve">$7,987 </w:t>
            </w:r>
          </w:p>
        </w:tc>
      </w:tr>
      <w:tr w:rsidR="007A1FA2" w:rsidRPr="004D35C7" w:rsidTr="00616667">
        <w:trPr>
          <w:trHeight w:val="341"/>
          <w:jc w:val="center"/>
        </w:trPr>
        <w:tc>
          <w:tcPr>
            <w:tcW w:w="3557" w:type="dxa"/>
            <w:shd w:val="clear" w:color="auto" w:fill="auto"/>
            <w:noWrap/>
            <w:vAlign w:val="bottom"/>
          </w:tcPr>
          <w:p w:rsidR="007A1FA2" w:rsidRPr="004D35C7" w:rsidRDefault="007A1FA2" w:rsidP="00616667">
            <w:pPr>
              <w:jc w:val="both"/>
              <w:rPr>
                <w:color w:val="000000"/>
              </w:rPr>
            </w:pPr>
          </w:p>
        </w:tc>
        <w:tc>
          <w:tcPr>
            <w:tcW w:w="1573" w:type="dxa"/>
            <w:shd w:val="clear" w:color="auto" w:fill="auto"/>
            <w:noWrap/>
            <w:vAlign w:val="bottom"/>
          </w:tcPr>
          <w:p w:rsidR="007A1FA2" w:rsidRPr="004D35C7" w:rsidRDefault="007A1FA2" w:rsidP="00616667">
            <w:pPr>
              <w:jc w:val="right"/>
              <w:rPr>
                <w:color w:val="000000"/>
                <w:u w:val="double"/>
              </w:rPr>
            </w:pPr>
          </w:p>
        </w:tc>
        <w:tc>
          <w:tcPr>
            <w:tcW w:w="1350" w:type="dxa"/>
            <w:shd w:val="clear" w:color="auto" w:fill="auto"/>
            <w:noWrap/>
            <w:vAlign w:val="bottom"/>
          </w:tcPr>
          <w:p w:rsidR="007A1FA2" w:rsidRPr="004D35C7" w:rsidRDefault="007A1FA2" w:rsidP="00616667">
            <w:pPr>
              <w:jc w:val="right"/>
              <w:rPr>
                <w:color w:val="000000"/>
                <w:u w:val="double"/>
              </w:rPr>
            </w:pPr>
          </w:p>
        </w:tc>
      </w:tr>
    </w:tbl>
    <w:p w:rsidR="007A1FA2" w:rsidRDefault="007A1FA2" w:rsidP="007A1FA2">
      <w:pPr>
        <w:jc w:val="both"/>
      </w:pPr>
    </w:p>
    <w:p w:rsidR="00616667" w:rsidRDefault="00616667" w:rsidP="007A1FA2">
      <w:pPr>
        <w:jc w:val="both"/>
        <w:rPr>
          <w:rFonts w:ascii="Arial" w:hAnsi="Arial" w:cs="Arial"/>
          <w:b/>
          <w:bCs/>
        </w:rPr>
        <w:sectPr w:rsidR="00616667" w:rsidSect="0068481F">
          <w:pgSz w:w="12240" w:h="15840" w:code="1"/>
          <w:pgMar w:top="1584" w:right="1440" w:bottom="1440" w:left="1440" w:header="720" w:footer="720" w:gutter="0"/>
          <w:cols w:space="720"/>
          <w:formProt w:val="0"/>
          <w:docGrid w:linePitch="360"/>
        </w:sectPr>
      </w:pPr>
    </w:p>
    <w:p w:rsidR="007A1FA2" w:rsidRDefault="007A1FA2" w:rsidP="007A1FA2">
      <w:pPr>
        <w:jc w:val="both"/>
        <w:rPr>
          <w:rFonts w:ascii="Arial" w:hAnsi="Arial" w:cs="Arial"/>
          <w:b/>
          <w:bCs/>
        </w:rPr>
      </w:pPr>
      <w:r w:rsidRPr="004D35C7">
        <w:rPr>
          <w:rFonts w:ascii="Arial" w:hAnsi="Arial" w:cs="Arial"/>
          <w:b/>
          <w:bCs/>
        </w:rPr>
        <w:t>Conclusion</w:t>
      </w:r>
    </w:p>
    <w:p w:rsidR="007A1FA2" w:rsidRDefault="007A1FA2" w:rsidP="007A1FA2">
      <w:pPr>
        <w:pStyle w:val="BodyText"/>
      </w:pPr>
      <w:r>
        <w:t>Pursuant to Rule 25-30.0371, F.A.C., the Commission should recognize a negative acquisition adjustment of $48,567 for the water system and $7,987 for the wastewater system for ratemaking purposes as of September 30, 2019. Beginning with the date of the issuance of the order approving the transfer, 50 percent of the negative acquisition adjustment, which is $24,283 for the water system and $3,994 for the wastewater system, should be amortized over a seven-year period. The remaining 50 percent should be amortized over the remaining life of the assets, which is 3 years for the water system and 26 years for the wastewater system.</w:t>
      </w:r>
    </w:p>
    <w:p w:rsidR="007A1FA2" w:rsidRDefault="007A1FA2">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7A1FA2" w:rsidRPr="0082454E" w:rsidRDefault="007A1FA2" w:rsidP="007A1FA2">
      <w:pPr>
        <w:pStyle w:val="BodyText"/>
      </w:pPr>
      <w:r>
        <w:t> </w:t>
      </w:r>
      <w:r w:rsidRPr="0082454E">
        <w:t xml:space="preserve">Should </w:t>
      </w:r>
      <w:r>
        <w:t xml:space="preserve">DWI’s </w:t>
      </w:r>
      <w:r w:rsidRPr="0082454E">
        <w:t xml:space="preserve">request </w:t>
      </w:r>
      <w:r>
        <w:t>to revise the existing late payment charge to $6.50 be approved</w:t>
      </w:r>
      <w:r w:rsidRPr="0082454E">
        <w:t>?</w:t>
      </w:r>
    </w:p>
    <w:p w:rsidR="007A1FA2" w:rsidRPr="004C3641" w:rsidRDefault="007A1FA2" w:rsidP="007A1FA2">
      <w:pPr>
        <w:pStyle w:val="IssueSubsectionHeading"/>
        <w:rPr>
          <w:vanish/>
          <w:specVanish/>
        </w:rPr>
      </w:pPr>
      <w:r w:rsidRPr="004C3641">
        <w:t>Recommendation: </w:t>
      </w:r>
    </w:p>
    <w:p w:rsidR="007A1FA2" w:rsidRPr="009E66B9" w:rsidRDefault="007A1FA2" w:rsidP="007A1FA2">
      <w:pPr>
        <w:spacing w:after="240"/>
        <w:jc w:val="both"/>
      </w:pPr>
      <w:r>
        <w:t> </w:t>
      </w:r>
      <w:r w:rsidRPr="009E66B9">
        <w:t xml:space="preserve">Yes. </w:t>
      </w:r>
      <w:r>
        <w:t xml:space="preserve">DWI’s </w:t>
      </w:r>
      <w:r w:rsidRPr="009E66B9">
        <w:t xml:space="preserve">request to revise the existing late payment charge to $6.50 should be approved. </w:t>
      </w:r>
      <w:r>
        <w:t>DWI</w:t>
      </w:r>
      <w:r w:rsidRPr="009E66B9">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and the notice has been received by customers. </w:t>
      </w:r>
      <w:r>
        <w:t>DWI</w:t>
      </w:r>
      <w:r w:rsidRPr="009E66B9">
        <w:t xml:space="preserve"> should provide proof of the date notice was given no less than 10 days after the date of the notice. (Bruce)</w:t>
      </w:r>
    </w:p>
    <w:p w:rsidR="007A1FA2" w:rsidRPr="009E66B9" w:rsidRDefault="007A1FA2" w:rsidP="007A1FA2">
      <w:pPr>
        <w:spacing w:after="240"/>
        <w:jc w:val="both"/>
        <w:outlineLvl w:val="1"/>
        <w:rPr>
          <w:rFonts w:eastAsiaTheme="minorHAnsi"/>
        </w:rPr>
      </w:pPr>
      <w:r>
        <w:rPr>
          <w:rFonts w:ascii="Arial" w:hAnsi="Arial" w:cs="Arial"/>
          <w:b/>
          <w:bCs/>
          <w:i/>
          <w:iCs/>
          <w:szCs w:val="28"/>
        </w:rPr>
        <w:t xml:space="preserve">Staff Analysis: </w:t>
      </w:r>
      <w:r>
        <w:rPr>
          <w:bCs/>
          <w:iCs/>
          <w:szCs w:val="28"/>
        </w:rPr>
        <w:t>DWI</w:t>
      </w:r>
      <w:r w:rsidRPr="009E66B9">
        <w:rPr>
          <w:rFonts w:eastAsiaTheme="minorHAnsi"/>
        </w:rPr>
        <w:t xml:space="preserve"> is requesting a $6.50 late payment charge to recover the cost of labor, supplies, postage, and RAFs associated with processing late payment notices. </w:t>
      </w:r>
      <w:r>
        <w:rPr>
          <w:rFonts w:eastAsiaTheme="minorHAnsi"/>
        </w:rPr>
        <w:t xml:space="preserve">DWI’s current </w:t>
      </w:r>
      <w:r w:rsidRPr="009E66B9">
        <w:rPr>
          <w:rFonts w:eastAsiaTheme="minorHAnsi"/>
        </w:rPr>
        <w:t xml:space="preserve">late payment charge is $5.00. </w:t>
      </w:r>
      <w:r>
        <w:rPr>
          <w:rFonts w:eastAsiaTheme="minorHAnsi"/>
        </w:rPr>
        <w:t>DWI</w:t>
      </w:r>
      <w:r w:rsidRPr="009E66B9">
        <w:rPr>
          <w:rFonts w:eastAsiaTheme="minorHAnsi"/>
        </w:rPr>
        <w:t xml:space="preserve"> is requesting $6.50 for its late payment charge, which is consistent with </w:t>
      </w:r>
      <w:r>
        <w:rPr>
          <w:rFonts w:eastAsiaTheme="minorHAnsi"/>
        </w:rPr>
        <w:t xml:space="preserve">recent </w:t>
      </w:r>
      <w:r w:rsidRPr="009E66B9">
        <w:rPr>
          <w:rFonts w:eastAsiaTheme="minorHAnsi"/>
        </w:rPr>
        <w:t xml:space="preserve">Commission practice </w:t>
      </w:r>
      <w:r>
        <w:rPr>
          <w:rFonts w:eastAsiaTheme="minorHAnsi"/>
        </w:rPr>
        <w:t>and the charge is consistent with that charged by other utilities</w:t>
      </w:r>
      <w:r w:rsidRPr="009E66B9">
        <w:rPr>
          <w:rFonts w:eastAsiaTheme="minorHAnsi"/>
        </w:rPr>
        <w:t xml:space="preserve"> managed by U.S. Water.</w:t>
      </w:r>
      <w:r w:rsidRPr="009E66B9">
        <w:rPr>
          <w:rFonts w:eastAsiaTheme="minorHAnsi"/>
          <w:vertAlign w:val="superscript"/>
        </w:rPr>
        <w:footnoteReference w:id="9"/>
      </w:r>
      <w:r w:rsidRPr="009E66B9">
        <w:rPr>
          <w:rFonts w:eastAsiaTheme="minorHAnsi"/>
        </w:rPr>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the Commission to establish, increase, or change a rate or charge other than monthly rates or service availability charges. </w:t>
      </w:r>
    </w:p>
    <w:p w:rsidR="007A1FA2" w:rsidRPr="009E66B9" w:rsidRDefault="007A1FA2" w:rsidP="007A1FA2">
      <w:pPr>
        <w:pStyle w:val="BodyText"/>
        <w:rPr>
          <w:rFonts w:ascii="Arial" w:hAnsi="Arial" w:cs="Arial"/>
          <w:b/>
          <w:bCs/>
          <w:kern w:val="32"/>
          <w:szCs w:val="32"/>
        </w:rPr>
      </w:pPr>
      <w:r>
        <w:rPr>
          <w:rFonts w:eastAsiaTheme="minorHAnsi"/>
        </w:rPr>
        <w:t xml:space="preserve">DWI </w:t>
      </w:r>
      <w:r w:rsidRPr="009E66B9">
        <w:rPr>
          <w:rFonts w:eastAsiaTheme="minorHAnsi"/>
        </w:rPr>
        <w:t xml:space="preserve">calculated the actual costs for its late payment charges to be $8.07. </w:t>
      </w:r>
      <w:r>
        <w:rPr>
          <w:rFonts w:eastAsiaTheme="minorHAnsi"/>
        </w:rPr>
        <w:t>DWI</w:t>
      </w:r>
      <w:r w:rsidRPr="009E66B9">
        <w:rPr>
          <w:rFonts w:eastAsiaTheme="minorHAnsi"/>
        </w:rPr>
        <w:t xml:space="preserve"> indicated that it will take approximately 15 minutes per account to research, compile, and produce late notices. The delinquent customer accounts will be processed by the administrative contract employee, which results in labor cost of $7.00 ($28.00 x 0.25hr). This is consistent with prior Commission decisions where the Commission has allowed 10-15 minutes per account per month for the administrative labor associated with processing delinquent customer accounts.</w:t>
      </w:r>
      <w:r w:rsidRPr="009E66B9">
        <w:rPr>
          <w:rFonts w:eastAsiaTheme="minorHAnsi"/>
          <w:vertAlign w:val="superscript"/>
        </w:rPr>
        <w:footnoteReference w:id="10"/>
      </w:r>
      <w:r w:rsidRPr="009E66B9">
        <w:rPr>
          <w:rFonts w:eastAsiaTheme="minorHAnsi"/>
        </w:rPr>
        <w:t xml:space="preserve"> However, $8.07 would be the highest late payment charge amongst all other water and wastewater utilities regulated by the Commission.</w:t>
      </w:r>
      <w:r w:rsidRPr="009E66B9">
        <w:rPr>
          <w:rFonts w:eastAsiaTheme="minorHAnsi"/>
          <w:vertAlign w:val="superscript"/>
        </w:rPr>
        <w:footnoteReference w:id="11"/>
      </w:r>
      <w:r w:rsidRPr="009E66B9">
        <w:rPr>
          <w:rFonts w:eastAsiaTheme="minorHAnsi"/>
        </w:rPr>
        <w:t xml:space="preserve"> Therefore, </w:t>
      </w:r>
      <w:r>
        <w:rPr>
          <w:rFonts w:eastAsiaTheme="minorHAnsi"/>
        </w:rPr>
        <w:t>DWI</w:t>
      </w:r>
      <w:r w:rsidRPr="009E66B9">
        <w:rPr>
          <w:rFonts w:eastAsiaTheme="minorHAnsi"/>
        </w:rPr>
        <w:t xml:space="preserve"> is requesting a charge of $6.50, consistent with recent Commission decisions. </w:t>
      </w:r>
      <w:r>
        <w:rPr>
          <w:rFonts w:eastAsiaTheme="minorHAnsi"/>
        </w:rPr>
        <w:t>DWI’</w:t>
      </w:r>
      <w:r w:rsidRPr="009E66B9">
        <w:rPr>
          <w:rFonts w:eastAsiaTheme="minorHAnsi"/>
        </w:rPr>
        <w:t xml:space="preserve">s calculation for its actual costs associated with a late payment charge is shown in Table </w:t>
      </w:r>
      <w:r>
        <w:rPr>
          <w:rFonts w:eastAsiaTheme="minorHAnsi"/>
        </w:rPr>
        <w:t>4</w:t>
      </w:r>
      <w:r w:rsidRPr="009E66B9">
        <w:rPr>
          <w:rFonts w:eastAsiaTheme="minorHAnsi"/>
        </w:rPr>
        <w:t>-1</w:t>
      </w:r>
      <w:r>
        <w:rPr>
          <w:rFonts w:eastAsiaTheme="minorHAnsi"/>
        </w:rPr>
        <w:t>.</w:t>
      </w:r>
    </w:p>
    <w:p w:rsidR="00616667" w:rsidRDefault="00616667" w:rsidP="007A1FA2">
      <w:pPr>
        <w:jc w:val="center"/>
        <w:rPr>
          <w:rFonts w:ascii="Arial" w:hAnsi="Arial" w:cs="Arial"/>
          <w:b/>
          <w:bCs/>
          <w:kern w:val="32"/>
          <w:szCs w:val="32"/>
        </w:rPr>
        <w:sectPr w:rsidR="00616667" w:rsidSect="0068481F">
          <w:pgSz w:w="12240" w:h="15840" w:code="1"/>
          <w:pgMar w:top="1584" w:right="1440" w:bottom="1440" w:left="1440" w:header="720" w:footer="720" w:gutter="0"/>
          <w:cols w:space="720"/>
          <w:formProt w:val="0"/>
          <w:docGrid w:linePitch="360"/>
        </w:sectPr>
      </w:pPr>
    </w:p>
    <w:p w:rsidR="007A1FA2" w:rsidRPr="009E66B9" w:rsidRDefault="007A1FA2" w:rsidP="007A1FA2">
      <w:pPr>
        <w:jc w:val="center"/>
      </w:pPr>
      <w:r w:rsidRPr="009E66B9">
        <w:rPr>
          <w:rFonts w:ascii="Arial" w:hAnsi="Arial" w:cs="Arial"/>
          <w:b/>
          <w:bCs/>
          <w:kern w:val="32"/>
          <w:szCs w:val="32"/>
        </w:rPr>
        <w:t xml:space="preserve">Table </w:t>
      </w:r>
      <w:r>
        <w:rPr>
          <w:rFonts w:ascii="Arial" w:hAnsi="Arial" w:cs="Arial"/>
          <w:b/>
          <w:bCs/>
          <w:kern w:val="32"/>
          <w:szCs w:val="32"/>
        </w:rPr>
        <w:t>4</w:t>
      </w:r>
      <w:r w:rsidRPr="009E66B9">
        <w:rPr>
          <w:rFonts w:ascii="Arial" w:hAnsi="Arial" w:cs="Arial"/>
          <w:b/>
          <w:bCs/>
          <w:kern w:val="32"/>
          <w:szCs w:val="32"/>
        </w:rPr>
        <w:t>-1</w:t>
      </w:r>
    </w:p>
    <w:p w:rsidR="007A1FA2" w:rsidRPr="009E66B9" w:rsidRDefault="007A1FA2" w:rsidP="007A1FA2">
      <w:pPr>
        <w:jc w:val="center"/>
        <w:outlineLvl w:val="0"/>
        <w:rPr>
          <w:rFonts w:ascii="Arial" w:hAnsi="Arial" w:cs="Arial"/>
          <w:b/>
          <w:bCs/>
          <w:kern w:val="32"/>
          <w:szCs w:val="32"/>
        </w:rPr>
      </w:pPr>
      <w:r w:rsidRPr="009E66B9">
        <w:rPr>
          <w:rFonts w:ascii="Arial" w:hAnsi="Arial" w:cs="Arial"/>
          <w:b/>
          <w:bCs/>
          <w:kern w:val="32"/>
          <w:szCs w:val="32"/>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7A1FA2" w:rsidRPr="00537316" w:rsidTr="0061666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pPr>
              <w:jc w:val="center"/>
            </w:pPr>
            <w:r w:rsidRPr="00537316">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7A1FA2" w:rsidRPr="00537316" w:rsidRDefault="007A1FA2" w:rsidP="00616667">
            <w:pPr>
              <w:jc w:val="center"/>
            </w:pPr>
            <w:r w:rsidRPr="00537316">
              <w:t>Cost</w:t>
            </w:r>
          </w:p>
        </w:tc>
      </w:tr>
      <w:tr w:rsidR="007A1FA2" w:rsidRPr="00537316" w:rsidTr="0061666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r w:rsidRPr="00537316">
              <w:t>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pPr>
              <w:jc w:val="right"/>
            </w:pPr>
            <w:r w:rsidRPr="00537316">
              <w:t>$7.00</w:t>
            </w:r>
          </w:p>
        </w:tc>
      </w:tr>
      <w:tr w:rsidR="007A1FA2" w:rsidRPr="00537316" w:rsidTr="0061666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r w:rsidRPr="00537316">
              <w:t>Supplies</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pPr>
              <w:jc w:val="right"/>
            </w:pPr>
            <w:r w:rsidRPr="00537316">
              <w:t xml:space="preserve">$0.22 </w:t>
            </w:r>
          </w:p>
        </w:tc>
      </w:tr>
      <w:tr w:rsidR="007A1FA2" w:rsidRPr="00537316" w:rsidTr="0061666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r w:rsidRPr="00537316">
              <w:t>Postage</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pPr>
              <w:jc w:val="right"/>
              <w:rPr>
                <w:u w:val="single"/>
              </w:rPr>
            </w:pPr>
            <w:r w:rsidRPr="00537316">
              <w:rPr>
                <w:u w:val="single"/>
              </w:rPr>
              <w:t xml:space="preserve">$0.49 </w:t>
            </w:r>
          </w:p>
        </w:tc>
      </w:tr>
      <w:tr w:rsidR="007A1FA2" w:rsidRPr="00537316" w:rsidTr="0061666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tcPr>
          <w:p w:rsidR="007A1FA2" w:rsidRPr="00537316" w:rsidRDefault="007A1FA2" w:rsidP="00616667">
            <w:r w:rsidRPr="00537316">
              <w:t>Markup for RAFs</w:t>
            </w:r>
          </w:p>
        </w:tc>
        <w:tc>
          <w:tcPr>
            <w:tcW w:w="3097" w:type="dxa"/>
            <w:tcBorders>
              <w:top w:val="single" w:sz="4" w:space="0" w:color="auto"/>
              <w:left w:val="single" w:sz="4" w:space="0" w:color="auto"/>
              <w:bottom w:val="single" w:sz="4" w:space="0" w:color="auto"/>
              <w:right w:val="single" w:sz="4" w:space="0" w:color="auto"/>
            </w:tcBorders>
            <w:noWrap/>
            <w:vAlign w:val="center"/>
          </w:tcPr>
          <w:p w:rsidR="007A1FA2" w:rsidRPr="00537316" w:rsidRDefault="007A1FA2" w:rsidP="00616667">
            <w:pPr>
              <w:jc w:val="right"/>
              <w:rPr>
                <w:u w:val="single"/>
              </w:rPr>
            </w:pPr>
            <w:r w:rsidRPr="00537316">
              <w:rPr>
                <w:u w:val="single"/>
              </w:rPr>
              <w:t>$0.36</w:t>
            </w:r>
          </w:p>
        </w:tc>
      </w:tr>
      <w:tr w:rsidR="007A1FA2" w:rsidRPr="00537316" w:rsidTr="0061666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r w:rsidRPr="00537316">
              <w:t>Total Cost</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A1FA2" w:rsidRPr="00537316" w:rsidRDefault="007A1FA2" w:rsidP="00616667">
            <w:pPr>
              <w:jc w:val="right"/>
              <w:rPr>
                <w:u w:val="double"/>
              </w:rPr>
            </w:pPr>
            <w:r w:rsidRPr="00537316">
              <w:rPr>
                <w:u w:val="double"/>
              </w:rPr>
              <w:t>$8.07</w:t>
            </w:r>
          </w:p>
        </w:tc>
      </w:tr>
    </w:tbl>
    <w:p w:rsidR="007A1FA2" w:rsidRDefault="007A1FA2" w:rsidP="007A1FA2">
      <w:pPr>
        <w:ind w:left="1440"/>
        <w:jc w:val="both"/>
        <w:rPr>
          <w:sz w:val="20"/>
          <w:szCs w:val="20"/>
        </w:rPr>
      </w:pPr>
      <w:r w:rsidRPr="009E66B9">
        <w:rPr>
          <w:sz w:val="20"/>
          <w:szCs w:val="20"/>
        </w:rPr>
        <w:t>Source: Utility’s cost justification documentation</w:t>
      </w:r>
    </w:p>
    <w:p w:rsidR="007A1FA2" w:rsidRPr="009E66B9" w:rsidRDefault="007A1FA2" w:rsidP="007A1FA2">
      <w:pPr>
        <w:ind w:left="1440"/>
        <w:jc w:val="both"/>
      </w:pPr>
    </w:p>
    <w:p w:rsidR="007A1FA2" w:rsidRPr="009E66B9" w:rsidRDefault="007A1FA2" w:rsidP="007A1FA2">
      <w:pPr>
        <w:ind w:left="1440"/>
        <w:jc w:val="both"/>
      </w:pPr>
    </w:p>
    <w:p w:rsidR="007A1FA2" w:rsidRDefault="007A1FA2" w:rsidP="007A1FA2">
      <w:pPr>
        <w:jc w:val="both"/>
        <w:rPr>
          <w:rFonts w:ascii="Arial" w:hAnsi="Arial" w:cs="Arial"/>
          <w:b/>
          <w:bCs/>
        </w:rPr>
      </w:pPr>
      <w:r w:rsidRPr="004D35C7">
        <w:rPr>
          <w:rFonts w:ascii="Arial" w:hAnsi="Arial" w:cs="Arial"/>
          <w:b/>
          <w:bCs/>
        </w:rPr>
        <w:t>Conclusion</w:t>
      </w:r>
    </w:p>
    <w:p w:rsidR="007A1FA2" w:rsidRDefault="007A1FA2" w:rsidP="007A1FA2">
      <w:pPr>
        <w:pStyle w:val="BodyText"/>
      </w:pPr>
      <w:r w:rsidRPr="009E66B9">
        <w:rPr>
          <w:rFonts w:eastAsiaTheme="minorHAnsi"/>
        </w:rPr>
        <w:t xml:space="preserve">Based on the above, </w:t>
      </w:r>
      <w:r>
        <w:rPr>
          <w:rFonts w:eastAsiaTheme="minorHAnsi"/>
        </w:rPr>
        <w:t>DWI’s</w:t>
      </w:r>
      <w:r w:rsidRPr="009E66B9">
        <w:rPr>
          <w:rFonts w:eastAsiaTheme="minorHAnsi"/>
        </w:rPr>
        <w:t xml:space="preserve"> request to implement a $6.50 late payment charge should be approved. </w:t>
      </w:r>
      <w:r>
        <w:rPr>
          <w:rFonts w:eastAsiaTheme="minorHAnsi"/>
        </w:rPr>
        <w:t>DWI</w:t>
      </w:r>
      <w:r w:rsidRPr="009E66B9">
        <w:rPr>
          <w:rFonts w:eastAsiaTheme="minorHAnsi"/>
        </w:rPr>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after staff has approved the proposed customer notice and the notice has been received by customers. </w:t>
      </w:r>
      <w:r>
        <w:rPr>
          <w:rFonts w:eastAsiaTheme="minorHAnsi"/>
        </w:rPr>
        <w:t>DWI</w:t>
      </w:r>
      <w:r w:rsidRPr="009E66B9">
        <w:rPr>
          <w:rFonts w:eastAsiaTheme="minorHAnsi"/>
        </w:rPr>
        <w:t xml:space="preserve"> should provide proof of the date notice was given no less than 10 days after the date of the notic</w:t>
      </w:r>
      <w:r>
        <w:rPr>
          <w:rFonts w:eastAsiaTheme="minorHAnsi"/>
        </w:rPr>
        <w:t>e.</w:t>
      </w:r>
    </w:p>
    <w:p w:rsidR="007A1FA2" w:rsidRDefault="007A1FA2">
      <w:pPr>
        <w:pStyle w:val="IssueHeading"/>
        <w:rPr>
          <w:vanish/>
          <w:specVanish/>
        </w:rPr>
      </w:pPr>
      <w:r w:rsidRPr="004C3641">
        <w:rPr>
          <w:b w:val="0"/>
          <w:i w:val="0"/>
        </w:rPr>
        <w:br w:type="page"/>
      </w:r>
      <w:r w:rsidRPr="004C3641">
        <w:t xml:space="preserve">Issue </w:t>
      </w:r>
      <w:fldSimple w:instr=" SEQ Issue \* MERGEFORMAT ">
        <w:r>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 \l 1 </w:instrText>
      </w:r>
      <w:r>
        <w:fldChar w:fldCharType="end"/>
      </w:r>
      <w:r>
        <w:t> </w:t>
      </w:r>
    </w:p>
    <w:p w:rsidR="007A1FA2" w:rsidRPr="0082454E" w:rsidRDefault="007A1FA2" w:rsidP="007A1FA2">
      <w:pPr>
        <w:pStyle w:val="BodyText"/>
      </w:pPr>
      <w:r>
        <w:t> </w:t>
      </w:r>
      <w:r w:rsidRPr="0082454E">
        <w:t xml:space="preserve">Should </w:t>
      </w:r>
      <w:r>
        <w:rPr>
          <w:rFonts w:eastAsiaTheme="minorHAnsi"/>
        </w:rPr>
        <w:t>DWI</w:t>
      </w:r>
      <w:r w:rsidRPr="0082454E">
        <w:t xml:space="preserve"> </w:t>
      </w:r>
      <w:r>
        <w:t xml:space="preserve">be authorized to collect </w:t>
      </w:r>
      <w:r w:rsidRPr="0082454E">
        <w:t>Non-Sufficient Funds Charges?</w:t>
      </w:r>
    </w:p>
    <w:p w:rsidR="007A1FA2" w:rsidRPr="004C3641" w:rsidRDefault="007A1FA2" w:rsidP="007A1FA2">
      <w:pPr>
        <w:pStyle w:val="IssueSubsectionHeading"/>
        <w:rPr>
          <w:vanish/>
          <w:specVanish/>
        </w:rPr>
      </w:pPr>
      <w:r w:rsidRPr="004C3641">
        <w:t>Recommendation: </w:t>
      </w:r>
    </w:p>
    <w:p w:rsidR="007A1FA2" w:rsidRPr="009E66B9" w:rsidRDefault="007A1FA2" w:rsidP="007A1FA2">
      <w:pPr>
        <w:jc w:val="both"/>
        <w:rPr>
          <w:rFonts w:eastAsiaTheme="minorHAnsi"/>
        </w:rPr>
      </w:pPr>
      <w:r>
        <w:t> </w:t>
      </w:r>
      <w:r w:rsidRPr="009E66B9">
        <w:rPr>
          <w:rFonts w:eastAsiaTheme="minorHAnsi"/>
        </w:rPr>
        <w:t xml:space="preserve">Yes. </w:t>
      </w:r>
      <w:r>
        <w:rPr>
          <w:rFonts w:eastAsiaTheme="minorHAnsi"/>
        </w:rPr>
        <w:t>DWI</w:t>
      </w:r>
      <w:r w:rsidRPr="009E66B9">
        <w:rPr>
          <w:rFonts w:eastAsiaTheme="minorHAnsi"/>
        </w:rPr>
        <w:t xml:space="preserve"> should be authorized to collect NSF charges. </w:t>
      </w:r>
      <w:r>
        <w:rPr>
          <w:rFonts w:eastAsiaTheme="minorHAnsi"/>
        </w:rPr>
        <w:t>DWI</w:t>
      </w:r>
      <w:r w:rsidRPr="009E66B9">
        <w:rPr>
          <w:rFonts w:eastAsiaTheme="minorHAnsi"/>
        </w:rPr>
        <w:t xml:space="preserve">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w:t>
      </w:r>
      <w:r>
        <w:rPr>
          <w:rFonts w:eastAsiaTheme="minorHAnsi"/>
        </w:rPr>
        <w:t>DWI</w:t>
      </w:r>
      <w:r w:rsidRPr="009E66B9">
        <w:rPr>
          <w:rFonts w:eastAsiaTheme="minorHAnsi"/>
        </w:rPr>
        <w:t xml:space="preserve"> should provide proof of noticing within 10 days of rendering its approved notice</w:t>
      </w:r>
      <w:r w:rsidRPr="009E66B9">
        <w:rPr>
          <w:rFonts w:eastAsiaTheme="minorHAnsi"/>
          <w:sz w:val="22"/>
          <w:szCs w:val="22"/>
        </w:rPr>
        <w:t>.</w:t>
      </w:r>
      <w:r w:rsidRPr="009E66B9">
        <w:rPr>
          <w:rFonts w:eastAsiaTheme="minorHAnsi"/>
        </w:rPr>
        <w:t xml:space="preserve"> (Bruce)</w:t>
      </w:r>
    </w:p>
    <w:p w:rsidR="007A1FA2" w:rsidRPr="009E66B9" w:rsidRDefault="007A1FA2" w:rsidP="007A1FA2">
      <w:pPr>
        <w:jc w:val="both"/>
        <w:rPr>
          <w:rFonts w:eastAsiaTheme="minorHAnsi"/>
        </w:rPr>
      </w:pPr>
    </w:p>
    <w:p w:rsidR="007A1FA2" w:rsidRPr="009E66B9" w:rsidRDefault="007A1FA2" w:rsidP="007A1FA2">
      <w:pPr>
        <w:jc w:val="both"/>
        <w:rPr>
          <w:rFonts w:eastAsiaTheme="minorHAnsi"/>
        </w:rPr>
      </w:pPr>
      <w:r w:rsidRPr="009E66B9">
        <w:rPr>
          <w:rFonts w:ascii="Arial" w:eastAsiaTheme="minorHAnsi" w:hAnsi="Arial" w:cs="Arial"/>
          <w:b/>
          <w:i/>
        </w:rPr>
        <w:t>Staff Analysis</w:t>
      </w:r>
      <w:r w:rsidRPr="009E66B9">
        <w:rPr>
          <w:rFonts w:eastAsiaTheme="minorHAnsi"/>
          <w:b/>
        </w:rPr>
        <w:t xml:space="preserve">: </w:t>
      </w:r>
      <w:r w:rsidRPr="009E66B9">
        <w:rPr>
          <w:rFonts w:eastAsiaTheme="minorHAnsi"/>
        </w:rPr>
        <w:t xml:space="preserve">Section 367.091, F.S., </w:t>
      </w:r>
      <w:r>
        <w:rPr>
          <w:rFonts w:eastAsiaTheme="minorHAnsi"/>
        </w:rPr>
        <w:t xml:space="preserve">requires that rates, charges, and customer service policies be approved by the Commission. </w:t>
      </w:r>
      <w:r w:rsidRPr="009E66B9">
        <w:rPr>
          <w:rFonts w:eastAsiaTheme="minorHAnsi"/>
        </w:rPr>
        <w:t xml:space="preserve">Staff </w:t>
      </w:r>
      <w:r>
        <w:rPr>
          <w:rFonts w:eastAsiaTheme="minorHAnsi"/>
        </w:rPr>
        <w:t>recommends</w:t>
      </w:r>
      <w:r w:rsidRPr="009E66B9">
        <w:rPr>
          <w:rFonts w:eastAsiaTheme="minorHAnsi"/>
        </w:rPr>
        <w:t xml:space="preserve"> that </w:t>
      </w:r>
      <w:r>
        <w:rPr>
          <w:rFonts w:eastAsiaTheme="minorHAnsi"/>
        </w:rPr>
        <w:t xml:space="preserve">DWI </w:t>
      </w:r>
      <w:r w:rsidRPr="009E66B9">
        <w:rPr>
          <w:rFonts w:eastAsiaTheme="minorHAnsi"/>
        </w:rPr>
        <w:t xml:space="preserve">should be authorized to collect NSF charges consistent with Section 68.065, F.S., which allows for the assessment of charges for the collection of worthless checks, drafts, or orders of payment. As currently set forth in Section 68.065(2), F.S., the following NSF charges may be assessed: </w:t>
      </w:r>
    </w:p>
    <w:p w:rsidR="007A1FA2" w:rsidRPr="009E66B9" w:rsidRDefault="007A1FA2" w:rsidP="007A1FA2">
      <w:pPr>
        <w:jc w:val="both"/>
        <w:rPr>
          <w:rFonts w:eastAsiaTheme="minorHAnsi"/>
        </w:rPr>
      </w:pPr>
    </w:p>
    <w:p w:rsidR="007A1FA2" w:rsidRPr="009E66B9" w:rsidRDefault="007A1FA2" w:rsidP="007A1FA2">
      <w:pPr>
        <w:numPr>
          <w:ilvl w:val="0"/>
          <w:numId w:val="11"/>
        </w:numPr>
        <w:spacing w:after="200" w:line="276" w:lineRule="auto"/>
        <w:contextualSpacing/>
        <w:jc w:val="both"/>
        <w:rPr>
          <w:rFonts w:eastAsiaTheme="minorHAnsi"/>
        </w:rPr>
      </w:pPr>
      <w:r w:rsidRPr="009E66B9">
        <w:rPr>
          <w:rFonts w:eastAsiaTheme="minorHAnsi"/>
        </w:rPr>
        <w:t>$25, if the face value does not exceed $50</w:t>
      </w:r>
      <w:r>
        <w:rPr>
          <w:rFonts w:eastAsiaTheme="minorHAnsi"/>
        </w:rPr>
        <w:t>;</w:t>
      </w:r>
    </w:p>
    <w:p w:rsidR="007A1FA2" w:rsidRPr="009E66B9" w:rsidRDefault="007A1FA2" w:rsidP="007A1FA2">
      <w:pPr>
        <w:numPr>
          <w:ilvl w:val="0"/>
          <w:numId w:val="11"/>
        </w:numPr>
        <w:spacing w:after="200" w:line="276" w:lineRule="auto"/>
        <w:contextualSpacing/>
        <w:jc w:val="both"/>
        <w:rPr>
          <w:rFonts w:eastAsiaTheme="minorHAnsi"/>
        </w:rPr>
      </w:pPr>
      <w:r w:rsidRPr="009E66B9">
        <w:rPr>
          <w:rFonts w:eastAsiaTheme="minorHAnsi"/>
        </w:rPr>
        <w:t>$30, if the face value excee</w:t>
      </w:r>
      <w:r>
        <w:rPr>
          <w:rFonts w:eastAsiaTheme="minorHAnsi"/>
        </w:rPr>
        <w:t>ds $50 but does not exceed $300;</w:t>
      </w:r>
    </w:p>
    <w:p w:rsidR="007A1FA2" w:rsidRPr="009E66B9" w:rsidRDefault="007A1FA2" w:rsidP="007A1FA2">
      <w:pPr>
        <w:numPr>
          <w:ilvl w:val="0"/>
          <w:numId w:val="11"/>
        </w:numPr>
        <w:spacing w:after="200" w:line="276" w:lineRule="auto"/>
        <w:contextualSpacing/>
        <w:jc w:val="both"/>
        <w:rPr>
          <w:rFonts w:eastAsiaTheme="minorHAnsi"/>
        </w:rPr>
      </w:pPr>
      <w:r w:rsidRPr="009E66B9">
        <w:rPr>
          <w:rFonts w:eastAsiaTheme="minorHAnsi"/>
        </w:rPr>
        <w:t>$40,</w:t>
      </w:r>
      <w:r>
        <w:rPr>
          <w:rFonts w:eastAsiaTheme="minorHAnsi"/>
        </w:rPr>
        <w:t xml:space="preserve"> if the face value exceeds $300; or</w:t>
      </w:r>
    </w:p>
    <w:p w:rsidR="007A1FA2" w:rsidRPr="009E66B9" w:rsidRDefault="007A1FA2" w:rsidP="007A1FA2">
      <w:pPr>
        <w:numPr>
          <w:ilvl w:val="0"/>
          <w:numId w:val="11"/>
        </w:numPr>
        <w:spacing w:after="200" w:line="276" w:lineRule="auto"/>
        <w:contextualSpacing/>
        <w:jc w:val="both"/>
        <w:rPr>
          <w:rFonts w:eastAsiaTheme="minorHAnsi"/>
        </w:rPr>
      </w:pPr>
      <w:r>
        <w:rPr>
          <w:rFonts w:eastAsiaTheme="minorHAnsi"/>
        </w:rPr>
        <w:t>5</w:t>
      </w:r>
      <w:r w:rsidRPr="009E66B9">
        <w:rPr>
          <w:rFonts w:eastAsiaTheme="minorHAnsi"/>
        </w:rPr>
        <w:t xml:space="preserve"> percent of the face amount of the check, whichever is greater.</w:t>
      </w:r>
    </w:p>
    <w:p w:rsidR="007A1FA2" w:rsidRPr="009E66B9" w:rsidRDefault="007A1FA2" w:rsidP="007A1FA2">
      <w:pPr>
        <w:jc w:val="both"/>
        <w:rPr>
          <w:rFonts w:eastAsiaTheme="minorHAnsi"/>
        </w:rPr>
      </w:pPr>
    </w:p>
    <w:p w:rsidR="007A1FA2" w:rsidRDefault="007A1FA2" w:rsidP="007A1FA2">
      <w:pPr>
        <w:pStyle w:val="BodyText"/>
        <w:spacing w:after="0"/>
        <w:rPr>
          <w:rFonts w:eastAsiaTheme="minorHAnsi"/>
        </w:rPr>
      </w:pPr>
      <w:r w:rsidRPr="004D35C7">
        <w:rPr>
          <w:rFonts w:ascii="Arial" w:hAnsi="Arial" w:cs="Arial"/>
          <w:b/>
          <w:bCs/>
        </w:rPr>
        <w:t>Conclusion</w:t>
      </w:r>
      <w:r w:rsidRPr="009E66B9">
        <w:rPr>
          <w:rFonts w:eastAsiaTheme="minorHAnsi"/>
        </w:rPr>
        <w:t xml:space="preserve"> </w:t>
      </w:r>
    </w:p>
    <w:p w:rsidR="007A1FA2" w:rsidRDefault="007A1FA2" w:rsidP="007A1FA2">
      <w:pPr>
        <w:pStyle w:val="BodyText"/>
      </w:pPr>
      <w:r w:rsidRPr="009E66B9">
        <w:rPr>
          <w:rFonts w:eastAsiaTheme="minorHAnsi"/>
        </w:rPr>
        <w:t>Approval of NSF charges is consistent with prior Commission decisions.</w:t>
      </w:r>
      <w:r w:rsidRPr="009E66B9">
        <w:rPr>
          <w:rFonts w:eastAsiaTheme="minorHAnsi"/>
          <w:vertAlign w:val="superscript"/>
        </w:rPr>
        <w:footnoteReference w:id="12"/>
      </w:r>
      <w:r w:rsidRPr="009E66B9">
        <w:rPr>
          <w:rFonts w:eastAsiaTheme="minorHAnsi"/>
        </w:rPr>
        <w:t xml:space="preserve"> Furthermore, NSF charges place the cost on the cost-causer, rather than requiring that the costs associated with the return of the NSF checks be spread across the general body of the ratepayers. As such, </w:t>
      </w:r>
      <w:r>
        <w:rPr>
          <w:rFonts w:eastAsiaTheme="minorHAnsi"/>
        </w:rPr>
        <w:t>DWI</w:t>
      </w:r>
      <w:r w:rsidRPr="009E66B9">
        <w:rPr>
          <w:rFonts w:eastAsiaTheme="minorHAnsi"/>
        </w:rPr>
        <w:t xml:space="preserve"> should be authorized to collect NSF charges. </w:t>
      </w:r>
      <w:r>
        <w:rPr>
          <w:rFonts w:eastAsiaTheme="minorHAnsi"/>
        </w:rPr>
        <w:t>DWI</w:t>
      </w:r>
      <w:r w:rsidRPr="009E66B9">
        <w:rPr>
          <w:rFonts w:eastAsiaTheme="minorHAnsi"/>
        </w:rPr>
        <w:t xml:space="preserve">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w:t>
      </w:r>
      <w:r>
        <w:rPr>
          <w:rFonts w:eastAsiaTheme="minorHAnsi"/>
        </w:rPr>
        <w:t>DWI</w:t>
      </w:r>
      <w:r w:rsidRPr="009E66B9">
        <w:rPr>
          <w:rFonts w:eastAsiaTheme="minorHAnsi"/>
        </w:rPr>
        <w:t xml:space="preserve"> should provide proof of noticing within 10 days of rendering its approved notice</w:t>
      </w:r>
      <w:r>
        <w:rPr>
          <w:rFonts w:eastAsiaTheme="minorHAnsi"/>
        </w:rPr>
        <w:t>.</w:t>
      </w:r>
    </w:p>
    <w:p w:rsidR="007A1FA2" w:rsidRDefault="007A1FA2">
      <w:pPr>
        <w:pStyle w:val="IssueHeading"/>
        <w:rPr>
          <w:vanish/>
          <w:specVanish/>
        </w:rPr>
      </w:pPr>
      <w:r w:rsidRPr="004C3641">
        <w:rPr>
          <w:b w:val="0"/>
          <w:i w:val="0"/>
        </w:rPr>
        <w:br w:type="page"/>
      </w:r>
      <w:r w:rsidRPr="004C3641">
        <w:t xml:space="preserve">Issue </w:t>
      </w:r>
      <w:fldSimple w:instr=" SEQ Issue \* MERGEFORMAT ">
        <w:r>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 \l 1 </w:instrText>
      </w:r>
      <w:r>
        <w:fldChar w:fldCharType="end"/>
      </w:r>
      <w:r>
        <w:t> </w:t>
      </w:r>
    </w:p>
    <w:p w:rsidR="007A1FA2" w:rsidRDefault="007A1FA2">
      <w:pPr>
        <w:pStyle w:val="BodyText"/>
      </w:pPr>
      <w:r>
        <w:t> Should this docket be closed?</w:t>
      </w:r>
    </w:p>
    <w:p w:rsidR="007A1FA2" w:rsidRPr="004C3641" w:rsidRDefault="007A1FA2">
      <w:pPr>
        <w:pStyle w:val="IssueSubsectionHeading"/>
        <w:rPr>
          <w:vanish/>
          <w:specVanish/>
        </w:rPr>
      </w:pPr>
      <w:r w:rsidRPr="004C3641">
        <w:t>Recommendation: </w:t>
      </w:r>
    </w:p>
    <w:p w:rsidR="007A1FA2" w:rsidRDefault="007A1FA2" w:rsidP="007A1FA2">
      <w:pPr>
        <w:pStyle w:val="BodyText"/>
      </w:pPr>
      <w:r>
        <w:t xml:space="preserve"> 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 (Schrader) </w:t>
      </w:r>
    </w:p>
    <w:p w:rsidR="007A1FA2" w:rsidRPr="004C3641" w:rsidRDefault="007A1FA2" w:rsidP="007A1FA2">
      <w:pPr>
        <w:pStyle w:val="IssueSubsectionHeading"/>
        <w:rPr>
          <w:vanish/>
          <w:specVanish/>
        </w:rPr>
      </w:pPr>
      <w:r w:rsidRPr="004C3641">
        <w:t>Staff Analysis: </w:t>
      </w:r>
    </w:p>
    <w:p w:rsidR="007A1FA2" w:rsidRDefault="007A1FA2" w:rsidP="007A1FA2">
      <w:pPr>
        <w:pStyle w:val="BodyText"/>
      </w:pPr>
      <w:r>
        <w:t>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w:t>
      </w:r>
    </w:p>
    <w:p w:rsidR="007A1FA2" w:rsidRDefault="007A1FA2" w:rsidP="007A1FA2">
      <w:pPr>
        <w:pStyle w:val="BodyText"/>
        <w:sectPr w:rsidR="007A1FA2" w:rsidSect="0068481F">
          <w:pgSz w:w="12240" w:h="15840" w:code="1"/>
          <w:pgMar w:top="1584" w:right="1440" w:bottom="1440" w:left="1440" w:header="720" w:footer="720" w:gutter="0"/>
          <w:cols w:space="720"/>
          <w:formProt w:val="0"/>
          <w:docGrid w:linePitch="360"/>
        </w:sectPr>
      </w:pPr>
    </w:p>
    <w:p w:rsidR="00E06484" w:rsidRDefault="00E06484" w:rsidP="007A1FA2">
      <w:pPr>
        <w:pStyle w:val="BodyText"/>
      </w:pPr>
    </w:p>
    <w:p w:rsidR="00B53620" w:rsidRDefault="00B53620" w:rsidP="00B53620">
      <w:pPr>
        <w:pStyle w:val="BodyText"/>
      </w:pPr>
    </w:p>
    <w:p w:rsidR="00B53620" w:rsidRPr="00C37868" w:rsidRDefault="00B53620" w:rsidP="00B53620">
      <w:pPr>
        <w:pStyle w:val="BodyText"/>
        <w:spacing w:after="120"/>
        <w:jc w:val="center"/>
        <w:rPr>
          <w:b/>
        </w:rPr>
      </w:pPr>
      <w:r w:rsidRPr="00BF628B">
        <w:rPr>
          <w:b/>
        </w:rPr>
        <w:t>Duval Waterworks</w:t>
      </w:r>
      <w:r w:rsidRPr="00C37868">
        <w:rPr>
          <w:b/>
        </w:rPr>
        <w:t>, Inc.</w:t>
      </w:r>
    </w:p>
    <w:p w:rsidR="00B53620" w:rsidRPr="00C37868" w:rsidRDefault="00B53620" w:rsidP="00B53620">
      <w:pPr>
        <w:pStyle w:val="BodyText"/>
        <w:spacing w:after="120"/>
        <w:jc w:val="center"/>
        <w:rPr>
          <w:b/>
        </w:rPr>
      </w:pPr>
      <w:r w:rsidRPr="00C37868">
        <w:rPr>
          <w:b/>
        </w:rPr>
        <w:t>Water and Wastewater Service Territory</w:t>
      </w:r>
    </w:p>
    <w:p w:rsidR="00B53620" w:rsidRPr="00C37868" w:rsidRDefault="00B53620" w:rsidP="00B53620">
      <w:pPr>
        <w:pStyle w:val="BodyText"/>
        <w:spacing w:after="120"/>
        <w:jc w:val="center"/>
        <w:rPr>
          <w:b/>
        </w:rPr>
      </w:pPr>
      <w:r w:rsidRPr="00C37868">
        <w:rPr>
          <w:b/>
        </w:rPr>
        <w:t>Duval County</w:t>
      </w:r>
    </w:p>
    <w:p w:rsidR="00B53620" w:rsidRDefault="00B53620" w:rsidP="00B53620">
      <w:pPr>
        <w:pStyle w:val="BodyText"/>
        <w:spacing w:after="120"/>
      </w:pPr>
    </w:p>
    <w:p w:rsidR="00B53620" w:rsidRPr="00532324" w:rsidRDefault="00B53620" w:rsidP="00B53620">
      <w:pPr>
        <w:pStyle w:val="BodyText"/>
        <w:spacing w:after="120"/>
        <w:rPr>
          <w:b/>
        </w:rPr>
      </w:pPr>
      <w:r w:rsidRPr="00532324">
        <w:rPr>
          <w:b/>
        </w:rPr>
        <w:t>Township 2 South, Range 27 East</w:t>
      </w:r>
    </w:p>
    <w:p w:rsidR="00B53620" w:rsidRPr="00532324" w:rsidRDefault="00B53620" w:rsidP="00B53620">
      <w:pPr>
        <w:pStyle w:val="BodyText"/>
        <w:rPr>
          <w:b/>
        </w:rPr>
      </w:pPr>
      <w:r w:rsidRPr="00532324">
        <w:rPr>
          <w:b/>
        </w:rPr>
        <w:t>Sections 13 and 24</w:t>
      </w:r>
    </w:p>
    <w:p w:rsidR="00B53620" w:rsidRDefault="00B53620" w:rsidP="00B53620">
      <w:pPr>
        <w:pStyle w:val="BodyText"/>
      </w:pPr>
      <w:r>
        <w:t>A part of Sections 13 and 24, Township 2 South, Range 27 East, Duval County, Florida, more particularly described as follows: Commence at the Northeasterly corner of said Section 24; thence South 89°41’10" West, along the Northerly line of said Section 24, 1150.02 feet to the Westerly right of way line of Monument Road (as established for a width of 100 feet) and the POINT OF BEGINNING; thence South 00°18’50" East, along said Westerly right of way line, 431.02 feet to its intersection with the Northerly right of way line of the Arlington Expressway; thence South 83°17’50" West, along said Northerly right of way line, 690.41 feet to the point of a curve to the right, said curve being concave Northerly and having a radius of 5679.65 feet; thence continue along said Northerly right of way line along and around said curve an arc distance of 1574.52 feet; thence continue along said right of way line North 00°18’50" West, 33.45 feet to a curve concave Northeasterly and having a radius of 5646.65 feet; thence continue along said Northerly right of way line along and around said curve an arc distance of 556.44 feet to the point of a compound curve to the right, said curve being concave Northeasterly and having a radius of 4366.66 feet; thence continue along said Northerly right of way of line along and around said curve an arc distance of 879.22 feet; thence North 64°05’10" West, 98.48 feet; thence North 10°28’24" East, 136.95 feet to its intersection with a curve concave Southeasterly and having a radius of 1527.02 feet; thence Northeasterly along and around said curve an arc distance of 773.14 feet; thence North 45°24’31" East, 263.23 feet to its intersection with the Southerly right of way line of Regency Square Boulevard; thence North 89°45’21" East, along said Southerly right of way line, 1737.82 feet; thence South 01°31’15" East, 325.58 feet; Thence North 89°41’10" East, 1383.45 feet to its intersection with the aforementioned Westerly right of way line of Monument Road; thence South 00</w:t>
      </w:r>
      <w:r>
        <w:rPr>
          <w:vertAlign w:val="superscript"/>
        </w:rPr>
        <w:t>o</w:t>
      </w:r>
      <w:r>
        <w:t>10’50" East, along said Westerly right of way, 690 feet to the POINT OF BEGINNING.</w:t>
      </w:r>
    </w:p>
    <w:p w:rsidR="00B53620" w:rsidRDefault="00B53620" w:rsidP="00B53620">
      <w:pPr>
        <w:pStyle w:val="BodyText"/>
      </w:pPr>
    </w:p>
    <w:p w:rsidR="00B53620" w:rsidRDefault="00B53620" w:rsidP="00B53620">
      <w:pPr>
        <w:pStyle w:val="BodyText"/>
        <w:sectPr w:rsidR="00B53620" w:rsidSect="0068481F">
          <w:headerReference w:type="default" r:id="rId13"/>
          <w:footerReference w:type="default" r:id="rId14"/>
          <w:pgSz w:w="12240" w:h="15840" w:code="1"/>
          <w:pgMar w:top="1584" w:right="1440" w:bottom="1440" w:left="1440" w:header="720" w:footer="720" w:gutter="0"/>
          <w:cols w:space="720"/>
          <w:formProt w:val="0"/>
          <w:docGrid w:linePitch="360"/>
        </w:sectPr>
      </w:pPr>
    </w:p>
    <w:p w:rsidR="00B53620" w:rsidRDefault="00B53620" w:rsidP="00B53620">
      <w:pPr>
        <w:pStyle w:val="BodyText"/>
      </w:pPr>
    </w:p>
    <w:p w:rsidR="00B53620" w:rsidRDefault="00B53620" w:rsidP="00B53620">
      <w:pPr>
        <w:pStyle w:val="BodyText"/>
      </w:pPr>
    </w:p>
    <w:p w:rsidR="00B53620" w:rsidRDefault="00B53620" w:rsidP="00B53620">
      <w:pPr>
        <w:jc w:val="center"/>
        <w:rPr>
          <w:b/>
        </w:rPr>
      </w:pPr>
      <w:r w:rsidRPr="00C04240">
        <w:rPr>
          <w:b/>
        </w:rPr>
        <w:t>FLORIDA PUBLIC SERVICE COMMISSION</w:t>
      </w:r>
    </w:p>
    <w:p w:rsidR="00B53620" w:rsidRPr="00C04240" w:rsidRDefault="00B53620" w:rsidP="00B53620">
      <w:pPr>
        <w:jc w:val="center"/>
        <w:rPr>
          <w:b/>
        </w:rPr>
      </w:pPr>
    </w:p>
    <w:p w:rsidR="00B53620" w:rsidRDefault="00B53620" w:rsidP="00B53620">
      <w:pPr>
        <w:jc w:val="center"/>
        <w:rPr>
          <w:b/>
        </w:rPr>
      </w:pPr>
      <w:r w:rsidRPr="00C04240">
        <w:rPr>
          <w:b/>
        </w:rPr>
        <w:t>Authorizes</w:t>
      </w:r>
    </w:p>
    <w:p w:rsidR="00B53620" w:rsidRPr="00C04240" w:rsidRDefault="00B53620" w:rsidP="00B53620">
      <w:pPr>
        <w:jc w:val="center"/>
        <w:rPr>
          <w:b/>
        </w:rPr>
      </w:pPr>
    </w:p>
    <w:p w:rsidR="00B53620" w:rsidRDefault="00B53620" w:rsidP="00B53620">
      <w:pPr>
        <w:jc w:val="center"/>
        <w:rPr>
          <w:b/>
        </w:rPr>
      </w:pPr>
      <w:r w:rsidRPr="00BF628B">
        <w:rPr>
          <w:b/>
        </w:rPr>
        <w:t>Duval Waterworks, Inc.</w:t>
      </w:r>
    </w:p>
    <w:p w:rsidR="00B53620" w:rsidRPr="00C04240" w:rsidRDefault="00B53620" w:rsidP="00B53620">
      <w:pPr>
        <w:jc w:val="center"/>
        <w:rPr>
          <w:b/>
        </w:rPr>
      </w:pPr>
    </w:p>
    <w:p w:rsidR="00B53620" w:rsidRDefault="00B53620" w:rsidP="00B53620">
      <w:pPr>
        <w:jc w:val="center"/>
        <w:rPr>
          <w:b/>
        </w:rPr>
      </w:pPr>
      <w:proofErr w:type="gramStart"/>
      <w:r w:rsidRPr="00C04240">
        <w:rPr>
          <w:b/>
        </w:rPr>
        <w:t>pursuant</w:t>
      </w:r>
      <w:proofErr w:type="gramEnd"/>
      <w:r w:rsidRPr="00C04240">
        <w:rPr>
          <w:b/>
        </w:rPr>
        <w:t xml:space="preserve"> to</w:t>
      </w:r>
    </w:p>
    <w:p w:rsidR="00B53620" w:rsidRPr="00C04240" w:rsidRDefault="00B53620" w:rsidP="00B53620">
      <w:pPr>
        <w:jc w:val="center"/>
        <w:rPr>
          <w:b/>
        </w:rPr>
      </w:pPr>
    </w:p>
    <w:p w:rsidR="00B53620" w:rsidRDefault="00B53620" w:rsidP="00B53620">
      <w:pPr>
        <w:jc w:val="center"/>
        <w:rPr>
          <w:b/>
        </w:rPr>
      </w:pPr>
      <w:r w:rsidRPr="00C04240">
        <w:rPr>
          <w:b/>
        </w:rPr>
        <w:t xml:space="preserve">Certificate Number </w:t>
      </w:r>
      <w:r>
        <w:rPr>
          <w:b/>
        </w:rPr>
        <w:t>641</w:t>
      </w:r>
      <w:r w:rsidRPr="00040960">
        <w:rPr>
          <w:b/>
        </w:rPr>
        <w:t>–W</w:t>
      </w:r>
    </w:p>
    <w:p w:rsidR="00B53620" w:rsidRPr="00C04240" w:rsidRDefault="00B53620" w:rsidP="00B53620">
      <w:pPr>
        <w:jc w:val="center"/>
        <w:rPr>
          <w:b/>
        </w:rPr>
      </w:pPr>
    </w:p>
    <w:p w:rsidR="00B53620" w:rsidRDefault="00B53620" w:rsidP="00B53620">
      <w:pPr>
        <w:jc w:val="both"/>
      </w:pPr>
      <w:r w:rsidRPr="00C04240">
        <w:t xml:space="preserve">to provide water service in </w:t>
      </w:r>
      <w:r>
        <w:rPr>
          <w:u w:val="single"/>
        </w:rPr>
        <w:t>Duval</w:t>
      </w:r>
      <w:r w:rsidRPr="00C04240">
        <w:rPr>
          <w:u w:val="single"/>
        </w:rPr>
        <w:t xml:space="preserv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B53620" w:rsidRPr="00C04240" w:rsidRDefault="00B53620" w:rsidP="00B53620">
      <w:pPr>
        <w:jc w:val="both"/>
      </w:pPr>
    </w:p>
    <w:p w:rsidR="00B53620" w:rsidRDefault="00B53620" w:rsidP="00B53620">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B53620" w:rsidRPr="00C04240" w:rsidRDefault="00B53620" w:rsidP="00B53620">
      <w:pPr>
        <w:jc w:val="both"/>
      </w:pPr>
    </w:p>
    <w:p w:rsidR="00B53620" w:rsidRDefault="00B53620" w:rsidP="00B53620">
      <w:pPr>
        <w:jc w:val="both"/>
      </w:pPr>
      <w:r>
        <w:t>PSC-08-0612-PAA-WS</w:t>
      </w:r>
      <w:r>
        <w:tab/>
        <w:t>9/22/08</w:t>
      </w:r>
      <w:r w:rsidRPr="00C04240">
        <w:tab/>
      </w:r>
      <w:r>
        <w:t>20080113</w:t>
      </w:r>
      <w:r w:rsidRPr="00C04240">
        <w:t>-WS</w:t>
      </w:r>
      <w:r w:rsidRPr="00C04240">
        <w:tab/>
      </w:r>
      <w:r w:rsidRPr="00C04240">
        <w:tab/>
        <w:t>Original Certificate</w:t>
      </w:r>
    </w:p>
    <w:p w:rsidR="00B53620" w:rsidRDefault="00B53620" w:rsidP="00B53620">
      <w:pPr>
        <w:jc w:val="both"/>
      </w:pPr>
    </w:p>
    <w:p w:rsidR="00B53620" w:rsidRPr="00C04240" w:rsidRDefault="00B53620" w:rsidP="00B53620">
      <w:pPr>
        <w:jc w:val="both"/>
      </w:pPr>
      <w:r>
        <w:t>*</w:t>
      </w:r>
      <w:r>
        <w:tab/>
      </w:r>
      <w:r>
        <w:tab/>
      </w:r>
      <w:r>
        <w:tab/>
      </w:r>
      <w:r>
        <w:tab/>
        <w:t>*</w:t>
      </w:r>
      <w:r>
        <w:tab/>
      </w:r>
      <w:r>
        <w:tab/>
        <w:t>20190195-WS</w:t>
      </w:r>
      <w:r>
        <w:tab/>
      </w:r>
      <w:r>
        <w:tab/>
        <w:t>Transfer of Certificate</w:t>
      </w:r>
    </w:p>
    <w:p w:rsidR="00B53620" w:rsidRPr="00C04240" w:rsidRDefault="00B53620" w:rsidP="00B53620">
      <w:pPr>
        <w:jc w:val="both"/>
      </w:pPr>
    </w:p>
    <w:p w:rsidR="00B53620" w:rsidRDefault="00B53620" w:rsidP="00B53620">
      <w:pPr>
        <w:pStyle w:val="BodyText"/>
        <w:sectPr w:rsidR="00B53620" w:rsidSect="0068481F">
          <w:headerReference w:type="default" r:id="rId15"/>
          <w:footerReference w:type="default" r:id="rId16"/>
          <w:pgSz w:w="12240" w:h="15840" w:code="1"/>
          <w:pgMar w:top="1584" w:right="1440" w:bottom="1440" w:left="1440" w:header="720" w:footer="720" w:gutter="0"/>
          <w:cols w:space="720"/>
          <w:formProt w:val="0"/>
          <w:docGrid w:linePitch="360"/>
        </w:sectPr>
      </w:pPr>
      <w:r w:rsidRPr="00C04240">
        <w:t>* Order Number and date to be provided at time of issuance</w:t>
      </w:r>
      <w:r>
        <w:t>.</w:t>
      </w:r>
    </w:p>
    <w:p w:rsidR="00B53620" w:rsidRDefault="00B53620" w:rsidP="00B53620">
      <w:pPr>
        <w:pStyle w:val="BodyText"/>
      </w:pPr>
    </w:p>
    <w:p w:rsidR="00B53620" w:rsidRDefault="00B53620" w:rsidP="00B53620">
      <w:pPr>
        <w:jc w:val="center"/>
        <w:rPr>
          <w:b/>
        </w:rPr>
      </w:pPr>
      <w:r w:rsidRPr="00C04240">
        <w:rPr>
          <w:b/>
        </w:rPr>
        <w:t>FLORIDA PUBLIC SERVICE COMMISSION</w:t>
      </w:r>
    </w:p>
    <w:p w:rsidR="00B53620" w:rsidRPr="00C04240" w:rsidRDefault="00B53620" w:rsidP="00B53620">
      <w:pPr>
        <w:jc w:val="center"/>
        <w:rPr>
          <w:b/>
        </w:rPr>
      </w:pPr>
    </w:p>
    <w:p w:rsidR="00B53620" w:rsidRDefault="00B53620" w:rsidP="00B53620">
      <w:pPr>
        <w:jc w:val="center"/>
        <w:rPr>
          <w:b/>
        </w:rPr>
      </w:pPr>
      <w:r w:rsidRPr="00C04240">
        <w:rPr>
          <w:b/>
        </w:rPr>
        <w:t>Authorizes</w:t>
      </w:r>
    </w:p>
    <w:p w:rsidR="00B53620" w:rsidRPr="00C04240" w:rsidRDefault="00B53620" w:rsidP="00B53620">
      <w:pPr>
        <w:jc w:val="center"/>
        <w:rPr>
          <w:b/>
        </w:rPr>
      </w:pPr>
    </w:p>
    <w:p w:rsidR="00B53620" w:rsidRDefault="00B53620" w:rsidP="00B53620">
      <w:pPr>
        <w:jc w:val="center"/>
        <w:rPr>
          <w:b/>
        </w:rPr>
      </w:pPr>
      <w:r w:rsidRPr="00BF628B">
        <w:rPr>
          <w:b/>
        </w:rPr>
        <w:t>Duval Waterworks, Inc.</w:t>
      </w:r>
    </w:p>
    <w:p w:rsidR="00B53620" w:rsidRPr="00C04240" w:rsidRDefault="00B53620" w:rsidP="00B53620">
      <w:pPr>
        <w:jc w:val="center"/>
        <w:rPr>
          <w:b/>
        </w:rPr>
      </w:pPr>
    </w:p>
    <w:p w:rsidR="00B53620" w:rsidRDefault="00B53620" w:rsidP="00B53620">
      <w:pPr>
        <w:jc w:val="center"/>
        <w:rPr>
          <w:b/>
        </w:rPr>
      </w:pPr>
      <w:proofErr w:type="gramStart"/>
      <w:r w:rsidRPr="00C04240">
        <w:rPr>
          <w:b/>
        </w:rPr>
        <w:t>pursuant</w:t>
      </w:r>
      <w:proofErr w:type="gramEnd"/>
      <w:r w:rsidRPr="00C04240">
        <w:rPr>
          <w:b/>
        </w:rPr>
        <w:t xml:space="preserve"> to</w:t>
      </w:r>
    </w:p>
    <w:p w:rsidR="00B53620" w:rsidRPr="00C04240" w:rsidRDefault="00B53620" w:rsidP="00B53620">
      <w:pPr>
        <w:jc w:val="center"/>
        <w:rPr>
          <w:b/>
        </w:rPr>
      </w:pPr>
    </w:p>
    <w:p w:rsidR="00B53620" w:rsidRDefault="00B53620" w:rsidP="00B53620">
      <w:pPr>
        <w:jc w:val="center"/>
        <w:rPr>
          <w:b/>
        </w:rPr>
      </w:pPr>
      <w:r w:rsidRPr="00C04240">
        <w:rPr>
          <w:b/>
        </w:rPr>
        <w:t xml:space="preserve">Certificate Number </w:t>
      </w:r>
      <w:r>
        <w:rPr>
          <w:b/>
        </w:rPr>
        <w:t>551</w:t>
      </w:r>
      <w:r w:rsidRPr="00040960">
        <w:rPr>
          <w:b/>
        </w:rPr>
        <w:t>–S</w:t>
      </w:r>
    </w:p>
    <w:p w:rsidR="00B53620" w:rsidRPr="00C04240" w:rsidRDefault="00B53620" w:rsidP="00B53620">
      <w:pPr>
        <w:jc w:val="center"/>
        <w:rPr>
          <w:b/>
        </w:rPr>
      </w:pPr>
    </w:p>
    <w:p w:rsidR="00B53620" w:rsidRDefault="00B53620" w:rsidP="00B53620">
      <w:pPr>
        <w:jc w:val="both"/>
      </w:pPr>
      <w:r w:rsidRPr="00C04240">
        <w:t xml:space="preserve">to provide wastewater service in </w:t>
      </w:r>
      <w:r>
        <w:rPr>
          <w:u w:val="single"/>
        </w:rPr>
        <w:t>Duval</w:t>
      </w:r>
      <w:r w:rsidRPr="00C04240">
        <w:rPr>
          <w:u w:val="single"/>
        </w:rPr>
        <w:t xml:space="preserv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B53620" w:rsidRPr="00C04240" w:rsidRDefault="00B53620" w:rsidP="00B53620">
      <w:pPr>
        <w:jc w:val="both"/>
      </w:pPr>
    </w:p>
    <w:p w:rsidR="00B53620" w:rsidRDefault="00B53620" w:rsidP="00B53620">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B53620" w:rsidRPr="00C04240" w:rsidRDefault="00B53620" w:rsidP="00B53620">
      <w:pPr>
        <w:jc w:val="both"/>
      </w:pPr>
    </w:p>
    <w:p w:rsidR="00B53620" w:rsidRDefault="00B53620" w:rsidP="00B53620">
      <w:pPr>
        <w:jc w:val="both"/>
      </w:pPr>
      <w:r>
        <w:t>PSC-08-0612-PAA-WS</w:t>
      </w:r>
      <w:r>
        <w:tab/>
        <w:t>9/22/08</w:t>
      </w:r>
      <w:r w:rsidRPr="00C04240">
        <w:tab/>
      </w:r>
      <w:r>
        <w:t>20080113</w:t>
      </w:r>
      <w:r w:rsidRPr="00C04240">
        <w:t>-WS</w:t>
      </w:r>
      <w:r w:rsidRPr="00C04240">
        <w:tab/>
      </w:r>
      <w:r w:rsidRPr="00C04240">
        <w:tab/>
        <w:t>Original Certificate</w:t>
      </w:r>
    </w:p>
    <w:p w:rsidR="00B53620" w:rsidRDefault="00B53620" w:rsidP="00B53620">
      <w:pPr>
        <w:jc w:val="both"/>
      </w:pPr>
    </w:p>
    <w:p w:rsidR="00B53620" w:rsidRPr="00C04240" w:rsidRDefault="00B53620" w:rsidP="00B53620">
      <w:pPr>
        <w:jc w:val="both"/>
      </w:pPr>
      <w:r>
        <w:t>*</w:t>
      </w:r>
      <w:r>
        <w:tab/>
      </w:r>
      <w:r>
        <w:tab/>
      </w:r>
      <w:r>
        <w:tab/>
      </w:r>
      <w:r>
        <w:tab/>
        <w:t>*</w:t>
      </w:r>
      <w:r>
        <w:tab/>
      </w:r>
      <w:r>
        <w:tab/>
        <w:t>20190195-WS</w:t>
      </w:r>
      <w:r>
        <w:tab/>
      </w:r>
      <w:r>
        <w:tab/>
        <w:t>Transfer of Certificate</w:t>
      </w:r>
    </w:p>
    <w:p w:rsidR="00B53620" w:rsidRPr="00C04240" w:rsidRDefault="00B53620" w:rsidP="00B53620">
      <w:pPr>
        <w:jc w:val="both"/>
      </w:pPr>
    </w:p>
    <w:p w:rsidR="00B53620" w:rsidRPr="00C04240" w:rsidRDefault="00B53620" w:rsidP="00B53620">
      <w:pPr>
        <w:jc w:val="both"/>
      </w:pPr>
    </w:p>
    <w:p w:rsidR="00B53620" w:rsidRDefault="00B53620" w:rsidP="00B53620">
      <w:pPr>
        <w:pStyle w:val="BodyText"/>
      </w:pPr>
      <w:r w:rsidRPr="00C04240">
        <w:t>* Order Number and date to be provided at time of issuance</w:t>
      </w:r>
      <w:r>
        <w:t>.</w:t>
      </w:r>
    </w:p>
    <w:p w:rsidR="00B53620" w:rsidRDefault="00B53620" w:rsidP="007A1FA2">
      <w:pPr>
        <w:pStyle w:val="BodyText"/>
        <w:sectPr w:rsidR="00B53620" w:rsidSect="0068481F">
          <w:headerReference w:type="default" r:id="rId17"/>
          <w:pgSz w:w="12240" w:h="15840" w:code="1"/>
          <w:pgMar w:top="1584" w:right="1440" w:bottom="1440" w:left="1440" w:header="720" w:footer="720" w:gutter="0"/>
          <w:cols w:space="720"/>
          <w:formProt w:val="0"/>
          <w:docGrid w:linePitch="360"/>
        </w:sectPr>
      </w:pPr>
    </w:p>
    <w:p w:rsidR="00B53620" w:rsidRDefault="00B53620" w:rsidP="007A1FA2">
      <w:pPr>
        <w:pStyle w:val="BodyText"/>
      </w:pPr>
    </w:p>
    <w:p w:rsidR="00B53620" w:rsidRDefault="00B53620" w:rsidP="00B53620">
      <w:pPr>
        <w:jc w:val="center"/>
        <w:rPr>
          <w:rFonts w:ascii="Arial" w:hAnsi="Arial" w:cs="Arial"/>
          <w:b/>
        </w:rPr>
      </w:pPr>
    </w:p>
    <w:p w:rsidR="00B53620" w:rsidRPr="001C756A" w:rsidRDefault="00B53620" w:rsidP="00B53620">
      <w:pPr>
        <w:jc w:val="center"/>
        <w:rPr>
          <w:rFonts w:ascii="Arial" w:hAnsi="Arial" w:cs="Arial"/>
          <w:b/>
        </w:rPr>
      </w:pPr>
      <w:r w:rsidRPr="001C756A">
        <w:rPr>
          <w:rFonts w:ascii="Arial" w:hAnsi="Arial" w:cs="Arial"/>
          <w:b/>
        </w:rPr>
        <w:t>Duval Waterworks, Inc.</w:t>
      </w:r>
    </w:p>
    <w:p w:rsidR="00B53620" w:rsidRPr="001C756A" w:rsidRDefault="00B53620" w:rsidP="00B53620">
      <w:pPr>
        <w:jc w:val="center"/>
        <w:rPr>
          <w:rFonts w:ascii="Arial" w:hAnsi="Arial" w:cs="Arial"/>
          <w:b/>
        </w:rPr>
      </w:pPr>
      <w:r w:rsidRPr="001C756A">
        <w:rPr>
          <w:rFonts w:ascii="Arial" w:hAnsi="Arial" w:cs="Arial"/>
          <w:b/>
        </w:rPr>
        <w:t>Monthly Water Rates</w:t>
      </w:r>
    </w:p>
    <w:p w:rsidR="00B53620" w:rsidRPr="001C756A" w:rsidRDefault="00B53620" w:rsidP="00B53620">
      <w:pPr>
        <w:jc w:val="center"/>
        <w:rPr>
          <w:rFonts w:ascii="Arial" w:hAnsi="Arial" w:cs="Arial"/>
          <w:b/>
        </w:rPr>
      </w:pPr>
    </w:p>
    <w:p w:rsidR="00B53620" w:rsidRPr="001C756A" w:rsidRDefault="00B53620" w:rsidP="00B53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General Service</w:t>
            </w:r>
          </w:p>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Base Facility Charge by Meter Size</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5/8” x 3/4"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$31.41</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3/4"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$47.12</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1"</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$78.53</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1 1/2"</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$157.05</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2"</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$251.28</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3"</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$502.56</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$785.25</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6"</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$1,570.50</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Charge Per 1,000 gallons</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$3.08</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Private Fire Protection Service</w:t>
            </w:r>
          </w:p>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Base Facility Charge by Meter Size</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5/8” x 3/4"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$2.62</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3/4"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$3.93</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1"</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$6.54</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1 1/2"</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$13.09</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2"</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$20.94</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3"</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$41.88</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$65.44</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6"</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$130.88</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B53620" w:rsidRPr="001C756A" w:rsidRDefault="00B53620" w:rsidP="00B53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B53620" w:rsidRPr="001C756A" w:rsidTr="00616667">
        <w:tc>
          <w:tcPr>
            <w:tcW w:w="9540" w:type="dxa"/>
            <w:gridSpan w:val="3"/>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1C756A">
              <w:rPr>
                <w:rFonts w:ascii="Arial" w:hAnsi="Arial" w:cs="Arial"/>
                <w:b/>
              </w:rPr>
              <w:t>Initial Customer Deposits</w:t>
            </w:r>
          </w:p>
        </w:tc>
      </w:tr>
      <w:tr w:rsidR="00B53620" w:rsidRPr="001C756A" w:rsidTr="00616667">
        <w:tc>
          <w:tcPr>
            <w:tcW w:w="486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53620" w:rsidRPr="001C756A" w:rsidTr="00616667">
        <w:tc>
          <w:tcPr>
            <w:tcW w:w="486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General Service</w:t>
            </w:r>
          </w:p>
        </w:tc>
        <w:tc>
          <w:tcPr>
            <w:tcW w:w="45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53620" w:rsidRPr="001C756A" w:rsidTr="00616667">
        <w:tc>
          <w:tcPr>
            <w:tcW w:w="486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5/8” x 3/4”</w:t>
            </w:r>
          </w:p>
        </w:tc>
        <w:tc>
          <w:tcPr>
            <w:tcW w:w="45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 xml:space="preserve">  $263.00</w:t>
            </w:r>
          </w:p>
        </w:tc>
      </w:tr>
      <w:tr w:rsidR="00B53620" w:rsidRPr="001C756A" w:rsidTr="00616667">
        <w:tc>
          <w:tcPr>
            <w:tcW w:w="486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B53620" w:rsidRPr="001C756A" w:rsidRDefault="00B53620" w:rsidP="00B53620">
      <w:pPr>
        <w:jc w:val="center"/>
        <w:rPr>
          <w:rFonts w:ascii="Arial" w:hAnsi="Arial" w:cs="Arial"/>
          <w:b/>
        </w:rPr>
      </w:pPr>
      <w:r w:rsidRPr="001C756A">
        <w:rPr>
          <w:b/>
          <w:sz w:val="20"/>
          <w:szCs w:val="20"/>
        </w:rPr>
        <w:t xml:space="preserve"> </w:t>
      </w:r>
      <w:r w:rsidRPr="001C756A">
        <w:rPr>
          <w:rFonts w:ascii="Arial" w:hAnsi="Arial" w:cs="Arial"/>
          <w:b/>
        </w:rPr>
        <w:t>Miscellaneous Service Charges</w:t>
      </w:r>
    </w:p>
    <w:p w:rsidR="00B53620" w:rsidRPr="001C756A" w:rsidRDefault="00B53620" w:rsidP="00B53620">
      <w:pPr>
        <w:jc w:val="center"/>
        <w:rPr>
          <w:rFonts w:ascii="Arial" w:hAnsi="Arial" w:cs="Arial"/>
          <w:bCs/>
        </w:rPr>
      </w:pPr>
    </w:p>
    <w:tbl>
      <w:tblPr>
        <w:tblStyle w:val="TableGrid1"/>
        <w:tblW w:w="0" w:type="auto"/>
        <w:tblLook w:val="04A0" w:firstRow="1" w:lastRow="0" w:firstColumn="1" w:lastColumn="0" w:noHBand="0" w:noVBand="1"/>
      </w:tblPr>
      <w:tblGrid>
        <w:gridCol w:w="4315"/>
        <w:gridCol w:w="1985"/>
        <w:gridCol w:w="1885"/>
      </w:tblGrid>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u w:val="single"/>
              </w:rPr>
            </w:pPr>
            <w:r w:rsidRPr="001C756A">
              <w:rPr>
                <w:rFonts w:ascii="Times New Roman" w:hAnsi="Times New Roman" w:cs="Times New Roman"/>
                <w:u w:val="single"/>
              </w:rPr>
              <w:t>Normal Hours</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u w:val="single"/>
              </w:rPr>
            </w:pPr>
            <w:r w:rsidRPr="001C756A">
              <w:rPr>
                <w:rFonts w:ascii="Times New Roman" w:hAnsi="Times New Roman" w:cs="Times New Roman"/>
                <w:u w:val="single"/>
              </w:rPr>
              <w:t>After Hours</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Initial Connection Charge</w:t>
            </w: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$40.00</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Normal Reconnection Charge</w:t>
            </w: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$40.00</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Violation Reconnection Charge</w:t>
            </w: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$40.00</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Premises Visit Charge</w:t>
            </w: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$40.00</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(in lieu of disconnection)</w:t>
            </w:r>
          </w:p>
        </w:tc>
        <w:tc>
          <w:tcPr>
            <w:tcW w:w="1985" w:type="dxa"/>
            <w:tcBorders>
              <w:top w:val="nil"/>
              <w:left w:val="nil"/>
              <w:bottom w:val="nil"/>
              <w:right w:val="nil"/>
            </w:tcBorders>
          </w:tcPr>
          <w:p w:rsidR="00B53620" w:rsidRPr="001C756A" w:rsidRDefault="00B53620" w:rsidP="00616667">
            <w:pPr>
              <w:rPr>
                <w:rFonts w:ascii="Times New Roman" w:hAnsi="Times New Roman" w:cs="Times New Roman"/>
              </w:rPr>
            </w:pPr>
          </w:p>
        </w:tc>
        <w:tc>
          <w:tcPr>
            <w:tcW w:w="1885" w:type="dxa"/>
            <w:tcBorders>
              <w:top w:val="nil"/>
              <w:left w:val="nil"/>
              <w:bottom w:val="nil"/>
              <w:right w:val="nil"/>
            </w:tcBorders>
          </w:tcPr>
          <w:p w:rsidR="00B53620" w:rsidRPr="001C756A" w:rsidRDefault="00B53620" w:rsidP="00616667">
            <w:pPr>
              <w:rPr>
                <w:rFonts w:ascii="Times New Roman" w:hAnsi="Times New Roman" w:cs="Times New Roman"/>
              </w:rPr>
            </w:pPr>
          </w:p>
        </w:tc>
      </w:tr>
    </w:tbl>
    <w:p w:rsidR="00B53620" w:rsidRPr="001C756A" w:rsidRDefault="00B53620" w:rsidP="00B53620">
      <w:pPr>
        <w:jc w:val="both"/>
        <w:rPr>
          <w:rFonts w:eastAsiaTheme="minorHAnsi"/>
        </w:rPr>
      </w:pPr>
    </w:p>
    <w:p w:rsidR="00B53620" w:rsidRDefault="00B53620" w:rsidP="00B53620">
      <w:pPr>
        <w:pStyle w:val="BodyText"/>
        <w:sectPr w:rsidR="00B53620"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rsidR="00B53620" w:rsidRDefault="00B53620" w:rsidP="00B53620">
      <w:pPr>
        <w:jc w:val="center"/>
        <w:rPr>
          <w:rFonts w:ascii="Arial" w:hAnsi="Arial" w:cs="Arial"/>
          <w:b/>
        </w:rPr>
      </w:pPr>
    </w:p>
    <w:p w:rsidR="00B53620" w:rsidRPr="001C756A" w:rsidRDefault="00B53620" w:rsidP="00B53620">
      <w:pPr>
        <w:jc w:val="center"/>
        <w:rPr>
          <w:rFonts w:ascii="Arial" w:hAnsi="Arial" w:cs="Arial"/>
          <w:b/>
        </w:rPr>
      </w:pPr>
      <w:r w:rsidRPr="001C756A">
        <w:rPr>
          <w:rFonts w:ascii="Arial" w:hAnsi="Arial" w:cs="Arial"/>
          <w:b/>
        </w:rPr>
        <w:t>Duval Waterworks, Inc.</w:t>
      </w:r>
    </w:p>
    <w:p w:rsidR="00B53620" w:rsidRPr="001C756A" w:rsidRDefault="00B53620" w:rsidP="00B53620">
      <w:pPr>
        <w:jc w:val="center"/>
        <w:rPr>
          <w:rFonts w:ascii="Arial" w:hAnsi="Arial" w:cs="Arial"/>
          <w:b/>
        </w:rPr>
      </w:pPr>
      <w:r w:rsidRPr="001C756A">
        <w:rPr>
          <w:rFonts w:ascii="Arial" w:hAnsi="Arial" w:cs="Arial"/>
          <w:b/>
        </w:rPr>
        <w:t>Monthly Wastewater Rates</w:t>
      </w:r>
    </w:p>
    <w:p w:rsidR="00B53620" w:rsidRPr="001C756A" w:rsidRDefault="00B53620" w:rsidP="00B53620">
      <w:pPr>
        <w:jc w:val="center"/>
        <w:rPr>
          <w:rFonts w:ascii="Arial" w:hAnsi="Arial" w:cs="Arial"/>
          <w:b/>
        </w:rPr>
      </w:pPr>
    </w:p>
    <w:p w:rsidR="00B53620" w:rsidRPr="001C756A" w:rsidRDefault="00B53620" w:rsidP="00B53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General Service</w:t>
            </w:r>
          </w:p>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Base Facility Charge by Meter Size</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5/8” x 3/4"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$26.54</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3/4"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$39.81</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1"</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$66.35</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1 1/2"</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$132.70</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2"</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$212.32</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3"</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$424.64</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4"</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$663.50</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Charge Per 1,000 gallons</w:t>
            </w: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$7.04</w:t>
            </w: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3620" w:rsidRPr="001C756A" w:rsidTr="00616667">
        <w:tc>
          <w:tcPr>
            <w:tcW w:w="450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B53620" w:rsidRPr="001C756A" w:rsidRDefault="00B53620" w:rsidP="00B536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B53620" w:rsidRPr="001C756A" w:rsidTr="00616667">
        <w:tc>
          <w:tcPr>
            <w:tcW w:w="9540" w:type="dxa"/>
            <w:gridSpan w:val="3"/>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1C756A">
              <w:rPr>
                <w:rFonts w:ascii="Arial" w:hAnsi="Arial" w:cs="Arial"/>
                <w:b/>
              </w:rPr>
              <w:t>Initial Customer Deposits</w:t>
            </w:r>
          </w:p>
        </w:tc>
      </w:tr>
      <w:tr w:rsidR="00B53620" w:rsidRPr="001C756A" w:rsidTr="00616667">
        <w:tc>
          <w:tcPr>
            <w:tcW w:w="486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53620" w:rsidRPr="001C756A" w:rsidTr="00616667">
        <w:tc>
          <w:tcPr>
            <w:tcW w:w="486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General Service</w:t>
            </w:r>
          </w:p>
        </w:tc>
        <w:tc>
          <w:tcPr>
            <w:tcW w:w="45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53620" w:rsidRPr="001C756A" w:rsidTr="00616667">
        <w:tc>
          <w:tcPr>
            <w:tcW w:w="486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5/8” x 3/4”</w:t>
            </w:r>
          </w:p>
        </w:tc>
        <w:tc>
          <w:tcPr>
            <w:tcW w:w="45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 xml:space="preserve">  $158.00</w:t>
            </w:r>
          </w:p>
        </w:tc>
      </w:tr>
      <w:tr w:rsidR="00B53620" w:rsidRPr="001C756A" w:rsidTr="00616667">
        <w:tc>
          <w:tcPr>
            <w:tcW w:w="486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B53620" w:rsidRPr="001C756A" w:rsidRDefault="00B53620" w:rsidP="00616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B53620" w:rsidRPr="001C756A" w:rsidRDefault="00B53620" w:rsidP="00B53620">
      <w:pPr>
        <w:jc w:val="center"/>
        <w:rPr>
          <w:rFonts w:ascii="Arial" w:hAnsi="Arial" w:cs="Arial"/>
          <w:b/>
        </w:rPr>
      </w:pPr>
      <w:r w:rsidRPr="001C756A">
        <w:rPr>
          <w:b/>
          <w:sz w:val="20"/>
          <w:szCs w:val="20"/>
        </w:rPr>
        <w:t xml:space="preserve"> </w:t>
      </w:r>
      <w:r w:rsidRPr="001C756A">
        <w:rPr>
          <w:rFonts w:ascii="Arial" w:hAnsi="Arial" w:cs="Arial"/>
          <w:b/>
        </w:rPr>
        <w:t>Miscellaneous Service Charges</w:t>
      </w:r>
    </w:p>
    <w:p w:rsidR="00B53620" w:rsidRPr="001C756A" w:rsidRDefault="00B53620" w:rsidP="00B53620">
      <w:pPr>
        <w:jc w:val="center"/>
        <w:rPr>
          <w:rFonts w:ascii="Arial" w:hAnsi="Arial" w:cs="Arial"/>
          <w:bCs/>
        </w:rPr>
      </w:pPr>
    </w:p>
    <w:tbl>
      <w:tblPr>
        <w:tblStyle w:val="TableGrid2"/>
        <w:tblW w:w="0" w:type="auto"/>
        <w:tblLook w:val="04A0" w:firstRow="1" w:lastRow="0" w:firstColumn="1" w:lastColumn="0" w:noHBand="0" w:noVBand="1"/>
      </w:tblPr>
      <w:tblGrid>
        <w:gridCol w:w="4315"/>
        <w:gridCol w:w="1985"/>
        <w:gridCol w:w="1885"/>
      </w:tblGrid>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u w:val="single"/>
              </w:rPr>
            </w:pPr>
            <w:r w:rsidRPr="001C756A">
              <w:rPr>
                <w:rFonts w:ascii="Times New Roman" w:hAnsi="Times New Roman" w:cs="Times New Roman"/>
                <w:u w:val="single"/>
              </w:rPr>
              <w:t>Normal Hours</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u w:val="single"/>
              </w:rPr>
            </w:pPr>
            <w:r w:rsidRPr="001C756A">
              <w:rPr>
                <w:rFonts w:ascii="Times New Roman" w:hAnsi="Times New Roman" w:cs="Times New Roman"/>
                <w:u w:val="single"/>
              </w:rPr>
              <w:t>After Hours</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Initial Connection Charge</w:t>
            </w: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$40.00</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Normal Reconnection Charge</w:t>
            </w: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$40.00</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Violation Reconnection Charge</w:t>
            </w: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$40.00</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Premises Visit Charge</w:t>
            </w:r>
          </w:p>
        </w:tc>
        <w:tc>
          <w:tcPr>
            <w:tcW w:w="19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rsidR="00B53620" w:rsidRPr="001C756A" w:rsidRDefault="00B53620" w:rsidP="00616667">
            <w:pPr>
              <w:jc w:val="center"/>
              <w:rPr>
                <w:rFonts w:ascii="Times New Roman" w:hAnsi="Times New Roman" w:cs="Times New Roman"/>
              </w:rPr>
            </w:pPr>
            <w:r w:rsidRPr="001C756A">
              <w:rPr>
                <w:rFonts w:ascii="Times New Roman" w:hAnsi="Times New Roman" w:cs="Times New Roman"/>
              </w:rPr>
              <w:t>$40.00</w:t>
            </w:r>
          </w:p>
        </w:tc>
      </w:tr>
      <w:tr w:rsidR="00B53620" w:rsidRPr="001C756A" w:rsidTr="00616667">
        <w:tc>
          <w:tcPr>
            <w:tcW w:w="4315" w:type="dxa"/>
            <w:tcBorders>
              <w:top w:val="nil"/>
              <w:left w:val="nil"/>
              <w:bottom w:val="nil"/>
              <w:right w:val="nil"/>
            </w:tcBorders>
          </w:tcPr>
          <w:p w:rsidR="00B53620" w:rsidRPr="001C756A" w:rsidRDefault="00B53620" w:rsidP="00616667">
            <w:pPr>
              <w:rPr>
                <w:rFonts w:ascii="Times New Roman" w:hAnsi="Times New Roman" w:cs="Times New Roman"/>
              </w:rPr>
            </w:pPr>
            <w:r w:rsidRPr="001C756A">
              <w:rPr>
                <w:rFonts w:ascii="Times New Roman" w:hAnsi="Times New Roman" w:cs="Times New Roman"/>
              </w:rPr>
              <w:t>(in lieu of disconnection)</w:t>
            </w:r>
          </w:p>
        </w:tc>
        <w:tc>
          <w:tcPr>
            <w:tcW w:w="1985" w:type="dxa"/>
            <w:tcBorders>
              <w:top w:val="nil"/>
              <w:left w:val="nil"/>
              <w:bottom w:val="nil"/>
              <w:right w:val="nil"/>
            </w:tcBorders>
          </w:tcPr>
          <w:p w:rsidR="00B53620" w:rsidRPr="001C756A" w:rsidRDefault="00B53620" w:rsidP="00616667">
            <w:pPr>
              <w:rPr>
                <w:rFonts w:ascii="Times New Roman" w:hAnsi="Times New Roman" w:cs="Times New Roman"/>
              </w:rPr>
            </w:pPr>
          </w:p>
        </w:tc>
        <w:tc>
          <w:tcPr>
            <w:tcW w:w="1885" w:type="dxa"/>
            <w:tcBorders>
              <w:top w:val="nil"/>
              <w:left w:val="nil"/>
              <w:bottom w:val="nil"/>
              <w:right w:val="nil"/>
            </w:tcBorders>
          </w:tcPr>
          <w:p w:rsidR="00B53620" w:rsidRPr="001C756A" w:rsidRDefault="00B53620" w:rsidP="00616667">
            <w:pPr>
              <w:rPr>
                <w:rFonts w:ascii="Times New Roman" w:hAnsi="Times New Roman" w:cs="Times New Roman"/>
              </w:rPr>
            </w:pPr>
          </w:p>
        </w:tc>
      </w:tr>
    </w:tbl>
    <w:p w:rsidR="00B53620" w:rsidRDefault="00B53620" w:rsidP="00B53620">
      <w:pPr>
        <w:pStyle w:val="BodyText"/>
      </w:pPr>
    </w:p>
    <w:p w:rsidR="00B53620" w:rsidRDefault="00B53620" w:rsidP="007A1FA2">
      <w:pPr>
        <w:pStyle w:val="BodyText"/>
        <w:sectPr w:rsidR="00B53620" w:rsidSect="0068481F">
          <w:headerReference w:type="default" r:id="rId20"/>
          <w:pgSz w:w="12240" w:h="15840" w:code="1"/>
          <w:pgMar w:top="1584" w:right="1440" w:bottom="1440" w:left="1440" w:header="720" w:footer="720" w:gutter="0"/>
          <w:cols w:space="720"/>
          <w:formProt w:val="0"/>
          <w:docGrid w:linePitch="360"/>
        </w:sectPr>
      </w:pPr>
    </w:p>
    <w:p w:rsidR="00B53620" w:rsidRDefault="00B53620" w:rsidP="00B53620">
      <w:pPr>
        <w:jc w:val="center"/>
        <w:rPr>
          <w:b/>
          <w:bCs/>
        </w:rPr>
      </w:pPr>
    </w:p>
    <w:p w:rsidR="00B53620" w:rsidRPr="00451142" w:rsidRDefault="00B53620" w:rsidP="00B53620">
      <w:pPr>
        <w:jc w:val="center"/>
        <w:rPr>
          <w:b/>
          <w:bCs/>
        </w:rPr>
      </w:pPr>
      <w:r w:rsidRPr="00451142">
        <w:rPr>
          <w:b/>
          <w:bCs/>
        </w:rPr>
        <w:t>Duval Waterworks, Inc.</w:t>
      </w:r>
    </w:p>
    <w:p w:rsidR="00B53620" w:rsidRPr="00451142" w:rsidRDefault="00B53620" w:rsidP="00B53620">
      <w:pPr>
        <w:jc w:val="center"/>
        <w:rPr>
          <w:b/>
          <w:bCs/>
        </w:rPr>
      </w:pPr>
      <w:r w:rsidRPr="00451142">
        <w:rPr>
          <w:b/>
          <w:bCs/>
        </w:rPr>
        <w:t>Schedule of Net Book Value as of September 30, 2019</w:t>
      </w:r>
    </w:p>
    <w:p w:rsidR="00B53620" w:rsidRDefault="00B53620" w:rsidP="00B53620">
      <w:pPr>
        <w:jc w:val="center"/>
      </w:pPr>
    </w:p>
    <w:p w:rsidR="00B53620" w:rsidRPr="004D35C7" w:rsidRDefault="00B53620" w:rsidP="00B53620">
      <w:pPr>
        <w:jc w:val="center"/>
        <w:rPr>
          <w:b/>
          <w:bCs/>
        </w:rPr>
      </w:pPr>
      <w:r w:rsidRPr="004D35C7">
        <w:rPr>
          <w:b/>
          <w:bCs/>
        </w:rPr>
        <w:t>Water System</w:t>
      </w:r>
    </w:p>
    <w:tbl>
      <w:tblPr>
        <w:tblW w:w="861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8"/>
        <w:gridCol w:w="1545"/>
        <w:gridCol w:w="1794"/>
        <w:gridCol w:w="1703"/>
      </w:tblGrid>
      <w:tr w:rsidR="00B53620" w:rsidRPr="00A746D8" w:rsidTr="00616667">
        <w:trPr>
          <w:trHeight w:val="290"/>
          <w:jc w:val="center"/>
        </w:trPr>
        <w:tc>
          <w:tcPr>
            <w:tcW w:w="3568" w:type="dxa"/>
            <w:shd w:val="clear" w:color="auto" w:fill="auto"/>
            <w:noWrap/>
            <w:vAlign w:val="bottom"/>
            <w:hideMark/>
          </w:tcPr>
          <w:p w:rsidR="00B53620" w:rsidRPr="00A746D8" w:rsidRDefault="00B53620" w:rsidP="00616667">
            <w:pPr>
              <w:jc w:val="center"/>
            </w:pPr>
            <w:r w:rsidRPr="00A746D8">
              <w:rPr>
                <w:b/>
                <w:bCs/>
                <w:u w:val="single"/>
              </w:rPr>
              <w:t>Description</w:t>
            </w:r>
          </w:p>
        </w:tc>
        <w:tc>
          <w:tcPr>
            <w:tcW w:w="1545" w:type="dxa"/>
            <w:shd w:val="clear" w:color="auto" w:fill="auto"/>
            <w:noWrap/>
            <w:vAlign w:val="bottom"/>
            <w:hideMark/>
          </w:tcPr>
          <w:p w:rsidR="00B53620" w:rsidRPr="008B4BF7" w:rsidRDefault="00B53620" w:rsidP="00616667">
            <w:pPr>
              <w:jc w:val="center"/>
              <w:rPr>
                <w:b/>
                <w:bCs/>
                <w:color w:val="000000"/>
              </w:rPr>
            </w:pPr>
            <w:r w:rsidRPr="008B4BF7">
              <w:rPr>
                <w:b/>
                <w:bCs/>
                <w:color w:val="000000"/>
              </w:rPr>
              <w:t xml:space="preserve">Balance </w:t>
            </w:r>
          </w:p>
          <w:p w:rsidR="00B53620" w:rsidRPr="00A746D8" w:rsidRDefault="00B53620" w:rsidP="00616667">
            <w:pPr>
              <w:jc w:val="center"/>
              <w:rPr>
                <w:color w:val="000000"/>
              </w:rPr>
            </w:pPr>
            <w:r w:rsidRPr="00A746D8">
              <w:rPr>
                <w:b/>
                <w:bCs/>
                <w:color w:val="000000"/>
                <w:u w:val="single"/>
              </w:rPr>
              <w:t>Per Utility</w:t>
            </w:r>
          </w:p>
        </w:tc>
        <w:tc>
          <w:tcPr>
            <w:tcW w:w="1794" w:type="dxa"/>
            <w:shd w:val="clear" w:color="auto" w:fill="auto"/>
            <w:noWrap/>
            <w:vAlign w:val="bottom"/>
            <w:hideMark/>
          </w:tcPr>
          <w:p w:rsidR="00B53620" w:rsidRPr="00A746D8" w:rsidRDefault="00B53620" w:rsidP="00616667">
            <w:pPr>
              <w:jc w:val="center"/>
              <w:rPr>
                <w:b/>
                <w:bCs/>
                <w:color w:val="000000"/>
                <w:u w:val="single"/>
              </w:rPr>
            </w:pPr>
          </w:p>
          <w:p w:rsidR="00B53620" w:rsidRPr="00A746D8" w:rsidRDefault="00B53620" w:rsidP="00616667">
            <w:pPr>
              <w:jc w:val="center"/>
              <w:rPr>
                <w:b/>
                <w:bCs/>
                <w:color w:val="000000"/>
                <w:u w:val="single"/>
              </w:rPr>
            </w:pPr>
            <w:r w:rsidRPr="00A746D8">
              <w:rPr>
                <w:b/>
                <w:bCs/>
                <w:color w:val="000000"/>
                <w:u w:val="single"/>
              </w:rPr>
              <w:t>Adjustments</w:t>
            </w:r>
          </w:p>
        </w:tc>
        <w:tc>
          <w:tcPr>
            <w:tcW w:w="1703" w:type="dxa"/>
            <w:shd w:val="clear" w:color="auto" w:fill="auto"/>
            <w:noWrap/>
            <w:vAlign w:val="bottom"/>
            <w:hideMark/>
          </w:tcPr>
          <w:p w:rsidR="00B53620" w:rsidRPr="00A746D8" w:rsidRDefault="00B53620" w:rsidP="00616667">
            <w:pPr>
              <w:jc w:val="center"/>
              <w:rPr>
                <w:b/>
                <w:bCs/>
                <w:color w:val="000000"/>
                <w:u w:val="single"/>
              </w:rPr>
            </w:pPr>
            <w:r w:rsidRPr="00A746D8">
              <w:rPr>
                <w:b/>
                <w:bCs/>
                <w:color w:val="000000"/>
                <w:u w:val="single"/>
              </w:rPr>
              <w:t>Staff</w:t>
            </w:r>
          </w:p>
        </w:tc>
      </w:tr>
      <w:tr w:rsidR="00B53620" w:rsidRPr="00A746D8" w:rsidTr="00616667">
        <w:trPr>
          <w:trHeight w:val="290"/>
          <w:jc w:val="center"/>
        </w:trPr>
        <w:tc>
          <w:tcPr>
            <w:tcW w:w="3568" w:type="dxa"/>
            <w:shd w:val="clear" w:color="auto" w:fill="auto"/>
            <w:noWrap/>
            <w:vAlign w:val="bottom"/>
          </w:tcPr>
          <w:p w:rsidR="00B53620" w:rsidRPr="00A746D8" w:rsidRDefault="00B53620" w:rsidP="00616667">
            <w:pPr>
              <w:rPr>
                <w:color w:val="000000"/>
              </w:rPr>
            </w:pPr>
          </w:p>
        </w:tc>
        <w:tc>
          <w:tcPr>
            <w:tcW w:w="1545" w:type="dxa"/>
            <w:shd w:val="clear" w:color="auto" w:fill="auto"/>
            <w:noWrap/>
            <w:vAlign w:val="bottom"/>
          </w:tcPr>
          <w:p w:rsidR="00B53620" w:rsidRPr="00A746D8" w:rsidRDefault="00B53620" w:rsidP="00616667">
            <w:pPr>
              <w:jc w:val="right"/>
              <w:rPr>
                <w:color w:val="000000"/>
              </w:rPr>
            </w:pPr>
          </w:p>
        </w:tc>
        <w:tc>
          <w:tcPr>
            <w:tcW w:w="1794" w:type="dxa"/>
            <w:shd w:val="clear" w:color="auto" w:fill="auto"/>
            <w:noWrap/>
            <w:vAlign w:val="bottom"/>
          </w:tcPr>
          <w:p w:rsidR="00B53620" w:rsidRPr="00A746D8" w:rsidRDefault="00B53620" w:rsidP="00616667">
            <w:pPr>
              <w:jc w:val="right"/>
              <w:rPr>
                <w:color w:val="000000"/>
              </w:rPr>
            </w:pPr>
          </w:p>
        </w:tc>
        <w:tc>
          <w:tcPr>
            <w:tcW w:w="1703" w:type="dxa"/>
            <w:shd w:val="clear" w:color="auto" w:fill="auto"/>
            <w:noWrap/>
            <w:vAlign w:val="bottom"/>
          </w:tcPr>
          <w:p w:rsidR="00B53620" w:rsidRPr="00A746D8" w:rsidRDefault="00B53620" w:rsidP="00616667">
            <w:pPr>
              <w:jc w:val="right"/>
              <w:rPr>
                <w:color w:val="000000"/>
              </w:rPr>
            </w:pPr>
          </w:p>
        </w:tc>
      </w:tr>
      <w:tr w:rsidR="00B53620" w:rsidRPr="00A746D8" w:rsidTr="00616667">
        <w:trPr>
          <w:trHeight w:val="290"/>
          <w:jc w:val="center"/>
        </w:trPr>
        <w:tc>
          <w:tcPr>
            <w:tcW w:w="3568" w:type="dxa"/>
            <w:shd w:val="clear" w:color="auto" w:fill="auto"/>
            <w:noWrap/>
            <w:vAlign w:val="bottom"/>
            <w:hideMark/>
          </w:tcPr>
          <w:p w:rsidR="00B53620" w:rsidRPr="00A746D8" w:rsidRDefault="00B53620" w:rsidP="00616667">
            <w:pPr>
              <w:rPr>
                <w:color w:val="000000"/>
              </w:rPr>
            </w:pPr>
            <w:r w:rsidRPr="00A746D8">
              <w:rPr>
                <w:color w:val="000000"/>
              </w:rPr>
              <w:t xml:space="preserve"> Utility Plant in Service </w:t>
            </w:r>
          </w:p>
        </w:tc>
        <w:tc>
          <w:tcPr>
            <w:tcW w:w="1545" w:type="dxa"/>
            <w:shd w:val="clear" w:color="auto" w:fill="auto"/>
            <w:noWrap/>
            <w:vAlign w:val="bottom"/>
            <w:hideMark/>
          </w:tcPr>
          <w:p w:rsidR="00B53620" w:rsidRPr="00A746D8" w:rsidRDefault="00B53620" w:rsidP="00616667">
            <w:pPr>
              <w:jc w:val="right"/>
              <w:rPr>
                <w:color w:val="000000"/>
              </w:rPr>
            </w:pPr>
            <w:r w:rsidRPr="00A746D8">
              <w:rPr>
                <w:color w:val="000000"/>
              </w:rPr>
              <w:t xml:space="preserve"> $1,168,266 </w:t>
            </w:r>
          </w:p>
        </w:tc>
        <w:tc>
          <w:tcPr>
            <w:tcW w:w="1794" w:type="dxa"/>
            <w:shd w:val="clear" w:color="auto" w:fill="auto"/>
            <w:noWrap/>
            <w:vAlign w:val="bottom"/>
            <w:hideMark/>
          </w:tcPr>
          <w:p w:rsidR="00B53620" w:rsidRPr="00A746D8" w:rsidRDefault="00B53620" w:rsidP="00616667">
            <w:pPr>
              <w:jc w:val="right"/>
              <w:rPr>
                <w:color w:val="000000"/>
              </w:rPr>
            </w:pPr>
            <w:r w:rsidRPr="00A746D8">
              <w:rPr>
                <w:color w:val="000000"/>
              </w:rPr>
              <w:t>$14,470</w:t>
            </w:r>
          </w:p>
        </w:tc>
        <w:tc>
          <w:tcPr>
            <w:tcW w:w="1703" w:type="dxa"/>
            <w:shd w:val="clear" w:color="auto" w:fill="auto"/>
            <w:noWrap/>
            <w:vAlign w:val="bottom"/>
            <w:hideMark/>
          </w:tcPr>
          <w:p w:rsidR="00B53620" w:rsidRPr="00A746D8" w:rsidRDefault="00B53620" w:rsidP="00616667">
            <w:pPr>
              <w:jc w:val="right"/>
              <w:rPr>
                <w:color w:val="000000"/>
              </w:rPr>
            </w:pPr>
            <w:r w:rsidRPr="00A746D8">
              <w:rPr>
                <w:color w:val="000000"/>
              </w:rPr>
              <w:t xml:space="preserve"> $1,182,736 </w:t>
            </w:r>
          </w:p>
        </w:tc>
      </w:tr>
      <w:tr w:rsidR="00B53620" w:rsidRPr="00A746D8" w:rsidTr="00616667">
        <w:trPr>
          <w:trHeight w:val="290"/>
          <w:jc w:val="center"/>
        </w:trPr>
        <w:tc>
          <w:tcPr>
            <w:tcW w:w="3568" w:type="dxa"/>
            <w:shd w:val="clear" w:color="auto" w:fill="auto"/>
            <w:noWrap/>
            <w:vAlign w:val="bottom"/>
            <w:hideMark/>
          </w:tcPr>
          <w:p w:rsidR="00B53620" w:rsidRPr="00A746D8" w:rsidRDefault="00B53620" w:rsidP="00616667">
            <w:pPr>
              <w:rPr>
                <w:color w:val="000000"/>
              </w:rPr>
            </w:pPr>
            <w:r w:rsidRPr="00A746D8">
              <w:rPr>
                <w:color w:val="000000"/>
              </w:rPr>
              <w:t xml:space="preserve"> Land &amp; Land Rights </w:t>
            </w:r>
          </w:p>
        </w:tc>
        <w:tc>
          <w:tcPr>
            <w:tcW w:w="1545" w:type="dxa"/>
            <w:shd w:val="clear" w:color="auto" w:fill="auto"/>
            <w:noWrap/>
            <w:vAlign w:val="bottom"/>
            <w:hideMark/>
          </w:tcPr>
          <w:p w:rsidR="00B53620" w:rsidRPr="00A746D8" w:rsidRDefault="00B53620" w:rsidP="00616667">
            <w:pPr>
              <w:jc w:val="right"/>
              <w:rPr>
                <w:color w:val="000000"/>
              </w:rPr>
            </w:pPr>
            <w:r w:rsidRPr="00A746D8">
              <w:rPr>
                <w:color w:val="000000"/>
              </w:rPr>
              <w:t xml:space="preserve">                    - </w:t>
            </w:r>
          </w:p>
        </w:tc>
        <w:tc>
          <w:tcPr>
            <w:tcW w:w="1794" w:type="dxa"/>
            <w:shd w:val="clear" w:color="auto" w:fill="auto"/>
            <w:noWrap/>
            <w:vAlign w:val="bottom"/>
            <w:hideMark/>
          </w:tcPr>
          <w:p w:rsidR="00B53620" w:rsidRPr="00A746D8" w:rsidRDefault="00B53620" w:rsidP="00616667">
            <w:pPr>
              <w:jc w:val="right"/>
              <w:rPr>
                <w:color w:val="000000"/>
              </w:rPr>
            </w:pPr>
            <w:r w:rsidRPr="00A746D8">
              <w:rPr>
                <w:color w:val="000000"/>
              </w:rPr>
              <w:t>-</w:t>
            </w:r>
          </w:p>
        </w:tc>
        <w:tc>
          <w:tcPr>
            <w:tcW w:w="1703" w:type="dxa"/>
            <w:shd w:val="clear" w:color="auto" w:fill="auto"/>
            <w:noWrap/>
            <w:vAlign w:val="bottom"/>
            <w:hideMark/>
          </w:tcPr>
          <w:p w:rsidR="00B53620" w:rsidRPr="00A746D8" w:rsidRDefault="00B53620" w:rsidP="00616667">
            <w:pPr>
              <w:jc w:val="right"/>
              <w:rPr>
                <w:color w:val="000000"/>
              </w:rPr>
            </w:pPr>
            <w:r w:rsidRPr="00A746D8">
              <w:rPr>
                <w:color w:val="000000"/>
              </w:rPr>
              <w:t xml:space="preserve">                     - </w:t>
            </w:r>
          </w:p>
        </w:tc>
      </w:tr>
      <w:tr w:rsidR="00B53620" w:rsidRPr="00A746D8" w:rsidTr="00616667">
        <w:trPr>
          <w:trHeight w:val="290"/>
          <w:jc w:val="center"/>
        </w:trPr>
        <w:tc>
          <w:tcPr>
            <w:tcW w:w="3568" w:type="dxa"/>
            <w:shd w:val="clear" w:color="auto" w:fill="auto"/>
            <w:noWrap/>
            <w:vAlign w:val="bottom"/>
            <w:hideMark/>
          </w:tcPr>
          <w:p w:rsidR="00B53620" w:rsidRPr="00A746D8" w:rsidRDefault="00B53620" w:rsidP="00616667">
            <w:pPr>
              <w:rPr>
                <w:color w:val="000000"/>
              </w:rPr>
            </w:pPr>
            <w:r w:rsidRPr="00A746D8">
              <w:rPr>
                <w:color w:val="000000"/>
              </w:rPr>
              <w:t xml:space="preserve"> Accumulated Depreciation </w:t>
            </w:r>
          </w:p>
        </w:tc>
        <w:tc>
          <w:tcPr>
            <w:tcW w:w="1545" w:type="dxa"/>
            <w:shd w:val="clear" w:color="auto" w:fill="auto"/>
            <w:noWrap/>
            <w:vAlign w:val="bottom"/>
            <w:hideMark/>
          </w:tcPr>
          <w:p w:rsidR="00B53620" w:rsidRPr="00A746D8" w:rsidRDefault="00B53620" w:rsidP="00616667">
            <w:pPr>
              <w:jc w:val="right"/>
              <w:rPr>
                <w:color w:val="000000"/>
              </w:rPr>
            </w:pPr>
            <w:r>
              <w:rPr>
                <w:color w:val="000000"/>
              </w:rPr>
              <w:t xml:space="preserve"> </w:t>
            </w:r>
            <w:r w:rsidRPr="00A746D8">
              <w:rPr>
                <w:color w:val="000000"/>
              </w:rPr>
              <w:t xml:space="preserve">  (1,</w:t>
            </w:r>
            <w:r>
              <w:rPr>
                <w:color w:val="000000"/>
              </w:rPr>
              <w:t>168,266</w:t>
            </w:r>
            <w:r w:rsidRPr="00A746D8">
              <w:rPr>
                <w:color w:val="000000"/>
              </w:rPr>
              <w:t>)</w:t>
            </w:r>
          </w:p>
        </w:tc>
        <w:tc>
          <w:tcPr>
            <w:tcW w:w="1794" w:type="dxa"/>
            <w:shd w:val="clear" w:color="auto" w:fill="auto"/>
            <w:noWrap/>
            <w:vAlign w:val="bottom"/>
            <w:hideMark/>
          </w:tcPr>
          <w:p w:rsidR="00B53620" w:rsidRPr="00A746D8" w:rsidRDefault="00B53620" w:rsidP="00616667">
            <w:pPr>
              <w:jc w:val="right"/>
              <w:rPr>
                <w:color w:val="000000"/>
              </w:rPr>
            </w:pPr>
            <w:r>
              <w:rPr>
                <w:color w:val="000000"/>
              </w:rPr>
              <w:t>110,646</w:t>
            </w:r>
          </w:p>
        </w:tc>
        <w:tc>
          <w:tcPr>
            <w:tcW w:w="1703" w:type="dxa"/>
            <w:shd w:val="clear" w:color="auto" w:fill="auto"/>
            <w:noWrap/>
            <w:vAlign w:val="bottom"/>
            <w:hideMark/>
          </w:tcPr>
          <w:p w:rsidR="00B53620" w:rsidRPr="00A746D8" w:rsidRDefault="00B53620" w:rsidP="00616667">
            <w:pPr>
              <w:jc w:val="right"/>
              <w:rPr>
                <w:color w:val="000000"/>
              </w:rPr>
            </w:pPr>
            <w:r w:rsidRPr="00A746D8">
              <w:rPr>
                <w:color w:val="000000"/>
              </w:rPr>
              <w:t xml:space="preserve">    (1,057,620)</w:t>
            </w:r>
          </w:p>
        </w:tc>
      </w:tr>
      <w:tr w:rsidR="00B53620" w:rsidRPr="00A746D8" w:rsidTr="00616667">
        <w:trPr>
          <w:trHeight w:val="290"/>
          <w:jc w:val="center"/>
        </w:trPr>
        <w:tc>
          <w:tcPr>
            <w:tcW w:w="3568" w:type="dxa"/>
            <w:shd w:val="clear" w:color="auto" w:fill="auto"/>
            <w:noWrap/>
            <w:vAlign w:val="bottom"/>
            <w:hideMark/>
          </w:tcPr>
          <w:p w:rsidR="00B53620" w:rsidRPr="00A746D8" w:rsidRDefault="00B53620" w:rsidP="00616667">
            <w:pPr>
              <w:rPr>
                <w:color w:val="000000"/>
              </w:rPr>
            </w:pPr>
            <w:r w:rsidRPr="00A746D8">
              <w:rPr>
                <w:color w:val="000000"/>
              </w:rPr>
              <w:t xml:space="preserve"> CIAC </w:t>
            </w:r>
          </w:p>
        </w:tc>
        <w:tc>
          <w:tcPr>
            <w:tcW w:w="1545" w:type="dxa"/>
            <w:shd w:val="clear" w:color="auto" w:fill="auto"/>
            <w:noWrap/>
            <w:vAlign w:val="bottom"/>
            <w:hideMark/>
          </w:tcPr>
          <w:p w:rsidR="00B53620" w:rsidRPr="00A746D8" w:rsidRDefault="00B53620" w:rsidP="00616667">
            <w:pPr>
              <w:jc w:val="right"/>
              <w:rPr>
                <w:color w:val="000000"/>
              </w:rPr>
            </w:pPr>
            <w:r w:rsidRPr="00A746D8">
              <w:rPr>
                <w:color w:val="000000"/>
              </w:rPr>
              <w:t xml:space="preserve">        (21,980)</w:t>
            </w:r>
          </w:p>
        </w:tc>
        <w:tc>
          <w:tcPr>
            <w:tcW w:w="1794" w:type="dxa"/>
            <w:shd w:val="clear" w:color="auto" w:fill="auto"/>
            <w:noWrap/>
            <w:vAlign w:val="bottom"/>
            <w:hideMark/>
          </w:tcPr>
          <w:p w:rsidR="00B53620" w:rsidRPr="00A746D8" w:rsidRDefault="00B53620" w:rsidP="00616667">
            <w:pPr>
              <w:jc w:val="right"/>
              <w:rPr>
                <w:color w:val="000000"/>
              </w:rPr>
            </w:pPr>
            <w:r w:rsidRPr="00A746D8">
              <w:rPr>
                <w:color w:val="000000"/>
              </w:rPr>
              <w:t>-</w:t>
            </w:r>
          </w:p>
        </w:tc>
        <w:tc>
          <w:tcPr>
            <w:tcW w:w="1703" w:type="dxa"/>
            <w:shd w:val="clear" w:color="auto" w:fill="auto"/>
            <w:noWrap/>
            <w:vAlign w:val="bottom"/>
            <w:hideMark/>
          </w:tcPr>
          <w:p w:rsidR="00B53620" w:rsidRPr="00A746D8" w:rsidRDefault="00B53620" w:rsidP="00616667">
            <w:pPr>
              <w:jc w:val="right"/>
              <w:rPr>
                <w:color w:val="000000"/>
              </w:rPr>
            </w:pPr>
            <w:r w:rsidRPr="00A746D8">
              <w:rPr>
                <w:color w:val="000000"/>
              </w:rPr>
              <w:t xml:space="preserve">         (21,980)</w:t>
            </w:r>
          </w:p>
        </w:tc>
      </w:tr>
      <w:tr w:rsidR="00B53620" w:rsidRPr="00A746D8" w:rsidTr="00616667">
        <w:trPr>
          <w:trHeight w:val="301"/>
          <w:jc w:val="center"/>
        </w:trPr>
        <w:tc>
          <w:tcPr>
            <w:tcW w:w="3568" w:type="dxa"/>
            <w:shd w:val="clear" w:color="auto" w:fill="auto"/>
            <w:noWrap/>
            <w:vAlign w:val="bottom"/>
            <w:hideMark/>
          </w:tcPr>
          <w:p w:rsidR="00B53620" w:rsidRPr="00A746D8" w:rsidRDefault="00B53620" w:rsidP="00616667">
            <w:pPr>
              <w:rPr>
                <w:color w:val="000000"/>
              </w:rPr>
            </w:pPr>
            <w:r w:rsidRPr="00A746D8">
              <w:rPr>
                <w:color w:val="000000"/>
              </w:rPr>
              <w:t xml:space="preserve"> Amortization of CIAC </w:t>
            </w:r>
          </w:p>
        </w:tc>
        <w:tc>
          <w:tcPr>
            <w:tcW w:w="1545" w:type="dxa"/>
            <w:shd w:val="clear" w:color="auto" w:fill="auto"/>
            <w:noWrap/>
            <w:vAlign w:val="bottom"/>
            <w:hideMark/>
          </w:tcPr>
          <w:p w:rsidR="00B53620" w:rsidRPr="00A746D8" w:rsidRDefault="00B53620" w:rsidP="00616667">
            <w:pPr>
              <w:jc w:val="right"/>
              <w:rPr>
                <w:color w:val="000000"/>
                <w:u w:val="single"/>
              </w:rPr>
            </w:pPr>
            <w:r w:rsidRPr="00A746D8">
              <w:rPr>
                <w:color w:val="000000"/>
              </w:rPr>
              <w:t xml:space="preserve">           </w:t>
            </w:r>
            <w:r w:rsidRPr="00A746D8">
              <w:rPr>
                <w:color w:val="000000"/>
                <w:u w:val="single"/>
              </w:rPr>
              <w:t xml:space="preserve">21,980 </w:t>
            </w:r>
          </w:p>
        </w:tc>
        <w:tc>
          <w:tcPr>
            <w:tcW w:w="1794" w:type="dxa"/>
            <w:shd w:val="clear" w:color="auto" w:fill="auto"/>
            <w:noWrap/>
            <w:vAlign w:val="bottom"/>
            <w:hideMark/>
          </w:tcPr>
          <w:p w:rsidR="00B53620" w:rsidRPr="00B97558" w:rsidRDefault="00B53620" w:rsidP="00616667">
            <w:pPr>
              <w:jc w:val="right"/>
              <w:rPr>
                <w:color w:val="000000"/>
                <w:u w:val="single"/>
              </w:rPr>
            </w:pPr>
            <w:r w:rsidRPr="00B97558">
              <w:rPr>
                <w:color w:val="000000"/>
                <w:u w:val="single"/>
              </w:rPr>
              <w:t>-</w:t>
            </w:r>
          </w:p>
        </w:tc>
        <w:tc>
          <w:tcPr>
            <w:tcW w:w="1703" w:type="dxa"/>
            <w:shd w:val="clear" w:color="auto" w:fill="auto"/>
            <w:noWrap/>
            <w:vAlign w:val="bottom"/>
            <w:hideMark/>
          </w:tcPr>
          <w:p w:rsidR="00B53620" w:rsidRPr="00A746D8" w:rsidRDefault="00B53620" w:rsidP="00616667">
            <w:pPr>
              <w:jc w:val="right"/>
              <w:rPr>
                <w:color w:val="000000"/>
                <w:u w:val="single"/>
              </w:rPr>
            </w:pPr>
            <w:r w:rsidRPr="00A746D8">
              <w:rPr>
                <w:color w:val="000000"/>
              </w:rPr>
              <w:t xml:space="preserve">           </w:t>
            </w:r>
            <w:r w:rsidRPr="00A746D8">
              <w:rPr>
                <w:color w:val="000000"/>
                <w:u w:val="single"/>
              </w:rPr>
              <w:t xml:space="preserve">21,980 </w:t>
            </w:r>
          </w:p>
        </w:tc>
      </w:tr>
      <w:tr w:rsidR="00B53620" w:rsidRPr="00A746D8" w:rsidTr="00616667">
        <w:trPr>
          <w:trHeight w:val="301"/>
          <w:jc w:val="center"/>
        </w:trPr>
        <w:tc>
          <w:tcPr>
            <w:tcW w:w="3568" w:type="dxa"/>
            <w:shd w:val="clear" w:color="auto" w:fill="auto"/>
            <w:noWrap/>
            <w:vAlign w:val="bottom"/>
          </w:tcPr>
          <w:p w:rsidR="00B53620" w:rsidRPr="00A746D8" w:rsidRDefault="00B53620" w:rsidP="00616667">
            <w:pPr>
              <w:rPr>
                <w:color w:val="000000"/>
              </w:rPr>
            </w:pPr>
          </w:p>
        </w:tc>
        <w:tc>
          <w:tcPr>
            <w:tcW w:w="1545" w:type="dxa"/>
            <w:shd w:val="clear" w:color="auto" w:fill="auto"/>
            <w:noWrap/>
            <w:vAlign w:val="bottom"/>
          </w:tcPr>
          <w:p w:rsidR="00B53620" w:rsidRPr="00A746D8" w:rsidRDefault="00B53620" w:rsidP="00616667">
            <w:pPr>
              <w:jc w:val="right"/>
              <w:rPr>
                <w:color w:val="000000"/>
              </w:rPr>
            </w:pPr>
          </w:p>
        </w:tc>
        <w:tc>
          <w:tcPr>
            <w:tcW w:w="1794" w:type="dxa"/>
            <w:shd w:val="clear" w:color="auto" w:fill="auto"/>
            <w:noWrap/>
            <w:vAlign w:val="bottom"/>
          </w:tcPr>
          <w:p w:rsidR="00B53620" w:rsidRPr="00A746D8" w:rsidRDefault="00B53620" w:rsidP="00616667">
            <w:pPr>
              <w:jc w:val="right"/>
              <w:rPr>
                <w:color w:val="000000"/>
              </w:rPr>
            </w:pPr>
          </w:p>
        </w:tc>
        <w:tc>
          <w:tcPr>
            <w:tcW w:w="1703" w:type="dxa"/>
            <w:shd w:val="clear" w:color="auto" w:fill="auto"/>
            <w:noWrap/>
            <w:vAlign w:val="bottom"/>
          </w:tcPr>
          <w:p w:rsidR="00B53620" w:rsidRPr="00A746D8" w:rsidRDefault="00B53620" w:rsidP="00616667">
            <w:pPr>
              <w:jc w:val="right"/>
              <w:rPr>
                <w:color w:val="000000"/>
              </w:rPr>
            </w:pPr>
          </w:p>
        </w:tc>
      </w:tr>
      <w:tr w:rsidR="00B53620" w:rsidRPr="00A746D8" w:rsidTr="00616667">
        <w:trPr>
          <w:trHeight w:val="301"/>
          <w:jc w:val="center"/>
        </w:trPr>
        <w:tc>
          <w:tcPr>
            <w:tcW w:w="3568" w:type="dxa"/>
            <w:shd w:val="clear" w:color="auto" w:fill="auto"/>
            <w:noWrap/>
            <w:vAlign w:val="bottom"/>
            <w:hideMark/>
          </w:tcPr>
          <w:p w:rsidR="00B53620" w:rsidRPr="00A746D8" w:rsidRDefault="00B53620" w:rsidP="00616667">
            <w:pPr>
              <w:rPr>
                <w:color w:val="000000"/>
              </w:rPr>
            </w:pPr>
            <w:r w:rsidRPr="00A746D8">
              <w:rPr>
                <w:color w:val="000000"/>
              </w:rPr>
              <w:t>Total</w:t>
            </w:r>
          </w:p>
        </w:tc>
        <w:tc>
          <w:tcPr>
            <w:tcW w:w="1545" w:type="dxa"/>
            <w:shd w:val="clear" w:color="auto" w:fill="auto"/>
            <w:noWrap/>
            <w:vAlign w:val="bottom"/>
            <w:hideMark/>
          </w:tcPr>
          <w:p w:rsidR="00B53620" w:rsidRPr="00A746D8" w:rsidRDefault="00B53620" w:rsidP="00616667">
            <w:pPr>
              <w:jc w:val="right"/>
              <w:rPr>
                <w:color w:val="000000"/>
                <w:u w:val="double"/>
              </w:rPr>
            </w:pPr>
            <w:r w:rsidRPr="00A746D8">
              <w:rPr>
                <w:color w:val="000000"/>
              </w:rPr>
              <w:t xml:space="preserve"> </w:t>
            </w:r>
            <w:r w:rsidRPr="00A746D8">
              <w:rPr>
                <w:color w:val="000000"/>
                <w:u w:val="double"/>
              </w:rPr>
              <w:t>$</w:t>
            </w:r>
            <w:r>
              <w:rPr>
                <w:color w:val="000000"/>
                <w:u w:val="double"/>
              </w:rPr>
              <w:t>0</w:t>
            </w:r>
            <w:r w:rsidRPr="00A746D8">
              <w:rPr>
                <w:color w:val="000000"/>
                <w:u w:val="double"/>
              </w:rPr>
              <w:t xml:space="preserve"> </w:t>
            </w:r>
          </w:p>
        </w:tc>
        <w:tc>
          <w:tcPr>
            <w:tcW w:w="1794" w:type="dxa"/>
            <w:shd w:val="clear" w:color="auto" w:fill="auto"/>
            <w:noWrap/>
            <w:vAlign w:val="bottom"/>
            <w:hideMark/>
          </w:tcPr>
          <w:p w:rsidR="00B53620" w:rsidRPr="00A746D8" w:rsidRDefault="00B53620" w:rsidP="00616667">
            <w:pPr>
              <w:jc w:val="right"/>
              <w:rPr>
                <w:color w:val="000000"/>
                <w:u w:val="double"/>
              </w:rPr>
            </w:pPr>
            <w:r w:rsidRPr="00A746D8">
              <w:rPr>
                <w:color w:val="000000"/>
                <w:u w:val="double"/>
              </w:rPr>
              <w:t>$</w:t>
            </w:r>
            <w:r>
              <w:rPr>
                <w:color w:val="000000"/>
                <w:u w:val="double"/>
              </w:rPr>
              <w:t>125,116</w:t>
            </w:r>
          </w:p>
        </w:tc>
        <w:tc>
          <w:tcPr>
            <w:tcW w:w="1703" w:type="dxa"/>
            <w:shd w:val="clear" w:color="auto" w:fill="auto"/>
            <w:noWrap/>
            <w:vAlign w:val="bottom"/>
            <w:hideMark/>
          </w:tcPr>
          <w:p w:rsidR="00B53620" w:rsidRPr="00A746D8" w:rsidRDefault="00B53620" w:rsidP="00616667">
            <w:pPr>
              <w:jc w:val="right"/>
              <w:rPr>
                <w:color w:val="000000"/>
                <w:u w:val="double"/>
              </w:rPr>
            </w:pPr>
            <w:r w:rsidRPr="00A746D8">
              <w:rPr>
                <w:color w:val="000000"/>
              </w:rPr>
              <w:t xml:space="preserve"> </w:t>
            </w:r>
            <w:r w:rsidRPr="00A746D8">
              <w:rPr>
                <w:color w:val="000000"/>
                <w:u w:val="double"/>
              </w:rPr>
              <w:t xml:space="preserve">$125,116 </w:t>
            </w:r>
          </w:p>
        </w:tc>
      </w:tr>
      <w:tr w:rsidR="00B53620" w:rsidRPr="00A746D8" w:rsidTr="00616667">
        <w:trPr>
          <w:trHeight w:val="301"/>
          <w:jc w:val="center"/>
        </w:trPr>
        <w:tc>
          <w:tcPr>
            <w:tcW w:w="3568" w:type="dxa"/>
            <w:shd w:val="clear" w:color="auto" w:fill="auto"/>
            <w:noWrap/>
            <w:vAlign w:val="bottom"/>
          </w:tcPr>
          <w:p w:rsidR="00B53620" w:rsidRPr="00A746D8" w:rsidRDefault="00B53620" w:rsidP="00616667">
            <w:pPr>
              <w:rPr>
                <w:color w:val="000000"/>
              </w:rPr>
            </w:pPr>
          </w:p>
        </w:tc>
        <w:tc>
          <w:tcPr>
            <w:tcW w:w="1545" w:type="dxa"/>
            <w:shd w:val="clear" w:color="auto" w:fill="auto"/>
            <w:noWrap/>
            <w:vAlign w:val="bottom"/>
          </w:tcPr>
          <w:p w:rsidR="00B53620" w:rsidRPr="00A746D8" w:rsidRDefault="00B53620" w:rsidP="00616667">
            <w:pPr>
              <w:jc w:val="right"/>
              <w:rPr>
                <w:color w:val="000000"/>
              </w:rPr>
            </w:pPr>
          </w:p>
        </w:tc>
        <w:tc>
          <w:tcPr>
            <w:tcW w:w="1794" w:type="dxa"/>
            <w:shd w:val="clear" w:color="auto" w:fill="auto"/>
            <w:noWrap/>
            <w:vAlign w:val="bottom"/>
          </w:tcPr>
          <w:p w:rsidR="00B53620" w:rsidRPr="00A746D8" w:rsidRDefault="00B53620" w:rsidP="00616667">
            <w:pPr>
              <w:jc w:val="right"/>
              <w:rPr>
                <w:color w:val="000000"/>
                <w:u w:val="double"/>
              </w:rPr>
            </w:pPr>
          </w:p>
        </w:tc>
        <w:tc>
          <w:tcPr>
            <w:tcW w:w="1703" w:type="dxa"/>
            <w:shd w:val="clear" w:color="auto" w:fill="auto"/>
            <w:noWrap/>
            <w:vAlign w:val="bottom"/>
          </w:tcPr>
          <w:p w:rsidR="00B53620" w:rsidRPr="00A746D8" w:rsidRDefault="00B53620" w:rsidP="00616667">
            <w:pPr>
              <w:jc w:val="right"/>
              <w:rPr>
                <w:color w:val="000000"/>
              </w:rPr>
            </w:pPr>
          </w:p>
        </w:tc>
      </w:tr>
    </w:tbl>
    <w:p w:rsidR="00B53620" w:rsidRDefault="00B53620" w:rsidP="00B53620"/>
    <w:p w:rsidR="00B53620" w:rsidRPr="00A746D8" w:rsidRDefault="00B53620" w:rsidP="00B53620"/>
    <w:p w:rsidR="00B53620" w:rsidRPr="00451142" w:rsidRDefault="00B53620" w:rsidP="00B53620">
      <w:pPr>
        <w:jc w:val="center"/>
        <w:rPr>
          <w:b/>
          <w:bCs/>
        </w:rPr>
      </w:pPr>
      <w:r w:rsidRPr="00451142">
        <w:rPr>
          <w:b/>
          <w:bCs/>
        </w:rPr>
        <w:t>Wastewater System</w:t>
      </w:r>
    </w:p>
    <w:tbl>
      <w:tblPr>
        <w:tblW w:w="86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56"/>
        <w:gridCol w:w="1710"/>
        <w:gridCol w:w="1769"/>
        <w:gridCol w:w="1429"/>
      </w:tblGrid>
      <w:tr w:rsidR="00B53620" w:rsidRPr="008B02B0" w:rsidTr="00616667">
        <w:trPr>
          <w:trHeight w:val="270"/>
          <w:jc w:val="center"/>
        </w:trPr>
        <w:tc>
          <w:tcPr>
            <w:tcW w:w="3756" w:type="dxa"/>
            <w:shd w:val="clear" w:color="auto" w:fill="auto"/>
            <w:noWrap/>
            <w:vAlign w:val="bottom"/>
            <w:hideMark/>
          </w:tcPr>
          <w:p w:rsidR="00B53620" w:rsidRPr="008B02B0" w:rsidRDefault="00B53620" w:rsidP="00616667">
            <w:pPr>
              <w:jc w:val="center"/>
              <w:rPr>
                <w:b/>
                <w:bCs/>
              </w:rPr>
            </w:pPr>
            <w:r w:rsidRPr="00070DDC">
              <w:rPr>
                <w:b/>
                <w:bCs/>
                <w:u w:val="single"/>
              </w:rPr>
              <w:t>Description</w:t>
            </w:r>
          </w:p>
        </w:tc>
        <w:tc>
          <w:tcPr>
            <w:tcW w:w="1710" w:type="dxa"/>
            <w:shd w:val="clear" w:color="auto" w:fill="auto"/>
            <w:noWrap/>
            <w:vAlign w:val="bottom"/>
            <w:hideMark/>
          </w:tcPr>
          <w:p w:rsidR="00B53620" w:rsidRDefault="00B53620" w:rsidP="00616667">
            <w:pPr>
              <w:jc w:val="center"/>
              <w:rPr>
                <w:b/>
                <w:bCs/>
                <w:color w:val="000000"/>
                <w:u w:val="single"/>
              </w:rPr>
            </w:pPr>
            <w:r w:rsidRPr="008B4BF7">
              <w:rPr>
                <w:b/>
                <w:bCs/>
                <w:color w:val="000000"/>
              </w:rPr>
              <w:t>Balance</w:t>
            </w:r>
            <w:r w:rsidRPr="00070DDC">
              <w:rPr>
                <w:b/>
                <w:bCs/>
                <w:color w:val="000000"/>
                <w:u w:val="single"/>
              </w:rPr>
              <w:t xml:space="preserve"> </w:t>
            </w:r>
          </w:p>
          <w:p w:rsidR="00B53620" w:rsidRPr="008B02B0" w:rsidRDefault="00B53620" w:rsidP="00616667">
            <w:pPr>
              <w:jc w:val="center"/>
              <w:rPr>
                <w:b/>
                <w:bCs/>
                <w:color w:val="000000"/>
                <w:u w:val="single"/>
              </w:rPr>
            </w:pPr>
            <w:r w:rsidRPr="00070DDC">
              <w:rPr>
                <w:b/>
                <w:bCs/>
                <w:color w:val="000000"/>
                <w:u w:val="single"/>
              </w:rPr>
              <w:t>Per</w:t>
            </w:r>
            <w:r>
              <w:rPr>
                <w:b/>
                <w:bCs/>
                <w:color w:val="000000"/>
                <w:u w:val="single"/>
              </w:rPr>
              <w:t xml:space="preserve"> </w:t>
            </w:r>
            <w:r w:rsidRPr="008B02B0">
              <w:rPr>
                <w:b/>
                <w:bCs/>
                <w:color w:val="000000"/>
                <w:u w:val="single"/>
              </w:rPr>
              <w:t>Utility</w:t>
            </w:r>
          </w:p>
        </w:tc>
        <w:tc>
          <w:tcPr>
            <w:tcW w:w="1769" w:type="dxa"/>
            <w:shd w:val="clear" w:color="auto" w:fill="auto"/>
            <w:noWrap/>
            <w:vAlign w:val="bottom"/>
            <w:hideMark/>
          </w:tcPr>
          <w:p w:rsidR="00B53620" w:rsidRPr="008B02B0" w:rsidRDefault="00B53620" w:rsidP="00616667">
            <w:pPr>
              <w:jc w:val="center"/>
              <w:rPr>
                <w:b/>
                <w:bCs/>
                <w:color w:val="000000"/>
                <w:u w:val="single"/>
              </w:rPr>
            </w:pPr>
            <w:r w:rsidRPr="00070DDC">
              <w:rPr>
                <w:b/>
                <w:bCs/>
                <w:color w:val="000000"/>
              </w:rPr>
              <w:t xml:space="preserve">     </w:t>
            </w:r>
            <w:r w:rsidRPr="008B02B0">
              <w:rPr>
                <w:b/>
                <w:bCs/>
                <w:color w:val="000000"/>
                <w:u w:val="single"/>
              </w:rPr>
              <w:t>Adjustment</w:t>
            </w:r>
            <w:r>
              <w:rPr>
                <w:b/>
                <w:bCs/>
                <w:color w:val="000000"/>
                <w:u w:val="single"/>
              </w:rPr>
              <w:t>s</w:t>
            </w:r>
          </w:p>
        </w:tc>
        <w:tc>
          <w:tcPr>
            <w:tcW w:w="1429" w:type="dxa"/>
            <w:shd w:val="clear" w:color="auto" w:fill="auto"/>
            <w:noWrap/>
            <w:vAlign w:val="bottom"/>
            <w:hideMark/>
          </w:tcPr>
          <w:p w:rsidR="00B53620" w:rsidRPr="008B02B0" w:rsidRDefault="00B53620" w:rsidP="00616667">
            <w:pPr>
              <w:jc w:val="center"/>
              <w:rPr>
                <w:b/>
                <w:bCs/>
                <w:color w:val="000000"/>
                <w:u w:val="single"/>
              </w:rPr>
            </w:pPr>
            <w:r w:rsidRPr="00070DDC">
              <w:rPr>
                <w:b/>
                <w:bCs/>
                <w:color w:val="000000"/>
              </w:rPr>
              <w:t xml:space="preserve">       </w:t>
            </w:r>
            <w:r w:rsidRPr="008B02B0">
              <w:rPr>
                <w:b/>
                <w:bCs/>
                <w:color w:val="000000"/>
                <w:u w:val="single"/>
              </w:rPr>
              <w:t>Staff</w:t>
            </w:r>
          </w:p>
        </w:tc>
      </w:tr>
      <w:tr w:rsidR="00B53620" w:rsidRPr="008B02B0" w:rsidTr="00616667">
        <w:trPr>
          <w:trHeight w:val="270"/>
          <w:jc w:val="center"/>
        </w:trPr>
        <w:tc>
          <w:tcPr>
            <w:tcW w:w="3756" w:type="dxa"/>
            <w:shd w:val="clear" w:color="auto" w:fill="auto"/>
            <w:noWrap/>
            <w:vAlign w:val="bottom"/>
          </w:tcPr>
          <w:p w:rsidR="00B53620" w:rsidRPr="008B02B0" w:rsidRDefault="00B53620" w:rsidP="00616667">
            <w:pPr>
              <w:rPr>
                <w:color w:val="000000"/>
              </w:rPr>
            </w:pPr>
          </w:p>
        </w:tc>
        <w:tc>
          <w:tcPr>
            <w:tcW w:w="1710" w:type="dxa"/>
            <w:shd w:val="clear" w:color="auto" w:fill="auto"/>
            <w:noWrap/>
            <w:vAlign w:val="bottom"/>
          </w:tcPr>
          <w:p w:rsidR="00B53620" w:rsidRPr="008B02B0" w:rsidRDefault="00B53620" w:rsidP="00616667">
            <w:pPr>
              <w:jc w:val="right"/>
              <w:rPr>
                <w:color w:val="000000"/>
              </w:rPr>
            </w:pPr>
          </w:p>
        </w:tc>
        <w:tc>
          <w:tcPr>
            <w:tcW w:w="1769" w:type="dxa"/>
            <w:shd w:val="clear" w:color="auto" w:fill="auto"/>
            <w:noWrap/>
            <w:vAlign w:val="bottom"/>
          </w:tcPr>
          <w:p w:rsidR="00B53620" w:rsidRPr="008B02B0" w:rsidRDefault="00B53620" w:rsidP="00616667">
            <w:pPr>
              <w:jc w:val="right"/>
              <w:rPr>
                <w:color w:val="000000"/>
              </w:rPr>
            </w:pPr>
          </w:p>
        </w:tc>
        <w:tc>
          <w:tcPr>
            <w:tcW w:w="1429" w:type="dxa"/>
            <w:shd w:val="clear" w:color="auto" w:fill="auto"/>
            <w:noWrap/>
            <w:vAlign w:val="bottom"/>
          </w:tcPr>
          <w:p w:rsidR="00B53620" w:rsidRPr="008B02B0" w:rsidRDefault="00B53620" w:rsidP="00616667">
            <w:pPr>
              <w:jc w:val="right"/>
              <w:rPr>
                <w:color w:val="000000"/>
              </w:rPr>
            </w:pPr>
          </w:p>
        </w:tc>
      </w:tr>
      <w:tr w:rsidR="00B53620" w:rsidRPr="0047552B" w:rsidTr="00616667">
        <w:trPr>
          <w:trHeight w:val="270"/>
          <w:jc w:val="center"/>
        </w:trPr>
        <w:tc>
          <w:tcPr>
            <w:tcW w:w="3756" w:type="dxa"/>
            <w:shd w:val="clear" w:color="auto" w:fill="auto"/>
            <w:noWrap/>
            <w:vAlign w:val="bottom"/>
            <w:hideMark/>
          </w:tcPr>
          <w:p w:rsidR="00B53620" w:rsidRPr="0047552B" w:rsidRDefault="00B53620" w:rsidP="00616667">
            <w:pPr>
              <w:rPr>
                <w:color w:val="000000"/>
              </w:rPr>
            </w:pPr>
            <w:r w:rsidRPr="0047552B">
              <w:rPr>
                <w:color w:val="000000"/>
              </w:rPr>
              <w:t xml:space="preserve"> Utility Plant in Service </w:t>
            </w:r>
          </w:p>
        </w:tc>
        <w:tc>
          <w:tcPr>
            <w:tcW w:w="1710"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$62,315 </w:t>
            </w:r>
          </w:p>
        </w:tc>
        <w:tc>
          <w:tcPr>
            <w:tcW w:w="1769"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w:t>
            </w:r>
            <w:r>
              <w:rPr>
                <w:color w:val="000000"/>
              </w:rPr>
              <w:t>-</w:t>
            </w:r>
            <w:r w:rsidRPr="0047552B">
              <w:rPr>
                <w:color w:val="000000"/>
              </w:rPr>
              <w:t xml:space="preserve"> </w:t>
            </w:r>
          </w:p>
        </w:tc>
        <w:tc>
          <w:tcPr>
            <w:tcW w:w="1429"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$62,315 </w:t>
            </w:r>
          </w:p>
        </w:tc>
      </w:tr>
      <w:tr w:rsidR="00B53620" w:rsidRPr="0047552B" w:rsidTr="00616667">
        <w:trPr>
          <w:trHeight w:val="270"/>
          <w:jc w:val="center"/>
        </w:trPr>
        <w:tc>
          <w:tcPr>
            <w:tcW w:w="3756" w:type="dxa"/>
            <w:shd w:val="clear" w:color="auto" w:fill="auto"/>
            <w:noWrap/>
            <w:vAlign w:val="bottom"/>
            <w:hideMark/>
          </w:tcPr>
          <w:p w:rsidR="00B53620" w:rsidRPr="0047552B" w:rsidRDefault="00B53620" w:rsidP="00616667">
            <w:pPr>
              <w:rPr>
                <w:color w:val="000000"/>
              </w:rPr>
            </w:pPr>
            <w:r w:rsidRPr="0047552B">
              <w:rPr>
                <w:color w:val="000000"/>
              </w:rPr>
              <w:t xml:space="preserve"> Land &amp; Land Rights </w:t>
            </w:r>
          </w:p>
        </w:tc>
        <w:tc>
          <w:tcPr>
            <w:tcW w:w="1710"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 </w:t>
            </w:r>
          </w:p>
        </w:tc>
        <w:tc>
          <w:tcPr>
            <w:tcW w:w="1769"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w:t>
            </w:r>
            <w:r>
              <w:rPr>
                <w:color w:val="000000"/>
              </w:rPr>
              <w:t>-</w:t>
            </w:r>
            <w:r w:rsidRPr="0047552B">
              <w:rPr>
                <w:color w:val="000000"/>
              </w:rPr>
              <w:t xml:space="preserve"> </w:t>
            </w:r>
          </w:p>
        </w:tc>
        <w:tc>
          <w:tcPr>
            <w:tcW w:w="1429"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w:t>
            </w:r>
            <w:r>
              <w:rPr>
                <w:color w:val="000000"/>
              </w:rPr>
              <w:t>-</w:t>
            </w:r>
            <w:r w:rsidRPr="0047552B">
              <w:rPr>
                <w:color w:val="000000"/>
              </w:rPr>
              <w:t xml:space="preserve"> </w:t>
            </w:r>
          </w:p>
        </w:tc>
      </w:tr>
      <w:tr w:rsidR="00B53620" w:rsidRPr="0047552B" w:rsidTr="00616667">
        <w:trPr>
          <w:trHeight w:val="270"/>
          <w:jc w:val="center"/>
        </w:trPr>
        <w:tc>
          <w:tcPr>
            <w:tcW w:w="3756" w:type="dxa"/>
            <w:shd w:val="clear" w:color="auto" w:fill="auto"/>
            <w:noWrap/>
            <w:vAlign w:val="bottom"/>
            <w:hideMark/>
          </w:tcPr>
          <w:p w:rsidR="00B53620" w:rsidRPr="0047552B" w:rsidRDefault="00B53620" w:rsidP="00616667">
            <w:pPr>
              <w:rPr>
                <w:color w:val="000000"/>
              </w:rPr>
            </w:pPr>
            <w:r w:rsidRPr="0047552B">
              <w:rPr>
                <w:color w:val="000000"/>
              </w:rPr>
              <w:t xml:space="preserve"> Accumulated Depreciation </w:t>
            </w:r>
          </w:p>
        </w:tc>
        <w:tc>
          <w:tcPr>
            <w:tcW w:w="1710"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(4</w:t>
            </w:r>
            <w:r>
              <w:rPr>
                <w:color w:val="000000"/>
              </w:rPr>
              <w:t>2,298</w:t>
            </w:r>
            <w:r w:rsidRPr="0047552B">
              <w:rPr>
                <w:color w:val="000000"/>
              </w:rPr>
              <w:t>)</w:t>
            </w:r>
          </w:p>
        </w:tc>
        <w:tc>
          <w:tcPr>
            <w:tcW w:w="1769"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w:t>
            </w:r>
            <w:r>
              <w:rPr>
                <w:color w:val="000000"/>
              </w:rPr>
              <w:t>560</w:t>
            </w:r>
          </w:p>
        </w:tc>
        <w:tc>
          <w:tcPr>
            <w:tcW w:w="1429"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(41,738)</w:t>
            </w:r>
          </w:p>
        </w:tc>
      </w:tr>
      <w:tr w:rsidR="00B53620" w:rsidRPr="0047552B" w:rsidTr="00616667">
        <w:trPr>
          <w:trHeight w:val="270"/>
          <w:jc w:val="center"/>
        </w:trPr>
        <w:tc>
          <w:tcPr>
            <w:tcW w:w="3756" w:type="dxa"/>
            <w:shd w:val="clear" w:color="auto" w:fill="auto"/>
            <w:noWrap/>
            <w:vAlign w:val="bottom"/>
            <w:hideMark/>
          </w:tcPr>
          <w:p w:rsidR="00B53620" w:rsidRPr="0047552B" w:rsidRDefault="00B53620" w:rsidP="00616667">
            <w:pPr>
              <w:rPr>
                <w:color w:val="000000"/>
              </w:rPr>
            </w:pPr>
            <w:r w:rsidRPr="0047552B">
              <w:rPr>
                <w:color w:val="000000"/>
              </w:rPr>
              <w:t xml:space="preserve"> CIAC </w:t>
            </w:r>
          </w:p>
        </w:tc>
        <w:tc>
          <w:tcPr>
            <w:tcW w:w="1710"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(30,260)</w:t>
            </w:r>
          </w:p>
        </w:tc>
        <w:tc>
          <w:tcPr>
            <w:tcW w:w="1769"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w:t>
            </w:r>
            <w:r>
              <w:rPr>
                <w:color w:val="000000"/>
              </w:rPr>
              <w:t>-</w:t>
            </w:r>
            <w:r w:rsidRPr="0047552B">
              <w:rPr>
                <w:color w:val="000000"/>
              </w:rPr>
              <w:t xml:space="preserve"> </w:t>
            </w:r>
          </w:p>
        </w:tc>
        <w:tc>
          <w:tcPr>
            <w:tcW w:w="1429"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(30,260)</w:t>
            </w:r>
          </w:p>
        </w:tc>
      </w:tr>
      <w:tr w:rsidR="00B53620" w:rsidRPr="0047552B" w:rsidTr="00616667">
        <w:trPr>
          <w:trHeight w:val="270"/>
          <w:jc w:val="center"/>
        </w:trPr>
        <w:tc>
          <w:tcPr>
            <w:tcW w:w="3756" w:type="dxa"/>
            <w:shd w:val="clear" w:color="auto" w:fill="auto"/>
            <w:noWrap/>
            <w:vAlign w:val="bottom"/>
            <w:hideMark/>
          </w:tcPr>
          <w:p w:rsidR="00B53620" w:rsidRPr="0047552B" w:rsidRDefault="00B53620" w:rsidP="00616667">
            <w:pPr>
              <w:rPr>
                <w:color w:val="000000"/>
              </w:rPr>
            </w:pPr>
            <w:r w:rsidRPr="0047552B">
              <w:rPr>
                <w:color w:val="000000"/>
              </w:rPr>
              <w:t xml:space="preserve"> Amortization of CIAC </w:t>
            </w:r>
          </w:p>
        </w:tc>
        <w:tc>
          <w:tcPr>
            <w:tcW w:w="1710" w:type="dxa"/>
            <w:shd w:val="clear" w:color="auto" w:fill="auto"/>
            <w:noWrap/>
            <w:vAlign w:val="bottom"/>
            <w:hideMark/>
          </w:tcPr>
          <w:p w:rsidR="00B53620" w:rsidRPr="0047552B" w:rsidRDefault="00B53620" w:rsidP="00616667">
            <w:pPr>
              <w:jc w:val="right"/>
              <w:rPr>
                <w:color w:val="000000"/>
                <w:u w:val="single"/>
              </w:rPr>
            </w:pPr>
            <w:r w:rsidRPr="0047552B">
              <w:rPr>
                <w:color w:val="000000"/>
              </w:rPr>
              <w:t xml:space="preserve">         </w:t>
            </w:r>
            <w:r w:rsidRPr="0047552B">
              <w:rPr>
                <w:color w:val="000000"/>
                <w:u w:val="single"/>
              </w:rPr>
              <w:t xml:space="preserve">30,260 </w:t>
            </w:r>
          </w:p>
        </w:tc>
        <w:tc>
          <w:tcPr>
            <w:tcW w:w="1769" w:type="dxa"/>
            <w:shd w:val="clear" w:color="auto" w:fill="auto"/>
            <w:noWrap/>
            <w:vAlign w:val="bottom"/>
            <w:hideMark/>
          </w:tcPr>
          <w:p w:rsidR="00B53620" w:rsidRPr="0047552B" w:rsidRDefault="00B53620" w:rsidP="00616667">
            <w:pPr>
              <w:jc w:val="right"/>
              <w:rPr>
                <w:color w:val="000000"/>
                <w:u w:val="single"/>
              </w:rPr>
            </w:pPr>
            <w:r w:rsidRPr="0047552B">
              <w:rPr>
                <w:color w:val="000000"/>
              </w:rPr>
              <w:t xml:space="preserve">                   </w:t>
            </w:r>
            <w:r>
              <w:rPr>
                <w:color w:val="000000"/>
              </w:rPr>
              <w:t>-</w:t>
            </w:r>
            <w:r w:rsidRPr="0047552B">
              <w:rPr>
                <w:color w:val="000000"/>
                <w:u w:val="single"/>
              </w:rPr>
              <w:t xml:space="preserve"> </w:t>
            </w:r>
          </w:p>
        </w:tc>
        <w:tc>
          <w:tcPr>
            <w:tcW w:w="1429" w:type="dxa"/>
            <w:shd w:val="clear" w:color="auto" w:fill="auto"/>
            <w:noWrap/>
            <w:vAlign w:val="bottom"/>
            <w:hideMark/>
          </w:tcPr>
          <w:p w:rsidR="00B53620" w:rsidRPr="0047552B" w:rsidRDefault="00B53620" w:rsidP="00616667">
            <w:pPr>
              <w:jc w:val="right"/>
              <w:rPr>
                <w:color w:val="000000"/>
                <w:u w:val="single"/>
              </w:rPr>
            </w:pPr>
            <w:r w:rsidRPr="0047552B">
              <w:rPr>
                <w:color w:val="000000"/>
              </w:rPr>
              <w:t xml:space="preserve">     </w:t>
            </w:r>
            <w:r w:rsidRPr="0047552B">
              <w:rPr>
                <w:color w:val="000000"/>
                <w:u w:val="single"/>
              </w:rPr>
              <w:t xml:space="preserve">30,260 </w:t>
            </w:r>
          </w:p>
        </w:tc>
      </w:tr>
      <w:tr w:rsidR="00B53620" w:rsidRPr="0047552B" w:rsidTr="00616667">
        <w:trPr>
          <w:trHeight w:val="270"/>
          <w:jc w:val="center"/>
        </w:trPr>
        <w:tc>
          <w:tcPr>
            <w:tcW w:w="3756" w:type="dxa"/>
            <w:shd w:val="clear" w:color="auto" w:fill="auto"/>
            <w:noWrap/>
            <w:vAlign w:val="bottom"/>
          </w:tcPr>
          <w:p w:rsidR="00B53620" w:rsidRPr="0047552B" w:rsidRDefault="00B53620" w:rsidP="00616667">
            <w:pPr>
              <w:rPr>
                <w:color w:val="000000"/>
              </w:rPr>
            </w:pPr>
          </w:p>
        </w:tc>
        <w:tc>
          <w:tcPr>
            <w:tcW w:w="1710" w:type="dxa"/>
            <w:shd w:val="clear" w:color="auto" w:fill="auto"/>
            <w:noWrap/>
            <w:vAlign w:val="bottom"/>
          </w:tcPr>
          <w:p w:rsidR="00B53620" w:rsidRPr="0047552B" w:rsidRDefault="00B53620" w:rsidP="00616667">
            <w:pPr>
              <w:jc w:val="right"/>
              <w:rPr>
                <w:color w:val="000000"/>
              </w:rPr>
            </w:pPr>
          </w:p>
        </w:tc>
        <w:tc>
          <w:tcPr>
            <w:tcW w:w="1769" w:type="dxa"/>
            <w:shd w:val="clear" w:color="auto" w:fill="auto"/>
            <w:noWrap/>
            <w:vAlign w:val="bottom"/>
          </w:tcPr>
          <w:p w:rsidR="00B53620" w:rsidRPr="0047552B" w:rsidRDefault="00B53620" w:rsidP="00616667">
            <w:pPr>
              <w:jc w:val="right"/>
              <w:rPr>
                <w:color w:val="000000"/>
              </w:rPr>
            </w:pPr>
          </w:p>
        </w:tc>
        <w:tc>
          <w:tcPr>
            <w:tcW w:w="1429" w:type="dxa"/>
            <w:shd w:val="clear" w:color="auto" w:fill="auto"/>
            <w:noWrap/>
            <w:vAlign w:val="bottom"/>
          </w:tcPr>
          <w:p w:rsidR="00B53620" w:rsidRPr="0047552B" w:rsidRDefault="00B53620" w:rsidP="00616667">
            <w:pPr>
              <w:jc w:val="right"/>
              <w:rPr>
                <w:color w:val="000000"/>
              </w:rPr>
            </w:pPr>
          </w:p>
        </w:tc>
      </w:tr>
      <w:tr w:rsidR="00B53620" w:rsidRPr="0047552B" w:rsidTr="00616667">
        <w:trPr>
          <w:trHeight w:val="297"/>
          <w:jc w:val="center"/>
        </w:trPr>
        <w:tc>
          <w:tcPr>
            <w:tcW w:w="3756" w:type="dxa"/>
            <w:shd w:val="clear" w:color="auto" w:fill="auto"/>
            <w:noWrap/>
            <w:vAlign w:val="bottom"/>
            <w:hideMark/>
          </w:tcPr>
          <w:p w:rsidR="00B53620" w:rsidRPr="0047552B" w:rsidRDefault="00B53620" w:rsidP="00616667">
            <w:pPr>
              <w:rPr>
                <w:color w:val="000000"/>
              </w:rPr>
            </w:pPr>
            <w:r w:rsidRPr="0047552B">
              <w:rPr>
                <w:color w:val="000000"/>
              </w:rPr>
              <w:t>Total</w:t>
            </w:r>
          </w:p>
        </w:tc>
        <w:tc>
          <w:tcPr>
            <w:tcW w:w="1710"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 xml:space="preserve"> $20,</w:t>
            </w:r>
            <w:r>
              <w:rPr>
                <w:color w:val="000000"/>
                <w:u w:val="double"/>
              </w:rPr>
              <w:t>017</w:t>
            </w:r>
            <w:r w:rsidRPr="0047552B">
              <w:rPr>
                <w:color w:val="000000"/>
                <w:u w:val="double"/>
              </w:rPr>
              <w:t xml:space="preserve"> </w:t>
            </w:r>
          </w:p>
        </w:tc>
        <w:tc>
          <w:tcPr>
            <w:tcW w:w="1769"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 xml:space="preserve"> $</w:t>
            </w:r>
            <w:r>
              <w:rPr>
                <w:color w:val="000000"/>
                <w:u w:val="double"/>
              </w:rPr>
              <w:t>560</w:t>
            </w:r>
          </w:p>
        </w:tc>
        <w:tc>
          <w:tcPr>
            <w:tcW w:w="1429"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 xml:space="preserve"> $20,577 </w:t>
            </w:r>
          </w:p>
        </w:tc>
      </w:tr>
      <w:tr w:rsidR="00B53620" w:rsidRPr="0047552B" w:rsidTr="00616667">
        <w:trPr>
          <w:trHeight w:val="297"/>
          <w:jc w:val="center"/>
        </w:trPr>
        <w:tc>
          <w:tcPr>
            <w:tcW w:w="3756" w:type="dxa"/>
            <w:shd w:val="clear" w:color="auto" w:fill="auto"/>
            <w:noWrap/>
            <w:vAlign w:val="bottom"/>
          </w:tcPr>
          <w:p w:rsidR="00B53620" w:rsidRPr="0047552B" w:rsidRDefault="00B53620" w:rsidP="00616667">
            <w:pPr>
              <w:rPr>
                <w:color w:val="000000"/>
              </w:rPr>
            </w:pPr>
          </w:p>
        </w:tc>
        <w:tc>
          <w:tcPr>
            <w:tcW w:w="1710" w:type="dxa"/>
            <w:shd w:val="clear" w:color="auto" w:fill="auto"/>
            <w:noWrap/>
            <w:vAlign w:val="bottom"/>
          </w:tcPr>
          <w:p w:rsidR="00B53620" w:rsidRPr="0047552B" w:rsidRDefault="00B53620" w:rsidP="00616667">
            <w:pPr>
              <w:jc w:val="right"/>
              <w:rPr>
                <w:color w:val="000000"/>
                <w:u w:val="double"/>
              </w:rPr>
            </w:pPr>
          </w:p>
        </w:tc>
        <w:tc>
          <w:tcPr>
            <w:tcW w:w="1769" w:type="dxa"/>
            <w:shd w:val="clear" w:color="auto" w:fill="auto"/>
            <w:noWrap/>
            <w:vAlign w:val="bottom"/>
          </w:tcPr>
          <w:p w:rsidR="00B53620" w:rsidRPr="0047552B" w:rsidRDefault="00B53620" w:rsidP="00616667">
            <w:pPr>
              <w:jc w:val="right"/>
              <w:rPr>
                <w:color w:val="000000"/>
                <w:u w:val="double"/>
              </w:rPr>
            </w:pPr>
          </w:p>
        </w:tc>
        <w:tc>
          <w:tcPr>
            <w:tcW w:w="1429" w:type="dxa"/>
            <w:shd w:val="clear" w:color="auto" w:fill="auto"/>
            <w:noWrap/>
            <w:vAlign w:val="bottom"/>
          </w:tcPr>
          <w:p w:rsidR="00B53620" w:rsidRPr="0047552B" w:rsidRDefault="00B53620" w:rsidP="00616667">
            <w:pPr>
              <w:jc w:val="right"/>
              <w:rPr>
                <w:color w:val="000000"/>
                <w:u w:val="double"/>
              </w:rPr>
            </w:pPr>
          </w:p>
        </w:tc>
      </w:tr>
    </w:tbl>
    <w:p w:rsidR="00B53620" w:rsidRDefault="00B53620" w:rsidP="00B53620"/>
    <w:p w:rsidR="00B53620" w:rsidRDefault="00B53620" w:rsidP="00B53620"/>
    <w:p w:rsidR="00B53620" w:rsidRDefault="00B53620" w:rsidP="00B53620">
      <w:pPr>
        <w:pStyle w:val="BodyText"/>
        <w:sectPr w:rsidR="00B53620" w:rsidSect="0068481F">
          <w:headerReference w:type="default" r:id="rId21"/>
          <w:pgSz w:w="12240" w:h="15840" w:code="1"/>
          <w:pgMar w:top="1584" w:right="1440" w:bottom="1440" w:left="1440" w:header="720" w:footer="720" w:gutter="0"/>
          <w:cols w:space="720"/>
          <w:formProt w:val="0"/>
          <w:docGrid w:linePitch="360"/>
        </w:sectPr>
      </w:pPr>
    </w:p>
    <w:p w:rsidR="00B53620" w:rsidRDefault="00B53620" w:rsidP="00B53620">
      <w:pPr>
        <w:jc w:val="center"/>
        <w:rPr>
          <w:b/>
          <w:bCs/>
        </w:rPr>
      </w:pPr>
    </w:p>
    <w:p w:rsidR="00B53620" w:rsidRDefault="00B53620" w:rsidP="00B53620">
      <w:pPr>
        <w:jc w:val="center"/>
        <w:rPr>
          <w:b/>
          <w:bCs/>
        </w:rPr>
      </w:pPr>
    </w:p>
    <w:p w:rsidR="00B53620" w:rsidRPr="00451142" w:rsidRDefault="00B53620" w:rsidP="00B53620">
      <w:pPr>
        <w:jc w:val="center"/>
        <w:rPr>
          <w:b/>
          <w:bCs/>
        </w:rPr>
      </w:pPr>
      <w:r w:rsidRPr="00451142">
        <w:rPr>
          <w:b/>
          <w:bCs/>
        </w:rPr>
        <w:t xml:space="preserve">Explanation of Staff’s </w:t>
      </w:r>
      <w:proofErr w:type="gramStart"/>
      <w:r w:rsidRPr="00451142">
        <w:rPr>
          <w:b/>
          <w:bCs/>
        </w:rPr>
        <w:t>Recommended</w:t>
      </w:r>
      <w:proofErr w:type="gramEnd"/>
      <w:r w:rsidRPr="00451142">
        <w:rPr>
          <w:b/>
          <w:bCs/>
        </w:rPr>
        <w:t xml:space="preserve"> </w:t>
      </w:r>
    </w:p>
    <w:p w:rsidR="00B53620" w:rsidRDefault="00B53620" w:rsidP="00B53620">
      <w:pPr>
        <w:jc w:val="center"/>
        <w:rPr>
          <w:b/>
          <w:bCs/>
        </w:rPr>
      </w:pPr>
      <w:r w:rsidRPr="00451142">
        <w:rPr>
          <w:b/>
          <w:bCs/>
        </w:rPr>
        <w:t>Adjustments to Net Book Value as of September 30, 2019</w:t>
      </w:r>
    </w:p>
    <w:tbl>
      <w:tblPr>
        <w:tblW w:w="92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
        <w:gridCol w:w="6536"/>
        <w:gridCol w:w="1116"/>
        <w:gridCol w:w="1407"/>
      </w:tblGrid>
      <w:tr w:rsidR="00B53620" w:rsidRPr="0047552B" w:rsidTr="00616667">
        <w:trPr>
          <w:trHeight w:val="650"/>
          <w:jc w:val="center"/>
        </w:trPr>
        <w:tc>
          <w:tcPr>
            <w:tcW w:w="6758" w:type="dxa"/>
            <w:gridSpan w:val="2"/>
            <w:shd w:val="clear" w:color="auto" w:fill="auto"/>
            <w:noWrap/>
            <w:vAlign w:val="center"/>
            <w:hideMark/>
          </w:tcPr>
          <w:p w:rsidR="00B53620" w:rsidRPr="0047552B" w:rsidRDefault="00B53620" w:rsidP="00616667">
            <w:pPr>
              <w:rPr>
                <w:b/>
                <w:bCs/>
                <w:color w:val="000000"/>
              </w:rPr>
            </w:pPr>
            <w:r w:rsidRPr="0047552B">
              <w:rPr>
                <w:b/>
                <w:bCs/>
                <w:color w:val="000000"/>
              </w:rPr>
              <w:t>Explanation</w:t>
            </w:r>
          </w:p>
        </w:tc>
        <w:tc>
          <w:tcPr>
            <w:tcW w:w="2523" w:type="dxa"/>
            <w:gridSpan w:val="2"/>
            <w:shd w:val="clear" w:color="auto" w:fill="auto"/>
            <w:noWrap/>
            <w:vAlign w:val="center"/>
            <w:hideMark/>
          </w:tcPr>
          <w:p w:rsidR="00B53620" w:rsidRPr="0047552B" w:rsidRDefault="00B53620" w:rsidP="00616667">
            <w:pPr>
              <w:jc w:val="center"/>
              <w:rPr>
                <w:b/>
                <w:bCs/>
                <w:color w:val="000000"/>
              </w:rPr>
            </w:pPr>
            <w:r w:rsidRPr="0047552B">
              <w:rPr>
                <w:b/>
                <w:bCs/>
                <w:color w:val="000000"/>
              </w:rPr>
              <w:t>Amount</w:t>
            </w:r>
          </w:p>
        </w:tc>
      </w:tr>
      <w:tr w:rsidR="00B53620" w:rsidRPr="0047552B" w:rsidTr="00616667">
        <w:trPr>
          <w:trHeight w:val="290"/>
          <w:jc w:val="center"/>
        </w:trPr>
        <w:tc>
          <w:tcPr>
            <w:tcW w:w="6758" w:type="dxa"/>
            <w:gridSpan w:val="2"/>
            <w:shd w:val="clear" w:color="auto" w:fill="auto"/>
            <w:noWrap/>
            <w:vAlign w:val="bottom"/>
            <w:hideMark/>
          </w:tcPr>
          <w:p w:rsidR="00B53620" w:rsidRPr="0047552B" w:rsidRDefault="00B53620" w:rsidP="00616667">
            <w:pPr>
              <w:rPr>
                <w:color w:val="000000"/>
              </w:rPr>
            </w:pPr>
            <w:r w:rsidRPr="0047552B">
              <w:rPr>
                <w:color w:val="000000"/>
              </w:rPr>
              <w:t>Utility Plant in Service</w:t>
            </w:r>
          </w:p>
        </w:tc>
        <w:tc>
          <w:tcPr>
            <w:tcW w:w="1116" w:type="dxa"/>
            <w:shd w:val="clear" w:color="auto" w:fill="auto"/>
            <w:noWrap/>
            <w:vAlign w:val="bottom"/>
            <w:hideMark/>
          </w:tcPr>
          <w:p w:rsidR="00B53620" w:rsidRPr="0047552B" w:rsidRDefault="00B53620" w:rsidP="00616667">
            <w:pPr>
              <w:jc w:val="center"/>
              <w:rPr>
                <w:color w:val="000000"/>
              </w:rPr>
            </w:pPr>
            <w:r w:rsidRPr="0047552B">
              <w:rPr>
                <w:color w:val="000000"/>
              </w:rPr>
              <w:t>Water</w:t>
            </w:r>
          </w:p>
        </w:tc>
        <w:tc>
          <w:tcPr>
            <w:tcW w:w="1407" w:type="dxa"/>
            <w:shd w:val="clear" w:color="auto" w:fill="auto"/>
            <w:noWrap/>
            <w:vAlign w:val="bottom"/>
            <w:hideMark/>
          </w:tcPr>
          <w:p w:rsidR="00B53620" w:rsidRPr="0047552B" w:rsidRDefault="00B53620" w:rsidP="00616667">
            <w:pPr>
              <w:jc w:val="center"/>
              <w:rPr>
                <w:color w:val="000000"/>
              </w:rPr>
            </w:pPr>
            <w:r w:rsidRPr="0047552B">
              <w:rPr>
                <w:color w:val="000000"/>
              </w:rPr>
              <w:t>Wastewater</w:t>
            </w:r>
          </w:p>
        </w:tc>
      </w:tr>
      <w:tr w:rsidR="00B53620" w:rsidRPr="0047552B" w:rsidTr="00616667">
        <w:trPr>
          <w:trHeight w:val="320"/>
          <w:jc w:val="center"/>
        </w:trPr>
        <w:tc>
          <w:tcPr>
            <w:tcW w:w="222" w:type="dxa"/>
            <w:shd w:val="clear" w:color="auto" w:fill="auto"/>
            <w:noWrap/>
            <w:vAlign w:val="bottom"/>
            <w:hideMark/>
          </w:tcPr>
          <w:p w:rsidR="00B53620" w:rsidRPr="0047552B" w:rsidRDefault="00B53620" w:rsidP="00616667">
            <w:pPr>
              <w:jc w:val="center"/>
              <w:rPr>
                <w:color w:val="000000"/>
              </w:rPr>
            </w:pPr>
          </w:p>
        </w:tc>
        <w:tc>
          <w:tcPr>
            <w:tcW w:w="6536" w:type="dxa"/>
            <w:shd w:val="clear" w:color="auto" w:fill="auto"/>
            <w:noWrap/>
            <w:vAlign w:val="bottom"/>
            <w:hideMark/>
          </w:tcPr>
          <w:p w:rsidR="00B53620" w:rsidRPr="0047552B" w:rsidRDefault="00B53620" w:rsidP="00616667">
            <w:pPr>
              <w:rPr>
                <w:color w:val="000000"/>
              </w:rPr>
            </w:pPr>
            <w:r w:rsidRPr="0047552B">
              <w:rPr>
                <w:color w:val="000000"/>
              </w:rPr>
              <w:t>To reflect appropriate amount of utility plant in service</w:t>
            </w:r>
          </w:p>
        </w:tc>
        <w:tc>
          <w:tcPr>
            <w:tcW w:w="1116"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 xml:space="preserve">$14,470 </w:t>
            </w:r>
          </w:p>
        </w:tc>
        <w:tc>
          <w:tcPr>
            <w:tcW w:w="1407" w:type="dxa"/>
            <w:shd w:val="clear" w:color="auto" w:fill="auto"/>
            <w:noWrap/>
            <w:vAlign w:val="bottom"/>
            <w:hideMark/>
          </w:tcPr>
          <w:p w:rsidR="00B53620" w:rsidRPr="0047552B" w:rsidRDefault="00B53620" w:rsidP="00616667">
            <w:pPr>
              <w:jc w:val="right"/>
              <w:rPr>
                <w:color w:val="000000"/>
                <w:u w:val="double"/>
              </w:rPr>
            </w:pPr>
            <w:r>
              <w:rPr>
                <w:color w:val="000000"/>
                <w:u w:val="double"/>
              </w:rPr>
              <w:t>$-</w:t>
            </w:r>
          </w:p>
        </w:tc>
      </w:tr>
      <w:tr w:rsidR="00B53620" w:rsidRPr="0047552B" w:rsidTr="00616667">
        <w:trPr>
          <w:trHeight w:val="320"/>
          <w:jc w:val="center"/>
        </w:trPr>
        <w:tc>
          <w:tcPr>
            <w:tcW w:w="222" w:type="dxa"/>
            <w:shd w:val="clear" w:color="auto" w:fill="auto"/>
            <w:noWrap/>
            <w:vAlign w:val="bottom"/>
          </w:tcPr>
          <w:p w:rsidR="00B53620" w:rsidRPr="0047552B" w:rsidRDefault="00B53620" w:rsidP="00616667">
            <w:pPr>
              <w:jc w:val="center"/>
              <w:rPr>
                <w:color w:val="000000"/>
              </w:rPr>
            </w:pPr>
          </w:p>
        </w:tc>
        <w:tc>
          <w:tcPr>
            <w:tcW w:w="6536" w:type="dxa"/>
            <w:shd w:val="clear" w:color="auto" w:fill="auto"/>
            <w:noWrap/>
            <w:vAlign w:val="bottom"/>
          </w:tcPr>
          <w:p w:rsidR="00B53620" w:rsidRPr="0047552B" w:rsidRDefault="00B53620" w:rsidP="00616667">
            <w:pPr>
              <w:rPr>
                <w:color w:val="000000"/>
              </w:rPr>
            </w:pPr>
          </w:p>
        </w:tc>
        <w:tc>
          <w:tcPr>
            <w:tcW w:w="1116" w:type="dxa"/>
            <w:shd w:val="clear" w:color="auto" w:fill="auto"/>
            <w:noWrap/>
            <w:vAlign w:val="bottom"/>
          </w:tcPr>
          <w:p w:rsidR="00B53620" w:rsidRPr="0047552B" w:rsidRDefault="00B53620" w:rsidP="00616667">
            <w:pPr>
              <w:jc w:val="right"/>
              <w:rPr>
                <w:color w:val="000000"/>
                <w:u w:val="double"/>
              </w:rPr>
            </w:pPr>
          </w:p>
        </w:tc>
        <w:tc>
          <w:tcPr>
            <w:tcW w:w="1407" w:type="dxa"/>
            <w:shd w:val="clear" w:color="auto" w:fill="auto"/>
            <w:noWrap/>
            <w:vAlign w:val="bottom"/>
          </w:tcPr>
          <w:p w:rsidR="00B53620" w:rsidRDefault="00B53620" w:rsidP="00616667">
            <w:pPr>
              <w:jc w:val="right"/>
              <w:rPr>
                <w:color w:val="000000"/>
                <w:u w:val="double"/>
              </w:rPr>
            </w:pPr>
          </w:p>
        </w:tc>
      </w:tr>
      <w:tr w:rsidR="00B53620" w:rsidRPr="0047552B" w:rsidTr="00616667">
        <w:trPr>
          <w:trHeight w:val="320"/>
          <w:jc w:val="center"/>
        </w:trPr>
        <w:tc>
          <w:tcPr>
            <w:tcW w:w="6758" w:type="dxa"/>
            <w:gridSpan w:val="2"/>
            <w:shd w:val="clear" w:color="auto" w:fill="auto"/>
            <w:noWrap/>
            <w:vAlign w:val="bottom"/>
            <w:hideMark/>
          </w:tcPr>
          <w:p w:rsidR="00B53620" w:rsidRPr="0047552B" w:rsidRDefault="00B53620" w:rsidP="00616667">
            <w:pPr>
              <w:rPr>
                <w:color w:val="000000"/>
              </w:rPr>
            </w:pPr>
            <w:r w:rsidRPr="0047552B">
              <w:rPr>
                <w:color w:val="000000"/>
              </w:rPr>
              <w:t>Accumulated Depreciation</w:t>
            </w:r>
          </w:p>
        </w:tc>
        <w:tc>
          <w:tcPr>
            <w:tcW w:w="1116" w:type="dxa"/>
            <w:shd w:val="clear" w:color="auto" w:fill="auto"/>
            <w:noWrap/>
            <w:vAlign w:val="bottom"/>
            <w:hideMark/>
          </w:tcPr>
          <w:p w:rsidR="00B53620" w:rsidRPr="0047552B" w:rsidRDefault="00B53620" w:rsidP="00616667">
            <w:pPr>
              <w:rPr>
                <w:color w:val="000000"/>
              </w:rPr>
            </w:pPr>
          </w:p>
        </w:tc>
        <w:tc>
          <w:tcPr>
            <w:tcW w:w="1407" w:type="dxa"/>
            <w:shd w:val="clear" w:color="auto" w:fill="auto"/>
            <w:noWrap/>
            <w:vAlign w:val="bottom"/>
            <w:hideMark/>
          </w:tcPr>
          <w:p w:rsidR="00B53620" w:rsidRPr="0047552B" w:rsidRDefault="00B53620" w:rsidP="00616667"/>
        </w:tc>
      </w:tr>
      <w:tr w:rsidR="00B53620" w:rsidRPr="0047552B" w:rsidTr="00616667">
        <w:trPr>
          <w:trHeight w:val="320"/>
          <w:jc w:val="center"/>
        </w:trPr>
        <w:tc>
          <w:tcPr>
            <w:tcW w:w="222" w:type="dxa"/>
            <w:shd w:val="clear" w:color="auto" w:fill="auto"/>
            <w:noWrap/>
            <w:vAlign w:val="bottom"/>
            <w:hideMark/>
          </w:tcPr>
          <w:p w:rsidR="00B53620" w:rsidRPr="0047552B" w:rsidRDefault="00B53620" w:rsidP="00616667"/>
        </w:tc>
        <w:tc>
          <w:tcPr>
            <w:tcW w:w="6536" w:type="dxa"/>
            <w:shd w:val="clear" w:color="auto" w:fill="auto"/>
            <w:noWrap/>
            <w:vAlign w:val="bottom"/>
            <w:hideMark/>
          </w:tcPr>
          <w:p w:rsidR="00B53620" w:rsidRPr="0047552B" w:rsidRDefault="00B53620" w:rsidP="00616667">
            <w:pPr>
              <w:rPr>
                <w:color w:val="000000"/>
              </w:rPr>
            </w:pPr>
            <w:r w:rsidRPr="0047552B">
              <w:rPr>
                <w:color w:val="000000"/>
              </w:rPr>
              <w:t>To reflect appropriate amount of accumulated depreciation</w:t>
            </w:r>
          </w:p>
        </w:tc>
        <w:tc>
          <w:tcPr>
            <w:tcW w:w="1116" w:type="dxa"/>
            <w:shd w:val="clear" w:color="auto" w:fill="auto"/>
            <w:noWrap/>
            <w:vAlign w:val="bottom"/>
            <w:hideMark/>
          </w:tcPr>
          <w:p w:rsidR="00B53620" w:rsidRPr="0047552B" w:rsidRDefault="00B53620" w:rsidP="00616667">
            <w:pPr>
              <w:jc w:val="right"/>
              <w:rPr>
                <w:color w:val="000000"/>
                <w:u w:val="double"/>
              </w:rPr>
            </w:pPr>
            <w:r>
              <w:rPr>
                <w:color w:val="000000"/>
                <w:u w:val="double"/>
              </w:rPr>
              <w:t>$110,646</w:t>
            </w:r>
          </w:p>
        </w:tc>
        <w:tc>
          <w:tcPr>
            <w:tcW w:w="1407"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w:t>
            </w:r>
            <w:r>
              <w:rPr>
                <w:color w:val="000000"/>
                <w:u w:val="double"/>
              </w:rPr>
              <w:t>560</w:t>
            </w:r>
          </w:p>
        </w:tc>
      </w:tr>
      <w:tr w:rsidR="00B53620" w:rsidRPr="0047552B" w:rsidTr="00616667">
        <w:trPr>
          <w:trHeight w:val="320"/>
          <w:jc w:val="center"/>
        </w:trPr>
        <w:tc>
          <w:tcPr>
            <w:tcW w:w="222" w:type="dxa"/>
            <w:shd w:val="clear" w:color="auto" w:fill="auto"/>
            <w:noWrap/>
            <w:vAlign w:val="bottom"/>
            <w:hideMark/>
          </w:tcPr>
          <w:p w:rsidR="00B53620" w:rsidRPr="0047552B" w:rsidRDefault="00B53620" w:rsidP="00616667">
            <w:pPr>
              <w:jc w:val="right"/>
              <w:rPr>
                <w:color w:val="000000"/>
                <w:u w:val="double"/>
              </w:rPr>
            </w:pPr>
          </w:p>
        </w:tc>
        <w:tc>
          <w:tcPr>
            <w:tcW w:w="6536" w:type="dxa"/>
            <w:shd w:val="clear" w:color="auto" w:fill="auto"/>
            <w:noWrap/>
            <w:vAlign w:val="bottom"/>
            <w:hideMark/>
          </w:tcPr>
          <w:p w:rsidR="00B53620" w:rsidRPr="0047552B" w:rsidRDefault="00B53620" w:rsidP="00616667"/>
        </w:tc>
        <w:tc>
          <w:tcPr>
            <w:tcW w:w="1116" w:type="dxa"/>
            <w:shd w:val="clear" w:color="auto" w:fill="auto"/>
            <w:noWrap/>
            <w:vAlign w:val="bottom"/>
            <w:hideMark/>
          </w:tcPr>
          <w:p w:rsidR="00B53620" w:rsidRPr="0047552B" w:rsidRDefault="00B53620" w:rsidP="00616667"/>
        </w:tc>
        <w:tc>
          <w:tcPr>
            <w:tcW w:w="1407" w:type="dxa"/>
            <w:shd w:val="clear" w:color="auto" w:fill="auto"/>
            <w:noWrap/>
            <w:vAlign w:val="bottom"/>
            <w:hideMark/>
          </w:tcPr>
          <w:p w:rsidR="00B53620" w:rsidRPr="0047552B" w:rsidRDefault="00B53620" w:rsidP="00616667"/>
        </w:tc>
      </w:tr>
      <w:tr w:rsidR="00B53620" w:rsidRPr="0047552B" w:rsidTr="00616667">
        <w:trPr>
          <w:trHeight w:val="320"/>
          <w:jc w:val="center"/>
        </w:trPr>
        <w:tc>
          <w:tcPr>
            <w:tcW w:w="6758" w:type="dxa"/>
            <w:gridSpan w:val="2"/>
            <w:shd w:val="clear" w:color="auto" w:fill="auto"/>
            <w:noWrap/>
            <w:vAlign w:val="bottom"/>
            <w:hideMark/>
          </w:tcPr>
          <w:p w:rsidR="00B53620" w:rsidRPr="0047552B" w:rsidRDefault="00B53620" w:rsidP="00616667">
            <w:pPr>
              <w:rPr>
                <w:color w:val="000000"/>
              </w:rPr>
            </w:pPr>
            <w:r w:rsidRPr="0047552B">
              <w:rPr>
                <w:color w:val="000000"/>
              </w:rPr>
              <w:t>Total Adjustments to Net Book Value as of September 30, 2019</w:t>
            </w:r>
          </w:p>
        </w:tc>
        <w:tc>
          <w:tcPr>
            <w:tcW w:w="1116"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w:t>
            </w:r>
            <w:r>
              <w:rPr>
                <w:color w:val="000000"/>
                <w:u w:val="double"/>
              </w:rPr>
              <w:t>125,616</w:t>
            </w:r>
            <w:r w:rsidRPr="0047552B">
              <w:rPr>
                <w:color w:val="000000"/>
                <w:u w:val="double"/>
              </w:rPr>
              <w:t xml:space="preserve"> </w:t>
            </w:r>
          </w:p>
        </w:tc>
        <w:tc>
          <w:tcPr>
            <w:tcW w:w="1407" w:type="dxa"/>
            <w:shd w:val="clear" w:color="auto" w:fill="auto"/>
            <w:noWrap/>
            <w:vAlign w:val="bottom"/>
            <w:hideMark/>
          </w:tcPr>
          <w:p w:rsidR="00B53620" w:rsidRPr="0047552B" w:rsidRDefault="00B53620" w:rsidP="00616667">
            <w:pPr>
              <w:jc w:val="right"/>
              <w:rPr>
                <w:color w:val="000000"/>
                <w:u w:val="double"/>
              </w:rPr>
            </w:pPr>
            <w:r>
              <w:rPr>
                <w:color w:val="000000"/>
                <w:u w:val="double"/>
              </w:rPr>
              <w:t>$20,577</w:t>
            </w:r>
          </w:p>
        </w:tc>
      </w:tr>
      <w:tr w:rsidR="00B53620" w:rsidRPr="0047552B" w:rsidTr="00616667">
        <w:trPr>
          <w:trHeight w:val="320"/>
          <w:jc w:val="center"/>
        </w:trPr>
        <w:tc>
          <w:tcPr>
            <w:tcW w:w="6758" w:type="dxa"/>
            <w:gridSpan w:val="2"/>
            <w:shd w:val="clear" w:color="auto" w:fill="auto"/>
            <w:noWrap/>
            <w:vAlign w:val="bottom"/>
          </w:tcPr>
          <w:p w:rsidR="00B53620" w:rsidRPr="0047552B" w:rsidRDefault="00B53620" w:rsidP="00616667">
            <w:pPr>
              <w:rPr>
                <w:color w:val="000000"/>
              </w:rPr>
            </w:pPr>
          </w:p>
        </w:tc>
        <w:tc>
          <w:tcPr>
            <w:tcW w:w="1116" w:type="dxa"/>
            <w:shd w:val="clear" w:color="auto" w:fill="auto"/>
            <w:noWrap/>
            <w:vAlign w:val="bottom"/>
          </w:tcPr>
          <w:p w:rsidR="00B53620" w:rsidRPr="0047552B" w:rsidRDefault="00B53620" w:rsidP="00616667">
            <w:pPr>
              <w:jc w:val="right"/>
              <w:rPr>
                <w:color w:val="000000"/>
                <w:u w:val="double"/>
              </w:rPr>
            </w:pPr>
          </w:p>
        </w:tc>
        <w:tc>
          <w:tcPr>
            <w:tcW w:w="1407" w:type="dxa"/>
            <w:shd w:val="clear" w:color="auto" w:fill="auto"/>
            <w:noWrap/>
            <w:vAlign w:val="bottom"/>
          </w:tcPr>
          <w:p w:rsidR="00B53620" w:rsidRDefault="00B53620" w:rsidP="00616667">
            <w:pPr>
              <w:jc w:val="right"/>
              <w:rPr>
                <w:color w:val="000000"/>
                <w:u w:val="double"/>
              </w:rPr>
            </w:pPr>
          </w:p>
        </w:tc>
      </w:tr>
    </w:tbl>
    <w:p w:rsidR="00B53620" w:rsidRDefault="00B53620" w:rsidP="00B53620"/>
    <w:p w:rsidR="00B53620" w:rsidRDefault="00B53620" w:rsidP="00B53620"/>
    <w:p w:rsidR="00B53620" w:rsidRDefault="00B53620" w:rsidP="00B53620">
      <w:pPr>
        <w:pStyle w:val="BodyText"/>
        <w:sectPr w:rsidR="00B53620" w:rsidSect="0068481F">
          <w:headerReference w:type="default" r:id="rId22"/>
          <w:footerReference w:type="default" r:id="rId23"/>
          <w:pgSz w:w="12240" w:h="15840" w:code="1"/>
          <w:pgMar w:top="1584" w:right="1440" w:bottom="1440" w:left="1440" w:header="720" w:footer="720" w:gutter="0"/>
          <w:cols w:space="720"/>
          <w:formProt w:val="0"/>
          <w:docGrid w:linePitch="360"/>
        </w:sectPr>
      </w:pPr>
    </w:p>
    <w:p w:rsidR="00B53620" w:rsidRDefault="00B53620" w:rsidP="00B53620">
      <w:pPr>
        <w:jc w:val="center"/>
        <w:rPr>
          <w:b/>
          <w:bCs/>
        </w:rPr>
      </w:pPr>
    </w:p>
    <w:p w:rsidR="00B53620" w:rsidRPr="0047552B" w:rsidRDefault="00B53620" w:rsidP="00B53620">
      <w:pPr>
        <w:jc w:val="center"/>
        <w:rPr>
          <w:b/>
          <w:bCs/>
        </w:rPr>
      </w:pPr>
      <w:r w:rsidRPr="0047552B">
        <w:rPr>
          <w:b/>
          <w:bCs/>
        </w:rPr>
        <w:t>Duval Waterworks, Inc.</w:t>
      </w:r>
    </w:p>
    <w:p w:rsidR="00B53620" w:rsidRPr="0047552B" w:rsidRDefault="00B53620" w:rsidP="00B53620">
      <w:pPr>
        <w:jc w:val="center"/>
        <w:rPr>
          <w:b/>
          <w:bCs/>
        </w:rPr>
      </w:pPr>
      <w:r w:rsidRPr="0047552B">
        <w:rPr>
          <w:b/>
          <w:bCs/>
        </w:rPr>
        <w:t>Schedule of Staff</w:t>
      </w:r>
      <w:r>
        <w:rPr>
          <w:b/>
          <w:bCs/>
        </w:rPr>
        <w:t>’s</w:t>
      </w:r>
      <w:r w:rsidRPr="0047552B">
        <w:rPr>
          <w:b/>
          <w:bCs/>
        </w:rPr>
        <w:t xml:space="preserve"> Recommended Account Balances as of September 30, 2019</w:t>
      </w:r>
    </w:p>
    <w:p w:rsidR="00B53620" w:rsidRDefault="00B53620" w:rsidP="00B53620">
      <w:pPr>
        <w:jc w:val="center"/>
        <w:rPr>
          <w:b/>
          <w:bCs/>
        </w:rPr>
      </w:pPr>
    </w:p>
    <w:p w:rsidR="00B53620" w:rsidRPr="0047552B" w:rsidRDefault="00B53620" w:rsidP="00B53620">
      <w:pPr>
        <w:jc w:val="center"/>
        <w:rPr>
          <w:b/>
          <w:bCs/>
        </w:rPr>
      </w:pPr>
      <w:r w:rsidRPr="0047552B">
        <w:rPr>
          <w:b/>
          <w:bCs/>
        </w:rPr>
        <w:t>Water System</w:t>
      </w:r>
    </w:p>
    <w:tbl>
      <w:tblPr>
        <w:tblW w:w="94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2"/>
        <w:gridCol w:w="4500"/>
        <w:gridCol w:w="1638"/>
        <w:gridCol w:w="1992"/>
      </w:tblGrid>
      <w:tr w:rsidR="00B53620" w:rsidRPr="0047552B" w:rsidTr="00616667">
        <w:trPr>
          <w:trHeight w:val="1200"/>
          <w:jc w:val="center"/>
        </w:trPr>
        <w:tc>
          <w:tcPr>
            <w:tcW w:w="1352" w:type="dxa"/>
            <w:shd w:val="clear" w:color="auto" w:fill="auto"/>
            <w:vAlign w:val="bottom"/>
            <w:hideMark/>
          </w:tcPr>
          <w:p w:rsidR="00B53620" w:rsidRPr="0047552B" w:rsidRDefault="00B53620" w:rsidP="00616667">
            <w:pPr>
              <w:jc w:val="center"/>
              <w:rPr>
                <w:b/>
                <w:bCs/>
                <w:color w:val="000000"/>
                <w:u w:val="single"/>
              </w:rPr>
            </w:pPr>
            <w:r w:rsidRPr="0047552B">
              <w:rPr>
                <w:b/>
                <w:bCs/>
                <w:color w:val="000000"/>
                <w:u w:val="single"/>
              </w:rPr>
              <w:t>Account</w:t>
            </w:r>
            <w:r w:rsidRPr="0047552B">
              <w:rPr>
                <w:b/>
                <w:bCs/>
                <w:color w:val="000000"/>
                <w:u w:val="single"/>
              </w:rPr>
              <w:br/>
              <w:t>No.</w:t>
            </w:r>
          </w:p>
        </w:tc>
        <w:tc>
          <w:tcPr>
            <w:tcW w:w="4500" w:type="dxa"/>
            <w:shd w:val="clear" w:color="auto" w:fill="auto"/>
            <w:noWrap/>
            <w:vAlign w:val="bottom"/>
            <w:hideMark/>
          </w:tcPr>
          <w:p w:rsidR="00B53620" w:rsidRPr="0047552B" w:rsidRDefault="00B53620" w:rsidP="00616667">
            <w:pPr>
              <w:jc w:val="center"/>
              <w:rPr>
                <w:b/>
                <w:bCs/>
                <w:color w:val="000000"/>
                <w:u w:val="single"/>
              </w:rPr>
            </w:pPr>
            <w:r w:rsidRPr="0047552B">
              <w:rPr>
                <w:b/>
                <w:bCs/>
                <w:color w:val="000000"/>
                <w:u w:val="single"/>
              </w:rPr>
              <w:t>Description</w:t>
            </w:r>
          </w:p>
        </w:tc>
        <w:tc>
          <w:tcPr>
            <w:tcW w:w="1638" w:type="dxa"/>
            <w:shd w:val="clear" w:color="auto" w:fill="auto"/>
            <w:noWrap/>
            <w:vAlign w:val="bottom"/>
            <w:hideMark/>
          </w:tcPr>
          <w:p w:rsidR="00B53620" w:rsidRPr="0047552B" w:rsidRDefault="00B53620" w:rsidP="00616667">
            <w:pPr>
              <w:jc w:val="center"/>
              <w:rPr>
                <w:b/>
                <w:bCs/>
                <w:color w:val="000000"/>
                <w:u w:val="single"/>
              </w:rPr>
            </w:pPr>
            <w:r w:rsidRPr="0047552B">
              <w:rPr>
                <w:b/>
                <w:bCs/>
                <w:color w:val="000000"/>
                <w:u w:val="single"/>
              </w:rPr>
              <w:t>UPIS</w:t>
            </w:r>
          </w:p>
        </w:tc>
        <w:tc>
          <w:tcPr>
            <w:tcW w:w="1992" w:type="dxa"/>
            <w:shd w:val="clear" w:color="auto" w:fill="auto"/>
            <w:vAlign w:val="bottom"/>
            <w:hideMark/>
          </w:tcPr>
          <w:p w:rsidR="00B53620" w:rsidRPr="0047552B" w:rsidRDefault="00B53620" w:rsidP="00616667">
            <w:pPr>
              <w:jc w:val="center"/>
              <w:rPr>
                <w:b/>
                <w:bCs/>
                <w:color w:val="000000"/>
                <w:u w:val="single"/>
              </w:rPr>
            </w:pPr>
            <w:r w:rsidRPr="008B4BF7">
              <w:rPr>
                <w:b/>
                <w:bCs/>
                <w:color w:val="000000"/>
              </w:rPr>
              <w:t>Accumulated</w:t>
            </w:r>
            <w:r w:rsidRPr="0047552B">
              <w:rPr>
                <w:b/>
                <w:bCs/>
                <w:color w:val="000000"/>
                <w:u w:val="single"/>
              </w:rPr>
              <w:t xml:space="preserve"> </w:t>
            </w:r>
            <w:r w:rsidRPr="0047552B">
              <w:rPr>
                <w:b/>
                <w:bCs/>
                <w:color w:val="000000"/>
                <w:u w:val="single"/>
              </w:rPr>
              <w:br/>
              <w:t>Depreciation</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301</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Organization</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$25,000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($7,031)</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304</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Structures &amp; Improvements</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286,285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(263,144)</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307</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Wells &amp; Springs</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195,402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(174,523)</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309</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Supply Mains</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17,670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(11,162)</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310</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Power Generation Equipment</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59,807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(59,807)</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311</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Pumping Equipment</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192,697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(185,396)</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320</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Water Treatment Equipment</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15,818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(15,818)</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330</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Distribution Reservoirs</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153,890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(115,814)</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331</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Transmission &amp; Distribution Mains</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25,372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(19,990)</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333</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Services</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148,540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(142,682)</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334</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Meters &amp; Meter Install</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51,095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(51,095)</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335</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Hydrants</w:t>
            </w:r>
          </w:p>
        </w:tc>
        <w:tc>
          <w:tcPr>
            <w:tcW w:w="1638"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10,787 </w:t>
            </w:r>
          </w:p>
        </w:tc>
        <w:tc>
          <w:tcPr>
            <w:tcW w:w="1992"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(10,786)</w:t>
            </w: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jc w:val="center"/>
              <w:rPr>
                <w:color w:val="000000"/>
              </w:rPr>
            </w:pPr>
            <w:r w:rsidRPr="0047552B">
              <w:rPr>
                <w:color w:val="000000"/>
              </w:rPr>
              <w:t>340</w:t>
            </w:r>
          </w:p>
        </w:tc>
        <w:tc>
          <w:tcPr>
            <w:tcW w:w="4500" w:type="dxa"/>
            <w:shd w:val="clear" w:color="auto" w:fill="auto"/>
            <w:noWrap/>
            <w:vAlign w:val="bottom"/>
            <w:hideMark/>
          </w:tcPr>
          <w:p w:rsidR="00B53620" w:rsidRPr="0047552B" w:rsidRDefault="00B53620" w:rsidP="00616667">
            <w:pPr>
              <w:rPr>
                <w:color w:val="000000"/>
              </w:rPr>
            </w:pPr>
            <w:r w:rsidRPr="0047552B">
              <w:rPr>
                <w:color w:val="000000"/>
              </w:rPr>
              <w:t>Office Furniture &amp; Equipment</w:t>
            </w:r>
          </w:p>
        </w:tc>
        <w:tc>
          <w:tcPr>
            <w:tcW w:w="1638" w:type="dxa"/>
            <w:shd w:val="clear" w:color="auto" w:fill="auto"/>
            <w:noWrap/>
            <w:vAlign w:val="bottom"/>
            <w:hideMark/>
          </w:tcPr>
          <w:p w:rsidR="00B53620" w:rsidRPr="00B97558" w:rsidRDefault="00B53620" w:rsidP="00616667">
            <w:pPr>
              <w:jc w:val="right"/>
              <w:rPr>
                <w:color w:val="000000"/>
                <w:u w:val="single"/>
              </w:rPr>
            </w:pPr>
            <w:r w:rsidRPr="0047552B">
              <w:rPr>
                <w:color w:val="000000"/>
              </w:rPr>
              <w:t xml:space="preserve">            </w:t>
            </w:r>
            <w:r w:rsidRPr="00B97558">
              <w:rPr>
                <w:color w:val="000000"/>
                <w:u w:val="single"/>
              </w:rPr>
              <w:t xml:space="preserve">373 </w:t>
            </w:r>
          </w:p>
        </w:tc>
        <w:tc>
          <w:tcPr>
            <w:tcW w:w="1992" w:type="dxa"/>
            <w:shd w:val="clear" w:color="auto" w:fill="auto"/>
            <w:noWrap/>
            <w:vAlign w:val="bottom"/>
            <w:hideMark/>
          </w:tcPr>
          <w:p w:rsidR="00B53620" w:rsidRPr="00B97558" w:rsidRDefault="00B53620" w:rsidP="00616667">
            <w:pPr>
              <w:jc w:val="right"/>
              <w:rPr>
                <w:color w:val="000000"/>
                <w:u w:val="single"/>
              </w:rPr>
            </w:pPr>
            <w:r w:rsidRPr="0047552B">
              <w:rPr>
                <w:color w:val="000000"/>
              </w:rPr>
              <w:t xml:space="preserve">                </w:t>
            </w:r>
            <w:r w:rsidRPr="00B97558">
              <w:rPr>
                <w:color w:val="000000"/>
                <w:u w:val="single"/>
              </w:rPr>
              <w:t>(373)</w:t>
            </w:r>
          </w:p>
        </w:tc>
      </w:tr>
      <w:tr w:rsidR="00B53620" w:rsidRPr="0047552B" w:rsidTr="00616667">
        <w:trPr>
          <w:trHeight w:val="307"/>
          <w:jc w:val="center"/>
        </w:trPr>
        <w:tc>
          <w:tcPr>
            <w:tcW w:w="1352" w:type="dxa"/>
            <w:shd w:val="clear" w:color="auto" w:fill="auto"/>
            <w:noWrap/>
            <w:vAlign w:val="bottom"/>
          </w:tcPr>
          <w:p w:rsidR="00B53620" w:rsidRPr="0047552B" w:rsidRDefault="00B53620" w:rsidP="00616667">
            <w:pPr>
              <w:jc w:val="center"/>
              <w:rPr>
                <w:color w:val="000000"/>
              </w:rPr>
            </w:pPr>
          </w:p>
        </w:tc>
        <w:tc>
          <w:tcPr>
            <w:tcW w:w="4500" w:type="dxa"/>
            <w:shd w:val="clear" w:color="auto" w:fill="auto"/>
            <w:noWrap/>
            <w:vAlign w:val="bottom"/>
          </w:tcPr>
          <w:p w:rsidR="00B53620" w:rsidRPr="0047552B" w:rsidRDefault="00B53620" w:rsidP="00616667">
            <w:pPr>
              <w:rPr>
                <w:color w:val="000000"/>
              </w:rPr>
            </w:pPr>
          </w:p>
        </w:tc>
        <w:tc>
          <w:tcPr>
            <w:tcW w:w="1638" w:type="dxa"/>
            <w:shd w:val="clear" w:color="auto" w:fill="auto"/>
            <w:noWrap/>
            <w:vAlign w:val="bottom"/>
          </w:tcPr>
          <w:p w:rsidR="00B53620" w:rsidRPr="0047552B" w:rsidRDefault="00B53620" w:rsidP="00616667">
            <w:pPr>
              <w:rPr>
                <w:color w:val="000000"/>
              </w:rPr>
            </w:pPr>
          </w:p>
        </w:tc>
        <w:tc>
          <w:tcPr>
            <w:tcW w:w="1992" w:type="dxa"/>
            <w:shd w:val="clear" w:color="auto" w:fill="auto"/>
            <w:noWrap/>
            <w:vAlign w:val="bottom"/>
          </w:tcPr>
          <w:p w:rsidR="00B53620" w:rsidRPr="0047552B" w:rsidRDefault="00B53620" w:rsidP="00616667">
            <w:pPr>
              <w:jc w:val="right"/>
              <w:rPr>
                <w:color w:val="000000"/>
              </w:rPr>
            </w:pPr>
          </w:p>
        </w:tc>
      </w:tr>
      <w:tr w:rsidR="00B53620" w:rsidRPr="0047552B" w:rsidTr="00616667">
        <w:trPr>
          <w:trHeight w:val="307"/>
          <w:jc w:val="center"/>
        </w:trPr>
        <w:tc>
          <w:tcPr>
            <w:tcW w:w="1352" w:type="dxa"/>
            <w:shd w:val="clear" w:color="auto" w:fill="auto"/>
            <w:noWrap/>
            <w:vAlign w:val="bottom"/>
            <w:hideMark/>
          </w:tcPr>
          <w:p w:rsidR="00B53620" w:rsidRPr="0047552B" w:rsidRDefault="00B53620" w:rsidP="00616667">
            <w:pPr>
              <w:rPr>
                <w:color w:val="000000"/>
              </w:rPr>
            </w:pPr>
          </w:p>
        </w:tc>
        <w:tc>
          <w:tcPr>
            <w:tcW w:w="4500" w:type="dxa"/>
            <w:shd w:val="clear" w:color="auto" w:fill="auto"/>
            <w:noWrap/>
            <w:vAlign w:val="bottom"/>
            <w:hideMark/>
          </w:tcPr>
          <w:p w:rsidR="00B53620" w:rsidRPr="0047552B" w:rsidRDefault="00B53620" w:rsidP="00616667">
            <w:pPr>
              <w:rPr>
                <w:color w:val="000000"/>
              </w:rPr>
            </w:pPr>
            <w:r w:rsidRPr="0047552B">
              <w:rPr>
                <w:color w:val="000000"/>
              </w:rPr>
              <w:t>Total</w:t>
            </w:r>
          </w:p>
        </w:tc>
        <w:tc>
          <w:tcPr>
            <w:tcW w:w="1638"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 xml:space="preserve">$1,182,736 </w:t>
            </w:r>
          </w:p>
        </w:tc>
        <w:tc>
          <w:tcPr>
            <w:tcW w:w="1992"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($1,057,620)</w:t>
            </w:r>
          </w:p>
        </w:tc>
      </w:tr>
      <w:tr w:rsidR="00B53620" w:rsidRPr="0047552B" w:rsidTr="00616667">
        <w:trPr>
          <w:trHeight w:val="307"/>
          <w:jc w:val="center"/>
        </w:trPr>
        <w:tc>
          <w:tcPr>
            <w:tcW w:w="1352" w:type="dxa"/>
            <w:shd w:val="clear" w:color="auto" w:fill="auto"/>
            <w:noWrap/>
            <w:vAlign w:val="bottom"/>
          </w:tcPr>
          <w:p w:rsidR="00B53620" w:rsidRPr="0047552B" w:rsidRDefault="00B53620" w:rsidP="00616667">
            <w:pPr>
              <w:rPr>
                <w:color w:val="000000"/>
              </w:rPr>
            </w:pPr>
          </w:p>
        </w:tc>
        <w:tc>
          <w:tcPr>
            <w:tcW w:w="4500" w:type="dxa"/>
            <w:shd w:val="clear" w:color="auto" w:fill="auto"/>
            <w:noWrap/>
            <w:vAlign w:val="bottom"/>
          </w:tcPr>
          <w:p w:rsidR="00B53620" w:rsidRPr="0047552B" w:rsidRDefault="00B53620" w:rsidP="00616667">
            <w:pPr>
              <w:rPr>
                <w:color w:val="000000"/>
              </w:rPr>
            </w:pPr>
          </w:p>
        </w:tc>
        <w:tc>
          <w:tcPr>
            <w:tcW w:w="1638" w:type="dxa"/>
            <w:shd w:val="clear" w:color="auto" w:fill="auto"/>
            <w:noWrap/>
            <w:vAlign w:val="bottom"/>
          </w:tcPr>
          <w:p w:rsidR="00B53620" w:rsidRPr="0047552B" w:rsidRDefault="00B53620" w:rsidP="00616667">
            <w:pPr>
              <w:jc w:val="right"/>
              <w:rPr>
                <w:color w:val="000000"/>
                <w:u w:val="double"/>
              </w:rPr>
            </w:pPr>
          </w:p>
        </w:tc>
        <w:tc>
          <w:tcPr>
            <w:tcW w:w="1992" w:type="dxa"/>
            <w:shd w:val="clear" w:color="auto" w:fill="auto"/>
            <w:noWrap/>
            <w:vAlign w:val="bottom"/>
          </w:tcPr>
          <w:p w:rsidR="00B53620" w:rsidRPr="0047552B" w:rsidRDefault="00B53620" w:rsidP="00616667">
            <w:pPr>
              <w:jc w:val="right"/>
              <w:rPr>
                <w:color w:val="000000"/>
                <w:u w:val="double"/>
              </w:rPr>
            </w:pPr>
          </w:p>
        </w:tc>
      </w:tr>
    </w:tbl>
    <w:p w:rsidR="00B53620" w:rsidRDefault="00B53620" w:rsidP="00B53620"/>
    <w:p w:rsidR="00B53620" w:rsidRPr="0047552B" w:rsidRDefault="00B53620" w:rsidP="00B53620"/>
    <w:p w:rsidR="00B53620" w:rsidRPr="0047552B" w:rsidRDefault="00B53620" w:rsidP="00B53620">
      <w:pPr>
        <w:jc w:val="center"/>
        <w:rPr>
          <w:b/>
          <w:bCs/>
        </w:rPr>
      </w:pPr>
      <w:r w:rsidRPr="0047552B">
        <w:rPr>
          <w:b/>
          <w:bCs/>
        </w:rPr>
        <w:t>Wastewater System</w:t>
      </w:r>
    </w:p>
    <w:tbl>
      <w:tblPr>
        <w:tblW w:w="950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1"/>
        <w:gridCol w:w="4533"/>
        <w:gridCol w:w="1603"/>
        <w:gridCol w:w="2006"/>
      </w:tblGrid>
      <w:tr w:rsidR="00B53620" w:rsidRPr="0047552B" w:rsidTr="00616667">
        <w:trPr>
          <w:trHeight w:val="1223"/>
          <w:jc w:val="center"/>
        </w:trPr>
        <w:tc>
          <w:tcPr>
            <w:tcW w:w="1361" w:type="dxa"/>
            <w:shd w:val="clear" w:color="auto" w:fill="auto"/>
            <w:vAlign w:val="bottom"/>
            <w:hideMark/>
          </w:tcPr>
          <w:p w:rsidR="00B53620" w:rsidRPr="0047552B" w:rsidRDefault="00B53620" w:rsidP="00616667">
            <w:pPr>
              <w:jc w:val="center"/>
              <w:rPr>
                <w:b/>
                <w:bCs/>
                <w:color w:val="000000"/>
                <w:u w:val="single"/>
              </w:rPr>
            </w:pPr>
            <w:r w:rsidRPr="0047552B">
              <w:rPr>
                <w:b/>
                <w:bCs/>
                <w:color w:val="000000"/>
                <w:u w:val="single"/>
              </w:rPr>
              <w:t>Account</w:t>
            </w:r>
            <w:r w:rsidRPr="0047552B">
              <w:rPr>
                <w:b/>
                <w:bCs/>
                <w:color w:val="000000"/>
                <w:u w:val="single"/>
              </w:rPr>
              <w:br/>
              <w:t>No.</w:t>
            </w:r>
          </w:p>
        </w:tc>
        <w:tc>
          <w:tcPr>
            <w:tcW w:w="4533" w:type="dxa"/>
            <w:shd w:val="clear" w:color="auto" w:fill="auto"/>
            <w:noWrap/>
            <w:vAlign w:val="bottom"/>
            <w:hideMark/>
          </w:tcPr>
          <w:p w:rsidR="00B53620" w:rsidRPr="0047552B" w:rsidRDefault="00B53620" w:rsidP="00616667">
            <w:pPr>
              <w:jc w:val="center"/>
              <w:rPr>
                <w:b/>
                <w:bCs/>
                <w:color w:val="000000"/>
                <w:u w:val="single"/>
              </w:rPr>
            </w:pPr>
            <w:r w:rsidRPr="0047552B">
              <w:rPr>
                <w:b/>
                <w:bCs/>
                <w:color w:val="000000"/>
                <w:u w:val="single"/>
              </w:rPr>
              <w:t>Description</w:t>
            </w:r>
          </w:p>
        </w:tc>
        <w:tc>
          <w:tcPr>
            <w:tcW w:w="1603" w:type="dxa"/>
            <w:shd w:val="clear" w:color="auto" w:fill="auto"/>
            <w:noWrap/>
            <w:vAlign w:val="bottom"/>
            <w:hideMark/>
          </w:tcPr>
          <w:p w:rsidR="00B53620" w:rsidRPr="0047552B" w:rsidRDefault="00B53620" w:rsidP="00616667">
            <w:pPr>
              <w:jc w:val="center"/>
              <w:rPr>
                <w:b/>
                <w:bCs/>
                <w:color w:val="000000"/>
                <w:u w:val="single"/>
              </w:rPr>
            </w:pPr>
            <w:r w:rsidRPr="0047552B">
              <w:rPr>
                <w:b/>
                <w:bCs/>
                <w:color w:val="000000"/>
                <w:u w:val="single"/>
              </w:rPr>
              <w:t>UPIS</w:t>
            </w:r>
          </w:p>
        </w:tc>
        <w:tc>
          <w:tcPr>
            <w:tcW w:w="2006" w:type="dxa"/>
            <w:shd w:val="clear" w:color="auto" w:fill="auto"/>
            <w:vAlign w:val="bottom"/>
            <w:hideMark/>
          </w:tcPr>
          <w:p w:rsidR="00B53620" w:rsidRPr="0047552B" w:rsidRDefault="00B53620" w:rsidP="00616667">
            <w:pPr>
              <w:jc w:val="center"/>
              <w:rPr>
                <w:b/>
                <w:bCs/>
                <w:color w:val="000000"/>
                <w:u w:val="single"/>
              </w:rPr>
            </w:pPr>
            <w:r w:rsidRPr="008B4BF7">
              <w:rPr>
                <w:b/>
                <w:bCs/>
                <w:color w:val="000000"/>
              </w:rPr>
              <w:t>Accumulated</w:t>
            </w:r>
            <w:r w:rsidRPr="0047552B">
              <w:rPr>
                <w:b/>
                <w:bCs/>
                <w:color w:val="000000"/>
                <w:u w:val="single"/>
              </w:rPr>
              <w:t xml:space="preserve"> </w:t>
            </w:r>
            <w:r w:rsidRPr="0047552B">
              <w:rPr>
                <w:b/>
                <w:bCs/>
                <w:color w:val="000000"/>
                <w:u w:val="single"/>
              </w:rPr>
              <w:br/>
              <w:t>Depreciation</w:t>
            </w:r>
          </w:p>
        </w:tc>
      </w:tr>
      <w:tr w:rsidR="00B53620" w:rsidRPr="0047552B" w:rsidTr="00616667">
        <w:trPr>
          <w:trHeight w:val="313"/>
          <w:jc w:val="center"/>
        </w:trPr>
        <w:tc>
          <w:tcPr>
            <w:tcW w:w="1361" w:type="dxa"/>
            <w:shd w:val="clear" w:color="auto" w:fill="auto"/>
            <w:noWrap/>
            <w:vAlign w:val="bottom"/>
            <w:hideMark/>
          </w:tcPr>
          <w:p w:rsidR="00B53620" w:rsidRPr="0047552B" w:rsidRDefault="00B53620" w:rsidP="00616667">
            <w:pPr>
              <w:jc w:val="center"/>
              <w:rPr>
                <w:color w:val="000000"/>
              </w:rPr>
            </w:pPr>
            <w:r w:rsidRPr="0047552B">
              <w:rPr>
                <w:color w:val="000000"/>
              </w:rPr>
              <w:t>351</w:t>
            </w:r>
          </w:p>
        </w:tc>
        <w:tc>
          <w:tcPr>
            <w:tcW w:w="4533" w:type="dxa"/>
            <w:shd w:val="clear" w:color="auto" w:fill="auto"/>
            <w:noWrap/>
            <w:vAlign w:val="bottom"/>
            <w:hideMark/>
          </w:tcPr>
          <w:p w:rsidR="00B53620" w:rsidRPr="0047552B" w:rsidRDefault="00B53620" w:rsidP="00616667">
            <w:pPr>
              <w:rPr>
                <w:color w:val="000000"/>
              </w:rPr>
            </w:pPr>
            <w:r w:rsidRPr="0047552B">
              <w:rPr>
                <w:color w:val="000000"/>
              </w:rPr>
              <w:t xml:space="preserve"> Organization </w:t>
            </w:r>
          </w:p>
        </w:tc>
        <w:tc>
          <w:tcPr>
            <w:tcW w:w="1603"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$25,000 </w:t>
            </w:r>
          </w:p>
        </w:tc>
        <w:tc>
          <w:tcPr>
            <w:tcW w:w="2006" w:type="dxa"/>
            <w:shd w:val="clear" w:color="auto" w:fill="auto"/>
            <w:noWrap/>
            <w:vAlign w:val="bottom"/>
            <w:hideMark/>
          </w:tcPr>
          <w:p w:rsidR="00B53620" w:rsidRPr="0047552B" w:rsidRDefault="00B53620" w:rsidP="00616667">
            <w:pPr>
              <w:jc w:val="right"/>
              <w:rPr>
                <w:color w:val="000000"/>
              </w:rPr>
            </w:pPr>
            <w:r w:rsidRPr="0047552B">
              <w:rPr>
                <w:color w:val="000000"/>
              </w:rPr>
              <w:t>($7,031)</w:t>
            </w:r>
          </w:p>
        </w:tc>
      </w:tr>
      <w:tr w:rsidR="00B53620" w:rsidRPr="0047552B" w:rsidTr="00616667">
        <w:trPr>
          <w:trHeight w:val="313"/>
          <w:jc w:val="center"/>
        </w:trPr>
        <w:tc>
          <w:tcPr>
            <w:tcW w:w="1361" w:type="dxa"/>
            <w:shd w:val="clear" w:color="auto" w:fill="auto"/>
            <w:noWrap/>
            <w:vAlign w:val="bottom"/>
            <w:hideMark/>
          </w:tcPr>
          <w:p w:rsidR="00B53620" w:rsidRPr="0047552B" w:rsidRDefault="00B53620" w:rsidP="00616667">
            <w:pPr>
              <w:jc w:val="center"/>
              <w:rPr>
                <w:color w:val="000000"/>
              </w:rPr>
            </w:pPr>
            <w:r w:rsidRPr="0047552B">
              <w:rPr>
                <w:color w:val="000000"/>
              </w:rPr>
              <w:t>361</w:t>
            </w:r>
          </w:p>
        </w:tc>
        <w:tc>
          <w:tcPr>
            <w:tcW w:w="4533" w:type="dxa"/>
            <w:shd w:val="clear" w:color="auto" w:fill="auto"/>
            <w:noWrap/>
            <w:vAlign w:val="bottom"/>
            <w:hideMark/>
          </w:tcPr>
          <w:p w:rsidR="00B53620" w:rsidRPr="0047552B" w:rsidRDefault="00B53620" w:rsidP="00616667">
            <w:pPr>
              <w:rPr>
                <w:color w:val="000000"/>
              </w:rPr>
            </w:pPr>
            <w:r w:rsidRPr="0047552B">
              <w:rPr>
                <w:color w:val="000000"/>
              </w:rPr>
              <w:t xml:space="preserve"> Collection - Sewers Gravity </w:t>
            </w:r>
          </w:p>
        </w:tc>
        <w:tc>
          <w:tcPr>
            <w:tcW w:w="1603"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30,260 </w:t>
            </w:r>
          </w:p>
        </w:tc>
        <w:tc>
          <w:tcPr>
            <w:tcW w:w="2006"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(30,260)</w:t>
            </w:r>
          </w:p>
        </w:tc>
      </w:tr>
      <w:tr w:rsidR="00B53620" w:rsidRPr="0047552B" w:rsidTr="00616667">
        <w:trPr>
          <w:trHeight w:val="313"/>
          <w:jc w:val="center"/>
        </w:trPr>
        <w:tc>
          <w:tcPr>
            <w:tcW w:w="1361" w:type="dxa"/>
            <w:shd w:val="clear" w:color="auto" w:fill="auto"/>
            <w:noWrap/>
            <w:vAlign w:val="bottom"/>
            <w:hideMark/>
          </w:tcPr>
          <w:p w:rsidR="00B53620" w:rsidRPr="0047552B" w:rsidRDefault="00B53620" w:rsidP="00616667">
            <w:pPr>
              <w:jc w:val="center"/>
              <w:rPr>
                <w:color w:val="000000"/>
              </w:rPr>
            </w:pPr>
            <w:r w:rsidRPr="0047552B">
              <w:rPr>
                <w:color w:val="000000"/>
              </w:rPr>
              <w:t>363</w:t>
            </w:r>
          </w:p>
        </w:tc>
        <w:tc>
          <w:tcPr>
            <w:tcW w:w="4533" w:type="dxa"/>
            <w:shd w:val="clear" w:color="auto" w:fill="auto"/>
            <w:noWrap/>
            <w:vAlign w:val="bottom"/>
            <w:hideMark/>
          </w:tcPr>
          <w:p w:rsidR="00B53620" w:rsidRPr="0047552B" w:rsidRDefault="00B53620" w:rsidP="00616667">
            <w:pPr>
              <w:rPr>
                <w:color w:val="000000"/>
              </w:rPr>
            </w:pPr>
            <w:r w:rsidRPr="0047552B">
              <w:rPr>
                <w:color w:val="000000"/>
              </w:rPr>
              <w:t xml:space="preserve"> Meters </w:t>
            </w:r>
          </w:p>
        </w:tc>
        <w:tc>
          <w:tcPr>
            <w:tcW w:w="1603"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6,682 </w:t>
            </w:r>
          </w:p>
        </w:tc>
        <w:tc>
          <w:tcPr>
            <w:tcW w:w="2006" w:type="dxa"/>
            <w:shd w:val="clear" w:color="auto" w:fill="auto"/>
            <w:noWrap/>
            <w:vAlign w:val="bottom"/>
            <w:hideMark/>
          </w:tcPr>
          <w:p w:rsidR="00B53620" w:rsidRPr="0047552B" w:rsidRDefault="00B53620" w:rsidP="00616667">
            <w:pPr>
              <w:jc w:val="right"/>
              <w:rPr>
                <w:color w:val="000000"/>
              </w:rPr>
            </w:pPr>
            <w:r w:rsidRPr="0047552B">
              <w:rPr>
                <w:color w:val="000000"/>
              </w:rPr>
              <w:t xml:space="preserve">             (4,074)</w:t>
            </w:r>
          </w:p>
        </w:tc>
      </w:tr>
      <w:tr w:rsidR="00B53620" w:rsidRPr="0047552B" w:rsidTr="00616667">
        <w:trPr>
          <w:trHeight w:val="313"/>
          <w:jc w:val="center"/>
        </w:trPr>
        <w:tc>
          <w:tcPr>
            <w:tcW w:w="1361" w:type="dxa"/>
            <w:shd w:val="clear" w:color="auto" w:fill="auto"/>
            <w:noWrap/>
            <w:vAlign w:val="bottom"/>
            <w:hideMark/>
          </w:tcPr>
          <w:p w:rsidR="00B53620" w:rsidRPr="0047552B" w:rsidRDefault="00B53620" w:rsidP="00616667">
            <w:pPr>
              <w:jc w:val="center"/>
              <w:rPr>
                <w:color w:val="000000"/>
              </w:rPr>
            </w:pPr>
            <w:r w:rsidRPr="0047552B">
              <w:rPr>
                <w:color w:val="000000"/>
              </w:rPr>
              <w:t>390</w:t>
            </w:r>
          </w:p>
        </w:tc>
        <w:tc>
          <w:tcPr>
            <w:tcW w:w="4533" w:type="dxa"/>
            <w:shd w:val="clear" w:color="auto" w:fill="auto"/>
            <w:noWrap/>
            <w:vAlign w:val="bottom"/>
            <w:hideMark/>
          </w:tcPr>
          <w:p w:rsidR="00B53620" w:rsidRPr="0047552B" w:rsidRDefault="00B53620" w:rsidP="00616667">
            <w:pPr>
              <w:rPr>
                <w:color w:val="000000"/>
              </w:rPr>
            </w:pPr>
            <w:r w:rsidRPr="0047552B">
              <w:rPr>
                <w:color w:val="000000"/>
              </w:rPr>
              <w:t xml:space="preserve"> Office Furniture &amp; Equipment </w:t>
            </w:r>
          </w:p>
        </w:tc>
        <w:tc>
          <w:tcPr>
            <w:tcW w:w="1603" w:type="dxa"/>
            <w:shd w:val="clear" w:color="auto" w:fill="auto"/>
            <w:noWrap/>
            <w:vAlign w:val="bottom"/>
            <w:hideMark/>
          </w:tcPr>
          <w:p w:rsidR="00B53620" w:rsidRPr="00B97558" w:rsidRDefault="00B53620" w:rsidP="00616667">
            <w:pPr>
              <w:jc w:val="right"/>
              <w:rPr>
                <w:color w:val="000000"/>
                <w:u w:val="single"/>
              </w:rPr>
            </w:pPr>
            <w:r w:rsidRPr="0047552B">
              <w:rPr>
                <w:color w:val="000000"/>
              </w:rPr>
              <w:t xml:space="preserve">            </w:t>
            </w:r>
            <w:r w:rsidRPr="00B97558">
              <w:rPr>
                <w:color w:val="000000"/>
                <w:u w:val="single"/>
              </w:rPr>
              <w:t xml:space="preserve">373 </w:t>
            </w:r>
          </w:p>
        </w:tc>
        <w:tc>
          <w:tcPr>
            <w:tcW w:w="2006" w:type="dxa"/>
            <w:shd w:val="clear" w:color="auto" w:fill="auto"/>
            <w:noWrap/>
            <w:vAlign w:val="bottom"/>
            <w:hideMark/>
          </w:tcPr>
          <w:p w:rsidR="00B53620" w:rsidRPr="00B97558" w:rsidRDefault="00B53620" w:rsidP="00616667">
            <w:pPr>
              <w:jc w:val="right"/>
              <w:rPr>
                <w:color w:val="000000"/>
                <w:u w:val="single"/>
              </w:rPr>
            </w:pPr>
            <w:r w:rsidRPr="0047552B">
              <w:rPr>
                <w:color w:val="000000"/>
              </w:rPr>
              <w:t xml:space="preserve">                </w:t>
            </w:r>
            <w:r w:rsidRPr="00B97558">
              <w:rPr>
                <w:color w:val="000000"/>
                <w:u w:val="single"/>
              </w:rPr>
              <w:t>(373)</w:t>
            </w:r>
          </w:p>
        </w:tc>
      </w:tr>
      <w:tr w:rsidR="00B53620" w:rsidRPr="0047552B" w:rsidTr="00616667">
        <w:trPr>
          <w:trHeight w:val="313"/>
          <w:jc w:val="center"/>
        </w:trPr>
        <w:tc>
          <w:tcPr>
            <w:tcW w:w="1361" w:type="dxa"/>
            <w:shd w:val="clear" w:color="auto" w:fill="auto"/>
            <w:noWrap/>
            <w:vAlign w:val="bottom"/>
          </w:tcPr>
          <w:p w:rsidR="00B53620" w:rsidRPr="0047552B" w:rsidRDefault="00B53620" w:rsidP="00616667">
            <w:pPr>
              <w:jc w:val="center"/>
              <w:rPr>
                <w:color w:val="000000"/>
              </w:rPr>
            </w:pPr>
          </w:p>
        </w:tc>
        <w:tc>
          <w:tcPr>
            <w:tcW w:w="4533" w:type="dxa"/>
            <w:shd w:val="clear" w:color="auto" w:fill="auto"/>
            <w:noWrap/>
            <w:vAlign w:val="bottom"/>
          </w:tcPr>
          <w:p w:rsidR="00B53620" w:rsidRPr="0047552B" w:rsidRDefault="00B53620" w:rsidP="00616667">
            <w:pPr>
              <w:rPr>
                <w:color w:val="000000"/>
              </w:rPr>
            </w:pPr>
          </w:p>
        </w:tc>
        <w:tc>
          <w:tcPr>
            <w:tcW w:w="1603" w:type="dxa"/>
            <w:shd w:val="clear" w:color="auto" w:fill="auto"/>
            <w:noWrap/>
            <w:vAlign w:val="bottom"/>
          </w:tcPr>
          <w:p w:rsidR="00B53620" w:rsidRPr="0047552B" w:rsidRDefault="00B53620" w:rsidP="00616667">
            <w:pPr>
              <w:rPr>
                <w:color w:val="000000"/>
              </w:rPr>
            </w:pPr>
          </w:p>
        </w:tc>
        <w:tc>
          <w:tcPr>
            <w:tcW w:w="2006" w:type="dxa"/>
            <w:shd w:val="clear" w:color="auto" w:fill="auto"/>
            <w:noWrap/>
            <w:vAlign w:val="bottom"/>
          </w:tcPr>
          <w:p w:rsidR="00B53620" w:rsidRPr="0047552B" w:rsidRDefault="00B53620" w:rsidP="00616667">
            <w:pPr>
              <w:rPr>
                <w:color w:val="000000"/>
              </w:rPr>
            </w:pPr>
          </w:p>
        </w:tc>
      </w:tr>
      <w:tr w:rsidR="00B53620" w:rsidRPr="0047552B" w:rsidTr="00616667">
        <w:trPr>
          <w:trHeight w:val="313"/>
          <w:jc w:val="center"/>
        </w:trPr>
        <w:tc>
          <w:tcPr>
            <w:tcW w:w="1361" w:type="dxa"/>
            <w:shd w:val="clear" w:color="auto" w:fill="auto"/>
            <w:noWrap/>
            <w:vAlign w:val="bottom"/>
            <w:hideMark/>
          </w:tcPr>
          <w:p w:rsidR="00B53620" w:rsidRPr="0047552B" w:rsidRDefault="00B53620" w:rsidP="00616667">
            <w:pPr>
              <w:rPr>
                <w:color w:val="000000"/>
              </w:rPr>
            </w:pPr>
          </w:p>
        </w:tc>
        <w:tc>
          <w:tcPr>
            <w:tcW w:w="4533" w:type="dxa"/>
            <w:shd w:val="clear" w:color="auto" w:fill="auto"/>
            <w:noWrap/>
            <w:vAlign w:val="bottom"/>
            <w:hideMark/>
          </w:tcPr>
          <w:p w:rsidR="00B53620" w:rsidRPr="0047552B" w:rsidRDefault="00B53620" w:rsidP="00616667">
            <w:r w:rsidRPr="0047552B">
              <w:t>Total</w:t>
            </w:r>
          </w:p>
        </w:tc>
        <w:tc>
          <w:tcPr>
            <w:tcW w:w="1603"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 xml:space="preserve">$62,315 </w:t>
            </w:r>
          </w:p>
        </w:tc>
        <w:tc>
          <w:tcPr>
            <w:tcW w:w="2006" w:type="dxa"/>
            <w:shd w:val="clear" w:color="auto" w:fill="auto"/>
            <w:noWrap/>
            <w:vAlign w:val="bottom"/>
            <w:hideMark/>
          </w:tcPr>
          <w:p w:rsidR="00B53620" w:rsidRPr="0047552B" w:rsidRDefault="00B53620" w:rsidP="00616667">
            <w:pPr>
              <w:jc w:val="right"/>
              <w:rPr>
                <w:color w:val="000000"/>
                <w:u w:val="double"/>
              </w:rPr>
            </w:pPr>
            <w:r w:rsidRPr="0047552B">
              <w:rPr>
                <w:color w:val="000000"/>
                <w:u w:val="double"/>
              </w:rPr>
              <w:t>($41,738)</w:t>
            </w:r>
          </w:p>
        </w:tc>
      </w:tr>
      <w:tr w:rsidR="00B53620" w:rsidRPr="0047552B" w:rsidTr="00616667">
        <w:trPr>
          <w:trHeight w:val="313"/>
          <w:jc w:val="center"/>
        </w:trPr>
        <w:tc>
          <w:tcPr>
            <w:tcW w:w="1361" w:type="dxa"/>
            <w:shd w:val="clear" w:color="auto" w:fill="auto"/>
            <w:noWrap/>
            <w:vAlign w:val="bottom"/>
          </w:tcPr>
          <w:p w:rsidR="00B53620" w:rsidRPr="0047552B" w:rsidRDefault="00B53620" w:rsidP="00616667">
            <w:pPr>
              <w:rPr>
                <w:color w:val="000000"/>
              </w:rPr>
            </w:pPr>
          </w:p>
        </w:tc>
        <w:tc>
          <w:tcPr>
            <w:tcW w:w="4533" w:type="dxa"/>
            <w:shd w:val="clear" w:color="auto" w:fill="auto"/>
            <w:noWrap/>
            <w:vAlign w:val="bottom"/>
          </w:tcPr>
          <w:p w:rsidR="00B53620" w:rsidRPr="0047552B" w:rsidRDefault="00B53620" w:rsidP="00616667"/>
        </w:tc>
        <w:tc>
          <w:tcPr>
            <w:tcW w:w="1603" w:type="dxa"/>
            <w:shd w:val="clear" w:color="auto" w:fill="auto"/>
            <w:noWrap/>
            <w:vAlign w:val="bottom"/>
          </w:tcPr>
          <w:p w:rsidR="00B53620" w:rsidRPr="0047552B" w:rsidRDefault="00B53620" w:rsidP="00616667">
            <w:pPr>
              <w:jc w:val="right"/>
              <w:rPr>
                <w:color w:val="000000"/>
                <w:u w:val="double"/>
              </w:rPr>
            </w:pPr>
          </w:p>
        </w:tc>
        <w:tc>
          <w:tcPr>
            <w:tcW w:w="2006" w:type="dxa"/>
            <w:shd w:val="clear" w:color="auto" w:fill="auto"/>
            <w:noWrap/>
            <w:vAlign w:val="bottom"/>
          </w:tcPr>
          <w:p w:rsidR="00B53620" w:rsidRPr="0047552B" w:rsidRDefault="00B53620" w:rsidP="00616667">
            <w:pPr>
              <w:jc w:val="right"/>
              <w:rPr>
                <w:color w:val="000000"/>
                <w:u w:val="double"/>
              </w:rPr>
            </w:pPr>
          </w:p>
        </w:tc>
      </w:tr>
    </w:tbl>
    <w:p w:rsidR="00B53620" w:rsidRDefault="00B53620" w:rsidP="007A1FA2">
      <w:pPr>
        <w:pStyle w:val="BodyText"/>
      </w:pPr>
    </w:p>
    <w:sectPr w:rsidR="00B53620" w:rsidSect="0068481F">
      <w:headerReference w:type="default" r:id="rId24"/>
      <w:foot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67" w:rsidRDefault="00616667">
      <w:r>
        <w:separator/>
      </w:r>
    </w:p>
  </w:endnote>
  <w:endnote w:type="continuationSeparator" w:id="0">
    <w:p w:rsidR="00616667" w:rsidRDefault="0061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2612">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2612">
      <w:rPr>
        <w:rStyle w:val="PageNumber"/>
        <w:noProof/>
      </w:rPr>
      <w:t>14</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2612">
      <w:rPr>
        <w:rStyle w:val="PageNumber"/>
        <w:noProof/>
      </w:rPr>
      <w:t>16</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2612">
      <w:rPr>
        <w:rStyle w:val="PageNumber"/>
        <w:noProof/>
      </w:rPr>
      <w:t>19</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2612">
      <w:rPr>
        <w:rStyle w:val="PageNumber"/>
        <w:noProof/>
      </w:rPr>
      <w:t>20</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2612">
      <w:rPr>
        <w:rStyle w:val="PageNumber"/>
        <w:noProof/>
      </w:rPr>
      <w:t>21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67" w:rsidRDefault="00616667">
      <w:r>
        <w:separator/>
      </w:r>
    </w:p>
  </w:footnote>
  <w:footnote w:type="continuationSeparator" w:id="0">
    <w:p w:rsidR="00616667" w:rsidRDefault="00616667">
      <w:r>
        <w:continuationSeparator/>
      </w:r>
    </w:p>
  </w:footnote>
  <w:footnote w:id="1">
    <w:p w:rsidR="00616667" w:rsidRPr="005268E1" w:rsidRDefault="00616667" w:rsidP="007A1FA2">
      <w:pPr>
        <w:pStyle w:val="FootnoteText"/>
        <w:rPr>
          <w:u w:val="single"/>
        </w:rPr>
      </w:pPr>
      <w:r>
        <w:rPr>
          <w:rStyle w:val="FootnoteReference"/>
        </w:rPr>
        <w:footnoteRef/>
      </w:r>
      <w:r>
        <w:t xml:space="preserve"> Order No. 6448, issued January 9, 1975, in Docket Nos. 1974425-W and 1974426-S, </w:t>
      </w:r>
      <w:r>
        <w:rPr>
          <w:i/>
        </w:rPr>
        <w:t>In re:</w:t>
      </w:r>
      <w:r w:rsidRPr="007511F3">
        <w:rPr>
          <w:i/>
        </w:rPr>
        <w:t xml:space="preserve"> </w:t>
      </w:r>
      <w:r>
        <w:rPr>
          <w:i/>
        </w:rPr>
        <w:t>Application of Regency Utilities, Inc., for certificates to operate a water and sewer utility in Duval County, Fla.</w:t>
      </w:r>
    </w:p>
  </w:footnote>
  <w:footnote w:id="2">
    <w:p w:rsidR="00616667" w:rsidRPr="005268E1" w:rsidRDefault="00616667" w:rsidP="007A1FA2">
      <w:pPr>
        <w:pStyle w:val="FootnoteText"/>
        <w:rPr>
          <w:u w:val="single"/>
        </w:rPr>
      </w:pPr>
      <w:r>
        <w:rPr>
          <w:rStyle w:val="FootnoteReference"/>
        </w:rPr>
        <w:footnoteRef/>
      </w:r>
      <w:r>
        <w:t xml:space="preserve"> Order No. 8045, issued November 16, 1977, in Docket Nos. 19770504-WS, </w:t>
      </w:r>
      <w:r>
        <w:rPr>
          <w:i/>
        </w:rPr>
        <w:t>In re:</w:t>
      </w:r>
      <w:r w:rsidRPr="007511F3">
        <w:rPr>
          <w:i/>
        </w:rPr>
        <w:t xml:space="preserve"> </w:t>
      </w:r>
      <w:r>
        <w:rPr>
          <w:i/>
        </w:rPr>
        <w:t xml:space="preserve">Application of Regency Utilities, Inc., for amendment of Water Certificate No. 197-W and Sewer Certificate No. 143-S in Duval County, Florida. Section 367.061, Florida Statutes; </w:t>
      </w:r>
      <w:r>
        <w:t xml:space="preserve">and Order No. 9518, issued September 3, 1980, in Docket No. 19800151-WS, </w:t>
      </w:r>
      <w:r>
        <w:rPr>
          <w:i/>
        </w:rPr>
        <w:t>In re:</w:t>
      </w:r>
      <w:r w:rsidRPr="007511F3">
        <w:rPr>
          <w:i/>
        </w:rPr>
        <w:t xml:space="preserve"> </w:t>
      </w:r>
      <w:r>
        <w:rPr>
          <w:i/>
        </w:rPr>
        <w:t>Application of Regency Utilities, Inc., for amendment of Water Certificate No. 197-W and Sewer Certificate No. 143-S in Duval County, Florida.</w:t>
      </w:r>
    </w:p>
  </w:footnote>
  <w:footnote w:id="3">
    <w:p w:rsidR="00616667" w:rsidRPr="005268E1" w:rsidRDefault="00616667" w:rsidP="007A1FA2">
      <w:pPr>
        <w:pStyle w:val="FootnoteText"/>
        <w:rPr>
          <w:u w:val="single"/>
        </w:rPr>
      </w:pPr>
      <w:r>
        <w:rPr>
          <w:rStyle w:val="FootnoteReference"/>
        </w:rPr>
        <w:footnoteRef/>
      </w:r>
      <w:r>
        <w:t xml:space="preserve"> Order No. PSC-02-0060-FOF-WS, issued January 8, 2002, in Docket Nos. 20010986-WS, </w:t>
      </w:r>
      <w:r>
        <w:rPr>
          <w:i/>
        </w:rPr>
        <w:t>In re:</w:t>
      </w:r>
      <w:r w:rsidRPr="007511F3">
        <w:rPr>
          <w:i/>
        </w:rPr>
        <w:t xml:space="preserve"> </w:t>
      </w:r>
      <w:r>
        <w:rPr>
          <w:i/>
        </w:rPr>
        <w:t>Notice of sale of assets of Regency Utilities, Inc. in Duval County to Jacksonville Electric Authority, and request for cancellation of Certificate Nos. 197-W and 143-S.</w:t>
      </w:r>
    </w:p>
  </w:footnote>
  <w:footnote w:id="4">
    <w:p w:rsidR="00616667" w:rsidRPr="005268E1" w:rsidRDefault="00616667" w:rsidP="007A1FA2">
      <w:pPr>
        <w:pStyle w:val="FootnoteText"/>
        <w:rPr>
          <w:u w:val="single"/>
        </w:rPr>
      </w:pPr>
      <w:r>
        <w:rPr>
          <w:rStyle w:val="FootnoteReference"/>
        </w:rPr>
        <w:footnoteRef/>
      </w:r>
      <w:r>
        <w:t xml:space="preserve"> Order No. PSC-08-0061-PAA-WS, issued September 22, 2008, in Docket Nos. 20080113-WS, </w:t>
      </w:r>
      <w:r>
        <w:rPr>
          <w:i/>
        </w:rPr>
        <w:t>In re:</w:t>
      </w:r>
      <w:r w:rsidRPr="007511F3">
        <w:rPr>
          <w:i/>
        </w:rPr>
        <w:t xml:space="preserve"> </w:t>
      </w:r>
      <w:r>
        <w:rPr>
          <w:i/>
        </w:rPr>
        <w:t>Application for certificates to provide water and wastewater service in Duval County by Regency Utilities Inc.</w:t>
      </w:r>
    </w:p>
  </w:footnote>
  <w:footnote w:id="5">
    <w:p w:rsidR="00616667" w:rsidRPr="00FC4DFC" w:rsidRDefault="00616667" w:rsidP="007A1FA2">
      <w:pPr>
        <w:pStyle w:val="FootnoteText"/>
      </w:pPr>
      <w:r>
        <w:rPr>
          <w:rStyle w:val="FootnoteReference"/>
        </w:rPr>
        <w:footnoteRef/>
      </w:r>
      <w:r>
        <w:t xml:space="preserve"> Document No. 01390-2020, filed March 13, 2020, Final Audit Report.</w:t>
      </w:r>
    </w:p>
  </w:footnote>
  <w:footnote w:id="6">
    <w:p w:rsidR="00616667" w:rsidRPr="007C3251" w:rsidRDefault="00616667" w:rsidP="007A1FA2">
      <w:pPr>
        <w:pStyle w:val="FootnoteText"/>
      </w:pPr>
      <w:r w:rsidRPr="007C3251">
        <w:rPr>
          <w:rStyle w:val="FootnoteReference"/>
        </w:rPr>
        <w:footnoteRef/>
      </w:r>
      <w:r w:rsidRPr="007C3251">
        <w:t xml:space="preserve"> Document No. </w:t>
      </w:r>
      <w:r w:rsidRPr="003258E0">
        <w:t>02841-2020</w:t>
      </w:r>
      <w:r w:rsidRPr="007C3251">
        <w:t xml:space="preserve"> (Confidential), </w:t>
      </w:r>
      <w:r>
        <w:t xml:space="preserve">filed May 29, 2020, </w:t>
      </w:r>
      <w:r w:rsidRPr="007C3251">
        <w:t xml:space="preserve">in Docket No. </w:t>
      </w:r>
      <w:r>
        <w:t>20190195-WS.</w:t>
      </w:r>
    </w:p>
  </w:footnote>
  <w:footnote w:id="7">
    <w:p w:rsidR="00616667" w:rsidRDefault="00616667" w:rsidP="007A1FA2">
      <w:pPr>
        <w:pStyle w:val="FootnoteText"/>
      </w:pPr>
      <w:r>
        <w:rPr>
          <w:rStyle w:val="FootnoteReference"/>
        </w:rPr>
        <w:footnoteRef/>
      </w:r>
      <w:r>
        <w:t xml:space="preserve"> </w:t>
      </w:r>
      <w:r w:rsidRPr="006C0841">
        <w:t>Order No. PSC-</w:t>
      </w:r>
      <w:r>
        <w:t>1</w:t>
      </w:r>
      <w:r w:rsidRPr="006C0841">
        <w:t>2-</w:t>
      </w:r>
      <w:r>
        <w:t>0436</w:t>
      </w:r>
      <w:r w:rsidRPr="006C0841">
        <w:t>-PAA-W</w:t>
      </w:r>
      <w:r>
        <w:t>S</w:t>
      </w:r>
      <w:r w:rsidRPr="006C0841">
        <w:t xml:space="preserve">, issued </w:t>
      </w:r>
      <w:r>
        <w:t>August 24</w:t>
      </w:r>
      <w:r w:rsidRPr="006C0841">
        <w:t>, 20</w:t>
      </w:r>
      <w:r>
        <w:t>12</w:t>
      </w:r>
      <w:r w:rsidRPr="006C0841">
        <w:t xml:space="preserve">, in Docket No. </w:t>
      </w:r>
      <w:r>
        <w:t>2</w:t>
      </w:r>
      <w:r w:rsidRPr="006C0841">
        <w:t>011</w:t>
      </w:r>
      <w:r>
        <w:t>0282</w:t>
      </w:r>
      <w:r w:rsidRPr="006C0841">
        <w:t>-W</w:t>
      </w:r>
      <w:r>
        <w:t xml:space="preserve">S, </w:t>
      </w:r>
      <w:r w:rsidRPr="006C0841">
        <w:rPr>
          <w:i/>
        </w:rPr>
        <w:t>In re: Application for staff-assisted rate case in</w:t>
      </w:r>
      <w:r>
        <w:rPr>
          <w:i/>
        </w:rPr>
        <w:t xml:space="preserve"> Duval County by Regency Utilities, Inc.</w:t>
      </w:r>
    </w:p>
  </w:footnote>
  <w:footnote w:id="8">
    <w:p w:rsidR="00616667" w:rsidRDefault="00616667" w:rsidP="007A1FA2">
      <w:pPr>
        <w:pStyle w:val="FootnoteText"/>
      </w:pPr>
      <w:r>
        <w:rPr>
          <w:rStyle w:val="FootnoteReference"/>
        </w:rPr>
        <w:footnoteRef/>
      </w:r>
      <w:r w:rsidRPr="006C0841">
        <w:t xml:space="preserve"> Order No. PSC-0</w:t>
      </w:r>
      <w:r>
        <w:t>8</w:t>
      </w:r>
      <w:r w:rsidRPr="006C0841">
        <w:t>-</w:t>
      </w:r>
      <w:r>
        <w:t>0611</w:t>
      </w:r>
      <w:r w:rsidRPr="006C0841">
        <w:t>-PAA-W</w:t>
      </w:r>
      <w:r>
        <w:t>S</w:t>
      </w:r>
      <w:r w:rsidRPr="006C0841">
        <w:t xml:space="preserve">, issued </w:t>
      </w:r>
      <w:r>
        <w:t>September 22</w:t>
      </w:r>
      <w:r w:rsidRPr="006C0841">
        <w:t>, 200</w:t>
      </w:r>
      <w:r>
        <w:t>8</w:t>
      </w:r>
      <w:r w:rsidRPr="006C0841">
        <w:t xml:space="preserve">, in Docket No. </w:t>
      </w:r>
      <w:r>
        <w:t>20080113</w:t>
      </w:r>
      <w:r w:rsidRPr="006C0841">
        <w:t>-W</w:t>
      </w:r>
      <w:r>
        <w:t>S</w:t>
      </w:r>
      <w:r w:rsidRPr="006C0841">
        <w:t xml:space="preserve">, </w:t>
      </w:r>
      <w:r w:rsidRPr="006C0841">
        <w:rPr>
          <w:i/>
        </w:rPr>
        <w:t xml:space="preserve">In re: Application for certificate to operate water utility in </w:t>
      </w:r>
      <w:r>
        <w:rPr>
          <w:i/>
        </w:rPr>
        <w:t>Duval</w:t>
      </w:r>
      <w:r w:rsidRPr="006C0841">
        <w:rPr>
          <w:i/>
        </w:rPr>
        <w:t xml:space="preserve"> County by </w:t>
      </w:r>
      <w:r>
        <w:rPr>
          <w:i/>
        </w:rPr>
        <w:t>Regency Utilities, Inc.</w:t>
      </w:r>
    </w:p>
  </w:footnote>
  <w:footnote w:id="9">
    <w:p w:rsidR="00616667" w:rsidRPr="008E3BEE" w:rsidRDefault="00616667" w:rsidP="007A1FA2">
      <w:pPr>
        <w:autoSpaceDE w:val="0"/>
        <w:autoSpaceDN w:val="0"/>
        <w:adjustRightInd w:val="0"/>
        <w:jc w:val="both"/>
        <w:rPr>
          <w:i/>
          <w:iCs/>
          <w:sz w:val="20"/>
          <w:szCs w:val="20"/>
        </w:rPr>
      </w:pPr>
      <w:r w:rsidRPr="008E3BEE">
        <w:rPr>
          <w:rStyle w:val="FootnoteReference"/>
          <w:sz w:val="20"/>
          <w:szCs w:val="20"/>
        </w:rPr>
        <w:footnoteRef/>
      </w:r>
      <w:r>
        <w:rPr>
          <w:sz w:val="20"/>
          <w:szCs w:val="20"/>
        </w:rPr>
        <w:t xml:space="preserve"> </w:t>
      </w:r>
      <w:r w:rsidRPr="008E3BEE">
        <w:rPr>
          <w:sz w:val="20"/>
          <w:szCs w:val="20"/>
        </w:rPr>
        <w:t xml:space="preserve">Order No. PSC-2018-0334-PAA-WU, issued June 28, 2018, in Docket No. 20170155-WU, </w:t>
      </w:r>
      <w:r w:rsidRPr="008E3BEE">
        <w:rPr>
          <w:i/>
          <w:iCs/>
          <w:sz w:val="20"/>
          <w:szCs w:val="20"/>
        </w:rPr>
        <w:t>In re: Application for grandfather water certificate in Leon County and application for pass through increase of regulatory assessment fees, by Seminole Waterworks, Inc.</w:t>
      </w:r>
    </w:p>
  </w:footnote>
  <w:footnote w:id="10">
    <w:p w:rsidR="00616667" w:rsidRPr="008E3BEE" w:rsidRDefault="00616667" w:rsidP="007A1FA2">
      <w:pPr>
        <w:autoSpaceDE w:val="0"/>
        <w:autoSpaceDN w:val="0"/>
        <w:adjustRightInd w:val="0"/>
        <w:jc w:val="both"/>
        <w:rPr>
          <w:i/>
          <w:iCs/>
          <w:sz w:val="20"/>
          <w:szCs w:val="20"/>
        </w:rPr>
      </w:pPr>
      <w:r w:rsidRPr="008E3BEE">
        <w:rPr>
          <w:rStyle w:val="FootnoteReference"/>
          <w:sz w:val="20"/>
          <w:szCs w:val="20"/>
        </w:rPr>
        <w:footnoteRef/>
      </w:r>
      <w:r>
        <w:rPr>
          <w:sz w:val="20"/>
          <w:szCs w:val="20"/>
        </w:rPr>
        <w:t xml:space="preserve"> </w:t>
      </w:r>
      <w:r w:rsidRPr="008E3BEE">
        <w:rPr>
          <w:sz w:val="20"/>
          <w:szCs w:val="20"/>
        </w:rPr>
        <w:t xml:space="preserve">Order Nos. </w:t>
      </w:r>
      <w:r>
        <w:rPr>
          <w:sz w:val="20"/>
          <w:szCs w:val="20"/>
        </w:rPr>
        <w:t xml:space="preserve">PSC-2020-0086-PAA-WU, issued March 24, 2020, in Docket No. 20190114-WU, </w:t>
      </w:r>
      <w:r>
        <w:rPr>
          <w:i/>
          <w:sz w:val="20"/>
          <w:szCs w:val="20"/>
        </w:rPr>
        <w:t xml:space="preserve">In re: </w:t>
      </w:r>
      <w:r w:rsidRPr="006241D3">
        <w:rPr>
          <w:i/>
          <w:sz w:val="20"/>
          <w:szCs w:val="20"/>
        </w:rPr>
        <w:t>Application for staff-assisted rate case in Alachua County, and request for interim rate increase by Gator Waterworks, Inc.</w:t>
      </w:r>
      <w:r>
        <w:rPr>
          <w:i/>
          <w:sz w:val="20"/>
          <w:szCs w:val="20"/>
        </w:rPr>
        <w:t xml:space="preserve">; </w:t>
      </w:r>
      <w:r w:rsidRPr="008E3BEE">
        <w:rPr>
          <w:sz w:val="20"/>
          <w:szCs w:val="20"/>
        </w:rPr>
        <w:t xml:space="preserve">PSC-16-0041-TRF-WU, issued January 25, 2016, in Docket No. 20150215-WU, </w:t>
      </w:r>
      <w:r w:rsidRPr="008E3BEE">
        <w:rPr>
          <w:i/>
          <w:iCs/>
          <w:sz w:val="20"/>
          <w:szCs w:val="20"/>
        </w:rPr>
        <w:t>In re: Request for</w:t>
      </w:r>
    </w:p>
    <w:p w:rsidR="00616667" w:rsidRPr="008E3BEE" w:rsidRDefault="00616667" w:rsidP="007A1FA2">
      <w:pPr>
        <w:autoSpaceDE w:val="0"/>
        <w:autoSpaceDN w:val="0"/>
        <w:adjustRightInd w:val="0"/>
        <w:jc w:val="both"/>
        <w:rPr>
          <w:i/>
          <w:iCs/>
          <w:sz w:val="20"/>
          <w:szCs w:val="20"/>
        </w:rPr>
      </w:pPr>
      <w:r w:rsidRPr="008E3BEE">
        <w:rPr>
          <w:i/>
          <w:iCs/>
          <w:sz w:val="20"/>
          <w:szCs w:val="20"/>
        </w:rPr>
        <w:t>approval of tariff amendment to include miscellaneous service charges for the Earlene and Ray Keen Subdivisions,</w:t>
      </w:r>
    </w:p>
    <w:p w:rsidR="00616667" w:rsidRPr="008E3BEE" w:rsidRDefault="00616667" w:rsidP="007A1FA2">
      <w:pPr>
        <w:autoSpaceDE w:val="0"/>
        <w:autoSpaceDN w:val="0"/>
        <w:adjustRightInd w:val="0"/>
        <w:jc w:val="both"/>
        <w:rPr>
          <w:i/>
          <w:iCs/>
          <w:sz w:val="20"/>
          <w:szCs w:val="20"/>
        </w:rPr>
      </w:pPr>
      <w:r w:rsidRPr="008E3BEE">
        <w:rPr>
          <w:i/>
          <w:iCs/>
          <w:sz w:val="20"/>
          <w:szCs w:val="20"/>
        </w:rPr>
        <w:t>the Ellison Park Subdivision and the Lake Region Paradise Island Subdivision in Polk County, by Keen Sales,</w:t>
      </w:r>
    </w:p>
    <w:p w:rsidR="00616667" w:rsidRPr="008E3BEE" w:rsidRDefault="00616667" w:rsidP="007A1FA2">
      <w:pPr>
        <w:autoSpaceDE w:val="0"/>
        <w:autoSpaceDN w:val="0"/>
        <w:adjustRightInd w:val="0"/>
        <w:jc w:val="both"/>
        <w:rPr>
          <w:i/>
          <w:iCs/>
          <w:sz w:val="20"/>
          <w:szCs w:val="20"/>
        </w:rPr>
      </w:pPr>
      <w:r w:rsidRPr="008E3BEE">
        <w:rPr>
          <w:i/>
          <w:iCs/>
          <w:sz w:val="20"/>
          <w:szCs w:val="20"/>
        </w:rPr>
        <w:t xml:space="preserve">Rentals and Utilities, Inc. </w:t>
      </w:r>
      <w:r w:rsidRPr="008E3BEE">
        <w:rPr>
          <w:sz w:val="20"/>
          <w:szCs w:val="20"/>
        </w:rPr>
        <w:t xml:space="preserve">and PSC-15-0569-PAA-WS, issued December 16, 2015, in Docket No. 20140239-WS, </w:t>
      </w:r>
      <w:r w:rsidRPr="008E3BEE">
        <w:rPr>
          <w:i/>
          <w:iCs/>
          <w:sz w:val="20"/>
          <w:szCs w:val="20"/>
        </w:rPr>
        <w:t>In</w:t>
      </w:r>
    </w:p>
    <w:p w:rsidR="00616667" w:rsidRPr="008E3BEE" w:rsidRDefault="00616667" w:rsidP="007A1FA2">
      <w:pPr>
        <w:pStyle w:val="FootnoteText"/>
      </w:pPr>
      <w:proofErr w:type="gramStart"/>
      <w:r w:rsidRPr="008E3BEE">
        <w:rPr>
          <w:i/>
          <w:iCs/>
        </w:rPr>
        <w:t>re</w:t>
      </w:r>
      <w:proofErr w:type="gramEnd"/>
      <w:r w:rsidRPr="008E3BEE">
        <w:rPr>
          <w:i/>
          <w:iCs/>
        </w:rPr>
        <w:t>: Application for staff-assisted rate case in Polk County by Orchid Springs Development Corporation.</w:t>
      </w:r>
      <w:r>
        <w:rPr>
          <w:i/>
          <w:iCs/>
        </w:rPr>
        <w:t xml:space="preserve">  </w:t>
      </w:r>
    </w:p>
  </w:footnote>
  <w:footnote w:id="11">
    <w:p w:rsidR="00616667" w:rsidRDefault="00616667" w:rsidP="007A1FA2">
      <w:pPr>
        <w:pStyle w:val="FootnoteText"/>
      </w:pPr>
      <w:r>
        <w:t xml:space="preserve"> </w:t>
      </w:r>
      <w:r w:rsidRPr="008E3BEE">
        <w:rPr>
          <w:rStyle w:val="FootnoteReference"/>
        </w:rPr>
        <w:footnoteRef/>
      </w:r>
      <w:r w:rsidRPr="008E3BEE">
        <w:t xml:space="preserve">Order Nos. PSC-14-0105-TRF-WS, issued February 20, 2014, in Docket No. 20130288-WS, </w:t>
      </w:r>
      <w:r w:rsidRPr="008E3BEE">
        <w:rPr>
          <w:i/>
        </w:rPr>
        <w:t xml:space="preserve">In re: Request for approval of late payment charge in Brevard County by </w:t>
      </w:r>
      <w:proofErr w:type="spellStart"/>
      <w:r w:rsidRPr="008E3BEE">
        <w:rPr>
          <w:i/>
        </w:rPr>
        <w:t>Aquarina</w:t>
      </w:r>
      <w:proofErr w:type="spellEnd"/>
      <w:r w:rsidRPr="008E3BEE">
        <w:rPr>
          <w:i/>
        </w:rPr>
        <w:t xml:space="preserve"> Utilities, Inc.</w:t>
      </w:r>
      <w:r w:rsidRPr="008E3BEE">
        <w:t>; PSC-15-0535-PAA-WU, issued November 19, 2015, in Docket No. 20140217-WU,</w:t>
      </w:r>
      <w:r w:rsidRPr="008E3BEE">
        <w:rPr>
          <w:i/>
        </w:rPr>
        <w:t xml:space="preserve"> In re: Application for staff-assisted rate case in Sumter County by Cedar Acres, Inc.; and PSC-15-0569-PAA-WS, issued December 16, 2015, in Docket No. 20140239-WS, In re: Application for staff-assisted rate case in Polk County by Orchid Springs Development Corporation</w:t>
      </w:r>
      <w:r w:rsidRPr="00A970DB">
        <w:rPr>
          <w:i/>
        </w:rPr>
        <w:t>.</w:t>
      </w:r>
    </w:p>
  </w:footnote>
  <w:footnote w:id="12">
    <w:p w:rsidR="00616667" w:rsidRPr="00B14B7D" w:rsidRDefault="00616667" w:rsidP="007A1FA2">
      <w:pPr>
        <w:jc w:val="both"/>
        <w:rPr>
          <w:sz w:val="20"/>
          <w:szCs w:val="20"/>
        </w:rPr>
      </w:pPr>
      <w:r>
        <w:rPr>
          <w:rStyle w:val="FootnoteReference"/>
        </w:rPr>
        <w:footnoteRef/>
      </w:r>
      <w:r w:rsidRPr="00D814B5">
        <w:t xml:space="preserve"> </w:t>
      </w:r>
      <w:r w:rsidRPr="00B14B7D">
        <w:rPr>
          <w:sz w:val="20"/>
          <w:szCs w:val="20"/>
        </w:rPr>
        <w:t xml:space="preserve">Order Nos. PSC-2020-0086-PAA-WU, issued March 24, 2020, in Docket No. 20190114-WU, </w:t>
      </w:r>
      <w:r w:rsidRPr="00B14B7D">
        <w:rPr>
          <w:i/>
          <w:sz w:val="20"/>
          <w:szCs w:val="20"/>
        </w:rPr>
        <w:t>In re: Application for staff-assisted rate case in Alachua County, and request for interim rate increase by Gator Waterworks, Inc</w:t>
      </w:r>
      <w:r w:rsidRPr="00B14B7D">
        <w:rPr>
          <w:sz w:val="20"/>
          <w:szCs w:val="20"/>
        </w:rPr>
        <w:t xml:space="preserve">.; </w:t>
      </w:r>
      <w:r w:rsidRPr="00FE7C79">
        <w:rPr>
          <w:sz w:val="20"/>
          <w:szCs w:val="20"/>
        </w:rPr>
        <w:t xml:space="preserve">PSC-2018-0334-PAA-WU, issued June 28, 2018, in Docket No. 20170155-WU, </w:t>
      </w:r>
      <w:r w:rsidRPr="00FE7C79">
        <w:rPr>
          <w:i/>
          <w:iCs/>
          <w:sz w:val="20"/>
          <w:szCs w:val="20"/>
        </w:rPr>
        <w:t>In re: Application for grandfather water certificate in Leon County and application for pass through increase of regulatory fees, by Seminole Waterworks, Inc.</w:t>
      </w:r>
      <w:r w:rsidRPr="00FE7C79">
        <w:rPr>
          <w:sz w:val="20"/>
          <w:szCs w:val="20"/>
        </w:rPr>
        <w:t xml:space="preserve">; PSC-14-0198-TRF-SU, issued May 2, 2014, in Docket No. 20140030-SU, </w:t>
      </w:r>
      <w:r w:rsidRPr="00FE7C79">
        <w:rPr>
          <w:i/>
          <w:iCs/>
          <w:sz w:val="20"/>
          <w:szCs w:val="20"/>
        </w:rPr>
        <w:t>In re: Request for approval to amend Miscellaneous Service charges to include all NSF charges by Environmental Protection Systems of Pine Island, Inc.</w:t>
      </w:r>
      <w:r w:rsidRPr="00FE7C79">
        <w:rPr>
          <w:sz w:val="20"/>
          <w:szCs w:val="20"/>
        </w:rPr>
        <w:t xml:space="preserve">; and PSC-13-0646-PAA-WU, issued December 5, 2013, in Docket No. 20130025-WU, </w:t>
      </w:r>
      <w:r w:rsidRPr="00FE7C79">
        <w:rPr>
          <w:i/>
          <w:iCs/>
          <w:sz w:val="20"/>
          <w:szCs w:val="20"/>
        </w:rPr>
        <w:t>In re: Application for increase in water rates in Highlands County by Placid Lakes Utilities, Inc.</w:t>
      </w:r>
      <w:r w:rsidRPr="00B14B7D">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20190195-WS</w:t>
    </w:r>
    <w:bookmarkEnd w:id="15"/>
  </w:p>
  <w:p w:rsidR="00616667" w:rsidRDefault="00616667">
    <w:pPr>
      <w:pStyle w:val="Header"/>
    </w:pPr>
    <w:r>
      <w:t xml:space="preserve">Date: </w:t>
    </w:r>
    <w:fldSimple w:instr=" REF FilingDate ">
      <w:r>
        <w:t>June 24, 2020</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Schedule No. 2-B</w:t>
    </w:r>
  </w:p>
  <w:p w:rsidR="00616667" w:rsidRDefault="00616667" w:rsidP="00616667">
    <w:pPr>
      <w:pStyle w:val="Header"/>
      <w:tabs>
        <w:tab w:val="clear" w:pos="8640"/>
        <w:tab w:val="right" w:pos="9360"/>
      </w:tabs>
    </w:pPr>
    <w:r>
      <w:t xml:space="preserve">Date: </w:t>
    </w:r>
    <w:fldSimple w:instr=" REF FilingDate ">
      <w:r>
        <w:t>June 24, 2020</w:t>
      </w:r>
    </w:fldSimple>
    <w:r>
      <w:tab/>
    </w:r>
    <w:r>
      <w:tab/>
      <w:t>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Schedule No. 2-C</w:t>
    </w:r>
  </w:p>
  <w:p w:rsidR="00616667" w:rsidRDefault="00616667" w:rsidP="00616667">
    <w:pPr>
      <w:pStyle w:val="Header"/>
      <w:tabs>
        <w:tab w:val="clear" w:pos="8640"/>
        <w:tab w:val="right" w:pos="9360"/>
      </w:tabs>
    </w:pPr>
    <w:r>
      <w:t xml:space="preserve">Date: </w:t>
    </w:r>
    <w:fldSimple w:instr=" REF FilingDate ">
      <w:r>
        <w:t>June 24, 2020</w:t>
      </w:r>
    </w:fldSimple>
    <w:r>
      <w:tab/>
    </w:r>
    <w:r>
      <w:tab/>
      <w:t>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 xml:space="preserve">Issue </w:t>
    </w:r>
    <w:fldSimple w:instr=" Seq Issue \c \* Arabic ">
      <w:r w:rsidR="00832612">
        <w:rPr>
          <w:noProof/>
        </w:rPr>
        <w:t>6</w:t>
      </w:r>
    </w:fldSimple>
  </w:p>
  <w:p w:rsidR="00616667" w:rsidRDefault="00616667">
    <w:pPr>
      <w:pStyle w:val="Header"/>
    </w:pPr>
    <w:r>
      <w:t xml:space="preserve">Date: </w:t>
    </w:r>
    <w:fldSimple w:instr=" REF FilingDate ">
      <w:r>
        <w:t>June 24,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Attachment A</w:t>
    </w:r>
  </w:p>
  <w:p w:rsidR="00616667" w:rsidRDefault="00616667" w:rsidP="00616667">
    <w:pPr>
      <w:pStyle w:val="Header"/>
      <w:tabs>
        <w:tab w:val="clear" w:pos="8640"/>
        <w:tab w:val="right" w:pos="9360"/>
      </w:tabs>
    </w:pPr>
    <w:r>
      <w:t xml:space="preserve">Date: </w:t>
    </w:r>
    <w:fldSimple w:instr=" REF FilingDate ">
      <w:r>
        <w:t>June 24, 2020</w:t>
      </w:r>
    </w:fldSimple>
    <w:r>
      <w:tab/>
    </w:r>
    <w:r>
      <w:tab/>
      <w:t>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Attachment A</w:t>
    </w:r>
  </w:p>
  <w:p w:rsidR="00616667" w:rsidRDefault="00616667" w:rsidP="00616667">
    <w:pPr>
      <w:pStyle w:val="Header"/>
      <w:tabs>
        <w:tab w:val="clear" w:pos="8640"/>
        <w:tab w:val="right" w:pos="9360"/>
      </w:tabs>
    </w:pPr>
    <w:r>
      <w:t xml:space="preserve">Date: </w:t>
    </w:r>
    <w:fldSimple w:instr=" REF FilingDate ">
      <w:r>
        <w:t>June 24, 2020</w:t>
      </w:r>
    </w:fldSimple>
    <w:r>
      <w:tab/>
    </w:r>
    <w:r>
      <w:tab/>
      <w:t>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Attachment A</w:t>
    </w:r>
  </w:p>
  <w:p w:rsidR="00616667" w:rsidRDefault="00616667" w:rsidP="00B53620">
    <w:pPr>
      <w:pStyle w:val="Header"/>
      <w:tabs>
        <w:tab w:val="clear" w:pos="8640"/>
        <w:tab w:val="right" w:pos="9360"/>
      </w:tabs>
    </w:pPr>
    <w:r>
      <w:t xml:space="preserve">Date: </w:t>
    </w:r>
    <w:fldSimple w:instr=" REF FilingDate ">
      <w:r>
        <w:t>June 24, 2020</w:t>
      </w:r>
    </w:fldSimple>
    <w:r>
      <w:tab/>
    </w:r>
    <w:r>
      <w:tab/>
      <w:t>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Schedule No. 1-A</w:t>
    </w:r>
  </w:p>
  <w:p w:rsidR="00616667" w:rsidRDefault="00616667" w:rsidP="00616667">
    <w:pPr>
      <w:pStyle w:val="Header"/>
      <w:tabs>
        <w:tab w:val="clear" w:pos="8640"/>
        <w:tab w:val="right" w:pos="9360"/>
      </w:tabs>
    </w:pPr>
    <w:r>
      <w:t xml:space="preserve">Date: </w:t>
    </w:r>
    <w:fldSimple w:instr=" REF FilingDate ">
      <w:r>
        <w:t>June 24, 2020</w:t>
      </w:r>
    </w:fldSimple>
    <w:r>
      <w:tab/>
    </w:r>
    <w:r>
      <w:tab/>
      <w:t>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Schedule No. 1-B</w:t>
    </w:r>
  </w:p>
  <w:p w:rsidR="00616667" w:rsidRDefault="00616667" w:rsidP="00B53620">
    <w:pPr>
      <w:pStyle w:val="Header"/>
      <w:tabs>
        <w:tab w:val="clear" w:pos="8640"/>
        <w:tab w:val="right" w:pos="9360"/>
      </w:tabs>
    </w:pPr>
    <w:r>
      <w:t xml:space="preserve">Date: </w:t>
    </w:r>
    <w:fldSimple w:instr=" REF FilingDate ">
      <w:r>
        <w:t>June 24, 2020</w:t>
      </w:r>
    </w:fldSimple>
    <w:r>
      <w:tab/>
    </w:r>
    <w:r>
      <w:tab/>
      <w:t>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67" w:rsidRDefault="006166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20190195-WS</w:t>
    </w:r>
    <w:r>
      <w:fldChar w:fldCharType="end"/>
    </w:r>
    <w:r>
      <w:tab/>
      <w:t>Schedule No. 2-A</w:t>
    </w:r>
  </w:p>
  <w:p w:rsidR="00616667" w:rsidRDefault="00616667" w:rsidP="00616667">
    <w:pPr>
      <w:pStyle w:val="Header"/>
      <w:tabs>
        <w:tab w:val="clear" w:pos="8640"/>
        <w:tab w:val="right" w:pos="9360"/>
      </w:tabs>
    </w:pPr>
    <w:r>
      <w:t xml:space="preserve">Date: </w:t>
    </w:r>
    <w:fldSimple w:instr=" REF FilingDate ">
      <w:r>
        <w:t>June 24, 2020</w:t>
      </w:r>
    </w:fldSimple>
    <w:r>
      <w:tab/>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A1FA2"/>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051F"/>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6667"/>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4741"/>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A1FA2"/>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612"/>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3620"/>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02DE872-D056-4FA7-98F7-9AFD9B63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A1FA2"/>
  </w:style>
  <w:style w:type="character" w:styleId="FootnoteReference">
    <w:name w:val="footnote reference"/>
    <w:basedOn w:val="DefaultParagraphFont"/>
    <w:unhideWhenUsed/>
    <w:rsid w:val="007A1FA2"/>
    <w:rPr>
      <w:vertAlign w:val="superscript"/>
    </w:rPr>
  </w:style>
  <w:style w:type="table" w:customStyle="1" w:styleId="TableGrid1">
    <w:name w:val="Table Grid1"/>
    <w:basedOn w:val="TableNormal"/>
    <w:next w:val="TableGrid"/>
    <w:uiPriority w:val="59"/>
    <w:rsid w:val="00B536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536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21</Pages>
  <Words>4586</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Patti Zellner</dc:creator>
  <cp:lastModifiedBy>Patti Zellner</cp:lastModifiedBy>
  <cp:revision>2</cp:revision>
  <cp:lastPrinted>2004-01-27T20:32:00Z</cp:lastPrinted>
  <dcterms:created xsi:type="dcterms:W3CDTF">2020-06-24T15:54:00Z</dcterms:created>
  <dcterms:modified xsi:type="dcterms:W3CDTF">2020-06-24T15:54:00Z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20190195-WS</vt:lpwstr>
  </property>
  <property fmtid="{D5CDD505-2E9C-101B-9397-08002B2CF9AE}" pid="3" name="MasterDocument">
    <vt:bool>false</vt:bool>
  </property>
</Properties>
</file>