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03F09" w:rsidP="00803F09">
      <w:pPr>
        <w:pStyle w:val="OrderHeading"/>
      </w:pPr>
      <w:r>
        <w:t>BEFORE THE FLORIDA PUBLIC SERVICE COMMISSION</w:t>
      </w:r>
    </w:p>
    <w:p w:rsidR="00803F09" w:rsidRDefault="00803F09" w:rsidP="00803F09">
      <w:pPr>
        <w:pStyle w:val="OrderBody"/>
      </w:pPr>
    </w:p>
    <w:p w:rsidR="00803F09" w:rsidRDefault="00803F09" w:rsidP="00803F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03F09" w:rsidRPr="00C63FCF" w:rsidTr="00803F09">
        <w:trPr>
          <w:trHeight w:val="828"/>
        </w:trPr>
        <w:tc>
          <w:tcPr>
            <w:tcW w:w="4788" w:type="dxa"/>
            <w:tcBorders>
              <w:bottom w:val="single" w:sz="8" w:space="0" w:color="auto"/>
              <w:right w:val="double" w:sz="6" w:space="0" w:color="auto"/>
            </w:tcBorders>
            <w:shd w:val="clear" w:color="auto" w:fill="auto"/>
          </w:tcPr>
          <w:p w:rsidR="00803F09" w:rsidRDefault="00803F09" w:rsidP="00803F09">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803F09" w:rsidRDefault="00803F09" w:rsidP="00803F09">
            <w:pPr>
              <w:pStyle w:val="OrderBody"/>
            </w:pPr>
            <w:r>
              <w:t xml:space="preserve">DOCKET NO. </w:t>
            </w:r>
            <w:bookmarkStart w:id="1" w:name="SSDocketNo"/>
            <w:bookmarkEnd w:id="1"/>
            <w:r>
              <w:t>20190140-EI</w:t>
            </w:r>
          </w:p>
          <w:p w:rsidR="00803F09" w:rsidRDefault="00803F09" w:rsidP="00803F09">
            <w:pPr>
              <w:pStyle w:val="OrderBody"/>
              <w:tabs>
                <w:tab w:val="center" w:pos="4320"/>
                <w:tab w:val="right" w:pos="8640"/>
              </w:tabs>
              <w:jc w:val="left"/>
            </w:pPr>
            <w:r>
              <w:t xml:space="preserve">ORDER NO. </w:t>
            </w:r>
            <w:bookmarkStart w:id="2" w:name="OrderNo0228"/>
            <w:r w:rsidR="00484A75">
              <w:t>PSC-2020-0228-PHO</w:t>
            </w:r>
            <w:r w:rsidR="00A52EEE">
              <w:t>-EI</w:t>
            </w:r>
            <w:bookmarkEnd w:id="2"/>
          </w:p>
          <w:p w:rsidR="00803F09" w:rsidRDefault="00803F09" w:rsidP="00803F09">
            <w:pPr>
              <w:pStyle w:val="OrderBody"/>
              <w:tabs>
                <w:tab w:val="center" w:pos="4320"/>
                <w:tab w:val="right" w:pos="8640"/>
              </w:tabs>
              <w:jc w:val="left"/>
            </w:pPr>
            <w:r>
              <w:t xml:space="preserve">ISSUED: </w:t>
            </w:r>
            <w:r w:rsidR="00A52EEE">
              <w:t>July 6, 2020</w:t>
            </w:r>
          </w:p>
        </w:tc>
      </w:tr>
    </w:tbl>
    <w:p w:rsidR="00803F09" w:rsidRDefault="00803F09" w:rsidP="00803F09"/>
    <w:p w:rsidR="00CB5276" w:rsidRDefault="00803F09" w:rsidP="00803F09">
      <w:pPr>
        <w:pStyle w:val="CenterUnderline"/>
      </w:pPr>
      <w:bookmarkStart w:id="3" w:name="Commissioners"/>
      <w:bookmarkStart w:id="4" w:name="OrderTitle"/>
      <w:bookmarkEnd w:id="3"/>
      <w:r>
        <w:t xml:space="preserve">PREHEARING ORDER </w:t>
      </w:r>
      <w:bookmarkEnd w:id="4"/>
    </w:p>
    <w:p w:rsidR="00803F09" w:rsidRDefault="00803F09" w:rsidP="00803F09">
      <w:pPr>
        <w:pStyle w:val="CenterUnderline"/>
      </w:pPr>
    </w:p>
    <w:p w:rsidR="00803F09" w:rsidRPr="00701945" w:rsidRDefault="00803F09" w:rsidP="00803F09">
      <w:pPr>
        <w:ind w:firstLine="720"/>
        <w:jc w:val="both"/>
      </w:pPr>
      <w:r w:rsidRPr="00701945">
        <w:t xml:space="preserve">Pursuant to Notice and in accordance with Rule 28-106.209, </w:t>
      </w:r>
      <w:r>
        <w:t>Florida Administrative Code (F.A.C.)</w:t>
      </w:r>
      <w:r w:rsidRPr="00701945">
        <w:t xml:space="preserve">, a Prehearing Conference was held on </w:t>
      </w:r>
      <w:r>
        <w:t>June 30,</w:t>
      </w:r>
      <w:r w:rsidR="000D39AC">
        <w:t xml:space="preserve"> 2020,</w:t>
      </w:r>
      <w:r w:rsidRPr="00701945">
        <w:t xml:space="preserve"> in Tallahassee, Florida, before Commissioner </w:t>
      </w:r>
      <w:r>
        <w:t>Donald J. Polmann</w:t>
      </w:r>
      <w:r w:rsidRPr="00701945">
        <w:t>, as Prehearing Officer.</w:t>
      </w:r>
    </w:p>
    <w:p w:rsidR="00803F09" w:rsidRPr="00701945" w:rsidRDefault="00803F09" w:rsidP="00803F09">
      <w:pPr>
        <w:jc w:val="both"/>
      </w:pPr>
    </w:p>
    <w:p w:rsidR="00803F09" w:rsidRPr="00701945" w:rsidRDefault="00803F09" w:rsidP="00803F09">
      <w:pPr>
        <w:jc w:val="both"/>
      </w:pPr>
      <w:r w:rsidRPr="00701945">
        <w:t>APPEARANCES:</w:t>
      </w:r>
    </w:p>
    <w:p w:rsidR="00803F09" w:rsidRPr="00701945" w:rsidRDefault="00803F09" w:rsidP="00803F09">
      <w:pPr>
        <w:jc w:val="both"/>
      </w:pPr>
    </w:p>
    <w:p w:rsidR="00803F09" w:rsidRDefault="00803F09" w:rsidP="00803F09">
      <w:pPr>
        <w:ind w:left="1440"/>
        <w:jc w:val="both"/>
      </w:pPr>
      <w:r w:rsidRPr="00503582">
        <w:t xml:space="preserve">MATTHEW BERNIER, </w:t>
      </w:r>
      <w:r>
        <w:t xml:space="preserve">ESQUIRE, </w:t>
      </w:r>
      <w:r w:rsidRPr="00503582">
        <w:t>106 East College Avenue, Tallahassee, Florida 32301-7740</w:t>
      </w:r>
      <w:r>
        <w:t xml:space="preserve">; and </w:t>
      </w:r>
      <w:r w:rsidRPr="00503582">
        <w:t>DIANNE M. TRIPLETT,</w:t>
      </w:r>
      <w:r>
        <w:t xml:space="preserve"> ESQUIRE</w:t>
      </w:r>
      <w:r w:rsidRPr="00503582">
        <w:t>,</w:t>
      </w:r>
      <w:r>
        <w:t xml:space="preserve"> 299 First Avenue North, St. Petersburg, Florida 33701</w:t>
      </w:r>
    </w:p>
    <w:p w:rsidR="00803F09" w:rsidRPr="00503582" w:rsidRDefault="00803F09" w:rsidP="00803F09">
      <w:pPr>
        <w:ind w:left="720" w:firstLine="720"/>
        <w:jc w:val="both"/>
      </w:pPr>
      <w:r w:rsidRPr="00503582">
        <w:rPr>
          <w:u w:val="single"/>
        </w:rPr>
        <w:t>On beh</w:t>
      </w:r>
      <w:r>
        <w:rPr>
          <w:u w:val="single"/>
        </w:rPr>
        <w:t>alf of Duke Energy Florida, LLC</w:t>
      </w:r>
      <w:r w:rsidRPr="00503582">
        <w:rPr>
          <w:u w:val="single"/>
        </w:rPr>
        <w:t xml:space="preserve"> (DEF)</w:t>
      </w:r>
    </w:p>
    <w:p w:rsidR="00803F09" w:rsidRDefault="00803F09" w:rsidP="00803F09">
      <w:pPr>
        <w:jc w:val="both"/>
        <w:rPr>
          <w:caps/>
        </w:rPr>
      </w:pPr>
    </w:p>
    <w:p w:rsidR="00AD2525" w:rsidRDefault="00803F09" w:rsidP="00803F09">
      <w:pPr>
        <w:ind w:left="1440"/>
        <w:jc w:val="both"/>
      </w:pPr>
      <w:r w:rsidRPr="000D39AC">
        <w:t xml:space="preserve">DANIEL HERNANDEZ and </w:t>
      </w:r>
      <w:r w:rsidR="00FF4592">
        <w:t>MELANIE SENOSIAIN</w:t>
      </w:r>
      <w:r w:rsidRPr="000D39AC">
        <w:t>,</w:t>
      </w:r>
      <w:r w:rsidR="000D39AC" w:rsidRPr="000D39AC">
        <w:t xml:space="preserve"> ESQUIRES, Shutts Law Firm, 4301 West Boy S</w:t>
      </w:r>
      <w:r w:rsidR="000D39AC">
        <w:t>cout</w:t>
      </w:r>
      <w:r w:rsidR="00AD2525">
        <w:t xml:space="preserve"> Boulevard, Suite 300, Tampa, Florida 33607</w:t>
      </w:r>
    </w:p>
    <w:p w:rsidR="00AD2525" w:rsidRPr="00AD2525" w:rsidRDefault="00803F09" w:rsidP="00AD2525">
      <w:pPr>
        <w:ind w:left="720" w:firstLine="720"/>
        <w:jc w:val="both"/>
        <w:rPr>
          <w:u w:val="single"/>
        </w:rPr>
      </w:pPr>
      <w:r w:rsidRPr="00AD2525">
        <w:rPr>
          <w:u w:val="single"/>
        </w:rPr>
        <w:t>On behalf of</w:t>
      </w:r>
      <w:r w:rsidR="00AD2525" w:rsidRPr="00AD2525">
        <w:rPr>
          <w:u w:val="single"/>
        </w:rPr>
        <w:t xml:space="preserve"> Duke Energy Florida, LLC (DEF)</w:t>
      </w:r>
    </w:p>
    <w:p w:rsidR="00803F09" w:rsidRPr="00503582" w:rsidRDefault="00803F09" w:rsidP="00803F09">
      <w:pPr>
        <w:jc w:val="both"/>
      </w:pPr>
    </w:p>
    <w:p w:rsidR="00803F09" w:rsidRPr="00503582" w:rsidRDefault="00803F09" w:rsidP="00803F09">
      <w:pPr>
        <w:ind w:left="1440" w:hanging="1440"/>
        <w:jc w:val="both"/>
      </w:pPr>
      <w:r w:rsidRPr="00503582">
        <w:tab/>
      </w:r>
      <w:r w:rsidRPr="00503582">
        <w:rPr>
          <w:rFonts w:cs="Arial"/>
          <w:spacing w:val="-3"/>
        </w:rPr>
        <w:t>J.R. KELLY,</w:t>
      </w:r>
      <w:r>
        <w:rPr>
          <w:rFonts w:cs="Arial"/>
          <w:spacing w:val="-3"/>
        </w:rPr>
        <w:t xml:space="preserve"> </w:t>
      </w:r>
      <w:r w:rsidR="00B2505E">
        <w:rPr>
          <w:rFonts w:cs="Arial"/>
          <w:spacing w:val="-3"/>
        </w:rPr>
        <w:t xml:space="preserve">Public Counsel, and </w:t>
      </w:r>
      <w:r w:rsidRPr="00503582">
        <w:t>CHARLES REHWINKEL</w:t>
      </w:r>
      <w:r>
        <w:t xml:space="preserve">, </w:t>
      </w:r>
      <w:r w:rsidRPr="00503582">
        <w:t>ESQUIRES, Office of Public Counsel, c/o The Florida Legislature, 111 West Madison Street, Room 812, Tallahassee, Florida 32399-1400</w:t>
      </w:r>
    </w:p>
    <w:p w:rsidR="00803F09" w:rsidRPr="00503582" w:rsidRDefault="00803F09" w:rsidP="00803F09">
      <w:pPr>
        <w:ind w:left="1440" w:hanging="1440"/>
        <w:jc w:val="both"/>
      </w:pPr>
      <w:r w:rsidRPr="00503582">
        <w:tab/>
      </w:r>
      <w:r w:rsidRPr="00503582">
        <w:rPr>
          <w:u w:val="single"/>
        </w:rPr>
        <w:t>On behalf of the Citizens of the State of Florida (OPC)</w:t>
      </w:r>
    </w:p>
    <w:p w:rsidR="00803F09" w:rsidRPr="00503582" w:rsidRDefault="00803F09" w:rsidP="00803F09">
      <w:pPr>
        <w:jc w:val="both"/>
      </w:pPr>
    </w:p>
    <w:p w:rsidR="00803F09" w:rsidRPr="00503582" w:rsidRDefault="00803F09" w:rsidP="00803F09">
      <w:pPr>
        <w:ind w:left="1440" w:hanging="1440"/>
        <w:jc w:val="both"/>
        <w:rPr>
          <w:bCs/>
        </w:rPr>
      </w:pPr>
      <w:r w:rsidRPr="00503582">
        <w:rPr>
          <w:rFonts w:cs="Arial"/>
          <w:spacing w:val="-3"/>
        </w:rPr>
        <w:tab/>
      </w:r>
      <w:r w:rsidRPr="00503582">
        <w:rPr>
          <w:bCs/>
        </w:rPr>
        <w:t>JON C. MOYLE, JR. and KAREN PUTNAL, ESQUIRES, Moyle Law Firm, PA, The Perkins House, 118 North Gadsden Street, Tallahassee, Florida 32301</w:t>
      </w:r>
    </w:p>
    <w:p w:rsidR="00803F09" w:rsidRPr="00503582" w:rsidRDefault="00803F09" w:rsidP="00803F09">
      <w:pPr>
        <w:ind w:left="1440" w:hanging="1440"/>
        <w:jc w:val="both"/>
        <w:rPr>
          <w:u w:val="single"/>
        </w:rPr>
      </w:pPr>
      <w:r w:rsidRPr="00503582">
        <w:rPr>
          <w:bCs/>
        </w:rPr>
        <w:tab/>
      </w:r>
      <w:r w:rsidRPr="00503582">
        <w:rPr>
          <w:bCs/>
          <w:u w:val="single"/>
        </w:rPr>
        <w:t>On behalf of the Florida Industrial Power Users Group (FIPUG)</w:t>
      </w:r>
    </w:p>
    <w:p w:rsidR="00803F09" w:rsidRPr="00503582" w:rsidRDefault="00803F09" w:rsidP="00803F09">
      <w:pPr>
        <w:jc w:val="both"/>
      </w:pPr>
    </w:p>
    <w:p w:rsidR="00803F09" w:rsidRPr="00503582" w:rsidRDefault="00803F09" w:rsidP="00803F09">
      <w:pPr>
        <w:ind w:left="1440" w:hanging="1440"/>
        <w:jc w:val="both"/>
      </w:pPr>
      <w:r w:rsidRPr="00503582">
        <w:tab/>
        <w:t>JAMES W. BREW</w:t>
      </w:r>
      <w:r w:rsidRPr="00503582">
        <w:rPr>
          <w:caps/>
        </w:rPr>
        <w:t xml:space="preserve"> </w:t>
      </w:r>
      <w:r w:rsidRPr="00503582">
        <w:t>and LAURA A. WYNN, ESQUIRES, Stone Mattheis Xenopoulos &amp; Brew, PC, 1025 Thomas Jefferson St., NW, Eighth Floor, West Tower, Washington, DC 20007</w:t>
      </w:r>
    </w:p>
    <w:p w:rsidR="00803F09" w:rsidRPr="00503582" w:rsidRDefault="00803F09" w:rsidP="00803F09">
      <w:pPr>
        <w:ind w:left="1440" w:hanging="1440"/>
        <w:jc w:val="both"/>
      </w:pPr>
      <w:r w:rsidRPr="00503582">
        <w:tab/>
      </w:r>
      <w:r w:rsidRPr="00503582">
        <w:rPr>
          <w:u w:val="single"/>
        </w:rPr>
        <w:t>On behalf of White Springs Agricultural Chemicals, Inc. d/b/a PCS Phosphate – White Springs (PCS Phosphate)</w:t>
      </w:r>
    </w:p>
    <w:p w:rsidR="00803F09" w:rsidRPr="00503582" w:rsidRDefault="00803F09" w:rsidP="00803F09">
      <w:pPr>
        <w:jc w:val="both"/>
      </w:pPr>
      <w:r w:rsidRPr="00503582">
        <w:tab/>
      </w:r>
      <w:r w:rsidRPr="00503582">
        <w:tab/>
      </w:r>
    </w:p>
    <w:p w:rsidR="00803F09" w:rsidRPr="00503582" w:rsidRDefault="00803F09" w:rsidP="00803F09">
      <w:pPr>
        <w:ind w:left="1440"/>
        <w:jc w:val="both"/>
      </w:pPr>
      <w:r w:rsidRPr="00503582">
        <w:lastRenderedPageBreak/>
        <w:t>SUZANNE BROWNLESS</w:t>
      </w:r>
      <w:r w:rsidR="00AD2525">
        <w:t xml:space="preserve"> and BIANCA LHERISSON</w:t>
      </w:r>
      <w:r w:rsidRPr="00503582">
        <w:t>, ESQUIRE</w:t>
      </w:r>
      <w:r w:rsidR="00AD2525">
        <w:t>S</w:t>
      </w:r>
      <w:r w:rsidRPr="00503582">
        <w:t>, Florida Public Service Commission, 2540 Shumard Oak Boulevard, Tallahassee, Florida 32399-0850</w:t>
      </w:r>
    </w:p>
    <w:p w:rsidR="00803F09" w:rsidRPr="00503582" w:rsidRDefault="00803F09" w:rsidP="00803F09">
      <w:pPr>
        <w:ind w:left="720" w:firstLine="720"/>
        <w:jc w:val="both"/>
      </w:pPr>
      <w:r w:rsidRPr="00503582">
        <w:rPr>
          <w:u w:val="single"/>
        </w:rPr>
        <w:t>On behalf of the Florida Public Service Commission (Staff)</w:t>
      </w:r>
    </w:p>
    <w:p w:rsidR="00803F09" w:rsidRPr="00701945" w:rsidRDefault="00803F09" w:rsidP="00803F09">
      <w:pPr>
        <w:jc w:val="center"/>
        <w:rPr>
          <w:b/>
          <w:bCs/>
          <w:u w:val="single"/>
        </w:rPr>
      </w:pPr>
    </w:p>
    <w:p w:rsidR="00803F09" w:rsidRPr="00701945" w:rsidRDefault="00803F09" w:rsidP="00803F09">
      <w:pPr>
        <w:ind w:left="1440"/>
        <w:jc w:val="both"/>
      </w:pPr>
      <w:r>
        <w:t>MARY ANNE HELTON, ESQUIRE, Deputy General Counsel,</w:t>
      </w:r>
      <w:r w:rsidRPr="00701945">
        <w:t xml:space="preserve"> Florida Public Service Commission, 2540 Shumard Oak Boulevard, Tallahassee, Florida 32399-0850</w:t>
      </w:r>
    </w:p>
    <w:p w:rsidR="00803F09" w:rsidRPr="00701945" w:rsidRDefault="00803F09" w:rsidP="00803F09">
      <w:pPr>
        <w:ind w:left="720" w:firstLine="720"/>
        <w:jc w:val="both"/>
      </w:pPr>
      <w:r>
        <w:rPr>
          <w:u w:val="single"/>
        </w:rPr>
        <w:t>Advisor to the</w:t>
      </w:r>
      <w:r w:rsidRPr="00701945">
        <w:rPr>
          <w:u w:val="single"/>
        </w:rPr>
        <w:t xml:space="preserve"> Florida Public Service Commission</w:t>
      </w:r>
    </w:p>
    <w:p w:rsidR="00803F09" w:rsidRDefault="00803F09" w:rsidP="00803F09">
      <w:pPr>
        <w:ind w:left="1440"/>
        <w:jc w:val="both"/>
        <w:rPr>
          <w:caps/>
        </w:rPr>
      </w:pPr>
    </w:p>
    <w:p w:rsidR="00803F09" w:rsidRPr="00503582" w:rsidRDefault="00803F09" w:rsidP="00803F09">
      <w:pPr>
        <w:ind w:left="1440"/>
        <w:jc w:val="both"/>
      </w:pPr>
      <w:r w:rsidRPr="00503582">
        <w:rPr>
          <w:caps/>
        </w:rPr>
        <w:t>Keith hetrick</w:t>
      </w:r>
      <w:r w:rsidRPr="00503582">
        <w:t>, ESQUIRE, General Counsel, Florida Public Service Commission, 2540 Shumard Oak Boulevard, Tallahassee, Florida 32399-0850</w:t>
      </w:r>
    </w:p>
    <w:p w:rsidR="00803F09" w:rsidRPr="00503582" w:rsidRDefault="00803F09" w:rsidP="00803F09">
      <w:pPr>
        <w:ind w:left="720" w:firstLine="720"/>
        <w:jc w:val="both"/>
      </w:pPr>
      <w:r w:rsidRPr="00503582">
        <w:rPr>
          <w:u w:val="single"/>
        </w:rPr>
        <w:t>Florida Public Service Commission General Counsel</w:t>
      </w:r>
    </w:p>
    <w:p w:rsidR="00803F09" w:rsidRPr="00701945" w:rsidRDefault="00803F09" w:rsidP="00803F09">
      <w:pPr>
        <w:jc w:val="center"/>
        <w:rPr>
          <w:b/>
          <w:bCs/>
          <w:u w:val="single"/>
        </w:rPr>
      </w:pPr>
    </w:p>
    <w:p w:rsidR="00803F09" w:rsidRPr="00701945" w:rsidRDefault="00803F09" w:rsidP="00803F09">
      <w:pPr>
        <w:jc w:val="center"/>
      </w:pPr>
      <w:r w:rsidRPr="00701945">
        <w:rPr>
          <w:b/>
          <w:bCs/>
          <w:u w:val="single"/>
        </w:rPr>
        <w:t>PREHEARING ORDER</w:t>
      </w:r>
    </w:p>
    <w:p w:rsidR="00803F09" w:rsidRPr="00AA4900" w:rsidRDefault="00803F09" w:rsidP="00803F09">
      <w:pPr>
        <w:spacing w:before="480"/>
        <w:jc w:val="both"/>
        <w:rPr>
          <w:b/>
        </w:rPr>
      </w:pPr>
      <w:r w:rsidRPr="00AA4900">
        <w:rPr>
          <w:b/>
        </w:rPr>
        <w:t>I.</w:t>
      </w:r>
      <w:r w:rsidRPr="00AA4900">
        <w:rPr>
          <w:b/>
        </w:rPr>
        <w:tab/>
      </w:r>
      <w:r w:rsidRPr="00AA4900">
        <w:rPr>
          <w:b/>
          <w:u w:val="single"/>
        </w:rPr>
        <w:t>CASE BACKGROUND</w:t>
      </w:r>
    </w:p>
    <w:p w:rsidR="00803F09" w:rsidRPr="00701945" w:rsidRDefault="00803F09" w:rsidP="00803F09">
      <w:pPr>
        <w:jc w:val="both"/>
      </w:pPr>
    </w:p>
    <w:p w:rsidR="00A26220" w:rsidRPr="001407AC" w:rsidRDefault="00803F09" w:rsidP="00A26220">
      <w:pPr>
        <w:jc w:val="both"/>
        <w:rPr>
          <w:i/>
        </w:rPr>
      </w:pPr>
      <w:r>
        <w:tab/>
      </w:r>
      <w:r w:rsidR="00A26220">
        <w:t>On July 10,</w:t>
      </w:r>
      <w:r w:rsidR="00C072EC">
        <w:t xml:space="preserve"> 2019, Duke Energy Florida, LLC</w:t>
      </w:r>
      <w:r w:rsidR="00A26220">
        <w:t xml:space="preserve"> (DEF) filed its petition to approve the accelerated decommissioning of its Crystal River Unit 3 (CR3) nuclear power plant and the transfer of spent fuel and associated assets, license and operations to Accelerated Decommissioning Partners, LLC., (ADP) and its affiliates.  An Order Establishing Procedure, Order No. PSC-2019-0320-PCO-EI, was issued on August 2, 2019, initially modified by Order No. PSC-2019-0384-PCO-EI, issued on September 20, 2019, and further modified by Order No. PSC-2020-0105-PCO-EI, issued on April 15, 2020.  The Office of Public Counsel (OPC), Florida Industrial </w:t>
      </w:r>
      <w:r w:rsidR="00C61D50">
        <w:t xml:space="preserve">Power </w:t>
      </w:r>
      <w:r w:rsidR="00A26220">
        <w:t xml:space="preserve">Users Group (FIPUG) and White Springs Agricultural Chemicals, Inc. d/b/a PCS Phosphate –White Springs (PCS Phosphate) have been acknowledged as parties or granted intervention in this case.  This matter is set for administrative hearing before the Florida Public Service Commission (Commission) on July 7 and 8, 2020.  </w:t>
      </w:r>
    </w:p>
    <w:p w:rsidR="00A26220" w:rsidRDefault="00A26220" w:rsidP="00A26220">
      <w:pPr>
        <w:jc w:val="both"/>
      </w:pPr>
    </w:p>
    <w:p w:rsidR="00803F09" w:rsidRPr="00AA4900" w:rsidRDefault="00803F09" w:rsidP="00A26220">
      <w:pPr>
        <w:jc w:val="both"/>
        <w:rPr>
          <w:b/>
        </w:rPr>
      </w:pPr>
      <w:r w:rsidRPr="00AA4900">
        <w:rPr>
          <w:b/>
        </w:rPr>
        <w:t>II.</w:t>
      </w:r>
      <w:r w:rsidRPr="00AA4900">
        <w:rPr>
          <w:b/>
        </w:rPr>
        <w:tab/>
      </w:r>
      <w:r w:rsidRPr="00A0042F">
        <w:rPr>
          <w:b/>
          <w:u w:val="single"/>
        </w:rPr>
        <w:t>CONDUCT</w:t>
      </w:r>
      <w:r w:rsidRPr="00AA4900">
        <w:rPr>
          <w:b/>
          <w:u w:val="single"/>
        </w:rPr>
        <w:t xml:space="preserve"> OF PROCEEDINGS</w:t>
      </w:r>
    </w:p>
    <w:p w:rsidR="00803F09" w:rsidRPr="00701945" w:rsidRDefault="00803F09" w:rsidP="00803F09">
      <w:pPr>
        <w:jc w:val="both"/>
      </w:pPr>
    </w:p>
    <w:p w:rsidR="00803F09" w:rsidRDefault="00803F09" w:rsidP="00803F09">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7A6163" w:rsidRDefault="007A6163" w:rsidP="00803F09">
      <w:pPr>
        <w:jc w:val="both"/>
      </w:pPr>
    </w:p>
    <w:p w:rsidR="00421E6A" w:rsidRPr="00830B56" w:rsidRDefault="00421E6A" w:rsidP="00421E6A">
      <w:pPr>
        <w:ind w:firstLine="720"/>
        <w:jc w:val="both"/>
      </w:pPr>
      <w:r w:rsidRPr="00830B56">
        <w:t xml:space="preserve">State buildings are currently closed to the public and other restrictions on gathering remain in place due to COVID-19.  Accordingly, the hearing will be conducted remotely, and all parties and witnesses shall be prepared to present argument and testimony by communications media technology.  The </w:t>
      </w:r>
      <w:r w:rsidR="001D26C3">
        <w:t xml:space="preserve">Commission </w:t>
      </w:r>
      <w:r w:rsidRPr="00830B56">
        <w:t>shall act as the host of the hearing and will use a combination of technologies to ensure full participation.  The Commission will employ GoToMeeting as an audio and video platform for the hearing, and will provide for simultaneous, audio-only participation by telephone.</w:t>
      </w:r>
    </w:p>
    <w:p w:rsidR="00830B56" w:rsidRPr="00830B56" w:rsidRDefault="00830B56" w:rsidP="00421E6A">
      <w:pPr>
        <w:ind w:firstLine="720"/>
        <w:jc w:val="both"/>
      </w:pPr>
    </w:p>
    <w:p w:rsidR="00421E6A" w:rsidRPr="00830B56" w:rsidRDefault="00421E6A" w:rsidP="00421E6A">
      <w:pPr>
        <w:jc w:val="both"/>
      </w:pPr>
      <w:r w:rsidRPr="00830B56">
        <w:lastRenderedPageBreak/>
        <w:tab/>
        <w:t>A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421E6A" w:rsidRPr="00830B56" w:rsidRDefault="00421E6A" w:rsidP="00421E6A">
      <w:pPr>
        <w:jc w:val="both"/>
      </w:pPr>
    </w:p>
    <w:p w:rsidR="00421E6A" w:rsidRDefault="00421E6A" w:rsidP="00421E6A">
      <w:pPr>
        <w:jc w:val="both"/>
      </w:pPr>
      <w:r w:rsidRPr="00830B56">
        <w:tab/>
        <w:t xml:space="preserve">Any member of the public who wants to observe or listen to the proceedings may do so by accessing the live video broadcast </w:t>
      </w:r>
      <w:r w:rsidR="00C61D50">
        <w:t xml:space="preserve">on each </w:t>
      </w:r>
      <w:r w:rsidRPr="00830B56">
        <w:t>day of the hearing, which is available from the FPSC website.  Upon completion of the hearing, the archived video will also be available.</w:t>
      </w:r>
    </w:p>
    <w:p w:rsidR="00803F09" w:rsidRDefault="00803F09" w:rsidP="00803F09">
      <w:pPr>
        <w:jc w:val="both"/>
      </w:pPr>
    </w:p>
    <w:p w:rsidR="00803F09" w:rsidRPr="00AA4900" w:rsidRDefault="00803F09" w:rsidP="00803F09">
      <w:pPr>
        <w:jc w:val="both"/>
        <w:rPr>
          <w:b/>
        </w:rPr>
      </w:pPr>
      <w:r w:rsidRPr="00AA4900">
        <w:rPr>
          <w:b/>
        </w:rPr>
        <w:t>III.</w:t>
      </w:r>
      <w:r w:rsidRPr="00AA4900">
        <w:rPr>
          <w:b/>
        </w:rPr>
        <w:tab/>
      </w:r>
      <w:r w:rsidRPr="00AA4900">
        <w:rPr>
          <w:b/>
          <w:u w:val="single"/>
        </w:rPr>
        <w:t>JURISDICTION</w:t>
      </w:r>
    </w:p>
    <w:p w:rsidR="00803F09" w:rsidRPr="00701945" w:rsidRDefault="00803F09" w:rsidP="00803F09">
      <w:pPr>
        <w:jc w:val="both"/>
      </w:pPr>
    </w:p>
    <w:p w:rsidR="00803F09" w:rsidRPr="00701945" w:rsidRDefault="00803F09" w:rsidP="00803F09">
      <w:pPr>
        <w:jc w:val="both"/>
      </w:pPr>
      <w:r w:rsidRPr="00701945">
        <w:tab/>
        <w:t xml:space="preserve">This Commission is vested with jurisdiction over the subject matter by the provisions of Chapter </w:t>
      </w:r>
      <w:r>
        <w:t>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28-106, </w:t>
      </w:r>
      <w:r w:rsidR="00CF5950">
        <w:t xml:space="preserve">and 28-109, </w:t>
      </w:r>
      <w:r>
        <w:t>F.A.C., as well as any other applicable provisions of law</w:t>
      </w:r>
      <w:r w:rsidRPr="00701945">
        <w:t>.</w:t>
      </w:r>
    </w:p>
    <w:p w:rsidR="00803F09" w:rsidRPr="00AA4900" w:rsidRDefault="00803F09" w:rsidP="00803F09">
      <w:pPr>
        <w:spacing w:before="480"/>
        <w:jc w:val="both"/>
        <w:rPr>
          <w:b/>
        </w:rPr>
      </w:pPr>
      <w:r w:rsidRPr="00AA4900">
        <w:rPr>
          <w:b/>
        </w:rPr>
        <w:t>IV.</w:t>
      </w:r>
      <w:r w:rsidRPr="00AA4900">
        <w:rPr>
          <w:b/>
        </w:rPr>
        <w:tab/>
      </w:r>
      <w:r w:rsidRPr="00A0042F">
        <w:rPr>
          <w:b/>
          <w:u w:val="single"/>
        </w:rPr>
        <w:t>PROCEDURE</w:t>
      </w:r>
      <w:r w:rsidRPr="00AA4900">
        <w:rPr>
          <w:b/>
          <w:u w:val="single"/>
        </w:rPr>
        <w:t xml:space="preserve"> FOR HANDLING CONFIDENTIAL INFORMATION</w:t>
      </w:r>
    </w:p>
    <w:p w:rsidR="00803F09" w:rsidRPr="00701945" w:rsidRDefault="00803F09" w:rsidP="00803F09">
      <w:pPr>
        <w:jc w:val="both"/>
      </w:pPr>
    </w:p>
    <w:p w:rsidR="00803F09" w:rsidRDefault="00803F09" w:rsidP="00803F09">
      <w:pPr>
        <w:jc w:val="both"/>
      </w:pPr>
      <w:r w:rsidRPr="00701945">
        <w:tab/>
      </w:r>
      <w:r>
        <w:t>Information</w:t>
      </w:r>
      <w:r w:rsidR="00AC5192">
        <w:t xml:space="preserve"> </w:t>
      </w:r>
      <w:r>
        <w:t>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803F09" w:rsidRDefault="00803F09" w:rsidP="00803F09">
      <w:pPr>
        <w:jc w:val="both"/>
      </w:pPr>
    </w:p>
    <w:p w:rsidR="00803F09" w:rsidRDefault="00803F09" w:rsidP="00803F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803F09" w:rsidRDefault="00803F09" w:rsidP="00803F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3F09" w:rsidRDefault="00803F09" w:rsidP="00803F09">
      <w:pPr>
        <w:spacing w:line="2" w:lineRule="exact"/>
        <w:jc w:val="both"/>
      </w:pPr>
    </w:p>
    <w:p w:rsidR="00803F09" w:rsidRDefault="00667201" w:rsidP="00667201">
      <w:pPr>
        <w:pStyle w:val="Level2"/>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pPr>
      <w:r>
        <w:tab/>
        <w:t>(1)</w:t>
      </w:r>
      <w:r>
        <w:tab/>
      </w:r>
      <w:r w:rsidR="00803F09">
        <w:t xml:space="preserve">When confidential information is used in the hearing that has not been filed as prefiled testimony or prefiled exhibits, parties must </w:t>
      </w:r>
      <w:r>
        <w:t xml:space="preserve">follow the procedures for </w:t>
      </w:r>
      <w:r w:rsidR="00255926">
        <w:t>providing</w:t>
      </w:r>
      <w:r>
        <w:t xml:space="preserve"> confidential electronic exhibits </w:t>
      </w:r>
      <w:r w:rsidR="00255926">
        <w:t xml:space="preserve">to </w:t>
      </w:r>
      <w:r>
        <w:t xml:space="preserve">the Commission Clerk prior to the hearing. </w:t>
      </w:r>
    </w:p>
    <w:p w:rsidR="00667201" w:rsidRDefault="00667201" w:rsidP="00803F09">
      <w:pPr>
        <w:pStyle w:val="Level2"/>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3F09" w:rsidRDefault="00667201" w:rsidP="00667201">
      <w:pPr>
        <w:pStyle w:val="Level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440"/>
        <w:jc w:val="both"/>
      </w:pPr>
      <w:r>
        <w:tab/>
        <w:t>(2)</w:t>
      </w:r>
      <w:r>
        <w:tab/>
      </w:r>
      <w:r w:rsidR="00803F09">
        <w:t xml:space="preserve">Counsel and witnesses are cautioned to avoid verbalizing confidential information in such a way that would compromise confidentiality.  Therefore, confidential information should be presented by </w:t>
      </w:r>
      <w:r>
        <w:t xml:space="preserve">electronic </w:t>
      </w:r>
      <w:r w:rsidR="00803F09">
        <w:t>exhibit.</w:t>
      </w:r>
    </w:p>
    <w:p w:rsidR="0046486E" w:rsidRDefault="00803F09" w:rsidP="004648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46486E" w:rsidRDefault="0046486E" w:rsidP="004648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03F09" w:rsidRPr="00AA4900" w:rsidRDefault="00803F09" w:rsidP="004648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r w:rsidRPr="00AA4900">
        <w:rPr>
          <w:b/>
        </w:rPr>
        <w:t>V.</w:t>
      </w:r>
      <w:r w:rsidRPr="00AA4900">
        <w:rPr>
          <w:b/>
        </w:rPr>
        <w:tab/>
      </w:r>
      <w:r w:rsidRPr="00A0042F">
        <w:rPr>
          <w:b/>
          <w:u w:val="single"/>
        </w:rPr>
        <w:t>PREFILED</w:t>
      </w:r>
      <w:r w:rsidRPr="00AA4900">
        <w:rPr>
          <w:b/>
          <w:u w:val="single"/>
        </w:rPr>
        <w:t xml:space="preserve"> TESTIMONY AND EXHIBITS; WITNESSES</w:t>
      </w:r>
    </w:p>
    <w:p w:rsidR="00803F09" w:rsidRPr="00701945" w:rsidRDefault="00803F09" w:rsidP="00803F09">
      <w:pPr>
        <w:jc w:val="both"/>
      </w:pPr>
    </w:p>
    <w:p w:rsidR="00803F09" w:rsidRDefault="00803F09" w:rsidP="00803F09">
      <w:pPr>
        <w:jc w:val="both"/>
      </w:pPr>
      <w:r w:rsidRPr="00701945">
        <w:tab/>
        <w:t>Testimony of all witnesses to be sponsored by the parties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five</w:t>
      </w:r>
      <w:r w:rsidRPr="00701945">
        <w:t xml:space="preserve"> minutes.</w:t>
      </w:r>
    </w:p>
    <w:p w:rsidR="00803F09" w:rsidRDefault="00803F09" w:rsidP="00803F09">
      <w:pPr>
        <w:jc w:val="both"/>
      </w:pPr>
    </w:p>
    <w:p w:rsidR="00803F09" w:rsidRPr="00701945" w:rsidRDefault="00803F09" w:rsidP="00803F09">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803F09" w:rsidRPr="00701945" w:rsidRDefault="00803F09" w:rsidP="00803F09">
      <w:pPr>
        <w:jc w:val="both"/>
      </w:pPr>
    </w:p>
    <w:p w:rsidR="00803F09" w:rsidRPr="00701945" w:rsidRDefault="00803F09" w:rsidP="00803F09">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803F09" w:rsidRPr="00B75F84" w:rsidRDefault="00803F09" w:rsidP="00803F09">
      <w:pPr>
        <w:jc w:val="both"/>
        <w:rPr>
          <w:color w:val="000000"/>
        </w:rPr>
      </w:pPr>
    </w:p>
    <w:p w:rsidR="00803F09" w:rsidRPr="00B75F84" w:rsidRDefault="00803F09" w:rsidP="00803F09">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803F09" w:rsidRPr="00AA4900" w:rsidRDefault="00803F09" w:rsidP="00803F09">
      <w:pPr>
        <w:spacing w:before="480"/>
        <w:jc w:val="both"/>
        <w:rPr>
          <w:b/>
        </w:rPr>
      </w:pPr>
      <w:r w:rsidRPr="00AA4900">
        <w:rPr>
          <w:b/>
        </w:rPr>
        <w:t>VI.</w:t>
      </w:r>
      <w:r w:rsidRPr="00AA4900">
        <w:rPr>
          <w:b/>
        </w:rPr>
        <w:tab/>
      </w:r>
      <w:r w:rsidRPr="00AA4900">
        <w:rPr>
          <w:b/>
          <w:u w:val="single"/>
        </w:rPr>
        <w:t>ORDER OF WITNESSES</w:t>
      </w:r>
    </w:p>
    <w:p w:rsidR="00803F09" w:rsidRDefault="00803F09" w:rsidP="00803F0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803F09" w:rsidRPr="00701945" w:rsidTr="00803F09">
        <w:trPr>
          <w:cantSplit/>
          <w:trHeight w:val="362"/>
          <w:tblHeader/>
        </w:trPr>
        <w:tc>
          <w:tcPr>
            <w:tcW w:w="3507" w:type="dxa"/>
            <w:tcBorders>
              <w:top w:val="nil"/>
              <w:left w:val="nil"/>
              <w:bottom w:val="nil"/>
              <w:right w:val="nil"/>
            </w:tcBorders>
          </w:tcPr>
          <w:p w:rsidR="00803F09" w:rsidRPr="00701945" w:rsidRDefault="00803F09" w:rsidP="00803F09">
            <w:pPr>
              <w:jc w:val="both"/>
            </w:pPr>
            <w:r w:rsidRPr="00701945">
              <w:rPr>
                <w:u w:val="single"/>
              </w:rPr>
              <w:t>Witness</w:t>
            </w:r>
          </w:p>
        </w:tc>
        <w:tc>
          <w:tcPr>
            <w:tcW w:w="2511" w:type="dxa"/>
            <w:tcBorders>
              <w:top w:val="nil"/>
              <w:left w:val="nil"/>
              <w:bottom w:val="nil"/>
              <w:right w:val="nil"/>
            </w:tcBorders>
          </w:tcPr>
          <w:p w:rsidR="00803F09" w:rsidRPr="00701945" w:rsidRDefault="00803F09" w:rsidP="00803F09">
            <w:pPr>
              <w:jc w:val="center"/>
            </w:pPr>
            <w:r w:rsidRPr="00701945">
              <w:rPr>
                <w:u w:val="single"/>
              </w:rPr>
              <w:t>Proffered By</w:t>
            </w:r>
          </w:p>
        </w:tc>
        <w:tc>
          <w:tcPr>
            <w:tcW w:w="3546" w:type="dxa"/>
            <w:tcBorders>
              <w:top w:val="nil"/>
              <w:left w:val="nil"/>
              <w:bottom w:val="nil"/>
              <w:right w:val="nil"/>
            </w:tcBorders>
          </w:tcPr>
          <w:p w:rsidR="00803F09" w:rsidRPr="00701945" w:rsidRDefault="00803F09" w:rsidP="00803F09">
            <w:pPr>
              <w:jc w:val="both"/>
            </w:pPr>
            <w:r w:rsidRPr="00701945">
              <w:rPr>
                <w:u w:val="single"/>
              </w:rPr>
              <w:t>Issues #</w:t>
            </w:r>
          </w:p>
        </w:tc>
      </w:tr>
      <w:tr w:rsidR="00803F09" w:rsidRPr="00701945" w:rsidTr="00803F09">
        <w:trPr>
          <w:cantSplit/>
          <w:trHeight w:val="362"/>
        </w:trPr>
        <w:tc>
          <w:tcPr>
            <w:tcW w:w="3507" w:type="dxa"/>
            <w:tcBorders>
              <w:top w:val="nil"/>
              <w:left w:val="nil"/>
              <w:bottom w:val="nil"/>
              <w:right w:val="nil"/>
            </w:tcBorders>
          </w:tcPr>
          <w:p w:rsidR="00803F09" w:rsidRPr="00AC105C" w:rsidRDefault="00C61D50" w:rsidP="00803F09">
            <w:pPr>
              <w:jc w:val="both"/>
              <w:rPr>
                <w:u w:val="single"/>
              </w:rPr>
            </w:pPr>
            <w:r>
              <w:t xml:space="preserve">     </w:t>
            </w:r>
            <w:r w:rsidR="00803F09" w:rsidRPr="00AC105C">
              <w:rPr>
                <w:u w:val="single"/>
              </w:rPr>
              <w:t>Direct</w:t>
            </w:r>
          </w:p>
        </w:tc>
        <w:tc>
          <w:tcPr>
            <w:tcW w:w="2511" w:type="dxa"/>
            <w:tcBorders>
              <w:top w:val="nil"/>
              <w:left w:val="nil"/>
              <w:bottom w:val="nil"/>
              <w:right w:val="nil"/>
            </w:tcBorders>
          </w:tcPr>
          <w:p w:rsidR="00803F09" w:rsidRPr="00701945" w:rsidRDefault="00803F09" w:rsidP="00803F09">
            <w:pPr>
              <w:jc w:val="center"/>
            </w:pPr>
          </w:p>
        </w:tc>
        <w:tc>
          <w:tcPr>
            <w:tcW w:w="3546" w:type="dxa"/>
            <w:tcBorders>
              <w:top w:val="nil"/>
              <w:left w:val="nil"/>
              <w:bottom w:val="nil"/>
              <w:right w:val="nil"/>
            </w:tcBorders>
          </w:tcPr>
          <w:p w:rsidR="00803F09" w:rsidRPr="00701945" w:rsidRDefault="00803F09" w:rsidP="00803F09"/>
        </w:tc>
      </w:tr>
      <w:tr w:rsidR="00803F09" w:rsidRPr="00701945" w:rsidTr="00803F09">
        <w:trPr>
          <w:cantSplit/>
          <w:trHeight w:val="382"/>
        </w:trPr>
        <w:tc>
          <w:tcPr>
            <w:tcW w:w="3507" w:type="dxa"/>
            <w:tcBorders>
              <w:top w:val="nil"/>
              <w:left w:val="nil"/>
              <w:bottom w:val="nil"/>
              <w:right w:val="nil"/>
            </w:tcBorders>
          </w:tcPr>
          <w:p w:rsidR="00803F09" w:rsidRPr="009830E2" w:rsidRDefault="00E42DB2" w:rsidP="00803F09">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David L. Doss</w:t>
            </w:r>
          </w:p>
        </w:tc>
        <w:tc>
          <w:tcPr>
            <w:tcW w:w="2511" w:type="dxa"/>
            <w:tcBorders>
              <w:top w:val="nil"/>
              <w:left w:val="nil"/>
              <w:bottom w:val="nil"/>
              <w:right w:val="nil"/>
            </w:tcBorders>
          </w:tcPr>
          <w:p w:rsidR="00803F09" w:rsidRPr="00701945" w:rsidRDefault="00803F09" w:rsidP="00803F09">
            <w:pPr>
              <w:jc w:val="center"/>
            </w:pPr>
            <w:r>
              <w:t>DEF</w:t>
            </w:r>
          </w:p>
        </w:tc>
        <w:tc>
          <w:tcPr>
            <w:tcW w:w="3546" w:type="dxa"/>
            <w:tcBorders>
              <w:top w:val="nil"/>
              <w:left w:val="nil"/>
              <w:bottom w:val="nil"/>
              <w:right w:val="nil"/>
            </w:tcBorders>
          </w:tcPr>
          <w:p w:rsidR="00803F09" w:rsidRDefault="005D137A" w:rsidP="00803F09">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 3-5</w:t>
            </w:r>
          </w:p>
        </w:tc>
      </w:tr>
      <w:tr w:rsidR="00803F09" w:rsidRPr="00701945" w:rsidTr="00803F09">
        <w:trPr>
          <w:cantSplit/>
          <w:trHeight w:val="362"/>
        </w:trPr>
        <w:tc>
          <w:tcPr>
            <w:tcW w:w="3507" w:type="dxa"/>
            <w:tcBorders>
              <w:top w:val="nil"/>
              <w:left w:val="nil"/>
              <w:bottom w:val="nil"/>
              <w:right w:val="nil"/>
            </w:tcBorders>
          </w:tcPr>
          <w:p w:rsidR="00803F09" w:rsidRDefault="000C6919" w:rsidP="00803F09">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t>*</w:t>
            </w:r>
            <w:r w:rsidR="005D137A">
              <w:t>Matthew Palasek</w:t>
            </w:r>
          </w:p>
        </w:tc>
        <w:tc>
          <w:tcPr>
            <w:tcW w:w="2511" w:type="dxa"/>
            <w:tcBorders>
              <w:top w:val="nil"/>
              <w:left w:val="nil"/>
              <w:bottom w:val="nil"/>
              <w:right w:val="nil"/>
            </w:tcBorders>
          </w:tcPr>
          <w:p w:rsidR="00803F09" w:rsidRPr="00701945" w:rsidRDefault="00803F09" w:rsidP="00803F09">
            <w:pPr>
              <w:jc w:val="center"/>
            </w:pPr>
            <w:r>
              <w:t>DEF</w:t>
            </w:r>
          </w:p>
        </w:tc>
        <w:tc>
          <w:tcPr>
            <w:tcW w:w="3546" w:type="dxa"/>
            <w:tcBorders>
              <w:top w:val="nil"/>
              <w:left w:val="nil"/>
              <w:bottom w:val="nil"/>
              <w:right w:val="nil"/>
            </w:tcBorders>
          </w:tcPr>
          <w:p w:rsidR="00803F09" w:rsidRDefault="005D137A" w:rsidP="00803F09">
            <w:pPr>
              <w:tabs>
                <w:tab w:val="left" w:pos="0"/>
                <w:tab w:val="left" w:pos="576"/>
                <w:tab w:val="left" w:pos="1296"/>
                <w:tab w:val="left" w:pos="1728"/>
                <w:tab w:val="left" w:pos="2304"/>
                <w:tab w:val="left" w:pos="2880"/>
                <w:tab w:val="left" w:pos="3312"/>
                <w:tab w:val="left" w:pos="3456"/>
                <w:tab w:val="left" w:pos="4032"/>
                <w:tab w:val="left" w:pos="4608"/>
                <w:tab w:val="left" w:pos="5184"/>
                <w:tab w:val="left" w:pos="5760"/>
                <w:tab w:val="left" w:pos="6336"/>
                <w:tab w:val="left" w:pos="6912"/>
                <w:tab w:val="left" w:pos="7488"/>
                <w:tab w:val="left" w:pos="8064"/>
              </w:tabs>
              <w:jc w:val="both"/>
            </w:pPr>
            <w:r>
              <w:t>1</w:t>
            </w:r>
          </w:p>
        </w:tc>
      </w:tr>
      <w:tr w:rsidR="00803F09" w:rsidRPr="00701945" w:rsidTr="00803F09">
        <w:trPr>
          <w:cantSplit/>
          <w:trHeight w:val="362"/>
        </w:trPr>
        <w:tc>
          <w:tcPr>
            <w:tcW w:w="3507" w:type="dxa"/>
            <w:tcBorders>
              <w:top w:val="nil"/>
              <w:left w:val="nil"/>
              <w:bottom w:val="nil"/>
              <w:right w:val="nil"/>
            </w:tcBorders>
          </w:tcPr>
          <w:p w:rsidR="00803F09" w:rsidRDefault="005D137A" w:rsidP="00803F09">
            <w:pPr>
              <w:pStyle w:val="ListParagraph"/>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left="0"/>
            </w:pPr>
            <w:r>
              <w:lastRenderedPageBreak/>
              <w:t>Scott E. State</w:t>
            </w:r>
          </w:p>
        </w:tc>
        <w:tc>
          <w:tcPr>
            <w:tcW w:w="2511" w:type="dxa"/>
            <w:tcBorders>
              <w:top w:val="nil"/>
              <w:left w:val="nil"/>
              <w:bottom w:val="nil"/>
              <w:right w:val="nil"/>
            </w:tcBorders>
          </w:tcPr>
          <w:p w:rsidR="00803F09" w:rsidRDefault="00803F09" w:rsidP="00803F09">
            <w:pPr>
              <w:jc w:val="center"/>
            </w:pPr>
            <w:r>
              <w:t>DEF</w:t>
            </w:r>
          </w:p>
        </w:tc>
        <w:tc>
          <w:tcPr>
            <w:tcW w:w="3546" w:type="dxa"/>
            <w:tcBorders>
              <w:top w:val="nil"/>
              <w:left w:val="nil"/>
              <w:bottom w:val="nil"/>
              <w:right w:val="nil"/>
            </w:tcBorders>
          </w:tcPr>
          <w:p w:rsidR="00803F09" w:rsidRDefault="005D137A" w:rsidP="00803F09">
            <w:pPr>
              <w:spacing w:after="58"/>
            </w:pPr>
            <w:r>
              <w:t>1</w:t>
            </w:r>
          </w:p>
        </w:tc>
      </w:tr>
      <w:tr w:rsidR="00AA1535" w:rsidRPr="00701945" w:rsidTr="00803F09">
        <w:trPr>
          <w:cantSplit/>
          <w:trHeight w:val="362"/>
        </w:trPr>
        <w:tc>
          <w:tcPr>
            <w:tcW w:w="3507" w:type="dxa"/>
            <w:tcBorders>
              <w:top w:val="nil"/>
              <w:left w:val="nil"/>
              <w:bottom w:val="nil"/>
              <w:right w:val="nil"/>
            </w:tcBorders>
          </w:tcPr>
          <w:p w:rsidR="00AA1535" w:rsidRDefault="00AA1535" w:rsidP="00D3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Terry Hobbs</w:t>
            </w:r>
          </w:p>
        </w:tc>
        <w:tc>
          <w:tcPr>
            <w:tcW w:w="2511" w:type="dxa"/>
            <w:tcBorders>
              <w:top w:val="nil"/>
              <w:left w:val="nil"/>
              <w:bottom w:val="nil"/>
              <w:right w:val="nil"/>
            </w:tcBorders>
          </w:tcPr>
          <w:p w:rsidR="00AA1535" w:rsidRDefault="00AA1535" w:rsidP="00D3025E">
            <w:pPr>
              <w:jc w:val="center"/>
            </w:pPr>
            <w:r>
              <w:t>DEF</w:t>
            </w:r>
          </w:p>
        </w:tc>
        <w:tc>
          <w:tcPr>
            <w:tcW w:w="3546" w:type="dxa"/>
            <w:tcBorders>
              <w:top w:val="nil"/>
              <w:left w:val="nil"/>
              <w:bottom w:val="nil"/>
              <w:right w:val="nil"/>
            </w:tcBorders>
          </w:tcPr>
          <w:p w:rsidR="00AA1535" w:rsidRDefault="00AA1535" w:rsidP="00D3025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1-8</w:t>
            </w:r>
          </w:p>
        </w:tc>
      </w:tr>
      <w:tr w:rsidR="00AA1535" w:rsidRPr="00701945" w:rsidTr="00803F09">
        <w:trPr>
          <w:cantSplit/>
          <w:trHeight w:val="362"/>
        </w:trPr>
        <w:tc>
          <w:tcPr>
            <w:tcW w:w="3507" w:type="dxa"/>
            <w:tcBorders>
              <w:top w:val="nil"/>
              <w:left w:val="nil"/>
              <w:bottom w:val="nil"/>
              <w:right w:val="nil"/>
            </w:tcBorders>
          </w:tcPr>
          <w:p w:rsidR="00AA1535" w:rsidRDefault="00AA1535" w:rsidP="00803F09">
            <w:pPr>
              <w:pStyle w:val="BodyText2"/>
              <w:ind w:firstLine="0"/>
              <w:jc w:val="left"/>
            </w:pPr>
            <w:r>
              <w:t>Richard A. Polich</w:t>
            </w:r>
          </w:p>
        </w:tc>
        <w:tc>
          <w:tcPr>
            <w:tcW w:w="2511" w:type="dxa"/>
            <w:tcBorders>
              <w:top w:val="nil"/>
              <w:left w:val="nil"/>
              <w:bottom w:val="nil"/>
              <w:right w:val="nil"/>
            </w:tcBorders>
          </w:tcPr>
          <w:p w:rsidR="00AA1535" w:rsidRDefault="00AA1535" w:rsidP="00803F09">
            <w:pPr>
              <w:jc w:val="center"/>
            </w:pPr>
            <w:r>
              <w:t>OPC</w:t>
            </w:r>
          </w:p>
        </w:tc>
        <w:tc>
          <w:tcPr>
            <w:tcW w:w="3546" w:type="dxa"/>
            <w:tcBorders>
              <w:top w:val="nil"/>
              <w:left w:val="nil"/>
              <w:bottom w:val="nil"/>
              <w:right w:val="nil"/>
            </w:tcBorders>
          </w:tcPr>
          <w:p w:rsidR="00AA1535" w:rsidRDefault="00AA1535" w:rsidP="00803F09">
            <w:pPr>
              <w:spacing w:after="58"/>
            </w:pPr>
            <w:r>
              <w:t>1, 7-8</w:t>
            </w:r>
          </w:p>
        </w:tc>
      </w:tr>
      <w:tr w:rsidR="00AA1535" w:rsidRPr="00701945" w:rsidTr="00803F09">
        <w:trPr>
          <w:cantSplit/>
          <w:trHeight w:val="362"/>
        </w:trPr>
        <w:tc>
          <w:tcPr>
            <w:tcW w:w="3507" w:type="dxa"/>
            <w:tcBorders>
              <w:top w:val="nil"/>
              <w:left w:val="nil"/>
              <w:bottom w:val="nil"/>
              <w:right w:val="nil"/>
            </w:tcBorders>
          </w:tcPr>
          <w:p w:rsidR="00AA1535" w:rsidRPr="00916AB5" w:rsidRDefault="00AA1535" w:rsidP="00C61D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br w:type="page"/>
            </w:r>
            <w:r w:rsidR="00C61D50">
              <w:t xml:space="preserve">     </w:t>
            </w:r>
            <w:r>
              <w:rPr>
                <w:u w:val="single"/>
              </w:rPr>
              <w:t>Rebuttal</w:t>
            </w:r>
          </w:p>
        </w:tc>
        <w:tc>
          <w:tcPr>
            <w:tcW w:w="2511" w:type="dxa"/>
            <w:tcBorders>
              <w:top w:val="nil"/>
              <w:left w:val="nil"/>
              <w:bottom w:val="nil"/>
              <w:right w:val="nil"/>
            </w:tcBorders>
          </w:tcPr>
          <w:p w:rsidR="00AA1535" w:rsidRDefault="00AA1535" w:rsidP="00803F09">
            <w:pPr>
              <w:jc w:val="center"/>
            </w:pPr>
          </w:p>
        </w:tc>
        <w:tc>
          <w:tcPr>
            <w:tcW w:w="3546" w:type="dxa"/>
            <w:tcBorders>
              <w:top w:val="nil"/>
              <w:left w:val="nil"/>
              <w:bottom w:val="nil"/>
              <w:right w:val="nil"/>
            </w:tcBorders>
          </w:tcPr>
          <w:p w:rsidR="00AA1535" w:rsidRDefault="00AA1535" w:rsidP="00803F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p>
        </w:tc>
      </w:tr>
      <w:tr w:rsidR="00AA1535" w:rsidRPr="00701945" w:rsidTr="00803F09">
        <w:trPr>
          <w:cantSplit/>
          <w:trHeight w:val="362"/>
        </w:trPr>
        <w:tc>
          <w:tcPr>
            <w:tcW w:w="3507" w:type="dxa"/>
            <w:tcBorders>
              <w:top w:val="nil"/>
              <w:left w:val="nil"/>
              <w:bottom w:val="nil"/>
              <w:right w:val="nil"/>
            </w:tcBorders>
          </w:tcPr>
          <w:p w:rsidR="00AA1535" w:rsidRDefault="00AA1535" w:rsidP="00803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Jeff Adix</w:t>
            </w:r>
          </w:p>
        </w:tc>
        <w:tc>
          <w:tcPr>
            <w:tcW w:w="2511" w:type="dxa"/>
            <w:tcBorders>
              <w:top w:val="nil"/>
              <w:left w:val="nil"/>
              <w:bottom w:val="nil"/>
              <w:right w:val="nil"/>
            </w:tcBorders>
          </w:tcPr>
          <w:p w:rsidR="00AA1535" w:rsidRDefault="00AA1535" w:rsidP="00803F09">
            <w:pPr>
              <w:jc w:val="center"/>
            </w:pPr>
            <w:r>
              <w:t>DEF</w:t>
            </w:r>
          </w:p>
        </w:tc>
        <w:tc>
          <w:tcPr>
            <w:tcW w:w="3546" w:type="dxa"/>
            <w:tcBorders>
              <w:top w:val="nil"/>
              <w:left w:val="nil"/>
              <w:bottom w:val="nil"/>
              <w:right w:val="nil"/>
            </w:tcBorders>
          </w:tcPr>
          <w:p w:rsidR="00AA1535" w:rsidRDefault="00AA1535" w:rsidP="00803F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1</w:t>
            </w:r>
          </w:p>
        </w:tc>
      </w:tr>
      <w:tr w:rsidR="00AA1535" w:rsidRPr="00701945" w:rsidTr="00803F09">
        <w:trPr>
          <w:cantSplit/>
          <w:trHeight w:val="362"/>
        </w:trPr>
        <w:tc>
          <w:tcPr>
            <w:tcW w:w="3507" w:type="dxa"/>
            <w:tcBorders>
              <w:top w:val="nil"/>
              <w:left w:val="nil"/>
              <w:bottom w:val="nil"/>
              <w:right w:val="nil"/>
            </w:tcBorders>
          </w:tcPr>
          <w:p w:rsidR="00AA1535" w:rsidRDefault="00AA1535" w:rsidP="00D30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Terry Hobbs</w:t>
            </w:r>
          </w:p>
        </w:tc>
        <w:tc>
          <w:tcPr>
            <w:tcW w:w="2511" w:type="dxa"/>
            <w:tcBorders>
              <w:top w:val="nil"/>
              <w:left w:val="nil"/>
              <w:bottom w:val="nil"/>
              <w:right w:val="nil"/>
            </w:tcBorders>
          </w:tcPr>
          <w:p w:rsidR="00AA1535" w:rsidRDefault="00AA1535" w:rsidP="00D3025E">
            <w:pPr>
              <w:jc w:val="center"/>
            </w:pPr>
            <w:r>
              <w:t>DEF</w:t>
            </w:r>
          </w:p>
        </w:tc>
        <w:tc>
          <w:tcPr>
            <w:tcW w:w="3546" w:type="dxa"/>
            <w:tcBorders>
              <w:top w:val="nil"/>
              <w:left w:val="nil"/>
              <w:bottom w:val="nil"/>
              <w:right w:val="nil"/>
            </w:tcBorders>
          </w:tcPr>
          <w:p w:rsidR="00AA1535" w:rsidRDefault="00AA1535" w:rsidP="00D3025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1-8</w:t>
            </w:r>
          </w:p>
        </w:tc>
      </w:tr>
    </w:tbl>
    <w:p w:rsidR="00803F09" w:rsidRPr="00FA7A79" w:rsidRDefault="00803F09" w:rsidP="00803F09">
      <w:pPr>
        <w:spacing w:before="480"/>
        <w:jc w:val="both"/>
      </w:pPr>
      <w:r>
        <w:rPr>
          <w:b/>
        </w:rPr>
        <w:t xml:space="preserve">*  </w:t>
      </w:r>
      <w:r>
        <w:t>Th</w:t>
      </w:r>
      <w:r w:rsidR="000C6919">
        <w:t>is</w:t>
      </w:r>
      <w:r>
        <w:t xml:space="preserve"> witness ha</w:t>
      </w:r>
      <w:r w:rsidR="000C6919">
        <w:t>s</w:t>
      </w:r>
      <w:r>
        <w:t xml:space="preserve"> been stipulated to by the parties.</w:t>
      </w:r>
    </w:p>
    <w:p w:rsidR="00803F09" w:rsidRPr="00AA4900" w:rsidRDefault="00803F09" w:rsidP="00803F09">
      <w:pPr>
        <w:spacing w:before="480"/>
        <w:jc w:val="both"/>
        <w:rPr>
          <w:b/>
        </w:rPr>
      </w:pPr>
      <w:r w:rsidRPr="00AA4900">
        <w:rPr>
          <w:b/>
        </w:rPr>
        <w:t>VII.</w:t>
      </w:r>
      <w:r w:rsidRPr="00AA4900">
        <w:rPr>
          <w:b/>
        </w:rPr>
        <w:tab/>
      </w:r>
      <w:r w:rsidRPr="00AA4900">
        <w:rPr>
          <w:b/>
          <w:u w:val="single"/>
        </w:rPr>
        <w:t>BASIC POSITIONS</w:t>
      </w:r>
    </w:p>
    <w:p w:rsidR="00803F09" w:rsidRPr="00701945" w:rsidRDefault="00803F09" w:rsidP="00803F09">
      <w:pPr>
        <w:jc w:val="both"/>
      </w:pPr>
    </w:p>
    <w:p w:rsidR="00803F09" w:rsidRPr="00701945" w:rsidRDefault="00803F09" w:rsidP="00803F09">
      <w:pPr>
        <w:ind w:left="1440" w:hanging="1440"/>
        <w:jc w:val="both"/>
      </w:pPr>
      <w:r>
        <w:rPr>
          <w:b/>
          <w:bCs/>
        </w:rPr>
        <w:t>DEF</w:t>
      </w:r>
      <w:r w:rsidRPr="00701945">
        <w:rPr>
          <w:b/>
          <w:bCs/>
        </w:rPr>
        <w:t>:</w:t>
      </w:r>
      <w:r w:rsidRPr="00701945">
        <w:tab/>
      </w:r>
      <w:r w:rsidR="00AB3A89" w:rsidRPr="00BE522E">
        <w:t>The Commission should (1) approve a transaction between DEF and Accelerated Decommis</w:t>
      </w:r>
      <w:r w:rsidR="00AB3A89">
        <w:t>s</w:t>
      </w:r>
      <w:r w:rsidR="00AB3A89" w:rsidRPr="00BE522E">
        <w:t>ion</w:t>
      </w:r>
      <w:r w:rsidR="00AB3A89">
        <w:t>ing</w:t>
      </w:r>
      <w:r w:rsidR="00AB3A89" w:rsidRPr="00BE522E">
        <w:t xml:space="preserve"> Partners, LLC (“ADP”), pursuant to which DEF will contract with ADP through two of its subsidiaries, ADP CR3, LLC (“ADPCR3”) and ADP SF1, LLC (“ADPSF1”)</w:t>
      </w:r>
      <w:r w:rsidR="00AB3A89">
        <w:t xml:space="preserve"> to decommission the CR3 Facility on an accelerated basis</w:t>
      </w:r>
      <w:r w:rsidR="00AB3A89" w:rsidRPr="00BE522E">
        <w:t xml:space="preserve">, (2) approve DEF’s updated nuclear decommissioning study, and (3) approve, if necessary, DEF’s request for a waiver from the requirements contained in Rule 25-6.04365, F.A.C., which requires DEF to continue filing updated nuclear decommissioning studies with the Commission every five years.  </w:t>
      </w:r>
      <w:r w:rsidR="00AB3A89">
        <w:t xml:space="preserve">As demonstrated by DEF’s testimony, exhibits, and the extensive discovery produced in this proceeding, this fixed-price transaction provides DEF’s customers with significant benefits and protections that will help ensure the CR3 nuclear plant is safely decommissioned. </w:t>
      </w:r>
      <w:r w:rsidR="00AB3A89" w:rsidRPr="00BE522E">
        <w:t xml:space="preserve">This transaction is in the best interest of DEF’s customers.  DEF’s trust fund is currently sufficient to pay for the plant’s </w:t>
      </w:r>
      <w:r w:rsidR="00AB3A89">
        <w:t xml:space="preserve">accelerated </w:t>
      </w:r>
      <w:r w:rsidR="00AB3A89" w:rsidRPr="00BE522E">
        <w:t>decommissioning without an increase in customer bills. The fixed-price contract will lock in today’s prices, which provides greater cost certainty relative to a delayed decommissioning approach.  Accelerating the decommissioning allows for faster restoration and redevelopment of the nuclear plant property for DEF’s future use and gives DEF a potential opportunity to return unused trust fund dollars to customers more than three decades sooner that the current decommissioning model.</w:t>
      </w:r>
      <w:r w:rsidR="00AB3A89">
        <w:t xml:space="preserve">  The DSA includes significant and appropriate protections for DEF’s customers, the most significant such protection being the fact that DEF owns and controls the trust fund and will only pay for work that is completed.  OPC’s witness Richard Polich’s suggested “enhancements” are actually new and unnecessary terms in an attempt to re-negotiate a deal that does not require any such changes.  The Commission should </w:t>
      </w:r>
      <w:r w:rsidR="00AB3A89">
        <w:lastRenderedPageBreak/>
        <w:t>approve the DSA as presented, without modification, and preserve the real value that DEF has negotiated for its customers.</w:t>
      </w:r>
    </w:p>
    <w:p w:rsidR="00803F09" w:rsidRPr="00701945" w:rsidRDefault="00803F09" w:rsidP="00803F09">
      <w:pPr>
        <w:jc w:val="both"/>
      </w:pPr>
    </w:p>
    <w:p w:rsidR="002A09A3" w:rsidRDefault="005D137A" w:rsidP="002A09A3">
      <w:pPr>
        <w:ind w:left="1440" w:hanging="1440"/>
        <w:jc w:val="both"/>
      </w:pPr>
      <w:r>
        <w:rPr>
          <w:b/>
        </w:rPr>
        <w:t>OPC</w:t>
      </w:r>
      <w:r w:rsidRPr="00701945">
        <w:rPr>
          <w:b/>
        </w:rPr>
        <w:t>:</w:t>
      </w:r>
      <w:r w:rsidR="002A09A3">
        <w:rPr>
          <w:b/>
        </w:rPr>
        <w:tab/>
      </w:r>
      <w:r w:rsidR="002A09A3">
        <w:t>Customers have paid enough for Crystal River Unit No. 3 (CR3). It ceased generating electricity in 2009, through no fault of the customers. The decommissioning costs have been sufficiently provided for in rates paid by Duke Energy Florida’s (“Duke’s” or “DEF’s”) customers such that the accrual to fund the Nuclear Decommissioning Fund (NDF) ceased in 2002. In rate proceedings and through utilizing decommissioning studies filed in the ensuing 15 years, the Commission has not seen the need to re-start the accrual. A new generation of customers has already started paying for the replacement generation that was required by the premature demise of CR3. This payment includes decommissioning and dismantlement costs for the new generating facilities.</w:t>
      </w:r>
    </w:p>
    <w:p w:rsidR="002A09A3" w:rsidRDefault="002A09A3" w:rsidP="002A09A3">
      <w:pPr>
        <w:ind w:left="1440" w:hanging="1440"/>
        <w:jc w:val="both"/>
      </w:pPr>
      <w:r>
        <w:tab/>
      </w:r>
    </w:p>
    <w:p w:rsidR="002A09A3" w:rsidRDefault="002A09A3" w:rsidP="002A09A3">
      <w:pPr>
        <w:ind w:left="1440" w:hanging="1440"/>
        <w:jc w:val="both"/>
      </w:pPr>
      <w:r>
        <w:tab/>
        <w:t xml:space="preserve">While the proposal offered by DEF contains some degree of promise that the DECON proposal might return overpayments to the NDF if the facts and circumstances underlying assumptions and the risks described in DEF’s petition and testimony play out exactly as DEF has set out; these facts and circumstances, unfortunately, will not manifest themselves for 3, 7, 10 or more years.  And, if DEF is wrong (as it has been in the nuclear generating space before), such a miscalculation could result in the funds in the NDF being either inadequate to complete the dismantlement, decontamination and decommissioning or could deplete the fund such that there will be an inadequate principal or </w:t>
      </w:r>
      <w:r w:rsidRPr="002300AA">
        <w:rPr>
          <w:i/>
          <w:iCs/>
        </w:rPr>
        <w:t>corpus</w:t>
      </w:r>
      <w:r>
        <w:t xml:space="preserve"> available to generate funds sufficient to return to SAFSTOR without requiring Duke to find additional funds from its customers to complete the job.  </w:t>
      </w:r>
    </w:p>
    <w:p w:rsidR="002A09A3" w:rsidRDefault="002A09A3" w:rsidP="002A09A3">
      <w:pPr>
        <w:jc w:val="both"/>
      </w:pPr>
    </w:p>
    <w:p w:rsidR="002A09A3" w:rsidRDefault="002A09A3" w:rsidP="002A09A3">
      <w:pPr>
        <w:ind w:left="1440" w:hanging="1440"/>
        <w:jc w:val="both"/>
      </w:pPr>
      <w:r>
        <w:tab/>
        <w:t xml:space="preserve">At this point, DEF is unwilling to guarantee that its proposal will not impose additional costs on the long-suffering DEF customers who should be released from the shadow of the hulk that used to be the Crystal River Unit No. 3. Any approval of DEF’s Petition should come with the Commission extracting either a guarantee from DEF of no further customer impacts or the imposition of additional safeguards that adequately insulate DEF’s customers from additional costs, liability or harm. OPC witness Richard A. Polich offers 5 reasonable safeguards that will help insulate customers from additional costs, liability or harm. </w:t>
      </w:r>
    </w:p>
    <w:p w:rsidR="002A09A3" w:rsidRDefault="002A09A3" w:rsidP="002A09A3">
      <w:pPr>
        <w:jc w:val="both"/>
      </w:pPr>
    </w:p>
    <w:p w:rsidR="002A09A3" w:rsidRDefault="002A09A3" w:rsidP="002A09A3">
      <w:pPr>
        <w:ind w:left="1440" w:hanging="1440"/>
        <w:jc w:val="both"/>
        <w:rPr>
          <w:bCs/>
        </w:rPr>
      </w:pPr>
      <w:r>
        <w:tab/>
        <w:t xml:space="preserve">Only with such protections can the Commission take steps to safeguard the hundreds of millions of dollars it ordered Duke to collect from its customers to ensure safe and complete </w:t>
      </w:r>
      <w:r>
        <w:rPr>
          <w:bCs/>
        </w:rPr>
        <w:t>dismantlement, decontaminat</w:t>
      </w:r>
      <w:r w:rsidRPr="003F5CE6">
        <w:rPr>
          <w:bCs/>
        </w:rPr>
        <w:t xml:space="preserve">ion and decommissioning </w:t>
      </w:r>
      <w:r w:rsidRPr="003F5CE6">
        <w:t xml:space="preserve">of the prematurely damaged and retired nuclear power plant. </w:t>
      </w:r>
      <w:r w:rsidRPr="003F5CE6">
        <w:rPr>
          <w:bCs/>
        </w:rPr>
        <w:t xml:space="preserve"> As the legal entity established to ensure that costs and rates associated with the monopoly provision of electric utility services are fair, just and reasonable, the Commission is ultimately responsible for determining that customer-provided money that the Commission ordered be placed in the fund is prudently spent. This means that the Commission has an obligation to take all reasonable steps to require that DEF </w:t>
      </w:r>
      <w:r w:rsidRPr="003F5CE6">
        <w:rPr>
          <w:bCs/>
        </w:rPr>
        <w:lastRenderedPageBreak/>
        <w:t xml:space="preserve">spends the customer’ money as it was intended when it was collected from the customers and held in trust for the eventual dismantlement, decontamination and decommissioning of CR3. </w:t>
      </w:r>
      <w:r>
        <w:rPr>
          <w:bCs/>
        </w:rPr>
        <w:t xml:space="preserve"> </w:t>
      </w:r>
      <w:r w:rsidRPr="003F5CE6">
        <w:rPr>
          <w:bCs/>
        </w:rPr>
        <w:t>This regulatory responsibility is ongoing and unceasing -- until the job is complete.</w:t>
      </w:r>
      <w:r>
        <w:rPr>
          <w:bCs/>
        </w:rPr>
        <w:t xml:space="preserve"> </w:t>
      </w:r>
    </w:p>
    <w:p w:rsidR="005D137A" w:rsidRPr="00AF10D5" w:rsidRDefault="005D137A" w:rsidP="002A09A3">
      <w:pPr>
        <w:ind w:left="1440" w:hanging="1440"/>
        <w:jc w:val="both"/>
        <w:rPr>
          <w:bCs/>
        </w:rPr>
      </w:pPr>
    </w:p>
    <w:p w:rsidR="00982A3A" w:rsidRDefault="00803F09" w:rsidP="008A046A">
      <w:pPr>
        <w:ind w:left="1440" w:hanging="1440"/>
        <w:jc w:val="both"/>
      </w:pPr>
      <w:r>
        <w:rPr>
          <w:b/>
        </w:rPr>
        <w:t>FIPUG</w:t>
      </w:r>
      <w:r w:rsidRPr="005D4B47">
        <w:rPr>
          <w:b/>
        </w:rPr>
        <w:t>:</w:t>
      </w:r>
      <w:r w:rsidR="00982A3A">
        <w:rPr>
          <w:b/>
        </w:rPr>
        <w:tab/>
      </w:r>
      <w:r w:rsidR="00982A3A">
        <w:t>FIPUG appreciates DEF’s efforts actively manage the vexing questions regarding how to best manage nuclear material, including spent nuclear fuel rods at DEF’s Crystal River 3 (CR3) closed nuclear power plant site.  Given the unexpected series of events that prompted the closure of CR3, the parties and the Commission should closely and actively review DEF’s proposal to transfer legal ownership of nuclear waste material, including spent nuclear fuel rods, to a third party.  This active review should include:</w:t>
      </w:r>
    </w:p>
    <w:p w:rsidR="00982A3A" w:rsidRDefault="00982A3A" w:rsidP="00982A3A">
      <w:pPr>
        <w:ind w:left="720"/>
        <w:jc w:val="both"/>
        <w:rPr>
          <w:bCs/>
        </w:rPr>
      </w:pPr>
    </w:p>
    <w:p w:rsidR="00982A3A" w:rsidRPr="00BE7D2D" w:rsidRDefault="00982A3A" w:rsidP="00982A3A">
      <w:pPr>
        <w:pStyle w:val="ListParagraph"/>
        <w:numPr>
          <w:ilvl w:val="0"/>
          <w:numId w:val="24"/>
        </w:numPr>
        <w:contextualSpacing w:val="0"/>
        <w:jc w:val="both"/>
      </w:pPr>
      <w:r w:rsidRPr="00BE7D2D">
        <w:rPr>
          <w:bCs/>
        </w:rPr>
        <w:t>ensuring that the third party is financially capable of meeting its obligations</w:t>
      </w:r>
      <w:r>
        <w:rPr>
          <w:bCs/>
        </w:rPr>
        <w:t xml:space="preserve"> and that sufficient financial assurance instruments are in place</w:t>
      </w:r>
      <w:r w:rsidRPr="00BE7D2D">
        <w:rPr>
          <w:bCs/>
        </w:rPr>
        <w:t>;</w:t>
      </w:r>
    </w:p>
    <w:p w:rsidR="00982A3A" w:rsidRPr="00BE7D2D" w:rsidRDefault="00982A3A" w:rsidP="00982A3A">
      <w:pPr>
        <w:pStyle w:val="ListParagraph"/>
        <w:ind w:left="1440"/>
        <w:jc w:val="both"/>
      </w:pPr>
    </w:p>
    <w:p w:rsidR="00982A3A" w:rsidRPr="00BE7D2D" w:rsidRDefault="00982A3A" w:rsidP="00982A3A">
      <w:pPr>
        <w:pStyle w:val="ListParagraph"/>
        <w:numPr>
          <w:ilvl w:val="0"/>
          <w:numId w:val="24"/>
        </w:numPr>
        <w:contextualSpacing w:val="0"/>
        <w:jc w:val="both"/>
      </w:pPr>
      <w:r w:rsidRPr="00BE7D2D">
        <w:rPr>
          <w:bCs/>
        </w:rPr>
        <w:t>protecting DEF’s customers from fiscal responsibility should the third party not meet its financial</w:t>
      </w:r>
      <w:r>
        <w:rPr>
          <w:bCs/>
        </w:rPr>
        <w:t xml:space="preserve"> or contractual</w:t>
      </w:r>
      <w:r w:rsidRPr="00BE7D2D">
        <w:rPr>
          <w:bCs/>
        </w:rPr>
        <w:t xml:space="preserve"> obligations</w:t>
      </w:r>
      <w:r>
        <w:rPr>
          <w:bCs/>
        </w:rPr>
        <w:t>;</w:t>
      </w:r>
    </w:p>
    <w:p w:rsidR="00982A3A" w:rsidRDefault="00982A3A" w:rsidP="00982A3A">
      <w:pPr>
        <w:pStyle w:val="ListParagraph"/>
      </w:pPr>
    </w:p>
    <w:p w:rsidR="00982A3A" w:rsidRDefault="00982A3A" w:rsidP="00982A3A">
      <w:pPr>
        <w:pStyle w:val="ListParagraph"/>
        <w:numPr>
          <w:ilvl w:val="0"/>
          <w:numId w:val="24"/>
        </w:numPr>
        <w:contextualSpacing w:val="0"/>
        <w:jc w:val="both"/>
      </w:pPr>
      <w:r>
        <w:t>ensuring that sufficient funds exist in DEF’s nuclear decommissioning trust fund, and to the extent of overfunding, pursue steps to return overfunded amounts to DEF’s customers;</w:t>
      </w:r>
    </w:p>
    <w:p w:rsidR="00982A3A" w:rsidRDefault="00982A3A" w:rsidP="00982A3A">
      <w:pPr>
        <w:pStyle w:val="ListParagraph"/>
      </w:pPr>
    </w:p>
    <w:p w:rsidR="00982A3A" w:rsidRDefault="00982A3A" w:rsidP="00982A3A">
      <w:pPr>
        <w:pStyle w:val="ListParagraph"/>
        <w:numPr>
          <w:ilvl w:val="0"/>
          <w:numId w:val="24"/>
        </w:numPr>
        <w:contextualSpacing w:val="0"/>
        <w:jc w:val="both"/>
      </w:pPr>
      <w:r>
        <w:t>returning a portion of any projected savings to DEF’s customers resulting from DEF’s proposed transaction to DEF’s customers now rather than in 30 years;</w:t>
      </w:r>
    </w:p>
    <w:p w:rsidR="00982A3A" w:rsidRDefault="00982A3A" w:rsidP="00982A3A">
      <w:pPr>
        <w:pStyle w:val="ListParagraph"/>
      </w:pPr>
    </w:p>
    <w:p w:rsidR="00982A3A" w:rsidRDefault="00982A3A" w:rsidP="00982A3A">
      <w:pPr>
        <w:pStyle w:val="ListParagraph"/>
        <w:numPr>
          <w:ilvl w:val="0"/>
          <w:numId w:val="24"/>
        </w:numPr>
        <w:contextualSpacing w:val="0"/>
        <w:jc w:val="both"/>
      </w:pPr>
      <w:r>
        <w:t>having an independent third party retained by the Commission monitor the project and provide periodic reports to the Commission and the parties.</w:t>
      </w:r>
    </w:p>
    <w:p w:rsidR="00803F09" w:rsidRDefault="00803F09" w:rsidP="00803F09">
      <w:pPr>
        <w:ind w:left="1440" w:hanging="1440"/>
        <w:jc w:val="both"/>
        <w:rPr>
          <w:b/>
        </w:rPr>
      </w:pPr>
    </w:p>
    <w:p w:rsidR="00803F09" w:rsidRPr="00077C69" w:rsidRDefault="00803F09" w:rsidP="00803F09">
      <w:pPr>
        <w:autoSpaceDE w:val="0"/>
        <w:autoSpaceDN w:val="0"/>
        <w:adjustRightInd w:val="0"/>
        <w:ind w:left="1440" w:hanging="1440"/>
        <w:jc w:val="both"/>
        <w:rPr>
          <w:b/>
        </w:rPr>
      </w:pPr>
      <w:r w:rsidRPr="00077C69">
        <w:rPr>
          <w:b/>
        </w:rPr>
        <w:t>PCS</w:t>
      </w:r>
    </w:p>
    <w:p w:rsidR="002C027E" w:rsidRPr="00FF494F" w:rsidRDefault="00803F09" w:rsidP="002C027E">
      <w:pPr>
        <w:ind w:left="1440" w:hanging="1440"/>
        <w:jc w:val="both"/>
      </w:pPr>
      <w:r w:rsidRPr="00077C69">
        <w:rPr>
          <w:b/>
        </w:rPr>
        <w:t>Phosphate:</w:t>
      </w:r>
      <w:r>
        <w:rPr>
          <w:b/>
        </w:rPr>
        <w:tab/>
      </w:r>
      <w:r w:rsidR="002C027E" w:rsidRPr="00FF494F">
        <w:t>For many years, Duke Energy Florida</w:t>
      </w:r>
      <w:r w:rsidR="002C027E">
        <w:t>, LLC (“DEF” or “Duke”)</w:t>
      </w:r>
      <w:r w:rsidR="002C027E" w:rsidRPr="00FF494F">
        <w:t xml:space="preserve"> consumers paid for the cost of the eventual decommissioning of the C</w:t>
      </w:r>
      <w:r w:rsidR="002C027E">
        <w:t>rystal River 3 (“C</w:t>
      </w:r>
      <w:r w:rsidR="002C027E" w:rsidRPr="00FF494F">
        <w:t>R3</w:t>
      </w:r>
      <w:r w:rsidR="002C027E">
        <w:t>”)</w:t>
      </w:r>
      <w:r w:rsidR="002C027E" w:rsidRPr="00FF494F">
        <w:t xml:space="preserve"> nuclear plant through an annual accrual recovered in rates.  The Commission approved halting that accrual </w:t>
      </w:r>
      <w:r w:rsidR="002C027E">
        <w:t>in 2002</w:t>
      </w:r>
      <w:r w:rsidR="002C027E" w:rsidRPr="00FF494F">
        <w:t xml:space="preserve"> because Duke and the Commission deemed the accumulated assets in the nuclear decommissioning trust fund (“NDF”) to be sufficient to fully cover expected decommissioning and dismantlement costs. </w:t>
      </w:r>
      <w:r w:rsidR="002C027E">
        <w:t xml:space="preserve"> </w:t>
      </w:r>
      <w:r w:rsidR="002C027E" w:rsidRPr="00FF494F">
        <w:t>At the same time, notwithstanding the requirements of the 1982 Nuclear Waste Policy Act and decades of debate, the country is really no closer to establishing a high</w:t>
      </w:r>
      <w:r w:rsidR="002C027E">
        <w:t>-</w:t>
      </w:r>
      <w:r w:rsidR="002C027E" w:rsidRPr="00FF494F">
        <w:t xml:space="preserve">level nuclear waste repository than when CR3 entered commercial service in 1977. </w:t>
      </w:r>
    </w:p>
    <w:p w:rsidR="00A54D90" w:rsidRDefault="00A54D90" w:rsidP="002C027E">
      <w:pPr>
        <w:ind w:left="1440" w:hanging="1440"/>
        <w:jc w:val="both"/>
      </w:pPr>
    </w:p>
    <w:p w:rsidR="002C027E" w:rsidRPr="00FF494F" w:rsidRDefault="002C027E" w:rsidP="002C027E">
      <w:pPr>
        <w:ind w:left="1440" w:hanging="1440"/>
        <w:jc w:val="both"/>
      </w:pPr>
      <w:r>
        <w:tab/>
      </w:r>
      <w:r w:rsidRPr="00FF494F">
        <w:t>With the premature retirement of CR3 associated with multiple equipment and structural failures, and a fresh approach to decommissioning and dismantlement,</w:t>
      </w:r>
      <w:r>
        <w:t xml:space="preserve"> Duke</w:t>
      </w:r>
      <w:r w:rsidRPr="00FF494F">
        <w:t xml:space="preserve"> now proposes to transfer responsibility for decommissioning CR3 and for managing the maintenance and storage of the CR3 spent fuel and high level </w:t>
      </w:r>
      <w:r w:rsidRPr="00FF494F">
        <w:lastRenderedPageBreak/>
        <w:t xml:space="preserve">radioactive wastes to a third party, Accelerated Decommissioning Partners, LLC (“ADP”), a special purpose entity created for this endeavor. </w:t>
      </w:r>
      <w:r>
        <w:t xml:space="preserve"> </w:t>
      </w:r>
      <w:r w:rsidRPr="00FF494F">
        <w:t xml:space="preserve">The expressed intent of the transaction is to accelerate decommissioning activities of CR3 by several decades, thus restoring the </w:t>
      </w:r>
      <w:r>
        <w:t xml:space="preserve">portion of the </w:t>
      </w:r>
      <w:r w:rsidRPr="00FF494F">
        <w:t>site not occupied by the Independent Spent Fuel Storage Installation for other potential uses.  Based on the fixed price provisions of the Decommissioning Service Agreement (“DSA”), Duke hopes that there may actually be remaining funds from the NDF that could be refunded to future DEF customers (not once the decommissioning and dismantlement is accomplished</w:t>
      </w:r>
      <w:r>
        <w:t>,</w:t>
      </w:r>
      <w:r w:rsidRPr="00FF494F">
        <w:t xml:space="preserve"> but after the high level wastes are accepted by the federal government and moved off site).</w:t>
      </w:r>
    </w:p>
    <w:p w:rsidR="002C027E" w:rsidRDefault="002C027E" w:rsidP="002C027E">
      <w:pPr>
        <w:jc w:val="both"/>
      </w:pPr>
    </w:p>
    <w:p w:rsidR="005D137A" w:rsidRDefault="002C027E" w:rsidP="002C027E">
      <w:pPr>
        <w:ind w:left="1440" w:hanging="1440"/>
        <w:jc w:val="both"/>
        <w:rPr>
          <w:sz w:val="23"/>
          <w:szCs w:val="23"/>
        </w:rPr>
      </w:pPr>
      <w:r>
        <w:tab/>
      </w:r>
      <w:r w:rsidRPr="00FF494F">
        <w:t>PCS sees merit in the proposal to accelerate the decommissioning of the CR3 plant</w:t>
      </w:r>
      <w:r>
        <w:t>; however,</w:t>
      </w:r>
      <w:r w:rsidRPr="00FF494F">
        <w:t xml:space="preserve"> concerns that the immediate and near term risks to consumers that </w:t>
      </w:r>
      <w:r>
        <w:t xml:space="preserve">the </w:t>
      </w:r>
      <w:r w:rsidRPr="00FF494F">
        <w:t xml:space="preserve">NDF </w:t>
      </w:r>
      <w:r>
        <w:t>account balance</w:t>
      </w:r>
      <w:r w:rsidRPr="00FF494F">
        <w:t xml:space="preserve"> will be largely consumed without accomplishing the end state objectives far out-weigh potential benefits that are, at best, twenty years distant. </w:t>
      </w:r>
      <w:r>
        <w:t xml:space="preserve"> </w:t>
      </w:r>
      <w:r w:rsidRPr="00FF494F">
        <w:t xml:space="preserve">These risks are exacerbated by the financial and corporate structure of the ADP organization.  The customer protection enhancements proposed by Office of Public Counsel (“OPC”) witness Richard A. Polich in his direct testimony </w:t>
      </w:r>
      <w:r>
        <w:t>address</w:t>
      </w:r>
      <w:r w:rsidRPr="00FF494F">
        <w:t xml:space="preserve"> the need to mitigate the consumer impacts </w:t>
      </w:r>
      <w:r>
        <w:t xml:space="preserve">in the case </w:t>
      </w:r>
      <w:r w:rsidRPr="00FF494F">
        <w:t>of inadequate, insufficient or incomplete performance</w:t>
      </w:r>
      <w:r>
        <w:t xml:space="preserve"> by ADP during the course of the project</w:t>
      </w:r>
      <w:r w:rsidRPr="00FF494F">
        <w:t>.  PCS supports DEF’s efforts to accelerate decommissioning of CR3 and potentially accelerate return of unspent portions of the Nuclear Decommissioning Fund</w:t>
      </w:r>
      <w:r>
        <w:t>,</w:t>
      </w:r>
      <w:r w:rsidRPr="00FF494F">
        <w:t xml:space="preserve"> but only if the Commission incorporates the customer protection enhancements proposed by OPC.</w:t>
      </w:r>
    </w:p>
    <w:p w:rsidR="005D137A" w:rsidRDefault="005D137A" w:rsidP="00803F09">
      <w:pPr>
        <w:ind w:left="1440" w:hanging="1440"/>
        <w:rPr>
          <w:b/>
          <w:bCs/>
        </w:rPr>
      </w:pPr>
    </w:p>
    <w:p w:rsidR="00803F09" w:rsidRDefault="00803F09" w:rsidP="00E530D8">
      <w:pPr>
        <w:ind w:left="1440" w:hanging="1440"/>
        <w:jc w:val="both"/>
      </w:pPr>
      <w:r w:rsidRPr="005D4B47">
        <w:rPr>
          <w:b/>
          <w:bCs/>
        </w:rPr>
        <w:t>S</w:t>
      </w:r>
      <w:r>
        <w:rPr>
          <w:b/>
          <w:bCs/>
        </w:rPr>
        <w:t>taff:</w:t>
      </w:r>
      <w:r>
        <w:rPr>
          <w:b/>
          <w:bCs/>
        </w:rPr>
        <w:tab/>
      </w:r>
      <w:r w:rsidRPr="000262E9">
        <w:t>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w:t>
      </w:r>
      <w:r>
        <w:t xml:space="preserve"> stated herein</w:t>
      </w:r>
      <w:r w:rsidRPr="000262E9">
        <w:t>.</w:t>
      </w:r>
    </w:p>
    <w:p w:rsidR="00803F09" w:rsidRPr="00E96B47" w:rsidRDefault="00803F09" w:rsidP="00803F09">
      <w:pPr>
        <w:spacing w:before="480"/>
        <w:jc w:val="both"/>
        <w:rPr>
          <w:b/>
        </w:rPr>
      </w:pPr>
      <w:r w:rsidRPr="00E96B47">
        <w:rPr>
          <w:b/>
        </w:rPr>
        <w:t>VIII.</w:t>
      </w:r>
      <w:r w:rsidRPr="00E96B47">
        <w:rPr>
          <w:b/>
        </w:rPr>
        <w:tab/>
      </w:r>
      <w:r w:rsidRPr="00E96B47">
        <w:rPr>
          <w:b/>
          <w:u w:val="single"/>
        </w:rPr>
        <w:t>ISSUES AND POSITIONS</w:t>
      </w:r>
    </w:p>
    <w:p w:rsidR="00803F09" w:rsidRDefault="00803F09" w:rsidP="00803F09">
      <w:pPr>
        <w:tabs>
          <w:tab w:val="center" w:pos="4680"/>
          <w:tab w:val="left" w:pos="8145"/>
        </w:tabs>
        <w:jc w:val="center"/>
        <w:rPr>
          <w:b/>
          <w:u w:val="single"/>
        </w:rPr>
      </w:pPr>
    </w:p>
    <w:p w:rsidR="00AB3A89" w:rsidRDefault="00AB3A89" w:rsidP="00AB3A89">
      <w:pPr>
        <w:pStyle w:val="IssueHeading"/>
        <w:rPr>
          <w:vanish/>
          <w:specVanish/>
        </w:rPr>
      </w:pPr>
      <w:r>
        <w:t xml:space="preserve">ISSUE </w:t>
      </w:r>
      <w:r w:rsidR="00DD146A">
        <w:fldChar w:fldCharType="begin"/>
      </w:r>
      <w:r w:rsidR="00DD146A">
        <w:instrText xml:space="preserve"> SEQ Issue \* Arabic \n  \* MERGEFORMAT </w:instrText>
      </w:r>
      <w:r w:rsidR="00DD146A">
        <w:fldChar w:fldCharType="separate"/>
      </w:r>
      <w:r w:rsidR="00DD146A">
        <w:rPr>
          <w:noProof/>
        </w:rPr>
        <w:t>1</w:t>
      </w:r>
      <w:r w:rsidR="00DD146A">
        <w:rPr>
          <w:noProof/>
        </w:rPr>
        <w:fldChar w:fldCharType="end"/>
      </w:r>
      <w:r>
        <w:t>:</w:t>
      </w:r>
    </w:p>
    <w:p w:rsidR="00AB3A89" w:rsidRPr="00A54D90" w:rsidRDefault="00AB3A89" w:rsidP="00AB3A89">
      <w:pPr>
        <w:pStyle w:val="IssueBody"/>
        <w:rPr>
          <w:b/>
        </w:rPr>
      </w:pPr>
      <w:r>
        <w:tab/>
      </w:r>
      <w:r w:rsidRPr="00A54D90">
        <w:rPr>
          <w:b/>
          <w:szCs w:val="24"/>
        </w:rPr>
        <w:t>Should the Florida Public Service Commission approve the transactions as contemplated by the Agreement (Decommissioning Services Agreement), the SNF PSA (Spent Nuclear Fuel Purchase and Sale Agreement), and the Ancillary Agreements (as defined in Article I, Section 1.1.1 of the Agreement)?</w:t>
      </w:r>
    </w:p>
    <w:p w:rsidR="00AB3A89" w:rsidRDefault="00AB3A89" w:rsidP="00AB3A89">
      <w:pPr>
        <w:pStyle w:val="PositionHeading"/>
      </w:pPr>
      <w:r>
        <w:t>POSITION</w:t>
      </w:r>
      <w:r>
        <w:rPr>
          <w:b w:val="0"/>
        </w:rPr>
        <w:t>S</w:t>
      </w:r>
      <w:r>
        <w:t>:</w:t>
      </w:r>
    </w:p>
    <w:p w:rsidR="0046486E" w:rsidRDefault="0046486E" w:rsidP="00DE7C37">
      <w:pPr>
        <w:ind w:left="1440" w:hanging="1440"/>
        <w:rPr>
          <w:b/>
          <w:u w:val="single"/>
        </w:rPr>
      </w:pPr>
    </w:p>
    <w:p w:rsidR="00DE7C37" w:rsidRDefault="00AB3A89" w:rsidP="00DE7C37">
      <w:pPr>
        <w:ind w:left="1440" w:hanging="1440"/>
      </w:pPr>
      <w:r w:rsidRPr="00DE7C37">
        <w:rPr>
          <w:b/>
          <w:u w:val="single"/>
        </w:rPr>
        <w:t>DEF</w:t>
      </w:r>
      <w:r w:rsidRPr="00DE7C37">
        <w:rPr>
          <w:b/>
        </w:rPr>
        <w:t>:</w:t>
      </w:r>
      <w:r w:rsidR="00DE7C37">
        <w:tab/>
      </w:r>
      <w:r w:rsidR="00DE7C37" w:rsidRPr="00BE522E">
        <w:t xml:space="preserve">Yes. The Commission should approve the transactions as contemplated.  The transactions are in the best interest of DEF’s customers.  </w:t>
      </w:r>
    </w:p>
    <w:p w:rsidR="00AB3A89" w:rsidRDefault="00DE7C37" w:rsidP="00DE7C37">
      <w:pPr>
        <w:ind w:left="1440" w:hanging="1440"/>
        <w:rPr>
          <w:b/>
        </w:rPr>
      </w:pPr>
      <w:r>
        <w:tab/>
      </w:r>
      <w:r w:rsidRPr="00197A8E">
        <w:t xml:space="preserve">(Witness: </w:t>
      </w:r>
      <w:r>
        <w:t>Terry Hobbs, Scott State, David Doss, Matt Palasek, Jeff Adix</w:t>
      </w:r>
      <w:r w:rsidRPr="00197A8E">
        <w:t>)</w:t>
      </w:r>
    </w:p>
    <w:p w:rsidR="00AB3A89" w:rsidRDefault="00AB3A89" w:rsidP="00AB3A89">
      <w:pPr>
        <w:rPr>
          <w:b/>
        </w:rPr>
      </w:pPr>
    </w:p>
    <w:p w:rsidR="002A09A3" w:rsidRDefault="00AB3A89" w:rsidP="002A09A3">
      <w:pPr>
        <w:pStyle w:val="OrderBody"/>
        <w:ind w:left="1440" w:hanging="1440"/>
        <w:rPr>
          <w:rFonts w:cs="Arial"/>
          <w:kern w:val="32"/>
          <w:szCs w:val="32"/>
        </w:rPr>
      </w:pPr>
      <w:r w:rsidRPr="00AB3A89">
        <w:rPr>
          <w:b/>
          <w:u w:val="single"/>
        </w:rPr>
        <w:t>OPC</w:t>
      </w:r>
      <w:r>
        <w:rPr>
          <w:b/>
        </w:rPr>
        <w:t>:</w:t>
      </w:r>
      <w:r w:rsidR="008817DC">
        <w:rPr>
          <w:b/>
        </w:rPr>
        <w:tab/>
      </w:r>
      <w:r w:rsidR="002A09A3">
        <w:rPr>
          <w:rFonts w:cs="Arial"/>
          <w:kern w:val="32"/>
          <w:szCs w:val="32"/>
        </w:rPr>
        <w:t>The petition should not be approved without the customer protections and risk mitigation enhancements recommended in the Direct Testimony of Richard A. Polich. These are set out at pages 27 and 28 of his testimony as follows:</w:t>
      </w:r>
    </w:p>
    <w:p w:rsidR="002A09A3" w:rsidRDefault="002A09A3" w:rsidP="002A09A3">
      <w:pPr>
        <w:pStyle w:val="OrderBody"/>
        <w:ind w:left="1440" w:hanging="1440"/>
        <w:rPr>
          <w:rFonts w:cs="Arial"/>
          <w:kern w:val="32"/>
          <w:szCs w:val="32"/>
        </w:rPr>
      </w:pPr>
    </w:p>
    <w:p w:rsidR="002A09A3" w:rsidRDefault="002A09A3" w:rsidP="002A09A3">
      <w:pPr>
        <w:pStyle w:val="ListParagraph"/>
        <w:numPr>
          <w:ilvl w:val="0"/>
          <w:numId w:val="23"/>
        </w:numPr>
        <w:tabs>
          <w:tab w:val="left" w:pos="1440"/>
        </w:tabs>
        <w:ind w:left="1800"/>
        <w:jc w:val="both"/>
      </w:pPr>
      <w:r>
        <w:t>Amend the Parental Support Agreement to include the State of Florida as a beneficiary and with the same rights as the NRC.</w:t>
      </w:r>
    </w:p>
    <w:p w:rsidR="002A09A3" w:rsidRDefault="002A09A3" w:rsidP="002A09A3">
      <w:pPr>
        <w:pStyle w:val="ListParagraph"/>
        <w:numPr>
          <w:ilvl w:val="0"/>
          <w:numId w:val="23"/>
        </w:numPr>
        <w:tabs>
          <w:tab w:val="left" w:pos="1440"/>
        </w:tabs>
        <w:ind w:left="1800"/>
        <w:jc w:val="both"/>
      </w:pPr>
      <w:r>
        <w:t xml:space="preserve">Require the parent companies of ADP to </w:t>
      </w:r>
      <w:bookmarkStart w:id="5" w:name="_Hlk41384940"/>
      <w:r>
        <w:t>maintain a minimum cash or cash equivalent asset in the amount of at least $105 million to support the Parental Support Agreement.</w:t>
      </w:r>
      <w:bookmarkEnd w:id="5"/>
    </w:p>
    <w:p w:rsidR="002A09A3" w:rsidRDefault="002A09A3" w:rsidP="002A09A3">
      <w:pPr>
        <w:pStyle w:val="ListParagraph"/>
        <w:numPr>
          <w:ilvl w:val="0"/>
          <w:numId w:val="23"/>
        </w:numPr>
        <w:tabs>
          <w:tab w:val="left" w:pos="1440"/>
        </w:tabs>
        <w:ind w:left="1800"/>
        <w:jc w:val="both"/>
      </w:pPr>
      <w:r>
        <w:t>Modify the Contractor’s Provisional Trust contributions from monthly payments to NorthStar to increase it from 6% to 10% of payments.</w:t>
      </w:r>
    </w:p>
    <w:p w:rsidR="002A09A3" w:rsidRDefault="002A09A3" w:rsidP="002A09A3">
      <w:pPr>
        <w:pStyle w:val="ListParagraph"/>
        <w:numPr>
          <w:ilvl w:val="0"/>
          <w:numId w:val="23"/>
        </w:numPr>
        <w:tabs>
          <w:tab w:val="left" w:pos="1440"/>
        </w:tabs>
        <w:ind w:left="1800"/>
        <w:jc w:val="both"/>
      </w:pPr>
      <w:r>
        <w:t>Amend the ADP CR3 reporting requirements contained in Attachment 9, Section B from Quarterly to Monthly and enhance the information to provide timely insight into conditions that could impair ADP’s ability to complete the contract. This includes establishing monthly and annual reporting requirements to the Commission.</w:t>
      </w:r>
    </w:p>
    <w:p w:rsidR="002A09A3" w:rsidRPr="00932838" w:rsidRDefault="002A09A3" w:rsidP="002A09A3">
      <w:pPr>
        <w:pStyle w:val="OrderBody"/>
        <w:numPr>
          <w:ilvl w:val="0"/>
          <w:numId w:val="23"/>
        </w:numPr>
        <w:ind w:left="1800"/>
        <w:rPr>
          <w:rFonts w:cs="Arial"/>
          <w:kern w:val="32"/>
          <w:szCs w:val="32"/>
        </w:rPr>
      </w:pPr>
      <w:r>
        <w:t>Establish an Independent Monitor to oversee the CR3 decommissioning activities and ADPCR3’s financial status.</w:t>
      </w:r>
    </w:p>
    <w:p w:rsidR="002A09A3" w:rsidRPr="00932838" w:rsidRDefault="002A09A3" w:rsidP="002A09A3">
      <w:pPr>
        <w:pStyle w:val="OrderBody"/>
        <w:ind w:left="1800"/>
        <w:rPr>
          <w:rFonts w:cs="Arial"/>
          <w:kern w:val="32"/>
          <w:szCs w:val="32"/>
        </w:rPr>
      </w:pPr>
    </w:p>
    <w:p w:rsidR="002A09A3" w:rsidRDefault="002A09A3" w:rsidP="002A09A3">
      <w:pPr>
        <w:pStyle w:val="OrderBody"/>
        <w:ind w:left="1440"/>
        <w:rPr>
          <w:rFonts w:cs="Arial"/>
          <w:kern w:val="32"/>
          <w:szCs w:val="32"/>
        </w:rPr>
      </w:pPr>
      <w:r>
        <w:t xml:space="preserve">Only with such protections can the Commission take steps to safeguard the hundreds of millions of dollars it ordered Duke to collect from its customers to ensure safe and complete </w:t>
      </w:r>
      <w:r>
        <w:rPr>
          <w:bCs/>
        </w:rPr>
        <w:t xml:space="preserve">dismantlement, decontamination and decommissioning </w:t>
      </w:r>
      <w:r>
        <w:t xml:space="preserve">of the prematurely damaged and retired nuclear power plant. </w:t>
      </w:r>
    </w:p>
    <w:p w:rsidR="002A09A3" w:rsidRDefault="002A09A3" w:rsidP="002A09A3">
      <w:pPr>
        <w:pStyle w:val="ListParagraph"/>
        <w:tabs>
          <w:tab w:val="left" w:pos="1440"/>
        </w:tabs>
        <w:jc w:val="both"/>
      </w:pPr>
    </w:p>
    <w:p w:rsidR="00AB3A89" w:rsidRPr="00AB3A89" w:rsidRDefault="00AB3A89" w:rsidP="008817DC">
      <w:pPr>
        <w:ind w:left="1440" w:hanging="1440"/>
        <w:rPr>
          <w:b/>
        </w:rPr>
      </w:pPr>
      <w:r w:rsidRPr="00AB3A89">
        <w:rPr>
          <w:b/>
          <w:u w:val="single"/>
        </w:rPr>
        <w:t>FIPUG</w:t>
      </w:r>
      <w:r>
        <w:rPr>
          <w:b/>
        </w:rPr>
        <w:t>:</w:t>
      </w:r>
      <w:r w:rsidR="008817DC">
        <w:rPr>
          <w:b/>
        </w:rPr>
        <w:tab/>
      </w:r>
      <w:r w:rsidR="00982A3A">
        <w:t>Yes, if the conditions set forth in FIPUG’s Statement of Basic Position are met.</w:t>
      </w:r>
    </w:p>
    <w:p w:rsidR="00AB3A89" w:rsidRDefault="00AB3A89" w:rsidP="00AB3A89">
      <w:pPr>
        <w:rPr>
          <w:b/>
        </w:rPr>
      </w:pPr>
    </w:p>
    <w:p w:rsidR="00AB3A89" w:rsidRDefault="00AB3A89" w:rsidP="00AB3A89">
      <w:pPr>
        <w:rPr>
          <w:b/>
        </w:rPr>
      </w:pPr>
      <w:r>
        <w:rPr>
          <w:b/>
        </w:rPr>
        <w:t>PCS</w:t>
      </w:r>
    </w:p>
    <w:p w:rsidR="00AB3A89" w:rsidRPr="00AB3A89" w:rsidRDefault="00AB3A89" w:rsidP="008817DC">
      <w:pPr>
        <w:ind w:left="1440" w:hanging="1440"/>
        <w:rPr>
          <w:b/>
        </w:rPr>
      </w:pPr>
      <w:r w:rsidRPr="00AB3A89">
        <w:rPr>
          <w:b/>
          <w:u w:val="single"/>
        </w:rPr>
        <w:t>Phosphate</w:t>
      </w:r>
      <w:r>
        <w:rPr>
          <w:b/>
        </w:rPr>
        <w:t>:</w:t>
      </w:r>
      <w:r w:rsidR="008817DC">
        <w:rPr>
          <w:b/>
        </w:rPr>
        <w:tab/>
      </w:r>
      <w:r w:rsidR="002C027E" w:rsidRPr="00FF494F">
        <w:t>Agree with OPC.</w:t>
      </w:r>
    </w:p>
    <w:p w:rsidR="00AB3A89" w:rsidRDefault="00AB3A89" w:rsidP="00AB3A89">
      <w:pPr>
        <w:rPr>
          <w:b/>
        </w:rPr>
      </w:pPr>
    </w:p>
    <w:p w:rsidR="00AB3A89" w:rsidRPr="00AB3A89" w:rsidRDefault="00AB3A89" w:rsidP="008817DC">
      <w:pPr>
        <w:ind w:left="1440" w:hanging="1440"/>
        <w:rPr>
          <w:b/>
          <w:specVanish/>
        </w:rPr>
      </w:pPr>
      <w:r w:rsidRPr="00AB3A89">
        <w:rPr>
          <w:b/>
          <w:u w:val="single"/>
        </w:rPr>
        <w:t>STAFF</w:t>
      </w:r>
      <w:r>
        <w:rPr>
          <w:b/>
        </w:rPr>
        <w:t>:</w:t>
      </w:r>
      <w:r w:rsidR="008817DC">
        <w:rPr>
          <w:b/>
        </w:rPr>
        <w:tab/>
      </w:r>
      <w:r w:rsidR="00A54D90" w:rsidRPr="00A54D90">
        <w:t>Staff has no position at this time.</w:t>
      </w:r>
    </w:p>
    <w:p w:rsidR="00AB3A89" w:rsidRDefault="00AB3A89" w:rsidP="00AB3A89">
      <w:pPr>
        <w:pStyle w:val="PositionBody"/>
      </w:pPr>
    </w:p>
    <w:p w:rsidR="00AB3A89" w:rsidRDefault="00AB3A89" w:rsidP="00AB3A89">
      <w:pPr>
        <w:pStyle w:val="IssueHeading"/>
        <w:rPr>
          <w:vanish/>
          <w:specVanish/>
        </w:rPr>
      </w:pPr>
      <w:r>
        <w:t>ISSUE 2:</w:t>
      </w:r>
    </w:p>
    <w:p w:rsidR="00AB3A89" w:rsidRPr="00A54D90" w:rsidRDefault="00AB3A89" w:rsidP="00AB3A89">
      <w:pPr>
        <w:pStyle w:val="IssueBody"/>
        <w:rPr>
          <w:b/>
        </w:rPr>
      </w:pPr>
      <w:r>
        <w:tab/>
      </w:r>
      <w:r w:rsidRPr="00A54D90">
        <w:rPr>
          <w:b/>
          <w:szCs w:val="24"/>
        </w:rPr>
        <w:t>Is DEF’s proposed transaction with ADP and its subsidiaries for decommissioning CR3 consistent with DEF’s 2017 2</w:t>
      </w:r>
      <w:r w:rsidRPr="00A54D90">
        <w:rPr>
          <w:b/>
          <w:szCs w:val="24"/>
          <w:vertAlign w:val="superscript"/>
        </w:rPr>
        <w:t>nd</w:t>
      </w:r>
      <w:r w:rsidRPr="00A54D90">
        <w:rPr>
          <w:b/>
          <w:szCs w:val="24"/>
        </w:rPr>
        <w:t xml:space="preserve"> Revised and Restated Stipulation and Settlement Agreement (2017 Settlement)?</w:t>
      </w:r>
    </w:p>
    <w:p w:rsidR="00AB3A89" w:rsidRDefault="00AB3A89" w:rsidP="00AB3A89">
      <w:pPr>
        <w:pStyle w:val="PositionHeading"/>
        <w:rPr>
          <w:vanish/>
          <w:specVanish/>
        </w:rPr>
      </w:pPr>
      <w:r>
        <w:t>POSITIONS:</w:t>
      </w:r>
    </w:p>
    <w:p w:rsidR="008817DC" w:rsidRDefault="00AB3A89" w:rsidP="008817DC">
      <w:pPr>
        <w:pStyle w:val="PositionBody"/>
      </w:pPr>
      <w:r>
        <w:tab/>
      </w:r>
    </w:p>
    <w:p w:rsidR="00DE7C37" w:rsidRPr="00197A8E" w:rsidRDefault="00DE7C37" w:rsidP="00DE7C37">
      <w:pPr>
        <w:ind w:left="1440" w:hanging="1440"/>
        <w:jc w:val="both"/>
      </w:pPr>
      <w:r w:rsidRPr="00DE7C37">
        <w:rPr>
          <w:b/>
          <w:u w:val="single"/>
        </w:rPr>
        <w:t>DEF</w:t>
      </w:r>
      <w:r w:rsidRPr="00DE7C37">
        <w:rPr>
          <w:b/>
        </w:rPr>
        <w:t>:</w:t>
      </w:r>
      <w:r>
        <w:tab/>
      </w:r>
      <w:r w:rsidRPr="00BE522E">
        <w:t xml:space="preserve">Yes.  DEF’s proposed transaction with ADP and its subsidiaries for decommission CR3 is consistent with the 2017 Settlement.  </w:t>
      </w:r>
    </w:p>
    <w:p w:rsidR="00DE7C37" w:rsidRPr="00197A8E" w:rsidRDefault="00DE7C37" w:rsidP="00DE7C37">
      <w:pPr>
        <w:tabs>
          <w:tab w:val="left" w:pos="-2520"/>
        </w:tabs>
        <w:ind w:firstLine="720"/>
        <w:jc w:val="both"/>
      </w:pPr>
      <w:r w:rsidRPr="00197A8E">
        <w:t xml:space="preserve">   </w:t>
      </w:r>
      <w:r>
        <w:tab/>
      </w:r>
      <w:r w:rsidRPr="00197A8E">
        <w:t xml:space="preserve">(Witness: </w:t>
      </w:r>
      <w:r>
        <w:t>Terry Hobbs)</w:t>
      </w:r>
    </w:p>
    <w:p w:rsidR="00DE7C37" w:rsidRDefault="00DE7C37" w:rsidP="00DE7C37">
      <w:pPr>
        <w:ind w:left="1440" w:hanging="1440"/>
        <w:rPr>
          <w:b/>
        </w:rPr>
      </w:pPr>
    </w:p>
    <w:p w:rsidR="00DE7C37" w:rsidRDefault="00DE7C37" w:rsidP="00A54D90">
      <w:pPr>
        <w:ind w:left="1440" w:hanging="1440"/>
        <w:jc w:val="both"/>
        <w:rPr>
          <w:b/>
        </w:rPr>
      </w:pPr>
      <w:r w:rsidRPr="00AB3A89">
        <w:rPr>
          <w:b/>
          <w:u w:val="single"/>
        </w:rPr>
        <w:t>OPC</w:t>
      </w:r>
      <w:r>
        <w:rPr>
          <w:b/>
        </w:rPr>
        <w:t>:</w:t>
      </w:r>
      <w:r>
        <w:rPr>
          <w:b/>
        </w:rPr>
        <w:tab/>
      </w:r>
      <w:r w:rsidR="002A09A3">
        <w:rPr>
          <w:rFonts w:cs="Arial"/>
          <w:kern w:val="32"/>
          <w:szCs w:val="32"/>
        </w:rPr>
        <w:t xml:space="preserve">It is not clear whether it is the intent that surcharges for NDF deficiencies discovered after December 31, 2021 can be collected from future DEF customers. </w:t>
      </w:r>
      <w:r w:rsidR="002A09A3">
        <w:rPr>
          <w:rFonts w:cs="Arial"/>
          <w:kern w:val="32"/>
          <w:szCs w:val="32"/>
        </w:rPr>
        <w:lastRenderedPageBreak/>
        <w:t>At this point, the OPC has not determined that any notion contained in the Petition filed in this docket (and the testimony incorporated by references) that concludes that future deficiencies can be recovered from future customers is consistent with the RRSSA.</w:t>
      </w:r>
      <w:r w:rsidR="002A09A3">
        <w:rPr>
          <w:rFonts w:cs="Arial"/>
          <w:kern w:val="32"/>
          <w:szCs w:val="32"/>
        </w:rPr>
        <w:tab/>
      </w:r>
    </w:p>
    <w:p w:rsidR="00DE7C37" w:rsidRDefault="00DE7C37" w:rsidP="00DE7C37">
      <w:pPr>
        <w:rPr>
          <w:b/>
        </w:rPr>
      </w:pPr>
    </w:p>
    <w:p w:rsidR="00982A3A" w:rsidRDefault="00DE7C37" w:rsidP="00982A3A">
      <w:pPr>
        <w:tabs>
          <w:tab w:val="left" w:pos="8571"/>
        </w:tabs>
        <w:autoSpaceDE w:val="0"/>
        <w:autoSpaceDN w:val="0"/>
        <w:adjustRightInd w:val="0"/>
        <w:ind w:left="1440" w:hanging="1440"/>
        <w:jc w:val="both"/>
      </w:pPr>
      <w:r w:rsidRPr="00AB3A89">
        <w:rPr>
          <w:b/>
          <w:u w:val="single"/>
        </w:rPr>
        <w:t>FIPUG</w:t>
      </w:r>
      <w:r>
        <w:rPr>
          <w:b/>
        </w:rPr>
        <w:t>:</w:t>
      </w:r>
      <w:r>
        <w:rPr>
          <w:b/>
        </w:rPr>
        <w:tab/>
      </w:r>
      <w:r w:rsidR="00982A3A">
        <w:t>Adopt position of Office of Public Counsel.</w:t>
      </w:r>
    </w:p>
    <w:p w:rsidR="00982A3A" w:rsidRDefault="00982A3A" w:rsidP="00982A3A">
      <w:pPr>
        <w:tabs>
          <w:tab w:val="left" w:pos="8571"/>
        </w:tabs>
        <w:autoSpaceDE w:val="0"/>
        <w:autoSpaceDN w:val="0"/>
        <w:adjustRightInd w:val="0"/>
        <w:ind w:left="1440" w:hanging="1440"/>
        <w:jc w:val="both"/>
      </w:pPr>
    </w:p>
    <w:p w:rsidR="00A54D90" w:rsidRDefault="00DE7C37" w:rsidP="00A54D90">
      <w:pPr>
        <w:rPr>
          <w:b/>
        </w:rPr>
      </w:pPr>
      <w:r>
        <w:rPr>
          <w:b/>
        </w:rPr>
        <w:t>PCS</w:t>
      </w:r>
    </w:p>
    <w:p w:rsidR="002C027E" w:rsidRPr="00FF494F" w:rsidRDefault="00DE7C37" w:rsidP="00A54D90">
      <w:pPr>
        <w:ind w:left="1440" w:hanging="1440"/>
        <w:rPr>
          <w:bCs/>
        </w:rPr>
      </w:pPr>
      <w:r w:rsidRPr="00AB3A89">
        <w:rPr>
          <w:b/>
          <w:u w:val="single"/>
        </w:rPr>
        <w:t>Phosphate</w:t>
      </w:r>
      <w:r>
        <w:rPr>
          <w:b/>
        </w:rPr>
        <w:t>:</w:t>
      </w:r>
      <w:r>
        <w:rPr>
          <w:b/>
        </w:rPr>
        <w:tab/>
      </w:r>
      <w:r w:rsidR="002C027E" w:rsidRPr="00FF494F">
        <w:t xml:space="preserve">The </w:t>
      </w:r>
      <w:r w:rsidR="002C027E">
        <w:t xml:space="preserve">2017 </w:t>
      </w:r>
      <w:r w:rsidR="002C027E" w:rsidRPr="00FF494F">
        <w:t>Second Revised and Restated Stipulation and Settlement agreement did not contemplate the partial transfer and delegation of decommissioning responsibilities to a third party. PCS agrees with OPC.</w:t>
      </w:r>
    </w:p>
    <w:p w:rsidR="00DE7C37" w:rsidRDefault="00DE7C37" w:rsidP="00DE7C37">
      <w:pPr>
        <w:rPr>
          <w:b/>
        </w:rPr>
      </w:pPr>
    </w:p>
    <w:p w:rsidR="00DE7C37" w:rsidRPr="00AB3A89" w:rsidRDefault="00DE7C37" w:rsidP="00DE7C37">
      <w:pPr>
        <w:ind w:left="1440" w:hanging="1440"/>
        <w:rPr>
          <w:b/>
          <w:specVanish/>
        </w:rPr>
      </w:pPr>
      <w:r w:rsidRPr="00AB3A89">
        <w:rPr>
          <w:b/>
          <w:u w:val="single"/>
        </w:rPr>
        <w:t>STAFF</w:t>
      </w:r>
      <w:r>
        <w:rPr>
          <w:b/>
        </w:rPr>
        <w:t>:</w:t>
      </w:r>
      <w:r>
        <w:rPr>
          <w:b/>
        </w:rPr>
        <w:tab/>
      </w:r>
      <w:r w:rsidR="00A54D90" w:rsidRPr="00A54D90">
        <w:t>Staff has no position at this time.</w:t>
      </w:r>
    </w:p>
    <w:p w:rsidR="008817DC" w:rsidRPr="008817DC" w:rsidRDefault="008817DC" w:rsidP="008817DC"/>
    <w:p w:rsidR="00AB3A89" w:rsidRDefault="008817DC" w:rsidP="00DE7C37">
      <w:pPr>
        <w:ind w:left="1440" w:hanging="1440"/>
        <w:jc w:val="both"/>
      </w:pPr>
      <w:r>
        <w:rPr>
          <w:b/>
        </w:rPr>
        <w:t>I</w:t>
      </w:r>
      <w:r w:rsidR="00AB3A89">
        <w:rPr>
          <w:b/>
        </w:rPr>
        <w:t>SSUE 3:</w:t>
      </w:r>
      <w:r w:rsidR="00AB3A89">
        <w:rPr>
          <w:b/>
        </w:rPr>
        <w:tab/>
      </w:r>
      <w:r w:rsidR="00AB3A89" w:rsidRPr="00A54D90">
        <w:rPr>
          <w:b/>
        </w:rPr>
        <w:t>Should the Commission approve DEF’s 2019 Accelerated Nuclear Decommissioning Study?</w:t>
      </w:r>
    </w:p>
    <w:p w:rsidR="00AB3A89" w:rsidRDefault="00AB3A89" w:rsidP="00AB3A89">
      <w:pPr>
        <w:pStyle w:val="PositionHeading"/>
        <w:rPr>
          <w:vanish/>
          <w:specVanish/>
        </w:rPr>
      </w:pPr>
      <w:r>
        <w:t>POSITIONS:</w:t>
      </w:r>
    </w:p>
    <w:p w:rsidR="00AB3A89" w:rsidRDefault="00AB3A89" w:rsidP="00AB3A89">
      <w:pPr>
        <w:pStyle w:val="PositionBody"/>
      </w:pPr>
      <w:r>
        <w:tab/>
      </w:r>
    </w:p>
    <w:p w:rsidR="00DE7C37" w:rsidRPr="004A2D01" w:rsidRDefault="00DE7C37" w:rsidP="00DE7C37">
      <w:pPr>
        <w:ind w:left="1440" w:hanging="1440"/>
        <w:jc w:val="both"/>
      </w:pPr>
      <w:r w:rsidRPr="00DE7C37">
        <w:rPr>
          <w:b/>
          <w:u w:val="single"/>
        </w:rPr>
        <w:t>DEF</w:t>
      </w:r>
      <w:r w:rsidRPr="00DE7C37">
        <w:rPr>
          <w:b/>
        </w:rPr>
        <w:t>:</w:t>
      </w:r>
      <w:r>
        <w:tab/>
      </w:r>
      <w:r w:rsidRPr="004A2D01">
        <w:t xml:space="preserve">Yes.  The Commission should approve DEF’s 2019 Accelerated Nuclear Decommissioning Study.  DEF’s 2019 Accelerated Nuclear Decommissioning Study reflects the new cost estimate included in the transaction.  </w:t>
      </w:r>
    </w:p>
    <w:p w:rsidR="00DE7C37" w:rsidRPr="00197A8E" w:rsidRDefault="00DE7C37" w:rsidP="00DE7C37">
      <w:pPr>
        <w:tabs>
          <w:tab w:val="left" w:pos="-2520"/>
        </w:tabs>
        <w:ind w:firstLine="720"/>
        <w:jc w:val="both"/>
      </w:pPr>
      <w:r>
        <w:tab/>
      </w:r>
      <w:r w:rsidRPr="00197A8E">
        <w:t xml:space="preserve">(Witness: </w:t>
      </w:r>
      <w:r>
        <w:t>Terry Hobbs, David Doss</w:t>
      </w:r>
      <w:r w:rsidRPr="00197A8E">
        <w:t>)</w:t>
      </w:r>
    </w:p>
    <w:p w:rsidR="00DE7C37" w:rsidRDefault="00DE7C37" w:rsidP="00DE7C37">
      <w:pPr>
        <w:rPr>
          <w:b/>
        </w:rPr>
      </w:pPr>
    </w:p>
    <w:p w:rsidR="00DE7C37" w:rsidRDefault="00DE7C37" w:rsidP="00DE7C37">
      <w:pPr>
        <w:ind w:left="1440" w:hanging="1440"/>
        <w:rPr>
          <w:b/>
        </w:rPr>
      </w:pPr>
      <w:r w:rsidRPr="00AB3A89">
        <w:rPr>
          <w:b/>
          <w:u w:val="single"/>
        </w:rPr>
        <w:t>OPC</w:t>
      </w:r>
      <w:r>
        <w:rPr>
          <w:b/>
        </w:rPr>
        <w:t>:</w:t>
      </w:r>
      <w:r>
        <w:rPr>
          <w:b/>
        </w:rPr>
        <w:tab/>
      </w:r>
      <w:r w:rsidR="002A09A3">
        <w:rPr>
          <w:rFonts w:cs="Arial"/>
          <w:kern w:val="32"/>
          <w:szCs w:val="32"/>
        </w:rPr>
        <w:t>No.</w:t>
      </w:r>
    </w:p>
    <w:p w:rsidR="00DE7C37" w:rsidRDefault="00DE7C37" w:rsidP="00DE7C37">
      <w:pPr>
        <w:rPr>
          <w:b/>
        </w:rPr>
      </w:pPr>
    </w:p>
    <w:p w:rsidR="008A15A4" w:rsidRDefault="00DE7C37" w:rsidP="008A15A4">
      <w:pPr>
        <w:tabs>
          <w:tab w:val="left" w:pos="8571"/>
        </w:tabs>
        <w:autoSpaceDE w:val="0"/>
        <w:autoSpaceDN w:val="0"/>
        <w:adjustRightInd w:val="0"/>
        <w:ind w:left="1440" w:hanging="1440"/>
        <w:jc w:val="both"/>
      </w:pPr>
      <w:r w:rsidRPr="00AB3A89">
        <w:rPr>
          <w:b/>
          <w:u w:val="single"/>
        </w:rPr>
        <w:t>FIPUG</w:t>
      </w:r>
      <w:r>
        <w:rPr>
          <w:b/>
        </w:rPr>
        <w:t>:</w:t>
      </w:r>
      <w:r>
        <w:rPr>
          <w:b/>
        </w:rPr>
        <w:tab/>
      </w:r>
      <w:r w:rsidR="008A15A4">
        <w:t>Adopt position of Office of Public Counsel.</w:t>
      </w:r>
    </w:p>
    <w:p w:rsidR="008A15A4" w:rsidRDefault="008A15A4" w:rsidP="008A15A4">
      <w:pPr>
        <w:tabs>
          <w:tab w:val="left" w:pos="8571"/>
        </w:tabs>
        <w:autoSpaceDE w:val="0"/>
        <w:autoSpaceDN w:val="0"/>
        <w:adjustRightInd w:val="0"/>
        <w:ind w:left="1440" w:hanging="1440"/>
        <w:jc w:val="both"/>
      </w:pPr>
    </w:p>
    <w:p w:rsidR="00DE7C37" w:rsidRDefault="00DE7C37" w:rsidP="00DE7C37">
      <w:pPr>
        <w:rPr>
          <w:b/>
        </w:rPr>
      </w:pPr>
      <w:r>
        <w:rPr>
          <w:b/>
        </w:rPr>
        <w:t>PCS</w:t>
      </w:r>
    </w:p>
    <w:p w:rsidR="002C027E" w:rsidRPr="00FF494F" w:rsidRDefault="00DE7C37" w:rsidP="002C027E">
      <w:r w:rsidRPr="00AB3A89">
        <w:rPr>
          <w:b/>
          <w:u w:val="single"/>
        </w:rPr>
        <w:t>Phosphate</w:t>
      </w:r>
      <w:r>
        <w:rPr>
          <w:b/>
        </w:rPr>
        <w:t>:</w:t>
      </w:r>
      <w:r>
        <w:rPr>
          <w:b/>
        </w:rPr>
        <w:tab/>
      </w:r>
      <w:r w:rsidR="002C027E" w:rsidRPr="00FF494F">
        <w:t xml:space="preserve">Agree with OPC. </w:t>
      </w:r>
    </w:p>
    <w:p w:rsidR="002C027E" w:rsidRPr="00FF494F" w:rsidRDefault="002C027E" w:rsidP="002C027E">
      <w:pPr>
        <w:pStyle w:val="NoSpacing"/>
        <w:ind w:left="1440" w:hanging="1440"/>
        <w:jc w:val="both"/>
        <w:rPr>
          <w:rFonts w:cs="Times New Roman"/>
          <w:bCs/>
          <w:szCs w:val="24"/>
        </w:rPr>
      </w:pPr>
    </w:p>
    <w:p w:rsidR="00DE7C37" w:rsidRPr="00AB3A89" w:rsidRDefault="00DE7C37" w:rsidP="00DE7C37">
      <w:pPr>
        <w:ind w:left="1440" w:hanging="1440"/>
        <w:rPr>
          <w:b/>
          <w:specVanish/>
        </w:rPr>
      </w:pPr>
      <w:r w:rsidRPr="00AB3A89">
        <w:rPr>
          <w:b/>
          <w:u w:val="single"/>
        </w:rPr>
        <w:t>STAFF</w:t>
      </w:r>
      <w:r>
        <w:rPr>
          <w:b/>
        </w:rPr>
        <w:t>:</w:t>
      </w:r>
      <w:r>
        <w:rPr>
          <w:b/>
        </w:rPr>
        <w:tab/>
      </w:r>
      <w:r w:rsidR="00A54D90" w:rsidRPr="00A54D90">
        <w:t>Staff has no position at this time.</w:t>
      </w:r>
    </w:p>
    <w:p w:rsidR="00830B56" w:rsidRDefault="00830B56"/>
    <w:p w:rsidR="00AB3A89" w:rsidRPr="00A54D90" w:rsidRDefault="00AB3A89" w:rsidP="00DE7C37">
      <w:pPr>
        <w:ind w:left="1440" w:hanging="1440"/>
        <w:jc w:val="both"/>
        <w:rPr>
          <w:b/>
        </w:rPr>
      </w:pPr>
      <w:r>
        <w:rPr>
          <w:b/>
        </w:rPr>
        <w:t>ISSUE 4:</w:t>
      </w:r>
      <w:r>
        <w:rPr>
          <w:b/>
        </w:rPr>
        <w:tab/>
      </w:r>
      <w:r w:rsidRPr="00A54D90">
        <w:rPr>
          <w:b/>
        </w:rPr>
        <w:t>What is the appropriate annual accrual in equal dollar amounts necessary to recover the proposed decommissioning costs of CR3?</w:t>
      </w:r>
    </w:p>
    <w:p w:rsidR="00AB3A89" w:rsidRPr="00A54D90" w:rsidRDefault="00AB3A89" w:rsidP="00AB3A89">
      <w:pPr>
        <w:ind w:left="1440" w:hanging="1440"/>
        <w:rPr>
          <w:b/>
        </w:rPr>
      </w:pPr>
    </w:p>
    <w:p w:rsidR="00830B56" w:rsidRDefault="00AB3A89" w:rsidP="00DE7C37">
      <w:pPr>
        <w:ind w:left="1440" w:hanging="1440"/>
        <w:rPr>
          <w:b/>
        </w:rPr>
      </w:pPr>
      <w:r w:rsidRPr="00017257">
        <w:rPr>
          <w:b/>
        </w:rPr>
        <w:t>POSITION</w:t>
      </w:r>
      <w:r>
        <w:rPr>
          <w:b/>
        </w:rPr>
        <w:t>S</w:t>
      </w:r>
      <w:r w:rsidRPr="00017257">
        <w:rPr>
          <w:b/>
        </w:rPr>
        <w:t>:</w:t>
      </w:r>
      <w:r>
        <w:rPr>
          <w:b/>
        </w:rPr>
        <w:tab/>
      </w:r>
    </w:p>
    <w:p w:rsidR="00830B56" w:rsidRDefault="00830B56" w:rsidP="00DE7C37">
      <w:pPr>
        <w:ind w:left="1440" w:hanging="1440"/>
        <w:rPr>
          <w:b/>
        </w:rPr>
      </w:pPr>
    </w:p>
    <w:p w:rsidR="00DE7C37" w:rsidRPr="004A2D01" w:rsidRDefault="00DE7C37" w:rsidP="00DE7C37">
      <w:pPr>
        <w:ind w:left="1440" w:hanging="1440"/>
      </w:pPr>
      <w:r w:rsidRPr="00DE7C37">
        <w:rPr>
          <w:b/>
          <w:u w:val="single"/>
        </w:rPr>
        <w:t>DEF</w:t>
      </w:r>
      <w:r w:rsidRPr="00DE7C37">
        <w:rPr>
          <w:b/>
        </w:rPr>
        <w:t>:</w:t>
      </w:r>
      <w:r>
        <w:tab/>
      </w:r>
      <w:r w:rsidRPr="004A2D01">
        <w:t>There is no requested annual accrual.</w:t>
      </w:r>
    </w:p>
    <w:p w:rsidR="00DE7C37" w:rsidRPr="00197A8E" w:rsidRDefault="00DE7C37" w:rsidP="00DE7C37">
      <w:pPr>
        <w:tabs>
          <w:tab w:val="left" w:pos="-2520"/>
        </w:tabs>
        <w:jc w:val="both"/>
        <w:rPr>
          <w:b/>
        </w:rPr>
      </w:pPr>
      <w:r>
        <w:tab/>
      </w:r>
      <w:r>
        <w:tab/>
      </w:r>
      <w:r w:rsidRPr="00197A8E">
        <w:t xml:space="preserve">(Witnesses: </w:t>
      </w:r>
      <w:r>
        <w:t>Terry Hobbs</w:t>
      </w:r>
      <w:r w:rsidRPr="00197A8E">
        <w:t xml:space="preserve">, </w:t>
      </w:r>
      <w:r>
        <w:t>David Doss</w:t>
      </w:r>
      <w:r w:rsidRPr="00197A8E">
        <w:t>)</w:t>
      </w:r>
    </w:p>
    <w:p w:rsidR="00DE7C37" w:rsidRPr="00197A8E" w:rsidRDefault="00DE7C37" w:rsidP="00DE7C37">
      <w:pPr>
        <w:tabs>
          <w:tab w:val="left" w:pos="-2520"/>
        </w:tabs>
        <w:autoSpaceDE w:val="0"/>
        <w:autoSpaceDN w:val="0"/>
        <w:adjustRightInd w:val="0"/>
        <w:ind w:firstLine="720"/>
        <w:jc w:val="both"/>
        <w:rPr>
          <w:b/>
        </w:rPr>
      </w:pPr>
    </w:p>
    <w:p w:rsidR="00DE7C37" w:rsidRDefault="00DE7C37" w:rsidP="00DE7C37">
      <w:pPr>
        <w:ind w:left="1440" w:hanging="1440"/>
        <w:rPr>
          <w:b/>
        </w:rPr>
      </w:pPr>
      <w:r w:rsidRPr="00AB3A89">
        <w:rPr>
          <w:b/>
          <w:u w:val="single"/>
        </w:rPr>
        <w:t>OPC</w:t>
      </w:r>
      <w:r>
        <w:rPr>
          <w:b/>
        </w:rPr>
        <w:t>:</w:t>
      </w:r>
      <w:r>
        <w:rPr>
          <w:b/>
        </w:rPr>
        <w:tab/>
      </w:r>
      <w:r w:rsidR="002A09A3">
        <w:rPr>
          <w:rFonts w:cs="Arial"/>
          <w:kern w:val="32"/>
          <w:szCs w:val="32"/>
        </w:rPr>
        <w:t>$0.</w:t>
      </w:r>
    </w:p>
    <w:p w:rsidR="00DE7C37" w:rsidRDefault="00DE7C37" w:rsidP="00DE7C37">
      <w:pPr>
        <w:rPr>
          <w:b/>
        </w:rPr>
      </w:pPr>
    </w:p>
    <w:p w:rsidR="008A15A4" w:rsidRDefault="00DE7C37" w:rsidP="008A15A4">
      <w:pPr>
        <w:tabs>
          <w:tab w:val="left" w:pos="8571"/>
        </w:tabs>
        <w:autoSpaceDE w:val="0"/>
        <w:autoSpaceDN w:val="0"/>
        <w:adjustRightInd w:val="0"/>
        <w:ind w:left="1440" w:hanging="1440"/>
        <w:jc w:val="both"/>
      </w:pPr>
      <w:r w:rsidRPr="00AB3A89">
        <w:rPr>
          <w:b/>
          <w:u w:val="single"/>
        </w:rPr>
        <w:t>FIPUG</w:t>
      </w:r>
      <w:r>
        <w:rPr>
          <w:b/>
        </w:rPr>
        <w:t>:</w:t>
      </w:r>
      <w:r>
        <w:rPr>
          <w:b/>
        </w:rPr>
        <w:tab/>
      </w:r>
      <w:r w:rsidR="008A15A4">
        <w:t>Adopt position of Office of Public Counsel.</w:t>
      </w:r>
    </w:p>
    <w:p w:rsidR="008A15A4" w:rsidRDefault="008A15A4" w:rsidP="008A15A4">
      <w:pPr>
        <w:tabs>
          <w:tab w:val="left" w:pos="8571"/>
        </w:tabs>
        <w:autoSpaceDE w:val="0"/>
        <w:autoSpaceDN w:val="0"/>
        <w:adjustRightInd w:val="0"/>
        <w:ind w:left="1440" w:hanging="1440"/>
        <w:jc w:val="both"/>
      </w:pPr>
    </w:p>
    <w:p w:rsidR="00DE7C37" w:rsidRDefault="00DE7C37" w:rsidP="00DE7C37">
      <w:pPr>
        <w:rPr>
          <w:b/>
        </w:rPr>
      </w:pPr>
      <w:r>
        <w:rPr>
          <w:b/>
        </w:rPr>
        <w:lastRenderedPageBreak/>
        <w:t>PCS</w:t>
      </w:r>
    </w:p>
    <w:p w:rsidR="002C027E" w:rsidRPr="00FF494F" w:rsidRDefault="00DE7C37" w:rsidP="002C027E">
      <w:r w:rsidRPr="00AB3A89">
        <w:rPr>
          <w:b/>
          <w:u w:val="single"/>
        </w:rPr>
        <w:t>Phosphate</w:t>
      </w:r>
      <w:r>
        <w:rPr>
          <w:b/>
        </w:rPr>
        <w:t>:</w:t>
      </w:r>
      <w:r>
        <w:rPr>
          <w:b/>
        </w:rPr>
        <w:tab/>
      </w:r>
      <w:r w:rsidR="002C027E" w:rsidRPr="00FF494F">
        <w:t xml:space="preserve">$-0-. </w:t>
      </w:r>
    </w:p>
    <w:p w:rsidR="002C027E" w:rsidRPr="00FF494F" w:rsidRDefault="002C027E" w:rsidP="002C027E">
      <w:pPr>
        <w:pStyle w:val="NoSpacing"/>
        <w:ind w:left="1440" w:hanging="1440"/>
        <w:jc w:val="both"/>
        <w:rPr>
          <w:rFonts w:cs="Times New Roman"/>
          <w:bCs/>
          <w:szCs w:val="24"/>
        </w:rPr>
      </w:pPr>
    </w:p>
    <w:p w:rsidR="00DE7C37" w:rsidRPr="00AB3A89" w:rsidRDefault="00DE7C37" w:rsidP="00DE7C37">
      <w:pPr>
        <w:ind w:left="1440" w:hanging="1440"/>
        <w:rPr>
          <w:b/>
          <w:specVanish/>
        </w:rPr>
      </w:pPr>
      <w:r w:rsidRPr="00AB3A89">
        <w:rPr>
          <w:b/>
          <w:u w:val="single"/>
        </w:rPr>
        <w:t>STAFF</w:t>
      </w:r>
      <w:r>
        <w:rPr>
          <w:b/>
        </w:rPr>
        <w:t>:</w:t>
      </w:r>
      <w:r>
        <w:rPr>
          <w:b/>
        </w:rPr>
        <w:tab/>
      </w:r>
      <w:r w:rsidR="00A54D90" w:rsidRPr="00A54D90">
        <w:t>Staff has no position at this time.</w:t>
      </w:r>
    </w:p>
    <w:p w:rsidR="00DE7C37" w:rsidRDefault="00DE7C37" w:rsidP="00AB3A89">
      <w:pPr>
        <w:ind w:left="1440" w:hanging="1440"/>
        <w:rPr>
          <w:b/>
        </w:rPr>
      </w:pPr>
    </w:p>
    <w:p w:rsidR="00AB3A89" w:rsidRDefault="00AB3A89" w:rsidP="00DE7C37">
      <w:pPr>
        <w:ind w:left="1440" w:hanging="1440"/>
        <w:jc w:val="both"/>
        <w:rPr>
          <w:b/>
        </w:rPr>
      </w:pPr>
      <w:r>
        <w:rPr>
          <w:b/>
        </w:rPr>
        <w:t>ISSUE 5:</w:t>
      </w:r>
      <w:r>
        <w:rPr>
          <w:b/>
        </w:rPr>
        <w:tab/>
      </w:r>
      <w:r w:rsidRPr="00A54D90">
        <w:rPr>
          <w:b/>
        </w:rPr>
        <w:t>What is the appropriate accrual effective date for adjusting the accrual amount, if any adjustment is needed?</w:t>
      </w:r>
    </w:p>
    <w:p w:rsidR="00AB3A89" w:rsidRDefault="00AB3A89" w:rsidP="00AB3A89">
      <w:pPr>
        <w:ind w:left="1440" w:hanging="1440"/>
        <w:rPr>
          <w:b/>
        </w:rPr>
      </w:pPr>
    </w:p>
    <w:p w:rsidR="00AB3A89" w:rsidRDefault="00AB3A89" w:rsidP="00AB3A89">
      <w:pPr>
        <w:ind w:left="1440" w:hanging="1440"/>
        <w:rPr>
          <w:b/>
        </w:rPr>
      </w:pPr>
      <w:r>
        <w:rPr>
          <w:b/>
        </w:rPr>
        <w:t>POSITION</w:t>
      </w:r>
      <w:r w:rsidR="008817DC">
        <w:rPr>
          <w:b/>
        </w:rPr>
        <w:t>S</w:t>
      </w:r>
      <w:r>
        <w:rPr>
          <w:b/>
        </w:rPr>
        <w:t>:</w:t>
      </w:r>
      <w:r>
        <w:rPr>
          <w:b/>
        </w:rPr>
        <w:tab/>
      </w:r>
    </w:p>
    <w:p w:rsidR="00AB3A89" w:rsidRDefault="00AB3A89" w:rsidP="00AB3A89">
      <w:pPr>
        <w:ind w:left="1440" w:hanging="1440"/>
        <w:rPr>
          <w:b/>
        </w:rPr>
      </w:pPr>
    </w:p>
    <w:p w:rsidR="00DE7C37" w:rsidRPr="004A2D01" w:rsidRDefault="00DE7C37" w:rsidP="00DE7C37">
      <w:pPr>
        <w:ind w:left="1440" w:hanging="1440"/>
      </w:pPr>
      <w:r w:rsidRPr="00DE7C37">
        <w:rPr>
          <w:b/>
          <w:u w:val="single"/>
        </w:rPr>
        <w:t>DEF</w:t>
      </w:r>
      <w:r w:rsidRPr="00DE7C37">
        <w:rPr>
          <w:b/>
        </w:rPr>
        <w:t>:</w:t>
      </w:r>
      <w:r>
        <w:tab/>
      </w:r>
      <w:r w:rsidRPr="004A2D01">
        <w:t>Not applicable.</w:t>
      </w:r>
    </w:p>
    <w:p w:rsidR="00DE7C37" w:rsidRDefault="00DE7C37" w:rsidP="00DE7C37">
      <w:pPr>
        <w:tabs>
          <w:tab w:val="left" w:pos="-2520"/>
        </w:tabs>
        <w:ind w:firstLine="720"/>
        <w:jc w:val="both"/>
      </w:pPr>
      <w:r>
        <w:tab/>
      </w:r>
      <w:r w:rsidRPr="00197A8E">
        <w:t xml:space="preserve">(Witnesses: </w:t>
      </w:r>
      <w:r>
        <w:t>Terry Hobbs</w:t>
      </w:r>
      <w:r w:rsidRPr="00197A8E">
        <w:t xml:space="preserve">, </w:t>
      </w:r>
      <w:r>
        <w:t>David Doss</w:t>
      </w:r>
      <w:r w:rsidRPr="00197A8E">
        <w:t>)</w:t>
      </w:r>
    </w:p>
    <w:p w:rsidR="00DE7C37" w:rsidRDefault="00DE7C37" w:rsidP="00DE7C37">
      <w:pPr>
        <w:rPr>
          <w:b/>
        </w:rPr>
      </w:pPr>
    </w:p>
    <w:p w:rsidR="00DE7C37" w:rsidRDefault="00DE7C37" w:rsidP="00DE7C37">
      <w:pPr>
        <w:ind w:left="1440" w:hanging="1440"/>
        <w:rPr>
          <w:b/>
        </w:rPr>
      </w:pPr>
      <w:r w:rsidRPr="00AB3A89">
        <w:rPr>
          <w:b/>
          <w:u w:val="single"/>
        </w:rPr>
        <w:t>OPC</w:t>
      </w:r>
      <w:r>
        <w:rPr>
          <w:b/>
        </w:rPr>
        <w:t>:</w:t>
      </w:r>
      <w:r>
        <w:rPr>
          <w:b/>
        </w:rPr>
        <w:tab/>
      </w:r>
      <w:r w:rsidR="002A09A3">
        <w:rPr>
          <w:rFonts w:cs="Arial"/>
          <w:kern w:val="32"/>
          <w:szCs w:val="32"/>
        </w:rPr>
        <w:t>The last opportunity to adjust any accrual appears to be December 31, 2021 pursuant to the RRSSA.</w:t>
      </w:r>
    </w:p>
    <w:p w:rsidR="00DE7C37" w:rsidRDefault="00DE7C37" w:rsidP="00DE7C37">
      <w:pPr>
        <w:rPr>
          <w:b/>
        </w:rPr>
      </w:pPr>
    </w:p>
    <w:p w:rsidR="008A15A4" w:rsidRDefault="00DE7C37" w:rsidP="008A15A4">
      <w:pPr>
        <w:tabs>
          <w:tab w:val="left" w:pos="8571"/>
        </w:tabs>
        <w:autoSpaceDE w:val="0"/>
        <w:autoSpaceDN w:val="0"/>
        <w:adjustRightInd w:val="0"/>
        <w:ind w:left="1440" w:hanging="1440"/>
        <w:jc w:val="both"/>
      </w:pPr>
      <w:r w:rsidRPr="00AB3A89">
        <w:rPr>
          <w:b/>
          <w:u w:val="single"/>
        </w:rPr>
        <w:t>FIPUG</w:t>
      </w:r>
      <w:r>
        <w:rPr>
          <w:b/>
        </w:rPr>
        <w:t>:</w:t>
      </w:r>
      <w:r>
        <w:rPr>
          <w:b/>
        </w:rPr>
        <w:tab/>
      </w:r>
      <w:r w:rsidR="008A15A4">
        <w:t>Adopt position of Office of Public Counsel.</w:t>
      </w:r>
    </w:p>
    <w:p w:rsidR="008A15A4" w:rsidRDefault="008A15A4" w:rsidP="008A15A4">
      <w:pPr>
        <w:tabs>
          <w:tab w:val="left" w:pos="8571"/>
        </w:tabs>
        <w:autoSpaceDE w:val="0"/>
        <w:autoSpaceDN w:val="0"/>
        <w:adjustRightInd w:val="0"/>
        <w:ind w:left="1440" w:hanging="1440"/>
        <w:jc w:val="both"/>
      </w:pPr>
    </w:p>
    <w:p w:rsidR="00DE7C37" w:rsidRDefault="00DE7C37" w:rsidP="00DE7C37">
      <w:pPr>
        <w:rPr>
          <w:b/>
        </w:rPr>
      </w:pPr>
      <w:r>
        <w:rPr>
          <w:b/>
        </w:rPr>
        <w:t>PCS</w:t>
      </w:r>
    </w:p>
    <w:p w:rsidR="002C027E" w:rsidRPr="00FF494F" w:rsidRDefault="00DE7C37" w:rsidP="002C027E">
      <w:r w:rsidRPr="00AB3A89">
        <w:rPr>
          <w:b/>
          <w:u w:val="single"/>
        </w:rPr>
        <w:t>Phosphate</w:t>
      </w:r>
      <w:r>
        <w:rPr>
          <w:b/>
        </w:rPr>
        <w:t>:</w:t>
      </w:r>
      <w:r>
        <w:rPr>
          <w:b/>
        </w:rPr>
        <w:tab/>
      </w:r>
      <w:r w:rsidR="002C027E" w:rsidRPr="00FF494F">
        <w:t xml:space="preserve">Agree with OPC. </w:t>
      </w:r>
    </w:p>
    <w:p w:rsidR="002C027E" w:rsidRPr="00FF494F" w:rsidRDefault="002C027E" w:rsidP="002C027E">
      <w:pPr>
        <w:pStyle w:val="NoSpacing"/>
        <w:ind w:left="1440" w:hanging="1440"/>
        <w:jc w:val="both"/>
        <w:rPr>
          <w:rFonts w:cs="Times New Roman"/>
          <w:bCs/>
          <w:szCs w:val="24"/>
        </w:rPr>
      </w:pPr>
    </w:p>
    <w:p w:rsidR="00DE7C37" w:rsidRPr="00AB3A89" w:rsidRDefault="00DE7C37" w:rsidP="00DE7C37">
      <w:pPr>
        <w:ind w:left="1440" w:hanging="1440"/>
        <w:rPr>
          <w:b/>
          <w:specVanish/>
        </w:rPr>
      </w:pPr>
      <w:r w:rsidRPr="00AB3A89">
        <w:rPr>
          <w:b/>
          <w:u w:val="single"/>
        </w:rPr>
        <w:t>STAFF</w:t>
      </w:r>
      <w:r>
        <w:rPr>
          <w:b/>
        </w:rPr>
        <w:t>:</w:t>
      </w:r>
      <w:r>
        <w:rPr>
          <w:b/>
        </w:rPr>
        <w:tab/>
      </w:r>
      <w:r w:rsidR="00A54D90" w:rsidRPr="00A54D90">
        <w:t>Staff has no position at this time.</w:t>
      </w:r>
    </w:p>
    <w:p w:rsidR="008817DC" w:rsidRDefault="008817DC" w:rsidP="00AB3A89">
      <w:pPr>
        <w:ind w:left="1440" w:hanging="1440"/>
        <w:rPr>
          <w:b/>
        </w:rPr>
      </w:pPr>
    </w:p>
    <w:p w:rsidR="00AB3A89" w:rsidRPr="00A54D90" w:rsidRDefault="00AB3A89" w:rsidP="00A54D90">
      <w:pPr>
        <w:ind w:left="1440" w:hanging="1440"/>
        <w:jc w:val="both"/>
        <w:rPr>
          <w:b/>
        </w:rPr>
      </w:pPr>
      <w:r>
        <w:rPr>
          <w:b/>
        </w:rPr>
        <w:t>ISSUE 6:</w:t>
      </w:r>
      <w:r>
        <w:rPr>
          <w:b/>
        </w:rPr>
        <w:tab/>
      </w:r>
      <w:r w:rsidRPr="00A54D90">
        <w:rPr>
          <w:b/>
        </w:rPr>
        <w:t>Should the Commission approve DEF’s request to waive, if necessary, the future filing of CR3 decommissioning studies every five years as provided in Rule 25-6.04365, F.A.C.?</w:t>
      </w:r>
    </w:p>
    <w:p w:rsidR="00AB3A89" w:rsidRPr="00A54D90" w:rsidRDefault="00AB3A89" w:rsidP="00AB3A89">
      <w:pPr>
        <w:ind w:left="1440" w:hanging="1440"/>
        <w:rPr>
          <w:b/>
        </w:rPr>
      </w:pPr>
    </w:p>
    <w:p w:rsidR="00AB3A89" w:rsidRDefault="00AB3A89" w:rsidP="00AB3A89">
      <w:pPr>
        <w:ind w:left="1440" w:hanging="1440"/>
        <w:rPr>
          <w:b/>
        </w:rPr>
      </w:pPr>
      <w:r>
        <w:rPr>
          <w:b/>
        </w:rPr>
        <w:t>POSITION</w:t>
      </w:r>
      <w:r w:rsidR="008817DC">
        <w:rPr>
          <w:b/>
        </w:rPr>
        <w:t>S</w:t>
      </w:r>
      <w:r>
        <w:rPr>
          <w:b/>
        </w:rPr>
        <w:t>:</w:t>
      </w:r>
      <w:r>
        <w:rPr>
          <w:b/>
        </w:rPr>
        <w:tab/>
      </w:r>
    </w:p>
    <w:p w:rsidR="00AB3A89" w:rsidRDefault="00AB3A89" w:rsidP="00AB3A89">
      <w:pPr>
        <w:ind w:left="1440" w:hanging="1440"/>
        <w:rPr>
          <w:b/>
        </w:rPr>
      </w:pPr>
    </w:p>
    <w:p w:rsidR="00DE7C37" w:rsidRPr="004A2D01" w:rsidRDefault="00DE7C37" w:rsidP="00DE7C37">
      <w:pPr>
        <w:ind w:left="1440" w:hanging="1440"/>
        <w:jc w:val="both"/>
      </w:pPr>
      <w:r w:rsidRPr="00DE7C37">
        <w:rPr>
          <w:b/>
          <w:u w:val="single"/>
        </w:rPr>
        <w:t>DEF</w:t>
      </w:r>
      <w:r w:rsidRPr="00DE7C37">
        <w:rPr>
          <w:b/>
        </w:rPr>
        <w:t>:</w:t>
      </w:r>
      <w:r>
        <w:tab/>
      </w:r>
      <w:r w:rsidRPr="004A2D01">
        <w:t>Yes, the Commission should waive the future filing of the studies every five years required by Rule 25-6.04365, F.A.C.  The purpose of the studies is to ensure that DEF accrues adequate funds in the NDT to cover the projected cost of decommissioning CR3.  Once DEF has commenced decommissioning pursuant to the transaction, the studies are no longer necessary because the cost for the accelerate decommissioning of the CR3 Facility is contractually fixed at an amount that is less than the balance of funds currently available for decommissioning in the NDT.</w:t>
      </w:r>
    </w:p>
    <w:p w:rsidR="00DE7C37" w:rsidRDefault="00DE7C37" w:rsidP="00DE7C37">
      <w:pPr>
        <w:ind w:left="1440" w:hanging="1440"/>
        <w:rPr>
          <w:b/>
        </w:rPr>
      </w:pPr>
      <w:r>
        <w:tab/>
      </w:r>
      <w:r w:rsidRPr="00197A8E">
        <w:t xml:space="preserve">(Witness: </w:t>
      </w:r>
      <w:r>
        <w:t>Terry Hobbs</w:t>
      </w:r>
      <w:r w:rsidR="00B41034">
        <w:t>)</w:t>
      </w:r>
    </w:p>
    <w:p w:rsidR="00DE7C37" w:rsidRDefault="00DE7C37" w:rsidP="00DE7C37">
      <w:pPr>
        <w:rPr>
          <w:b/>
        </w:rPr>
      </w:pPr>
    </w:p>
    <w:p w:rsidR="00DE7C37" w:rsidRPr="00CF5950" w:rsidRDefault="00DE7C37" w:rsidP="00DE7C37">
      <w:pPr>
        <w:ind w:left="1440" w:hanging="1440"/>
      </w:pPr>
      <w:r w:rsidRPr="00AB3A89">
        <w:rPr>
          <w:b/>
          <w:u w:val="single"/>
        </w:rPr>
        <w:t>OPC</w:t>
      </w:r>
      <w:r>
        <w:rPr>
          <w:b/>
        </w:rPr>
        <w:t>:</w:t>
      </w:r>
      <w:r>
        <w:rPr>
          <w:b/>
        </w:rPr>
        <w:tab/>
      </w:r>
      <w:r w:rsidR="00CF5950" w:rsidRPr="00CF5950">
        <w:t>Agree with FIPUG.</w:t>
      </w:r>
    </w:p>
    <w:p w:rsidR="00DE7C37" w:rsidRDefault="00DE7C37" w:rsidP="00DE7C37">
      <w:pPr>
        <w:rPr>
          <w:b/>
        </w:rPr>
      </w:pPr>
    </w:p>
    <w:p w:rsidR="00DE7C37" w:rsidRPr="00AB3A89" w:rsidRDefault="00DE7C37" w:rsidP="00A54D90">
      <w:pPr>
        <w:ind w:left="1440" w:hanging="1440"/>
        <w:jc w:val="both"/>
        <w:rPr>
          <w:b/>
        </w:rPr>
      </w:pPr>
      <w:r w:rsidRPr="00AB3A89">
        <w:rPr>
          <w:b/>
          <w:u w:val="single"/>
        </w:rPr>
        <w:t>FIPUG</w:t>
      </w:r>
      <w:r>
        <w:rPr>
          <w:b/>
        </w:rPr>
        <w:t>:</w:t>
      </w:r>
      <w:r>
        <w:rPr>
          <w:b/>
        </w:rPr>
        <w:tab/>
      </w:r>
      <w:r w:rsidR="008A15A4">
        <w:t>No, not unless the Commission imposes suitable reporting requirements as detailed in FIPUG’s position on Issue 7 and an independent monitor to oversee the project on behalf of the Commission and consumer parties is put in place</w:t>
      </w:r>
      <w:r w:rsidR="00A54D90">
        <w:t>.</w:t>
      </w:r>
    </w:p>
    <w:p w:rsidR="00DE7C37" w:rsidRDefault="00DE7C37" w:rsidP="00A54D90">
      <w:pPr>
        <w:jc w:val="both"/>
        <w:rPr>
          <w:b/>
        </w:rPr>
      </w:pPr>
    </w:p>
    <w:p w:rsidR="00DE7C37" w:rsidRDefault="00DE7C37" w:rsidP="00DE7C37">
      <w:pPr>
        <w:rPr>
          <w:b/>
        </w:rPr>
      </w:pPr>
      <w:r>
        <w:rPr>
          <w:b/>
        </w:rPr>
        <w:lastRenderedPageBreak/>
        <w:t>PCS</w:t>
      </w:r>
    </w:p>
    <w:p w:rsidR="002C027E" w:rsidRPr="00FF494F" w:rsidRDefault="00DE7C37" w:rsidP="002C027E">
      <w:r w:rsidRPr="00AB3A89">
        <w:rPr>
          <w:b/>
          <w:u w:val="single"/>
        </w:rPr>
        <w:t>Phosphate</w:t>
      </w:r>
      <w:r>
        <w:rPr>
          <w:b/>
        </w:rPr>
        <w:t>:</w:t>
      </w:r>
      <w:r>
        <w:rPr>
          <w:b/>
        </w:rPr>
        <w:tab/>
      </w:r>
      <w:r w:rsidR="002C027E" w:rsidRPr="00FF494F">
        <w:t xml:space="preserve">Agree with OPC. </w:t>
      </w:r>
    </w:p>
    <w:p w:rsidR="002C027E" w:rsidRPr="00FF494F" w:rsidRDefault="002C027E" w:rsidP="002C027E">
      <w:pPr>
        <w:pStyle w:val="NoSpacing"/>
        <w:ind w:left="1440" w:hanging="1440"/>
        <w:jc w:val="both"/>
        <w:rPr>
          <w:rFonts w:cs="Times New Roman"/>
          <w:bCs/>
          <w:szCs w:val="24"/>
        </w:rPr>
      </w:pPr>
    </w:p>
    <w:p w:rsidR="00DE7C37" w:rsidRPr="00AB3A89" w:rsidRDefault="00DE7C37" w:rsidP="00DE7C37">
      <w:pPr>
        <w:ind w:left="1440" w:hanging="1440"/>
        <w:rPr>
          <w:b/>
          <w:specVanish/>
        </w:rPr>
      </w:pPr>
      <w:r w:rsidRPr="00AB3A89">
        <w:rPr>
          <w:b/>
          <w:u w:val="single"/>
        </w:rPr>
        <w:t>STAFF</w:t>
      </w:r>
      <w:r>
        <w:rPr>
          <w:b/>
        </w:rPr>
        <w:t>:</w:t>
      </w:r>
      <w:r>
        <w:rPr>
          <w:b/>
        </w:rPr>
        <w:tab/>
      </w:r>
      <w:r w:rsidR="00A54D90" w:rsidRPr="00A54D90">
        <w:t>Staff has no position at this time.</w:t>
      </w:r>
    </w:p>
    <w:p w:rsidR="008817DC" w:rsidRDefault="008817DC" w:rsidP="00AB3A89">
      <w:pPr>
        <w:ind w:left="1440" w:hanging="1440"/>
        <w:rPr>
          <w:b/>
        </w:rPr>
      </w:pPr>
    </w:p>
    <w:p w:rsidR="00AB3A89" w:rsidRPr="00A54D90" w:rsidRDefault="00AB3A89" w:rsidP="00A2690C">
      <w:pPr>
        <w:ind w:left="1440" w:hanging="1440"/>
        <w:jc w:val="both"/>
        <w:rPr>
          <w:b/>
        </w:rPr>
      </w:pPr>
      <w:r>
        <w:rPr>
          <w:b/>
        </w:rPr>
        <w:t>ISSUE 7:</w:t>
      </w:r>
      <w:r>
        <w:rPr>
          <w:b/>
        </w:rPr>
        <w:tab/>
      </w:r>
      <w:r w:rsidRPr="00A54D90">
        <w:rPr>
          <w:b/>
        </w:rPr>
        <w:t>What reports should be given to the Commission to ensure that the decommissioning and spent fuel activities outlined in the DSA are completed</w:t>
      </w:r>
      <w:r w:rsidRPr="00A54D90">
        <w:rPr>
          <w:b/>
          <w:u w:val="single"/>
        </w:rPr>
        <w:t>,</w:t>
      </w:r>
      <w:r w:rsidRPr="00A54D90">
        <w:rPr>
          <w:b/>
          <w:strike/>
        </w:rPr>
        <w:t xml:space="preserve"> </w:t>
      </w:r>
      <w:r w:rsidRPr="00A54D90">
        <w:rPr>
          <w:b/>
        </w:rPr>
        <w:t>NDT funds are reasonably spent, and sufficient funds remain to complete the decommissioning and spent fuel activities?</w:t>
      </w:r>
    </w:p>
    <w:p w:rsidR="00AB3A89" w:rsidRPr="00A54D90" w:rsidRDefault="00AB3A89" w:rsidP="00AB3A89">
      <w:pPr>
        <w:ind w:left="1440" w:hanging="1440"/>
        <w:rPr>
          <w:b/>
        </w:rPr>
      </w:pPr>
    </w:p>
    <w:p w:rsidR="00AB3A89" w:rsidRDefault="00AB3A89" w:rsidP="00AB3A89">
      <w:pPr>
        <w:ind w:left="1440" w:hanging="1440"/>
        <w:rPr>
          <w:b/>
        </w:rPr>
      </w:pPr>
      <w:r>
        <w:rPr>
          <w:b/>
        </w:rPr>
        <w:t>POSITION</w:t>
      </w:r>
      <w:r w:rsidR="008817DC">
        <w:rPr>
          <w:b/>
        </w:rPr>
        <w:t>S</w:t>
      </w:r>
      <w:r>
        <w:rPr>
          <w:b/>
        </w:rPr>
        <w:t>:</w:t>
      </w:r>
      <w:r>
        <w:rPr>
          <w:b/>
        </w:rPr>
        <w:tab/>
      </w:r>
    </w:p>
    <w:p w:rsidR="00AB3A89" w:rsidRDefault="00AB3A89" w:rsidP="00AB3A89">
      <w:pPr>
        <w:ind w:left="1440" w:hanging="1440"/>
        <w:rPr>
          <w:b/>
        </w:rPr>
      </w:pPr>
    </w:p>
    <w:p w:rsidR="00500195" w:rsidRDefault="00DE7C37" w:rsidP="00A2690C">
      <w:pPr>
        <w:ind w:left="1440" w:hanging="1440"/>
        <w:jc w:val="both"/>
        <w:rPr>
          <w:b/>
        </w:rPr>
      </w:pPr>
      <w:r w:rsidRPr="00AB3A89">
        <w:rPr>
          <w:b/>
          <w:u w:val="single"/>
        </w:rPr>
        <w:t>DEF</w:t>
      </w:r>
      <w:r>
        <w:rPr>
          <w:b/>
        </w:rPr>
        <w:t>:</w:t>
      </w:r>
      <w:r>
        <w:rPr>
          <w:b/>
        </w:rPr>
        <w:tab/>
      </w:r>
      <w:r w:rsidR="00500195" w:rsidRPr="00500195">
        <w:t>DEF will submit an annual report to the Commission to ensure that the decommissioning activities outlined in the DSA are completed.  The report will include the amount of funds paid to ADP CR3 LLC from the NDF during the previous year, the amount of funds remaining in the NDF, ADP CR3 LLC schedule performance for the previous year and project to date and an assessment of future schedule and pay projections.</w:t>
      </w:r>
    </w:p>
    <w:p w:rsidR="00DE7C37" w:rsidRDefault="00500195" w:rsidP="00A2690C">
      <w:pPr>
        <w:ind w:left="1440" w:hanging="1440"/>
        <w:jc w:val="both"/>
        <w:rPr>
          <w:b/>
        </w:rPr>
      </w:pPr>
      <w:r>
        <w:tab/>
      </w:r>
      <w:r w:rsidRPr="00197A8E">
        <w:t xml:space="preserve">(Witnesses: </w:t>
      </w:r>
      <w:r>
        <w:t>Terry Hobbs</w:t>
      </w:r>
      <w:r w:rsidRPr="00197A8E">
        <w:t>)</w:t>
      </w:r>
    </w:p>
    <w:p w:rsidR="00DE7C37" w:rsidRDefault="00DE7C37" w:rsidP="00DE7C37">
      <w:pPr>
        <w:rPr>
          <w:b/>
        </w:rPr>
      </w:pPr>
    </w:p>
    <w:p w:rsidR="00DE7C37" w:rsidRPr="00982A3A" w:rsidRDefault="00DE7C37" w:rsidP="00A2690C">
      <w:pPr>
        <w:ind w:left="1440" w:hanging="1440"/>
        <w:jc w:val="both"/>
      </w:pPr>
      <w:r w:rsidRPr="00AB3A89">
        <w:rPr>
          <w:b/>
          <w:u w:val="single"/>
        </w:rPr>
        <w:t>OPC</w:t>
      </w:r>
      <w:r>
        <w:rPr>
          <w:b/>
        </w:rPr>
        <w:t>:</w:t>
      </w:r>
      <w:r>
        <w:rPr>
          <w:b/>
        </w:rPr>
        <w:tab/>
      </w:r>
      <w:r w:rsidR="00982A3A">
        <w:rPr>
          <w:rFonts w:cs="Arial"/>
          <w:bCs/>
          <w:kern w:val="32"/>
          <w:szCs w:val="32"/>
        </w:rPr>
        <w:t>The reports referred to in Item 4 in Issue 1 and described in the testimony of Richard A. Polich at pp. 34-35 should – at a minimum – be required if the Petition is approved.</w:t>
      </w:r>
    </w:p>
    <w:p w:rsidR="00DE7C37" w:rsidRDefault="00DE7C37" w:rsidP="00DE7C37">
      <w:pPr>
        <w:rPr>
          <w:b/>
        </w:rPr>
      </w:pPr>
    </w:p>
    <w:p w:rsidR="008A15A4" w:rsidRDefault="00DE7C37" w:rsidP="008A15A4">
      <w:pPr>
        <w:ind w:left="1440" w:hanging="1440"/>
        <w:jc w:val="both"/>
      </w:pPr>
      <w:r w:rsidRPr="00AB3A89">
        <w:rPr>
          <w:b/>
          <w:u w:val="single"/>
        </w:rPr>
        <w:t>FIPUG</w:t>
      </w:r>
      <w:r>
        <w:rPr>
          <w:b/>
        </w:rPr>
        <w:t>:</w:t>
      </w:r>
      <w:r>
        <w:rPr>
          <w:b/>
        </w:rPr>
        <w:tab/>
      </w:r>
      <w:r w:rsidR="008A15A4">
        <w:t>The Commission should require that DEF provide it with timely and regular reports to ensure that decommissioning and spent fuel activities in the DSA are completed, that NDT funds are prudently spent and that sufficient funds remain to complete the decommissioning and spent fuel activities.  The Commission should not grant any rule waiver or other waiver request to delay or excuse the submission of these or similar reports related to the handling of nuclear waste.</w:t>
      </w:r>
    </w:p>
    <w:p w:rsidR="00DE7C37" w:rsidRDefault="00DE7C37" w:rsidP="00DE7C37">
      <w:pPr>
        <w:rPr>
          <w:b/>
        </w:rPr>
      </w:pPr>
    </w:p>
    <w:p w:rsidR="00DE7C37" w:rsidRDefault="00DE7C37" w:rsidP="00DE7C37">
      <w:pPr>
        <w:rPr>
          <w:b/>
        </w:rPr>
      </w:pPr>
      <w:r>
        <w:rPr>
          <w:b/>
        </w:rPr>
        <w:t>PCS</w:t>
      </w:r>
    </w:p>
    <w:p w:rsidR="00DE7C37" w:rsidRPr="002C027E" w:rsidRDefault="00DE7C37" w:rsidP="00DE7C37">
      <w:pPr>
        <w:ind w:left="1440" w:hanging="1440"/>
      </w:pPr>
      <w:r w:rsidRPr="00AB3A89">
        <w:rPr>
          <w:b/>
          <w:u w:val="single"/>
        </w:rPr>
        <w:t>Phosphate</w:t>
      </w:r>
      <w:r>
        <w:rPr>
          <w:b/>
        </w:rPr>
        <w:t>:</w:t>
      </w:r>
      <w:r>
        <w:rPr>
          <w:b/>
        </w:rPr>
        <w:tab/>
      </w:r>
      <w:r w:rsidR="002C027E" w:rsidRPr="002C027E">
        <w:t>Agree with OPC.</w:t>
      </w:r>
    </w:p>
    <w:p w:rsidR="0085397B" w:rsidRDefault="0085397B" w:rsidP="00DE7C37">
      <w:pPr>
        <w:ind w:left="1440" w:hanging="1440"/>
        <w:rPr>
          <w:b/>
          <w:u w:val="single"/>
        </w:rPr>
      </w:pPr>
    </w:p>
    <w:p w:rsidR="00DE7C37" w:rsidRPr="00AB3A89" w:rsidRDefault="00DE7C37" w:rsidP="00DE7C37">
      <w:pPr>
        <w:ind w:left="1440" w:hanging="1440"/>
        <w:rPr>
          <w:b/>
          <w:specVanish/>
        </w:rPr>
      </w:pPr>
      <w:r w:rsidRPr="00AB3A89">
        <w:rPr>
          <w:b/>
          <w:u w:val="single"/>
        </w:rPr>
        <w:t>STAFF</w:t>
      </w:r>
      <w:r>
        <w:rPr>
          <w:b/>
        </w:rPr>
        <w:t>:</w:t>
      </w:r>
      <w:r>
        <w:rPr>
          <w:b/>
        </w:rPr>
        <w:tab/>
      </w:r>
      <w:r w:rsidR="00A54D90" w:rsidRPr="00A54D90">
        <w:t>Staff has no position at this time.</w:t>
      </w:r>
    </w:p>
    <w:p w:rsidR="008817DC" w:rsidRDefault="008817DC" w:rsidP="00AB3A89">
      <w:pPr>
        <w:ind w:left="1440" w:hanging="1440"/>
        <w:rPr>
          <w:b/>
        </w:rPr>
      </w:pPr>
    </w:p>
    <w:p w:rsidR="00AB3A89" w:rsidRPr="00A2690C" w:rsidRDefault="00AB3A89" w:rsidP="00AB3A89">
      <w:pPr>
        <w:ind w:left="1440" w:hanging="1440"/>
        <w:rPr>
          <w:b/>
        </w:rPr>
      </w:pPr>
      <w:r>
        <w:rPr>
          <w:b/>
        </w:rPr>
        <w:t>ISSUE 8:</w:t>
      </w:r>
      <w:r>
        <w:rPr>
          <w:b/>
        </w:rPr>
        <w:tab/>
      </w:r>
      <w:r w:rsidRPr="00A2690C">
        <w:rPr>
          <w:b/>
        </w:rPr>
        <w:t>Should this docket be closed?</w:t>
      </w:r>
    </w:p>
    <w:p w:rsidR="00AB3A89" w:rsidRPr="00A2690C" w:rsidRDefault="00AB3A89" w:rsidP="00AB3A89">
      <w:pPr>
        <w:ind w:left="1440" w:hanging="1440"/>
        <w:rPr>
          <w:b/>
        </w:rPr>
      </w:pPr>
    </w:p>
    <w:p w:rsidR="00AB3A89" w:rsidRDefault="00AB3A89" w:rsidP="00AB3A89">
      <w:pPr>
        <w:ind w:left="1440" w:hanging="1440"/>
        <w:rPr>
          <w:b/>
        </w:rPr>
      </w:pPr>
      <w:r>
        <w:rPr>
          <w:b/>
        </w:rPr>
        <w:t>POSITION</w:t>
      </w:r>
      <w:r w:rsidR="008817DC">
        <w:rPr>
          <w:b/>
        </w:rPr>
        <w:t>S</w:t>
      </w:r>
      <w:r>
        <w:rPr>
          <w:b/>
        </w:rPr>
        <w:t>:</w:t>
      </w:r>
      <w:r>
        <w:rPr>
          <w:b/>
        </w:rPr>
        <w:tab/>
      </w:r>
    </w:p>
    <w:p w:rsidR="00AB3A89" w:rsidRDefault="00AB3A89" w:rsidP="00AB3A89">
      <w:pPr>
        <w:ind w:left="1440" w:hanging="1440"/>
        <w:rPr>
          <w:b/>
        </w:rPr>
      </w:pPr>
    </w:p>
    <w:p w:rsidR="00DE7C37" w:rsidRDefault="00DE7C37" w:rsidP="00DE7C37">
      <w:pPr>
        <w:ind w:left="1440" w:hanging="1440"/>
      </w:pPr>
      <w:r w:rsidRPr="00AB3A89">
        <w:rPr>
          <w:b/>
          <w:u w:val="single"/>
        </w:rPr>
        <w:t>DEF</w:t>
      </w:r>
      <w:r>
        <w:rPr>
          <w:b/>
        </w:rPr>
        <w:t>:</w:t>
      </w:r>
      <w:r>
        <w:rPr>
          <w:b/>
        </w:rPr>
        <w:tab/>
      </w:r>
      <w:r w:rsidR="00500195">
        <w:t>Yes.</w:t>
      </w:r>
    </w:p>
    <w:p w:rsidR="00500195" w:rsidRPr="00500195" w:rsidRDefault="00500195" w:rsidP="00DE7C37">
      <w:pPr>
        <w:ind w:left="1440" w:hanging="1440"/>
      </w:pPr>
      <w:r>
        <w:tab/>
        <w:t>(Witness: Terry Hobbs)</w:t>
      </w:r>
    </w:p>
    <w:p w:rsidR="00DE7C37" w:rsidRDefault="00DE7C37" w:rsidP="00DE7C37">
      <w:pPr>
        <w:rPr>
          <w:b/>
        </w:rPr>
      </w:pPr>
    </w:p>
    <w:p w:rsidR="00DE7C37" w:rsidRDefault="00DE7C37" w:rsidP="00A2690C">
      <w:pPr>
        <w:ind w:left="1440" w:hanging="1440"/>
        <w:jc w:val="both"/>
        <w:rPr>
          <w:b/>
        </w:rPr>
      </w:pPr>
      <w:r w:rsidRPr="00AB3A89">
        <w:rPr>
          <w:b/>
          <w:u w:val="single"/>
        </w:rPr>
        <w:t>OPC</w:t>
      </w:r>
      <w:r>
        <w:rPr>
          <w:b/>
        </w:rPr>
        <w:t>:</w:t>
      </w:r>
      <w:r>
        <w:rPr>
          <w:b/>
        </w:rPr>
        <w:tab/>
      </w:r>
      <w:r w:rsidR="00982A3A">
        <w:rPr>
          <w:rFonts w:cs="Arial"/>
          <w:kern w:val="32"/>
          <w:szCs w:val="32"/>
        </w:rPr>
        <w:t>No</w:t>
      </w:r>
      <w:r w:rsidR="00961470">
        <w:rPr>
          <w:rFonts w:cs="Arial"/>
          <w:kern w:val="32"/>
          <w:szCs w:val="32"/>
        </w:rPr>
        <w:t xml:space="preserve">, </w:t>
      </w:r>
      <w:r w:rsidR="00982A3A">
        <w:rPr>
          <w:rFonts w:cs="Arial"/>
          <w:kern w:val="32"/>
          <w:szCs w:val="32"/>
        </w:rPr>
        <w:t>the issue should remain open until any action approved, if at all, by the Commission is completed satisfactorily.</w:t>
      </w:r>
    </w:p>
    <w:p w:rsidR="00DE7C37" w:rsidRDefault="00DE7C37" w:rsidP="00A2690C">
      <w:pPr>
        <w:jc w:val="both"/>
        <w:rPr>
          <w:b/>
        </w:rPr>
      </w:pPr>
    </w:p>
    <w:p w:rsidR="008A15A4" w:rsidRDefault="00DE7C37" w:rsidP="008A15A4">
      <w:pPr>
        <w:autoSpaceDE w:val="0"/>
        <w:autoSpaceDN w:val="0"/>
        <w:adjustRightInd w:val="0"/>
        <w:ind w:left="1440" w:hanging="1440"/>
        <w:jc w:val="both"/>
      </w:pPr>
      <w:r w:rsidRPr="00AB3A89">
        <w:rPr>
          <w:b/>
          <w:u w:val="single"/>
        </w:rPr>
        <w:t>FIPUG</w:t>
      </w:r>
      <w:r>
        <w:rPr>
          <w:b/>
        </w:rPr>
        <w:t>:</w:t>
      </w:r>
      <w:r>
        <w:rPr>
          <w:b/>
        </w:rPr>
        <w:tab/>
      </w:r>
      <w:r w:rsidR="008A15A4">
        <w:t>No, the Commission should retain jurisdiction over this matter to oversee the implementation of DEF’s proposed handling of the nuclear material in question.</w:t>
      </w:r>
    </w:p>
    <w:p w:rsidR="00DE7C37" w:rsidRDefault="00DE7C37" w:rsidP="00DE7C37">
      <w:pPr>
        <w:rPr>
          <w:b/>
        </w:rPr>
      </w:pPr>
      <w:r>
        <w:rPr>
          <w:b/>
        </w:rPr>
        <w:t>PCS</w:t>
      </w:r>
    </w:p>
    <w:p w:rsidR="00DE7C37" w:rsidRPr="00AB3A89" w:rsidRDefault="00DE7C37" w:rsidP="00DE7C37">
      <w:pPr>
        <w:ind w:left="1440" w:hanging="1440"/>
        <w:rPr>
          <w:b/>
        </w:rPr>
      </w:pPr>
      <w:r w:rsidRPr="00AB3A89">
        <w:rPr>
          <w:b/>
          <w:u w:val="single"/>
        </w:rPr>
        <w:t>Phosphate</w:t>
      </w:r>
      <w:r>
        <w:rPr>
          <w:b/>
        </w:rPr>
        <w:t>:</w:t>
      </w:r>
      <w:r>
        <w:rPr>
          <w:b/>
        </w:rPr>
        <w:tab/>
      </w:r>
      <w:r w:rsidR="002C027E" w:rsidRPr="00FF494F">
        <w:t>No position</w:t>
      </w:r>
      <w:r w:rsidR="002C027E">
        <w:t>.</w:t>
      </w:r>
    </w:p>
    <w:p w:rsidR="00DE7C37" w:rsidRDefault="00DE7C37" w:rsidP="00DE7C37">
      <w:pPr>
        <w:rPr>
          <w:b/>
        </w:rPr>
      </w:pPr>
    </w:p>
    <w:p w:rsidR="008817DC" w:rsidRDefault="00DE7C37" w:rsidP="00AB3A89">
      <w:pPr>
        <w:ind w:left="1440" w:hanging="1440"/>
      </w:pPr>
      <w:r w:rsidRPr="00AB3A89">
        <w:rPr>
          <w:b/>
          <w:u w:val="single"/>
        </w:rPr>
        <w:t>STAFF</w:t>
      </w:r>
      <w:r>
        <w:rPr>
          <w:b/>
        </w:rPr>
        <w:t>:</w:t>
      </w:r>
      <w:r>
        <w:rPr>
          <w:b/>
        </w:rPr>
        <w:tab/>
      </w:r>
      <w:r w:rsidR="00A54D90" w:rsidRPr="00A54D90">
        <w:t>Staff has no position at this time.</w:t>
      </w:r>
    </w:p>
    <w:p w:rsidR="008817DC" w:rsidRDefault="008817DC" w:rsidP="008817DC">
      <w:pPr>
        <w:autoSpaceDE w:val="0"/>
        <w:autoSpaceDN w:val="0"/>
        <w:adjustRightInd w:val="0"/>
        <w:rPr>
          <w:b/>
        </w:rPr>
      </w:pPr>
    </w:p>
    <w:p w:rsidR="00803F09" w:rsidRPr="004553BF" w:rsidRDefault="00803F09" w:rsidP="008817DC">
      <w:pPr>
        <w:autoSpaceDE w:val="0"/>
        <w:autoSpaceDN w:val="0"/>
        <w:adjustRightInd w:val="0"/>
        <w:rPr>
          <w:b/>
        </w:rPr>
      </w:pPr>
      <w:r>
        <w:rPr>
          <w:b/>
        </w:rPr>
        <w:t>I</w:t>
      </w:r>
      <w:r w:rsidRPr="004553BF">
        <w:rPr>
          <w:b/>
        </w:rPr>
        <w:t>X.</w:t>
      </w:r>
      <w:r w:rsidRPr="004553BF">
        <w:rPr>
          <w:b/>
        </w:rPr>
        <w:tab/>
      </w:r>
      <w:r w:rsidRPr="004553BF">
        <w:rPr>
          <w:b/>
          <w:u w:val="single"/>
        </w:rPr>
        <w:t>EXHIBIT LIST</w:t>
      </w:r>
    </w:p>
    <w:p w:rsidR="00AD033A" w:rsidRDefault="00AD033A" w:rsidP="00803F09">
      <w:pPr>
        <w:jc w:val="both"/>
        <w:rPr>
          <w:b/>
        </w:rPr>
      </w:pPr>
    </w:p>
    <w:tbl>
      <w:tblPr>
        <w:tblW w:w="9117" w:type="dxa"/>
        <w:tblInd w:w="108" w:type="dxa"/>
        <w:tblBorders>
          <w:top w:val="dashSmallGap" w:sz="4" w:space="0" w:color="auto"/>
          <w:left w:val="dashSmallGap" w:sz="4" w:space="0" w:color="auto"/>
          <w:bottom w:val="dashSmallGap" w:sz="4" w:space="0" w:color="auto"/>
          <w:right w:val="dashSmallGap" w:sz="4" w:space="0" w:color="auto"/>
          <w:insideH w:val="single" w:sz="6" w:space="0" w:color="auto"/>
          <w:insideV w:val="dashSmallGap" w:sz="4" w:space="0" w:color="auto"/>
        </w:tblBorders>
        <w:tblLook w:val="04A0" w:firstRow="1" w:lastRow="0" w:firstColumn="1" w:lastColumn="0" w:noHBand="0" w:noVBand="1"/>
      </w:tblPr>
      <w:tblGrid>
        <w:gridCol w:w="1955"/>
        <w:gridCol w:w="1818"/>
        <w:gridCol w:w="1667"/>
        <w:gridCol w:w="2256"/>
        <w:gridCol w:w="1421"/>
      </w:tblGrid>
      <w:tr w:rsidR="00D446EA" w:rsidRPr="00197A8E" w:rsidTr="008F6F21">
        <w:tc>
          <w:tcPr>
            <w:tcW w:w="1955" w:type="dxa"/>
            <w:shd w:val="clear" w:color="auto" w:fill="auto"/>
          </w:tcPr>
          <w:p w:rsidR="00D446EA" w:rsidRPr="00197A8E"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rPr>
                <w:b/>
              </w:rPr>
            </w:pPr>
            <w:r w:rsidRPr="00197A8E">
              <w:rPr>
                <w:b/>
              </w:rPr>
              <w:t>Witness</w:t>
            </w:r>
          </w:p>
        </w:tc>
        <w:tc>
          <w:tcPr>
            <w:tcW w:w="1818" w:type="dxa"/>
            <w:shd w:val="clear" w:color="auto" w:fill="auto"/>
          </w:tcPr>
          <w:p w:rsidR="00D446EA" w:rsidRPr="00197A8E"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rPr>
                <w:b/>
              </w:rPr>
            </w:pPr>
            <w:r w:rsidRPr="00197A8E">
              <w:rPr>
                <w:b/>
              </w:rPr>
              <w:t>Proffered By</w:t>
            </w:r>
          </w:p>
        </w:tc>
        <w:tc>
          <w:tcPr>
            <w:tcW w:w="1667" w:type="dxa"/>
            <w:shd w:val="clear" w:color="auto" w:fill="auto"/>
          </w:tcPr>
          <w:p w:rsidR="00D446EA" w:rsidRPr="00197A8E"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rPr>
                <w:b/>
              </w:rPr>
            </w:pPr>
            <w:r w:rsidRPr="00197A8E">
              <w:rPr>
                <w:b/>
              </w:rPr>
              <w:t>Exhibit #</w:t>
            </w:r>
          </w:p>
        </w:tc>
        <w:tc>
          <w:tcPr>
            <w:tcW w:w="2256" w:type="dxa"/>
            <w:shd w:val="clear" w:color="auto" w:fill="auto"/>
          </w:tcPr>
          <w:p w:rsidR="00D446EA" w:rsidRPr="00197A8E"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rPr>
                <w:b/>
              </w:rPr>
            </w:pPr>
            <w:r w:rsidRPr="00197A8E">
              <w:rPr>
                <w:b/>
              </w:rPr>
              <w:t>Description</w:t>
            </w:r>
          </w:p>
        </w:tc>
        <w:tc>
          <w:tcPr>
            <w:tcW w:w="1421" w:type="dxa"/>
          </w:tcPr>
          <w:p w:rsidR="00D446EA" w:rsidRPr="00197A8E"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rPr>
                <w:b/>
              </w:rPr>
            </w:pPr>
            <w:r>
              <w:rPr>
                <w:b/>
              </w:rPr>
              <w:t>Issue #</w:t>
            </w:r>
          </w:p>
        </w:tc>
      </w:tr>
      <w:tr w:rsidR="00D446EA" w:rsidRPr="00197A8E" w:rsidTr="008F6F21">
        <w:tc>
          <w:tcPr>
            <w:tcW w:w="9117" w:type="dxa"/>
            <w:gridSpan w:val="5"/>
            <w:shd w:val="clear" w:color="auto" w:fill="auto"/>
          </w:tcPr>
          <w:p w:rsidR="00D446EA" w:rsidRPr="00197A8E"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jc w:val="center"/>
              <w:rPr>
                <w:b/>
              </w:rPr>
            </w:pPr>
            <w:r w:rsidRPr="00197A8E">
              <w:rPr>
                <w:b/>
              </w:rPr>
              <w:t>Direct</w:t>
            </w:r>
          </w:p>
        </w:tc>
      </w:tr>
      <w:tr w:rsidR="00D446EA" w:rsidRPr="00197A8E" w:rsidTr="008F6F21">
        <w:tc>
          <w:tcPr>
            <w:tcW w:w="1955"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Scott E. State</w:t>
            </w:r>
          </w:p>
        </w:tc>
        <w:tc>
          <w:tcPr>
            <w:tcW w:w="1818"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DEF</w:t>
            </w:r>
          </w:p>
        </w:tc>
        <w:tc>
          <w:tcPr>
            <w:tcW w:w="1667"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Exhibit No.__(SS-1)</w:t>
            </w:r>
          </w:p>
        </w:tc>
        <w:tc>
          <w:tcPr>
            <w:tcW w:w="2256"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NorthStar Projects</w:t>
            </w:r>
          </w:p>
        </w:tc>
        <w:tc>
          <w:tcPr>
            <w:tcW w:w="1421" w:type="dxa"/>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1</w:t>
            </w:r>
          </w:p>
        </w:tc>
      </w:tr>
      <w:tr w:rsidR="00D446EA" w:rsidRPr="00197A8E" w:rsidTr="008F6F21">
        <w:tc>
          <w:tcPr>
            <w:tcW w:w="1955"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Scott E. State</w:t>
            </w:r>
          </w:p>
        </w:tc>
        <w:tc>
          <w:tcPr>
            <w:tcW w:w="1818"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DEF</w:t>
            </w:r>
          </w:p>
        </w:tc>
        <w:tc>
          <w:tcPr>
            <w:tcW w:w="1667"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Exhibit No.__(SS-2)</w:t>
            </w:r>
          </w:p>
        </w:tc>
        <w:tc>
          <w:tcPr>
            <w:tcW w:w="2256"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Orano Projects</w:t>
            </w:r>
          </w:p>
        </w:tc>
        <w:tc>
          <w:tcPr>
            <w:tcW w:w="1421" w:type="dxa"/>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1</w:t>
            </w:r>
          </w:p>
        </w:tc>
      </w:tr>
      <w:tr w:rsidR="00D446EA" w:rsidRPr="00197A8E" w:rsidTr="008F6F21">
        <w:tc>
          <w:tcPr>
            <w:tcW w:w="1955"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Matthew Palasek</w:t>
            </w:r>
          </w:p>
        </w:tc>
        <w:tc>
          <w:tcPr>
            <w:tcW w:w="1818"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DEF</w:t>
            </w:r>
          </w:p>
        </w:tc>
        <w:tc>
          <w:tcPr>
            <w:tcW w:w="1667"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Exhibit No.__(MP-1)</w:t>
            </w:r>
          </w:p>
        </w:tc>
        <w:tc>
          <w:tcPr>
            <w:tcW w:w="2256"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Request for Information</w:t>
            </w:r>
          </w:p>
        </w:tc>
        <w:tc>
          <w:tcPr>
            <w:tcW w:w="1421" w:type="dxa"/>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1</w:t>
            </w:r>
          </w:p>
        </w:tc>
      </w:tr>
      <w:tr w:rsidR="00D446EA" w:rsidRPr="00197A8E" w:rsidTr="008F6F21">
        <w:tc>
          <w:tcPr>
            <w:tcW w:w="1955"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Matthew Palasek</w:t>
            </w:r>
          </w:p>
        </w:tc>
        <w:tc>
          <w:tcPr>
            <w:tcW w:w="1818"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DEF</w:t>
            </w:r>
          </w:p>
        </w:tc>
        <w:tc>
          <w:tcPr>
            <w:tcW w:w="1667"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Exhibit No.__(MP-2)</w:t>
            </w:r>
          </w:p>
        </w:tc>
        <w:tc>
          <w:tcPr>
            <w:tcW w:w="2256"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RFP Bid Instructions and RFP Project Scope</w:t>
            </w:r>
          </w:p>
        </w:tc>
        <w:tc>
          <w:tcPr>
            <w:tcW w:w="1421" w:type="dxa"/>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1</w:t>
            </w:r>
          </w:p>
        </w:tc>
      </w:tr>
      <w:tr w:rsidR="00D446EA" w:rsidRPr="00197A8E" w:rsidTr="008F6F21">
        <w:tc>
          <w:tcPr>
            <w:tcW w:w="1955"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Matthew Palasek</w:t>
            </w:r>
          </w:p>
        </w:tc>
        <w:tc>
          <w:tcPr>
            <w:tcW w:w="1818"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DEF</w:t>
            </w:r>
          </w:p>
        </w:tc>
        <w:tc>
          <w:tcPr>
            <w:tcW w:w="1667"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Exhibit No.__(MP-3)</w:t>
            </w:r>
          </w:p>
        </w:tc>
        <w:tc>
          <w:tcPr>
            <w:tcW w:w="2256" w:type="dxa"/>
            <w:shd w:val="clear" w:color="auto" w:fill="auto"/>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Bid Evaluation Process Framework</w:t>
            </w:r>
          </w:p>
        </w:tc>
        <w:tc>
          <w:tcPr>
            <w:tcW w:w="1421" w:type="dxa"/>
          </w:tcPr>
          <w:p w:rsidR="00D446EA" w:rsidRDefault="00D446EA"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1</w:t>
            </w:r>
          </w:p>
        </w:tc>
      </w:tr>
      <w:tr w:rsidR="008F6F21" w:rsidRPr="00197A8E" w:rsidTr="008F6F21">
        <w:tc>
          <w:tcPr>
            <w:tcW w:w="1955" w:type="dxa"/>
            <w:shd w:val="clear" w:color="auto" w:fill="auto"/>
          </w:tcPr>
          <w:p w:rsidR="008F6F21" w:rsidRPr="0074695F" w:rsidRDefault="008F6F21" w:rsidP="00950164">
            <w:pPr>
              <w:widowControl w:val="0"/>
              <w:tabs>
                <w:tab w:val="left" w:pos="720"/>
              </w:tabs>
              <w:autoSpaceDE w:val="0"/>
              <w:autoSpaceDN w:val="0"/>
              <w:adjustRightInd w:val="0"/>
              <w:spacing w:line="276" w:lineRule="auto"/>
              <w:rPr>
                <w:bCs/>
              </w:rPr>
            </w:pPr>
            <w:r>
              <w:rPr>
                <w:bCs/>
              </w:rPr>
              <w:t>Richard A. Polich</w:t>
            </w:r>
          </w:p>
        </w:tc>
        <w:tc>
          <w:tcPr>
            <w:tcW w:w="1818" w:type="dxa"/>
            <w:shd w:val="clear" w:color="auto" w:fill="auto"/>
          </w:tcPr>
          <w:p w:rsidR="008F6F21" w:rsidRPr="0074695F" w:rsidRDefault="008F6F21" w:rsidP="00950164">
            <w:pPr>
              <w:widowControl w:val="0"/>
              <w:tabs>
                <w:tab w:val="left" w:pos="720"/>
              </w:tabs>
              <w:autoSpaceDE w:val="0"/>
              <w:autoSpaceDN w:val="0"/>
              <w:adjustRightInd w:val="0"/>
              <w:spacing w:line="276" w:lineRule="auto"/>
              <w:rPr>
                <w:bCs/>
              </w:rPr>
            </w:pPr>
            <w:r w:rsidRPr="0074695F">
              <w:rPr>
                <w:bCs/>
              </w:rPr>
              <w:t>OPC</w:t>
            </w:r>
          </w:p>
        </w:tc>
        <w:tc>
          <w:tcPr>
            <w:tcW w:w="1667" w:type="dxa"/>
            <w:shd w:val="clear" w:color="auto" w:fill="auto"/>
          </w:tcPr>
          <w:p w:rsidR="008F6F21" w:rsidRPr="0074695F" w:rsidRDefault="008F6F21" w:rsidP="00950164">
            <w:pPr>
              <w:widowControl w:val="0"/>
              <w:tabs>
                <w:tab w:val="left" w:pos="720"/>
              </w:tabs>
              <w:autoSpaceDE w:val="0"/>
              <w:autoSpaceDN w:val="0"/>
              <w:adjustRightInd w:val="0"/>
              <w:spacing w:line="276" w:lineRule="auto"/>
              <w:rPr>
                <w:bCs/>
              </w:rPr>
            </w:pPr>
            <w:r>
              <w:rPr>
                <w:bCs/>
              </w:rPr>
              <w:t>RAP</w:t>
            </w:r>
            <w:r w:rsidRPr="0074695F">
              <w:rPr>
                <w:bCs/>
              </w:rPr>
              <w:t>-1</w:t>
            </w:r>
          </w:p>
        </w:tc>
        <w:tc>
          <w:tcPr>
            <w:tcW w:w="2256" w:type="dxa"/>
            <w:shd w:val="clear" w:color="auto" w:fill="auto"/>
          </w:tcPr>
          <w:p w:rsidR="008F6F21" w:rsidRPr="0074695F" w:rsidRDefault="008F6F21" w:rsidP="00950164">
            <w:pPr>
              <w:widowControl w:val="0"/>
              <w:tabs>
                <w:tab w:val="left" w:pos="720"/>
              </w:tabs>
              <w:autoSpaceDE w:val="0"/>
              <w:autoSpaceDN w:val="0"/>
              <w:adjustRightInd w:val="0"/>
              <w:spacing w:line="276" w:lineRule="auto"/>
              <w:rPr>
                <w:bCs/>
              </w:rPr>
            </w:pPr>
            <w:r>
              <w:rPr>
                <w:bCs/>
              </w:rPr>
              <w:t>Resume of Richard A. Polich, P.E.</w:t>
            </w:r>
          </w:p>
        </w:tc>
        <w:tc>
          <w:tcPr>
            <w:tcW w:w="1421" w:type="dxa"/>
          </w:tcPr>
          <w:p w:rsidR="008F6F21" w:rsidRDefault="008F6F21" w:rsidP="00950164">
            <w:pPr>
              <w:widowControl w:val="0"/>
              <w:tabs>
                <w:tab w:val="left" w:pos="720"/>
              </w:tabs>
              <w:autoSpaceDE w:val="0"/>
              <w:autoSpaceDN w:val="0"/>
              <w:adjustRightInd w:val="0"/>
              <w:spacing w:line="360" w:lineRule="auto"/>
              <w:jc w:val="both"/>
              <w:rPr>
                <w:bCs/>
              </w:rPr>
            </w:pPr>
            <w:r>
              <w:rPr>
                <w:bCs/>
              </w:rPr>
              <w:t>1,7,8</w:t>
            </w:r>
          </w:p>
        </w:tc>
      </w:tr>
      <w:tr w:rsidR="00AA1535" w:rsidRPr="00197A8E" w:rsidTr="008F6F21">
        <w:tc>
          <w:tcPr>
            <w:tcW w:w="1955" w:type="dxa"/>
            <w:shd w:val="clear" w:color="auto" w:fill="auto"/>
          </w:tcPr>
          <w:p w:rsidR="00AA1535" w:rsidRPr="00197A8E" w:rsidRDefault="00AA1535" w:rsidP="00D3025E">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Terry Hobbs</w:t>
            </w:r>
          </w:p>
        </w:tc>
        <w:tc>
          <w:tcPr>
            <w:tcW w:w="1818" w:type="dxa"/>
            <w:shd w:val="clear" w:color="auto" w:fill="auto"/>
          </w:tcPr>
          <w:p w:rsidR="00AA1535" w:rsidRPr="00197A8E" w:rsidRDefault="00AA1535" w:rsidP="00D3025E">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rsidRPr="00197A8E">
              <w:t>DEF</w:t>
            </w:r>
          </w:p>
        </w:tc>
        <w:tc>
          <w:tcPr>
            <w:tcW w:w="1667" w:type="dxa"/>
            <w:shd w:val="clear" w:color="auto" w:fill="auto"/>
          </w:tcPr>
          <w:p w:rsidR="00AA1535" w:rsidRPr="00197A8E" w:rsidRDefault="00AA1535" w:rsidP="00D3025E">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Exhibit No. __(TH-1)</w:t>
            </w:r>
          </w:p>
        </w:tc>
        <w:tc>
          <w:tcPr>
            <w:tcW w:w="2256" w:type="dxa"/>
            <w:shd w:val="clear" w:color="auto" w:fill="auto"/>
          </w:tcPr>
          <w:p w:rsidR="00AA1535" w:rsidRPr="00197A8E" w:rsidRDefault="00AA1535" w:rsidP="00D3025E">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Decommissioning Services Agreement between DEF, ADPCR3, and ADPSF1</w:t>
            </w:r>
          </w:p>
        </w:tc>
        <w:tc>
          <w:tcPr>
            <w:tcW w:w="1421" w:type="dxa"/>
          </w:tcPr>
          <w:p w:rsidR="00AA1535" w:rsidRDefault="00AA1535" w:rsidP="00D3025E">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1-8</w:t>
            </w:r>
          </w:p>
        </w:tc>
      </w:tr>
      <w:tr w:rsidR="00AA1535" w:rsidRPr="00197A8E" w:rsidTr="008F6F21">
        <w:tc>
          <w:tcPr>
            <w:tcW w:w="1955" w:type="dxa"/>
            <w:shd w:val="clear" w:color="auto" w:fill="auto"/>
          </w:tcPr>
          <w:p w:rsidR="00AA1535" w:rsidRDefault="00AA1535" w:rsidP="00D3025E">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Terry Hobbs</w:t>
            </w:r>
          </w:p>
        </w:tc>
        <w:tc>
          <w:tcPr>
            <w:tcW w:w="1818" w:type="dxa"/>
            <w:shd w:val="clear" w:color="auto" w:fill="auto"/>
          </w:tcPr>
          <w:p w:rsidR="00AA1535" w:rsidRPr="00197A8E" w:rsidRDefault="00AA1535" w:rsidP="00D3025E">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DEF</w:t>
            </w:r>
          </w:p>
        </w:tc>
        <w:tc>
          <w:tcPr>
            <w:tcW w:w="1667" w:type="dxa"/>
            <w:shd w:val="clear" w:color="auto" w:fill="auto"/>
          </w:tcPr>
          <w:p w:rsidR="00AA1535" w:rsidRPr="00197A8E" w:rsidRDefault="00AA1535" w:rsidP="00D3025E">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Exhibit No. __(TH-2)</w:t>
            </w:r>
          </w:p>
        </w:tc>
        <w:tc>
          <w:tcPr>
            <w:tcW w:w="2256" w:type="dxa"/>
            <w:shd w:val="clear" w:color="auto" w:fill="auto"/>
          </w:tcPr>
          <w:p w:rsidR="00AA1535" w:rsidRPr="00197A8E" w:rsidRDefault="00AA1535" w:rsidP="00D3025E">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DEF’s Updated Nuclear Decommissioning Study</w:t>
            </w:r>
          </w:p>
        </w:tc>
        <w:tc>
          <w:tcPr>
            <w:tcW w:w="1421" w:type="dxa"/>
          </w:tcPr>
          <w:p w:rsidR="00AA1535" w:rsidRDefault="00AA1535" w:rsidP="00D3025E">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1-8</w:t>
            </w:r>
          </w:p>
        </w:tc>
      </w:tr>
      <w:tr w:rsidR="00AA1535" w:rsidRPr="00197A8E" w:rsidTr="008F6F21">
        <w:tc>
          <w:tcPr>
            <w:tcW w:w="1955"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E0021C">
              <w:rPr>
                <w:bCs/>
              </w:rPr>
              <w:t>Richard A. Polich</w:t>
            </w:r>
          </w:p>
        </w:tc>
        <w:tc>
          <w:tcPr>
            <w:tcW w:w="1818"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74695F">
              <w:rPr>
                <w:bCs/>
              </w:rPr>
              <w:t>OPC</w:t>
            </w:r>
          </w:p>
        </w:tc>
        <w:tc>
          <w:tcPr>
            <w:tcW w:w="1667"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Pr>
                <w:bCs/>
              </w:rPr>
              <w:t>RAP</w:t>
            </w:r>
            <w:r w:rsidRPr="0074695F">
              <w:rPr>
                <w:bCs/>
              </w:rPr>
              <w:t>-2</w:t>
            </w:r>
          </w:p>
        </w:tc>
        <w:tc>
          <w:tcPr>
            <w:tcW w:w="2256"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Pr>
                <w:bCs/>
              </w:rPr>
              <w:t>List of Richard A. Polich Testimony</w:t>
            </w:r>
          </w:p>
        </w:tc>
        <w:tc>
          <w:tcPr>
            <w:tcW w:w="1421" w:type="dxa"/>
          </w:tcPr>
          <w:p w:rsidR="00AA1535" w:rsidRDefault="00AA1535" w:rsidP="00950164">
            <w:pPr>
              <w:widowControl w:val="0"/>
              <w:tabs>
                <w:tab w:val="left" w:pos="720"/>
              </w:tabs>
              <w:autoSpaceDE w:val="0"/>
              <w:autoSpaceDN w:val="0"/>
              <w:adjustRightInd w:val="0"/>
              <w:spacing w:line="360" w:lineRule="auto"/>
              <w:jc w:val="both"/>
              <w:rPr>
                <w:bCs/>
              </w:rPr>
            </w:pPr>
            <w:r>
              <w:rPr>
                <w:bCs/>
              </w:rPr>
              <w:t>1,7,8</w:t>
            </w:r>
          </w:p>
        </w:tc>
      </w:tr>
      <w:tr w:rsidR="00AA1535" w:rsidRPr="00197A8E" w:rsidTr="008F6F21">
        <w:tc>
          <w:tcPr>
            <w:tcW w:w="1955"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E0021C">
              <w:rPr>
                <w:bCs/>
              </w:rPr>
              <w:t>Richard A. Polich</w:t>
            </w:r>
          </w:p>
        </w:tc>
        <w:tc>
          <w:tcPr>
            <w:tcW w:w="1818"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74695F">
              <w:rPr>
                <w:bCs/>
              </w:rPr>
              <w:t>OPC</w:t>
            </w:r>
          </w:p>
        </w:tc>
        <w:tc>
          <w:tcPr>
            <w:tcW w:w="1667"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Pr>
                <w:bCs/>
              </w:rPr>
              <w:t>RAP</w:t>
            </w:r>
            <w:r w:rsidRPr="0074695F">
              <w:rPr>
                <w:bCs/>
              </w:rPr>
              <w:t>-3</w:t>
            </w:r>
          </w:p>
        </w:tc>
        <w:tc>
          <w:tcPr>
            <w:tcW w:w="2256"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Pr>
                <w:bCs/>
              </w:rPr>
              <w:t>Advanced Decommissioning Partners Organization</w:t>
            </w:r>
          </w:p>
        </w:tc>
        <w:tc>
          <w:tcPr>
            <w:tcW w:w="1421" w:type="dxa"/>
          </w:tcPr>
          <w:p w:rsidR="00AA1535" w:rsidRDefault="00AA1535" w:rsidP="00950164">
            <w:pPr>
              <w:widowControl w:val="0"/>
              <w:tabs>
                <w:tab w:val="left" w:pos="720"/>
              </w:tabs>
              <w:autoSpaceDE w:val="0"/>
              <w:autoSpaceDN w:val="0"/>
              <w:adjustRightInd w:val="0"/>
              <w:spacing w:line="360" w:lineRule="auto"/>
              <w:jc w:val="both"/>
              <w:rPr>
                <w:bCs/>
              </w:rPr>
            </w:pPr>
            <w:r>
              <w:rPr>
                <w:bCs/>
              </w:rPr>
              <w:t>1,7,8</w:t>
            </w:r>
          </w:p>
        </w:tc>
      </w:tr>
      <w:tr w:rsidR="00AA1535" w:rsidRPr="00197A8E" w:rsidTr="008F6F21">
        <w:tc>
          <w:tcPr>
            <w:tcW w:w="1955"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E0021C">
              <w:rPr>
                <w:bCs/>
              </w:rPr>
              <w:t>Richard A. Polich</w:t>
            </w:r>
          </w:p>
        </w:tc>
        <w:tc>
          <w:tcPr>
            <w:tcW w:w="1818"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74695F">
              <w:rPr>
                <w:bCs/>
              </w:rPr>
              <w:t>OPC</w:t>
            </w:r>
          </w:p>
        </w:tc>
        <w:tc>
          <w:tcPr>
            <w:tcW w:w="1667"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Pr>
                <w:bCs/>
              </w:rPr>
              <w:t>RAP</w:t>
            </w:r>
            <w:r w:rsidRPr="0074695F">
              <w:rPr>
                <w:bCs/>
              </w:rPr>
              <w:t>-4</w:t>
            </w:r>
          </w:p>
        </w:tc>
        <w:tc>
          <w:tcPr>
            <w:tcW w:w="2256"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Pr>
                <w:bCs/>
              </w:rPr>
              <w:t>DEF Response to Citizens Interrogatory 5.a.</w:t>
            </w:r>
          </w:p>
        </w:tc>
        <w:tc>
          <w:tcPr>
            <w:tcW w:w="1421" w:type="dxa"/>
          </w:tcPr>
          <w:p w:rsidR="00AA1535" w:rsidRDefault="00AA1535" w:rsidP="00950164">
            <w:pPr>
              <w:widowControl w:val="0"/>
              <w:tabs>
                <w:tab w:val="left" w:pos="720"/>
              </w:tabs>
              <w:autoSpaceDE w:val="0"/>
              <w:autoSpaceDN w:val="0"/>
              <w:adjustRightInd w:val="0"/>
              <w:spacing w:line="360" w:lineRule="auto"/>
              <w:jc w:val="both"/>
              <w:rPr>
                <w:bCs/>
              </w:rPr>
            </w:pPr>
            <w:r>
              <w:rPr>
                <w:bCs/>
              </w:rPr>
              <w:t>1,7,8</w:t>
            </w:r>
          </w:p>
        </w:tc>
      </w:tr>
      <w:tr w:rsidR="00AA1535" w:rsidRPr="00197A8E" w:rsidTr="008F6F21">
        <w:tc>
          <w:tcPr>
            <w:tcW w:w="1955"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E0021C">
              <w:rPr>
                <w:bCs/>
              </w:rPr>
              <w:lastRenderedPageBreak/>
              <w:t>Richard A. Polich</w:t>
            </w:r>
          </w:p>
        </w:tc>
        <w:tc>
          <w:tcPr>
            <w:tcW w:w="1818"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74695F">
              <w:rPr>
                <w:bCs/>
              </w:rPr>
              <w:t>OPC</w:t>
            </w:r>
          </w:p>
        </w:tc>
        <w:tc>
          <w:tcPr>
            <w:tcW w:w="1667"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Pr>
                <w:bCs/>
              </w:rPr>
              <w:t>RAP</w:t>
            </w:r>
            <w:r w:rsidRPr="0074695F">
              <w:rPr>
                <w:bCs/>
              </w:rPr>
              <w:t>-5</w:t>
            </w:r>
          </w:p>
        </w:tc>
        <w:tc>
          <w:tcPr>
            <w:tcW w:w="2256"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744D8A">
              <w:rPr>
                <w:bCs/>
              </w:rPr>
              <w:t>DEF Response to Citizens Interrogatory</w:t>
            </w:r>
            <w:r>
              <w:rPr>
                <w:bCs/>
              </w:rPr>
              <w:t xml:space="preserve"> 5.e</w:t>
            </w:r>
            <w:r w:rsidRPr="00744D8A">
              <w:rPr>
                <w:bCs/>
              </w:rPr>
              <w:t>.</w:t>
            </w:r>
          </w:p>
        </w:tc>
        <w:tc>
          <w:tcPr>
            <w:tcW w:w="1421" w:type="dxa"/>
          </w:tcPr>
          <w:p w:rsidR="00AA1535" w:rsidRDefault="00AA1535" w:rsidP="00950164">
            <w:pPr>
              <w:widowControl w:val="0"/>
              <w:tabs>
                <w:tab w:val="left" w:pos="720"/>
              </w:tabs>
              <w:autoSpaceDE w:val="0"/>
              <w:autoSpaceDN w:val="0"/>
              <w:adjustRightInd w:val="0"/>
              <w:spacing w:line="360" w:lineRule="auto"/>
              <w:jc w:val="both"/>
              <w:rPr>
                <w:bCs/>
              </w:rPr>
            </w:pPr>
            <w:r>
              <w:rPr>
                <w:bCs/>
              </w:rPr>
              <w:t>1,7,8</w:t>
            </w:r>
          </w:p>
        </w:tc>
      </w:tr>
      <w:tr w:rsidR="00AA1535" w:rsidRPr="00197A8E" w:rsidTr="008F6F21">
        <w:tc>
          <w:tcPr>
            <w:tcW w:w="1955"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E0021C">
              <w:rPr>
                <w:bCs/>
              </w:rPr>
              <w:t>Richard A. Polich</w:t>
            </w:r>
          </w:p>
        </w:tc>
        <w:tc>
          <w:tcPr>
            <w:tcW w:w="1818"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74695F">
              <w:rPr>
                <w:bCs/>
              </w:rPr>
              <w:t>OPC</w:t>
            </w:r>
          </w:p>
        </w:tc>
        <w:tc>
          <w:tcPr>
            <w:tcW w:w="1667"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Pr>
                <w:bCs/>
              </w:rPr>
              <w:t>RAP</w:t>
            </w:r>
            <w:r w:rsidRPr="0074695F">
              <w:rPr>
                <w:bCs/>
              </w:rPr>
              <w:t>-6</w:t>
            </w:r>
          </w:p>
        </w:tc>
        <w:tc>
          <w:tcPr>
            <w:tcW w:w="2256"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Pr>
                <w:bCs/>
              </w:rPr>
              <w:t>NorthStar Group Holdings, LLC and NorthStar Group Services, Inc. Financial Statements</w:t>
            </w:r>
          </w:p>
        </w:tc>
        <w:tc>
          <w:tcPr>
            <w:tcW w:w="1421" w:type="dxa"/>
          </w:tcPr>
          <w:p w:rsidR="00AA1535" w:rsidRDefault="00AA1535" w:rsidP="00950164">
            <w:pPr>
              <w:widowControl w:val="0"/>
              <w:tabs>
                <w:tab w:val="left" w:pos="720"/>
              </w:tabs>
              <w:autoSpaceDE w:val="0"/>
              <w:autoSpaceDN w:val="0"/>
              <w:adjustRightInd w:val="0"/>
              <w:spacing w:line="360" w:lineRule="auto"/>
              <w:jc w:val="both"/>
              <w:rPr>
                <w:bCs/>
              </w:rPr>
            </w:pPr>
            <w:r>
              <w:rPr>
                <w:bCs/>
              </w:rPr>
              <w:t>1,7,8</w:t>
            </w:r>
          </w:p>
        </w:tc>
      </w:tr>
      <w:tr w:rsidR="00AA1535" w:rsidRPr="00197A8E" w:rsidTr="008F6F21">
        <w:tc>
          <w:tcPr>
            <w:tcW w:w="1955"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E0021C">
              <w:rPr>
                <w:bCs/>
              </w:rPr>
              <w:t>Richard A. Polich</w:t>
            </w:r>
          </w:p>
        </w:tc>
        <w:tc>
          <w:tcPr>
            <w:tcW w:w="1818"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74695F">
              <w:rPr>
                <w:bCs/>
              </w:rPr>
              <w:t>OPC</w:t>
            </w:r>
          </w:p>
        </w:tc>
        <w:tc>
          <w:tcPr>
            <w:tcW w:w="1667"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Pr>
                <w:bCs/>
              </w:rPr>
              <w:t>RAP</w:t>
            </w:r>
            <w:r w:rsidRPr="0074695F">
              <w:rPr>
                <w:bCs/>
              </w:rPr>
              <w:t>-7</w:t>
            </w:r>
          </w:p>
        </w:tc>
        <w:tc>
          <w:tcPr>
            <w:tcW w:w="2256"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744D8A">
              <w:rPr>
                <w:bCs/>
              </w:rPr>
              <w:t>DEF Response to Citizens Interrogatory</w:t>
            </w:r>
            <w:r>
              <w:rPr>
                <w:bCs/>
              </w:rPr>
              <w:t xml:space="preserve"> 16</w:t>
            </w:r>
          </w:p>
        </w:tc>
        <w:tc>
          <w:tcPr>
            <w:tcW w:w="1421" w:type="dxa"/>
          </w:tcPr>
          <w:p w:rsidR="00AA1535" w:rsidRDefault="00AA1535" w:rsidP="00950164">
            <w:pPr>
              <w:widowControl w:val="0"/>
              <w:tabs>
                <w:tab w:val="left" w:pos="720"/>
              </w:tabs>
              <w:autoSpaceDE w:val="0"/>
              <w:autoSpaceDN w:val="0"/>
              <w:adjustRightInd w:val="0"/>
              <w:spacing w:line="360" w:lineRule="auto"/>
              <w:jc w:val="both"/>
              <w:rPr>
                <w:bCs/>
              </w:rPr>
            </w:pPr>
            <w:r>
              <w:rPr>
                <w:bCs/>
              </w:rPr>
              <w:t>1,7,8</w:t>
            </w:r>
          </w:p>
        </w:tc>
      </w:tr>
      <w:tr w:rsidR="00AA1535" w:rsidRPr="00197A8E" w:rsidTr="008F6F21">
        <w:tc>
          <w:tcPr>
            <w:tcW w:w="1955"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E0021C">
              <w:rPr>
                <w:bCs/>
              </w:rPr>
              <w:t>Richard A. Polich</w:t>
            </w:r>
          </w:p>
        </w:tc>
        <w:tc>
          <w:tcPr>
            <w:tcW w:w="1818"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sidRPr="0074695F">
              <w:rPr>
                <w:bCs/>
              </w:rPr>
              <w:t>OPC</w:t>
            </w:r>
          </w:p>
        </w:tc>
        <w:tc>
          <w:tcPr>
            <w:tcW w:w="1667"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Pr>
                <w:bCs/>
              </w:rPr>
              <w:t>RAP</w:t>
            </w:r>
            <w:r w:rsidRPr="0074695F">
              <w:rPr>
                <w:bCs/>
              </w:rPr>
              <w:t>-8</w:t>
            </w:r>
          </w:p>
        </w:tc>
        <w:tc>
          <w:tcPr>
            <w:tcW w:w="2256"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Pr>
                <w:bCs/>
              </w:rPr>
              <w:t>NorthStar Financial Hardship Accessible Assets</w:t>
            </w:r>
          </w:p>
        </w:tc>
        <w:tc>
          <w:tcPr>
            <w:tcW w:w="1421" w:type="dxa"/>
          </w:tcPr>
          <w:p w:rsidR="00AA1535" w:rsidRDefault="00AA1535" w:rsidP="00950164">
            <w:pPr>
              <w:widowControl w:val="0"/>
              <w:tabs>
                <w:tab w:val="left" w:pos="720"/>
              </w:tabs>
              <w:autoSpaceDE w:val="0"/>
              <w:autoSpaceDN w:val="0"/>
              <w:adjustRightInd w:val="0"/>
              <w:spacing w:line="360" w:lineRule="auto"/>
              <w:jc w:val="both"/>
              <w:rPr>
                <w:bCs/>
              </w:rPr>
            </w:pPr>
            <w:r>
              <w:rPr>
                <w:bCs/>
              </w:rPr>
              <w:t>1,7,8</w:t>
            </w:r>
          </w:p>
        </w:tc>
      </w:tr>
      <w:tr w:rsidR="00AA1535" w:rsidRPr="00197A8E" w:rsidTr="008F6F21">
        <w:tc>
          <w:tcPr>
            <w:tcW w:w="1955" w:type="dxa"/>
            <w:shd w:val="clear" w:color="auto" w:fill="auto"/>
          </w:tcPr>
          <w:p w:rsidR="00AA1535" w:rsidRPr="00E0021C" w:rsidRDefault="00AA1535" w:rsidP="00950164">
            <w:pPr>
              <w:widowControl w:val="0"/>
              <w:tabs>
                <w:tab w:val="left" w:pos="720"/>
              </w:tabs>
              <w:autoSpaceDE w:val="0"/>
              <w:autoSpaceDN w:val="0"/>
              <w:adjustRightInd w:val="0"/>
              <w:spacing w:line="276" w:lineRule="auto"/>
              <w:rPr>
                <w:bCs/>
              </w:rPr>
            </w:pPr>
            <w:r>
              <w:rPr>
                <w:bCs/>
              </w:rPr>
              <w:t>Richard A. Polich</w:t>
            </w:r>
          </w:p>
        </w:tc>
        <w:tc>
          <w:tcPr>
            <w:tcW w:w="1818" w:type="dxa"/>
            <w:shd w:val="clear" w:color="auto" w:fill="auto"/>
          </w:tcPr>
          <w:p w:rsidR="00AA1535" w:rsidRPr="0074695F" w:rsidRDefault="00AA1535" w:rsidP="00950164">
            <w:pPr>
              <w:widowControl w:val="0"/>
              <w:tabs>
                <w:tab w:val="left" w:pos="720"/>
              </w:tabs>
              <w:autoSpaceDE w:val="0"/>
              <w:autoSpaceDN w:val="0"/>
              <w:adjustRightInd w:val="0"/>
              <w:spacing w:line="276" w:lineRule="auto"/>
              <w:rPr>
                <w:bCs/>
              </w:rPr>
            </w:pPr>
            <w:r>
              <w:rPr>
                <w:bCs/>
              </w:rPr>
              <w:t>OPC</w:t>
            </w:r>
          </w:p>
        </w:tc>
        <w:tc>
          <w:tcPr>
            <w:tcW w:w="1667" w:type="dxa"/>
            <w:shd w:val="clear" w:color="auto" w:fill="auto"/>
          </w:tcPr>
          <w:p w:rsidR="00AA1535" w:rsidRDefault="00AA1535" w:rsidP="008F6F21">
            <w:pPr>
              <w:widowControl w:val="0"/>
              <w:tabs>
                <w:tab w:val="left" w:pos="720"/>
              </w:tabs>
              <w:autoSpaceDE w:val="0"/>
              <w:autoSpaceDN w:val="0"/>
              <w:adjustRightInd w:val="0"/>
              <w:spacing w:line="276" w:lineRule="auto"/>
              <w:rPr>
                <w:bCs/>
              </w:rPr>
            </w:pPr>
            <w:r>
              <w:rPr>
                <w:bCs/>
              </w:rPr>
              <w:t>RAP-9</w:t>
            </w:r>
          </w:p>
        </w:tc>
        <w:tc>
          <w:tcPr>
            <w:tcW w:w="2256" w:type="dxa"/>
            <w:shd w:val="clear" w:color="auto" w:fill="auto"/>
          </w:tcPr>
          <w:p w:rsidR="00AA1535" w:rsidRDefault="00AA1535" w:rsidP="00950164">
            <w:pPr>
              <w:widowControl w:val="0"/>
              <w:tabs>
                <w:tab w:val="left" w:pos="720"/>
              </w:tabs>
              <w:autoSpaceDE w:val="0"/>
              <w:autoSpaceDN w:val="0"/>
              <w:adjustRightInd w:val="0"/>
              <w:spacing w:line="276" w:lineRule="auto"/>
              <w:rPr>
                <w:bCs/>
              </w:rPr>
            </w:pPr>
            <w:r>
              <w:rPr>
                <w:bCs/>
              </w:rPr>
              <w:t>Comparison of Contract Provision Trust Funding</w:t>
            </w:r>
          </w:p>
        </w:tc>
        <w:tc>
          <w:tcPr>
            <w:tcW w:w="1421" w:type="dxa"/>
          </w:tcPr>
          <w:p w:rsidR="00AA1535" w:rsidRDefault="00AA1535" w:rsidP="008F6F21">
            <w:pPr>
              <w:widowControl w:val="0"/>
              <w:tabs>
                <w:tab w:val="left" w:pos="720"/>
              </w:tabs>
              <w:autoSpaceDE w:val="0"/>
              <w:autoSpaceDN w:val="0"/>
              <w:adjustRightInd w:val="0"/>
              <w:spacing w:line="360" w:lineRule="auto"/>
              <w:jc w:val="both"/>
              <w:rPr>
                <w:bCs/>
              </w:rPr>
            </w:pPr>
            <w:r>
              <w:rPr>
                <w:bCs/>
              </w:rPr>
              <w:t>1,7,8</w:t>
            </w:r>
          </w:p>
        </w:tc>
      </w:tr>
      <w:tr w:rsidR="00AA1535" w:rsidRPr="00197A8E" w:rsidTr="008F6F21">
        <w:tc>
          <w:tcPr>
            <w:tcW w:w="1955" w:type="dxa"/>
            <w:shd w:val="clear" w:color="auto" w:fill="auto"/>
          </w:tcPr>
          <w:p w:rsidR="00AA1535" w:rsidRDefault="00AA1535"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p>
        </w:tc>
        <w:tc>
          <w:tcPr>
            <w:tcW w:w="1818" w:type="dxa"/>
            <w:shd w:val="clear" w:color="auto" w:fill="auto"/>
          </w:tcPr>
          <w:p w:rsidR="00AA1535" w:rsidRDefault="00AA1535"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p>
        </w:tc>
        <w:tc>
          <w:tcPr>
            <w:tcW w:w="1667" w:type="dxa"/>
            <w:shd w:val="clear" w:color="auto" w:fill="auto"/>
          </w:tcPr>
          <w:p w:rsidR="00AA1535" w:rsidRPr="008F6F21" w:rsidRDefault="00AA1535" w:rsidP="008F6F21">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rPr>
                <w:b/>
              </w:rPr>
            </w:pPr>
            <w:r>
              <w:rPr>
                <w:b/>
              </w:rPr>
              <w:t>Rebuttal</w:t>
            </w:r>
          </w:p>
        </w:tc>
        <w:tc>
          <w:tcPr>
            <w:tcW w:w="2256" w:type="dxa"/>
            <w:shd w:val="clear" w:color="auto" w:fill="auto"/>
          </w:tcPr>
          <w:p w:rsidR="00AA1535" w:rsidRDefault="00AA1535"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p>
        </w:tc>
        <w:tc>
          <w:tcPr>
            <w:tcW w:w="1421" w:type="dxa"/>
          </w:tcPr>
          <w:p w:rsidR="00AA1535" w:rsidRDefault="00AA1535"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p>
        </w:tc>
      </w:tr>
      <w:tr w:rsidR="00AA1535" w:rsidRPr="00197A8E" w:rsidTr="008F6F21">
        <w:tc>
          <w:tcPr>
            <w:tcW w:w="1955" w:type="dxa"/>
            <w:shd w:val="clear" w:color="auto" w:fill="auto"/>
          </w:tcPr>
          <w:p w:rsidR="00AA1535" w:rsidRDefault="00AA1535"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Jeff Adix</w:t>
            </w:r>
          </w:p>
        </w:tc>
        <w:tc>
          <w:tcPr>
            <w:tcW w:w="1818" w:type="dxa"/>
            <w:shd w:val="clear" w:color="auto" w:fill="auto"/>
          </w:tcPr>
          <w:p w:rsidR="00AA1535" w:rsidRPr="00197A8E" w:rsidRDefault="00AA1535"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DEF</w:t>
            </w:r>
          </w:p>
        </w:tc>
        <w:tc>
          <w:tcPr>
            <w:tcW w:w="1667" w:type="dxa"/>
            <w:shd w:val="clear" w:color="auto" w:fill="auto"/>
          </w:tcPr>
          <w:p w:rsidR="00AA1535" w:rsidRPr="00197A8E" w:rsidRDefault="00AA1535"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Exhibit No.__(JA-1)</w:t>
            </w:r>
          </w:p>
        </w:tc>
        <w:tc>
          <w:tcPr>
            <w:tcW w:w="2256" w:type="dxa"/>
            <w:shd w:val="clear" w:color="auto" w:fill="auto"/>
          </w:tcPr>
          <w:p w:rsidR="00AA1535" w:rsidRPr="00197A8E" w:rsidRDefault="00AA1535"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Jeff Adix’ Resume</w:t>
            </w:r>
          </w:p>
        </w:tc>
        <w:tc>
          <w:tcPr>
            <w:tcW w:w="1421" w:type="dxa"/>
          </w:tcPr>
          <w:p w:rsidR="00AA1535" w:rsidRDefault="00AA1535"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1</w:t>
            </w:r>
          </w:p>
        </w:tc>
      </w:tr>
      <w:tr w:rsidR="00AA1535" w:rsidRPr="00197A8E" w:rsidTr="008F6F21">
        <w:tc>
          <w:tcPr>
            <w:tcW w:w="1955" w:type="dxa"/>
            <w:shd w:val="clear" w:color="auto" w:fill="auto"/>
          </w:tcPr>
          <w:p w:rsidR="00AA1535" w:rsidRDefault="00AA1535"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Jeff Adix</w:t>
            </w:r>
          </w:p>
        </w:tc>
        <w:tc>
          <w:tcPr>
            <w:tcW w:w="1818" w:type="dxa"/>
            <w:shd w:val="clear" w:color="auto" w:fill="auto"/>
          </w:tcPr>
          <w:p w:rsidR="00AA1535" w:rsidRPr="00197A8E" w:rsidRDefault="00AA1535"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DEF</w:t>
            </w:r>
          </w:p>
        </w:tc>
        <w:tc>
          <w:tcPr>
            <w:tcW w:w="1667" w:type="dxa"/>
            <w:shd w:val="clear" w:color="auto" w:fill="auto"/>
          </w:tcPr>
          <w:p w:rsidR="00AA1535" w:rsidRPr="00197A8E" w:rsidRDefault="00AA1535"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Exhibit No.__(JA-2)</w:t>
            </w:r>
          </w:p>
        </w:tc>
        <w:tc>
          <w:tcPr>
            <w:tcW w:w="2256" w:type="dxa"/>
            <w:shd w:val="clear" w:color="auto" w:fill="auto"/>
          </w:tcPr>
          <w:p w:rsidR="00AA1535" w:rsidRPr="00197A8E" w:rsidRDefault="00AA1535"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Excerpts from Mr. Polich’s Deposition</w:t>
            </w:r>
          </w:p>
        </w:tc>
        <w:tc>
          <w:tcPr>
            <w:tcW w:w="1421" w:type="dxa"/>
          </w:tcPr>
          <w:p w:rsidR="00AA1535" w:rsidRDefault="00AA1535" w:rsidP="00950164">
            <w:pPr>
              <w:tabs>
                <w:tab w:val="left" w:pos="-2520"/>
                <w:tab w:val="left" w:pos="540"/>
                <w:tab w:val="left" w:pos="1296"/>
                <w:tab w:val="left" w:pos="1728"/>
                <w:tab w:val="left" w:pos="2304"/>
                <w:tab w:val="left" w:pos="2592"/>
                <w:tab w:val="left" w:pos="3456"/>
                <w:tab w:val="left" w:pos="4032"/>
                <w:tab w:val="left" w:pos="4176"/>
                <w:tab w:val="left" w:pos="5184"/>
                <w:tab w:val="left" w:pos="6336"/>
                <w:tab w:val="left" w:pos="6912"/>
                <w:tab w:val="left" w:pos="7488"/>
                <w:tab w:val="left" w:pos="8064"/>
              </w:tabs>
            </w:pPr>
            <w:r>
              <w:t>1</w:t>
            </w:r>
          </w:p>
        </w:tc>
      </w:tr>
    </w:tbl>
    <w:p w:rsidR="00D446EA" w:rsidRDefault="00803F09" w:rsidP="00803F09">
      <w:pPr>
        <w:jc w:val="both"/>
        <w:rPr>
          <w:b/>
        </w:rPr>
      </w:pPr>
      <w:r>
        <w:rPr>
          <w:b/>
        </w:rPr>
        <w:tab/>
      </w:r>
    </w:p>
    <w:p w:rsidR="00803F09" w:rsidRDefault="00D446EA" w:rsidP="00803F09">
      <w:pPr>
        <w:jc w:val="both"/>
      </w:pPr>
      <w:r>
        <w:rPr>
          <w:b/>
        </w:rPr>
        <w:tab/>
      </w:r>
      <w:r w:rsidR="00803F09">
        <w:t>Parties and Commission staff reserve the right to identify additional exhibits for the purpose of cross-examination.</w:t>
      </w:r>
    </w:p>
    <w:p w:rsidR="00803F09" w:rsidRPr="00520836" w:rsidRDefault="00803F09" w:rsidP="00803F09">
      <w:pPr>
        <w:jc w:val="both"/>
      </w:pPr>
      <w:r>
        <w:t xml:space="preserve"> </w:t>
      </w:r>
    </w:p>
    <w:p w:rsidR="00803F09" w:rsidRPr="00A32DC5" w:rsidRDefault="00803F09" w:rsidP="00803F09">
      <w:pPr>
        <w:jc w:val="both"/>
        <w:rPr>
          <w:b/>
        </w:rPr>
      </w:pPr>
      <w:r w:rsidRPr="00A32DC5">
        <w:rPr>
          <w:b/>
        </w:rPr>
        <w:t>X.</w:t>
      </w:r>
      <w:r w:rsidRPr="00A32DC5">
        <w:rPr>
          <w:b/>
        </w:rPr>
        <w:tab/>
      </w:r>
      <w:r w:rsidRPr="00A32DC5">
        <w:rPr>
          <w:b/>
          <w:u w:val="single"/>
        </w:rPr>
        <w:t>PROPOSED STIPULATIONS</w:t>
      </w:r>
    </w:p>
    <w:p w:rsidR="00803F09" w:rsidRDefault="00803F09" w:rsidP="00803F09">
      <w:pPr>
        <w:jc w:val="both"/>
      </w:pPr>
    </w:p>
    <w:p w:rsidR="00D446EA" w:rsidRPr="001B4AA6" w:rsidRDefault="00803F09" w:rsidP="006A15AF">
      <w:pPr>
        <w:jc w:val="both"/>
        <w:rPr>
          <w:b/>
        </w:rPr>
      </w:pPr>
      <w:r>
        <w:tab/>
      </w:r>
      <w:r w:rsidR="008F6F21">
        <w:t>The</w:t>
      </w:r>
      <w:r w:rsidR="006A15AF">
        <w:t xml:space="preserve"> parties have stipulated that witness </w:t>
      </w:r>
      <w:r w:rsidR="002623BF">
        <w:t xml:space="preserve">Matthew </w:t>
      </w:r>
      <w:r w:rsidR="006A15AF">
        <w:t xml:space="preserve">Palasek can be excused and his testimony and exhibits inserted into the record as though read. </w:t>
      </w:r>
    </w:p>
    <w:p w:rsidR="00803F09" w:rsidRDefault="00803F09" w:rsidP="00803F09">
      <w:pPr>
        <w:autoSpaceDE w:val="0"/>
        <w:autoSpaceDN w:val="0"/>
        <w:adjustRightInd w:val="0"/>
        <w:ind w:left="2160" w:hanging="2160"/>
        <w:jc w:val="both"/>
      </w:pPr>
    </w:p>
    <w:p w:rsidR="00803F09" w:rsidRDefault="00803F09" w:rsidP="00803F09">
      <w:pPr>
        <w:jc w:val="both"/>
        <w:rPr>
          <w:b/>
          <w:u w:val="single"/>
        </w:rPr>
      </w:pPr>
      <w:r w:rsidRPr="00A32DC5">
        <w:rPr>
          <w:b/>
        </w:rPr>
        <w:t>XI.</w:t>
      </w:r>
      <w:r w:rsidRPr="00A32DC5">
        <w:rPr>
          <w:b/>
        </w:rPr>
        <w:tab/>
      </w:r>
      <w:r w:rsidRPr="00A32DC5">
        <w:rPr>
          <w:b/>
          <w:u w:val="single"/>
        </w:rPr>
        <w:t>PENDING MOTIONS</w:t>
      </w:r>
    </w:p>
    <w:p w:rsidR="00803F09" w:rsidRDefault="00803F09" w:rsidP="00803F09">
      <w:pPr>
        <w:jc w:val="both"/>
        <w:rPr>
          <w:b/>
          <w:u w:val="single"/>
        </w:rPr>
      </w:pPr>
    </w:p>
    <w:p w:rsidR="008F6F21" w:rsidRDefault="00803F09" w:rsidP="00803F09">
      <w:pPr>
        <w:jc w:val="both"/>
      </w:pPr>
      <w:r>
        <w:tab/>
      </w:r>
      <w:r w:rsidR="008F6F21">
        <w:t>There are no pending motions at this time.</w:t>
      </w:r>
    </w:p>
    <w:p w:rsidR="00803F09" w:rsidRPr="00701945" w:rsidRDefault="008F6F21" w:rsidP="00803F09">
      <w:pPr>
        <w:jc w:val="both"/>
      </w:pPr>
      <w:r>
        <w:t xml:space="preserve"> </w:t>
      </w:r>
    </w:p>
    <w:p w:rsidR="00803F09" w:rsidRPr="00A32DC5" w:rsidRDefault="00803F09" w:rsidP="00803F09">
      <w:pPr>
        <w:jc w:val="both"/>
        <w:rPr>
          <w:b/>
        </w:rPr>
      </w:pPr>
      <w:r w:rsidRPr="00A32DC5">
        <w:rPr>
          <w:b/>
        </w:rPr>
        <w:t>XII.</w:t>
      </w:r>
      <w:r w:rsidRPr="00A32DC5">
        <w:rPr>
          <w:b/>
        </w:rPr>
        <w:tab/>
      </w:r>
      <w:r w:rsidRPr="00A32DC5">
        <w:rPr>
          <w:b/>
          <w:u w:val="single"/>
        </w:rPr>
        <w:t>PENDING CONFIDENTIALITY MATTERS</w:t>
      </w:r>
    </w:p>
    <w:p w:rsidR="00803F09" w:rsidRDefault="00803F09" w:rsidP="00803F09">
      <w:pPr>
        <w:jc w:val="both"/>
      </w:pPr>
    </w:p>
    <w:p w:rsidR="00803F09" w:rsidRDefault="00803F09" w:rsidP="00803F09">
      <w:pPr>
        <w:jc w:val="both"/>
      </w:pPr>
      <w:r>
        <w:tab/>
      </w:r>
      <w:r w:rsidR="004A1BCB">
        <w:t>DEF has t</w:t>
      </w:r>
      <w:r w:rsidR="00CC584C">
        <w:t xml:space="preserve">wo </w:t>
      </w:r>
      <w:r w:rsidR="004A1BCB">
        <w:t xml:space="preserve">documents for which they have filed </w:t>
      </w:r>
      <w:r w:rsidR="00CC584C">
        <w:t xml:space="preserve">pending </w:t>
      </w:r>
      <w:r w:rsidR="00D703E5">
        <w:t>R</w:t>
      </w:r>
      <w:r w:rsidR="004A1BCB">
        <w:t>equest</w:t>
      </w:r>
      <w:r w:rsidR="00CC584C">
        <w:t>s</w:t>
      </w:r>
      <w:r w:rsidR="004A1BCB">
        <w:t xml:space="preserve"> </w:t>
      </w:r>
      <w:r w:rsidR="00D703E5">
        <w:t xml:space="preserve">for </w:t>
      </w:r>
      <w:r w:rsidR="004A1BCB">
        <w:t xml:space="preserve">Confidential Classification: </w:t>
      </w:r>
    </w:p>
    <w:p w:rsidR="0046486E" w:rsidRDefault="0046486E" w:rsidP="00803F09">
      <w:pPr>
        <w:jc w:val="both"/>
      </w:pPr>
    </w:p>
    <w:p w:rsidR="00D703E5" w:rsidRDefault="00A2690C" w:rsidP="00A2690C">
      <w:pPr>
        <w:pStyle w:val="ListParagraph"/>
        <w:numPr>
          <w:ilvl w:val="0"/>
          <w:numId w:val="25"/>
        </w:numPr>
        <w:jc w:val="both"/>
      </w:pPr>
      <w:r>
        <w:t xml:space="preserve">Responses to OPC’s First Request for Production of Documents Nos. 1-13 and OPC’s First Set of Interrogatories Nos. 1-25 filed on </w:t>
      </w:r>
      <w:r w:rsidR="00D703E5">
        <w:t>May 21, 2020 (DN 02693-</w:t>
      </w:r>
      <w:r w:rsidR="00D703E5">
        <w:lastRenderedPageBreak/>
        <w:t>2020).  This response was supplemented on May 22, 2020 (DN 02723-2020)</w:t>
      </w:r>
      <w:r w:rsidR="00CC584C">
        <w:t xml:space="preserve"> </w:t>
      </w:r>
      <w:r w:rsidR="00D703E5">
        <w:t>and for a second time on May 29, 2020 (DN 02830-2020).</w:t>
      </w:r>
    </w:p>
    <w:p w:rsidR="00CC584C" w:rsidRDefault="00D703E5" w:rsidP="00A2690C">
      <w:pPr>
        <w:pStyle w:val="ListParagraph"/>
        <w:numPr>
          <w:ilvl w:val="0"/>
          <w:numId w:val="25"/>
        </w:numPr>
        <w:jc w:val="both"/>
      </w:pPr>
      <w:r>
        <w:t>Direct testimony and exhibits of Richard A. Polich, P.E.</w:t>
      </w:r>
      <w:r w:rsidR="002B407F">
        <w:t>, which were filed originally on May 28, 2020 (DN 02817-2020)</w:t>
      </w:r>
      <w:r w:rsidR="00950164">
        <w:t>,</w:t>
      </w:r>
      <w:r w:rsidR="002B407F">
        <w:t xml:space="preserve"> again with Bates Numbered pages on June 11, 2020 (DN 03046-2020)</w:t>
      </w:r>
      <w:r w:rsidR="00950164">
        <w:t xml:space="preserve"> and a third time on June 18, 2020 (DN 03171-2020).</w:t>
      </w:r>
    </w:p>
    <w:p w:rsidR="00B63F62" w:rsidRDefault="00B63F62" w:rsidP="002B407F">
      <w:pPr>
        <w:jc w:val="both"/>
      </w:pPr>
    </w:p>
    <w:p w:rsidR="002B407F" w:rsidRDefault="002B407F" w:rsidP="002B407F">
      <w:pPr>
        <w:jc w:val="both"/>
      </w:pPr>
      <w:r>
        <w:tab/>
        <w:t xml:space="preserve">DEF has </w:t>
      </w:r>
      <w:r w:rsidR="00B63F62">
        <w:t>f</w:t>
      </w:r>
      <w:r w:rsidR="004A2654">
        <w:t>ive</w:t>
      </w:r>
      <w:r w:rsidR="00B63F62">
        <w:t xml:space="preserve"> </w:t>
      </w:r>
      <w:r>
        <w:t>documents for which they have filed Notices of Intent to file for confidential classification:</w:t>
      </w:r>
    </w:p>
    <w:p w:rsidR="0046486E" w:rsidRDefault="0046486E" w:rsidP="002B407F">
      <w:pPr>
        <w:jc w:val="both"/>
      </w:pPr>
    </w:p>
    <w:p w:rsidR="002B407F" w:rsidRDefault="002B407F" w:rsidP="002B407F">
      <w:pPr>
        <w:pStyle w:val="ListParagraph"/>
        <w:numPr>
          <w:ilvl w:val="0"/>
          <w:numId w:val="26"/>
        </w:numPr>
        <w:jc w:val="both"/>
      </w:pPr>
      <w:r>
        <w:t>Polich June 12, 2020 Deposition Exhibit 2</w:t>
      </w:r>
      <w:r w:rsidR="00AC26CB">
        <w:t>, Bates No. Polich DEP DT 000001-000004</w:t>
      </w:r>
      <w:r w:rsidR="00950164">
        <w:t xml:space="preserve"> filed on June 11, 2020 (DN 03049-2020).</w:t>
      </w:r>
    </w:p>
    <w:p w:rsidR="00A2690C" w:rsidRDefault="00950164" w:rsidP="002B407F">
      <w:pPr>
        <w:pStyle w:val="ListParagraph"/>
        <w:numPr>
          <w:ilvl w:val="0"/>
          <w:numId w:val="26"/>
        </w:numPr>
        <w:jc w:val="both"/>
      </w:pPr>
      <w:r>
        <w:t>June 12, 2020 Deposition transcript of Richard A. Polich filed on June 18, 2020 (DN 03150-2020).</w:t>
      </w:r>
    </w:p>
    <w:p w:rsidR="00950164" w:rsidRDefault="00CC584C" w:rsidP="002B407F">
      <w:pPr>
        <w:pStyle w:val="ListParagraph"/>
        <w:numPr>
          <w:ilvl w:val="0"/>
          <w:numId w:val="26"/>
        </w:numPr>
        <w:jc w:val="both"/>
      </w:pPr>
      <w:r>
        <w:t>Portions of the rebuttal testimony of Terry Hobbs and Jeff Adix and Exhibit JA-2</w:t>
      </w:r>
      <w:r w:rsidR="00AC26CB">
        <w:t xml:space="preserve"> filed on June 18, 2020 (DN 03179-2020)</w:t>
      </w:r>
      <w:r w:rsidR="00667201">
        <w:t>.</w:t>
      </w:r>
    </w:p>
    <w:p w:rsidR="00A2690C" w:rsidRDefault="00AC26CB" w:rsidP="00803F09">
      <w:pPr>
        <w:pStyle w:val="ListParagraph"/>
        <w:numPr>
          <w:ilvl w:val="0"/>
          <w:numId w:val="26"/>
        </w:numPr>
        <w:jc w:val="both"/>
      </w:pPr>
      <w:r>
        <w:t xml:space="preserve">Documents produced by DEF in response to OPC’s notice of deposition duces tecum for the deposition of </w:t>
      </w:r>
      <w:r w:rsidR="00B63F62">
        <w:t>Jeff Adix</w:t>
      </w:r>
      <w:r>
        <w:t xml:space="preserve"> on</w:t>
      </w:r>
      <w:r w:rsidR="00B63F62">
        <w:t xml:space="preserve"> June 24, 2020</w:t>
      </w:r>
      <w:r>
        <w:t xml:space="preserve">, Bates No. 00001-00342, </w:t>
      </w:r>
      <w:r w:rsidR="00B63F62">
        <w:t xml:space="preserve"> </w:t>
      </w:r>
      <w:r>
        <w:t xml:space="preserve">filed on June 24, 2020 </w:t>
      </w:r>
      <w:r w:rsidR="00B63F62">
        <w:t>(DN 0</w:t>
      </w:r>
      <w:r w:rsidR="004A2654">
        <w:t>3316</w:t>
      </w:r>
      <w:r w:rsidR="00B63F62">
        <w:t>-2020).</w:t>
      </w:r>
    </w:p>
    <w:p w:rsidR="004A2654" w:rsidRDefault="004A2654" w:rsidP="00803F09">
      <w:pPr>
        <w:pStyle w:val="ListParagraph"/>
        <w:numPr>
          <w:ilvl w:val="0"/>
          <w:numId w:val="26"/>
        </w:numPr>
        <w:jc w:val="both"/>
      </w:pPr>
      <w:r>
        <w:t>Documents produced by DEF in response to OPC’s notice of deposition duces tecum for the deposition of Terry Hobbs on June 25, 2020, Bates No. 00001-00050, filed on June 24, 2020 (DN 03314-2020).</w:t>
      </w:r>
    </w:p>
    <w:p w:rsidR="004A2654" w:rsidRDefault="004A2654" w:rsidP="00803F09">
      <w:pPr>
        <w:jc w:val="both"/>
        <w:rPr>
          <w:b/>
        </w:rPr>
      </w:pPr>
    </w:p>
    <w:p w:rsidR="00803F09" w:rsidRPr="00A32DC5" w:rsidRDefault="001407AC" w:rsidP="00803F09">
      <w:pPr>
        <w:jc w:val="both"/>
        <w:rPr>
          <w:b/>
        </w:rPr>
      </w:pPr>
      <w:r w:rsidRPr="00830B56">
        <w:rPr>
          <w:b/>
        </w:rPr>
        <w:t>XIII</w:t>
      </w:r>
      <w:r w:rsidR="00803F09" w:rsidRPr="00830B56">
        <w:rPr>
          <w:b/>
        </w:rPr>
        <w:t>.</w:t>
      </w:r>
      <w:r w:rsidR="00803F09" w:rsidRPr="00A32DC5">
        <w:rPr>
          <w:b/>
        </w:rPr>
        <w:tab/>
      </w:r>
      <w:r w:rsidR="00803F09" w:rsidRPr="00A32DC5">
        <w:rPr>
          <w:b/>
          <w:u w:val="single"/>
        </w:rPr>
        <w:t>POST-HEARING PROCEDURES</w:t>
      </w:r>
    </w:p>
    <w:p w:rsidR="00803F09" w:rsidRPr="00701945" w:rsidRDefault="00803F09" w:rsidP="00803F09">
      <w:pPr>
        <w:jc w:val="both"/>
      </w:pPr>
    </w:p>
    <w:p w:rsidR="00803F09" w:rsidRPr="00701945" w:rsidRDefault="00803F09" w:rsidP="00803F09">
      <w:pPr>
        <w:jc w:val="both"/>
      </w:pPr>
      <w:r w:rsidRPr="00701945">
        <w:tab/>
      </w:r>
      <w:r>
        <w:t>If no bench decision is made, e</w:t>
      </w:r>
      <w:r w:rsidRPr="00701945">
        <w:t>ach party shall file a post-hearing statement of issues and positions.  A summary of</w:t>
      </w:r>
      <w:r>
        <w:t xml:space="preserve"> each position of no more than </w:t>
      </w:r>
      <w:r w:rsidR="001240B1">
        <w:t xml:space="preserve">75 </w:t>
      </w:r>
      <w:r w:rsidRPr="00701945">
        <w:t>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1240B1">
        <w:t xml:space="preserve">75 </w:t>
      </w:r>
      <w:r w:rsidRPr="00701945">
        <w:t xml:space="preserve">words, it must be reduced to no more than </w:t>
      </w:r>
      <w:r w:rsidR="001240B1">
        <w:t>75</w:t>
      </w:r>
      <w:r w:rsidRPr="00701945">
        <w:t xml:space="preserve"> words.  If a party fails to file a post-hearing statement, that party shall have waived all issues and may be dismissed from the proceeding.</w:t>
      </w:r>
    </w:p>
    <w:p w:rsidR="00803F09" w:rsidRPr="00701945" w:rsidRDefault="00803F09" w:rsidP="00803F09">
      <w:pPr>
        <w:jc w:val="both"/>
      </w:pPr>
    </w:p>
    <w:p w:rsidR="00803F09" w:rsidRPr="00701945" w:rsidRDefault="00803F09" w:rsidP="00803F09">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and shall be filed at the same time.</w:t>
      </w:r>
    </w:p>
    <w:p w:rsidR="00803F09" w:rsidRDefault="00803F09" w:rsidP="00803F09">
      <w:pPr>
        <w:jc w:val="both"/>
      </w:pPr>
    </w:p>
    <w:p w:rsidR="00803F09" w:rsidRPr="00A32DC5" w:rsidRDefault="001407AC" w:rsidP="00803F09">
      <w:pPr>
        <w:jc w:val="both"/>
        <w:rPr>
          <w:b/>
        </w:rPr>
      </w:pPr>
      <w:r w:rsidRPr="00B63F62">
        <w:rPr>
          <w:b/>
        </w:rPr>
        <w:t>XIV.</w:t>
      </w:r>
      <w:r w:rsidR="00803F09" w:rsidRPr="00A32DC5">
        <w:rPr>
          <w:b/>
        </w:rPr>
        <w:tab/>
      </w:r>
      <w:r w:rsidR="00803F09" w:rsidRPr="00A32DC5">
        <w:rPr>
          <w:b/>
          <w:u w:val="single"/>
        </w:rPr>
        <w:t>RULINGS</w:t>
      </w:r>
    </w:p>
    <w:p w:rsidR="00803F09" w:rsidRPr="00701945" w:rsidRDefault="00803F09" w:rsidP="00803F09">
      <w:pPr>
        <w:jc w:val="both"/>
      </w:pPr>
    </w:p>
    <w:p w:rsidR="00803F09" w:rsidRDefault="00803F09" w:rsidP="00803F09">
      <w:pPr>
        <w:ind w:firstLine="720"/>
        <w:jc w:val="both"/>
      </w:pPr>
      <w:r w:rsidRPr="00701945">
        <w:t xml:space="preserve">Opening statements, if any, shall not exceed </w:t>
      </w:r>
      <w:r w:rsidR="00AC5192">
        <w:t xml:space="preserve">10 </w:t>
      </w:r>
      <w:r w:rsidRPr="00701945">
        <w:t xml:space="preserve">minutes </w:t>
      </w:r>
      <w:r w:rsidR="00AC5192">
        <w:t xml:space="preserve">for DEF and 15 minutes total for OPC, PCS Phosphate, and FIPUG to </w:t>
      </w:r>
      <w:r w:rsidR="008A046A">
        <w:t xml:space="preserve">be </w:t>
      </w:r>
      <w:r w:rsidR="00AC5192">
        <w:t xml:space="preserve">divided among them as they shall determine, </w:t>
      </w:r>
      <w:r>
        <w:t xml:space="preserve">unless a party chooses to waive its opening statement.  Each witness shall be given five minutes for a summary of their testimony. </w:t>
      </w:r>
    </w:p>
    <w:p w:rsidR="00803F09" w:rsidRDefault="00803F09" w:rsidP="00803F09">
      <w:pPr>
        <w:ind w:firstLine="720"/>
        <w:jc w:val="both"/>
      </w:pPr>
    </w:p>
    <w:p w:rsidR="000C6919" w:rsidRDefault="00255926" w:rsidP="00803F09">
      <w:pPr>
        <w:ind w:firstLine="720"/>
        <w:jc w:val="both"/>
      </w:pPr>
      <w:r>
        <w:lastRenderedPageBreak/>
        <w:t>The parties shall provide cross-examination exhibits, including impeachment exhibits, to the Commission Clerk by noon on July 2, 2020, following the procedures set forth in Attachment A.</w:t>
      </w:r>
      <w:r w:rsidR="000C6919">
        <w:t xml:space="preserve">  The parties have agreed, and it is so ordered, that exhibits that are pre-filed and designated as cross-examination or impeachment exhibits will not be viewed by opposing witnesses or opposing counsel or otherwise have their contents or identity communicated to such witness</w:t>
      </w:r>
      <w:r w:rsidR="00B2505E">
        <w:t>es</w:t>
      </w:r>
      <w:r w:rsidR="000C6919">
        <w:t xml:space="preserve"> or counsel.  </w:t>
      </w:r>
    </w:p>
    <w:p w:rsidR="00961470" w:rsidRPr="00961470" w:rsidRDefault="00961470" w:rsidP="00961470">
      <w:r>
        <w:tab/>
      </w:r>
    </w:p>
    <w:p w:rsidR="00961470" w:rsidRPr="00A2690C" w:rsidRDefault="00961470" w:rsidP="00961470">
      <w:pPr>
        <w:jc w:val="both"/>
      </w:pPr>
      <w:r>
        <w:tab/>
        <w:t xml:space="preserve">FIPUG </w:t>
      </w:r>
      <w:r w:rsidR="006A15AF">
        <w:t xml:space="preserve">wishes </w:t>
      </w:r>
      <w:r>
        <w:t>to have the following issue included in this docket:</w:t>
      </w:r>
      <w:r w:rsidR="00DE0846">
        <w:t xml:space="preserve"> “</w:t>
      </w:r>
      <w:r w:rsidRPr="00A2690C">
        <w:t>What monetary benefits, if any, should be provided to customers presently related to this matter?</w:t>
      </w:r>
      <w:r>
        <w:t>” Essentially, FIPUG argue</w:t>
      </w:r>
      <w:r w:rsidR="006A15AF">
        <w:t>s</w:t>
      </w:r>
      <w:r>
        <w:t xml:space="preserve"> that a portion of the projected savings resulting from DEF’s </w:t>
      </w:r>
      <w:r w:rsidR="006A15AF">
        <w:t xml:space="preserve">accelerated </w:t>
      </w:r>
      <w:r>
        <w:t>decommissioning proposal should be refunded now instead of waiting until the</w:t>
      </w:r>
      <w:r w:rsidR="006A15AF">
        <w:t xml:space="preserve"> decommissioning is fully complete at some unspecified date in the future.  </w:t>
      </w:r>
      <w:r>
        <w:t>OPC and PCS Phosphate support including the issue.  DEF argue</w:t>
      </w:r>
      <w:r w:rsidR="006A15AF">
        <w:t>s</w:t>
      </w:r>
      <w:r>
        <w:t xml:space="preserve"> that </w:t>
      </w:r>
      <w:r w:rsidR="006A15AF">
        <w:t>no separate issue is needed and this point can be argued in I</w:t>
      </w:r>
      <w:r>
        <w:t>ssue 1</w:t>
      </w:r>
      <w:r w:rsidR="006A15AF">
        <w:t xml:space="preserve">.  I agree that this point can be raised in FIPUG’s discussion of Issue 1 and find that having a separate issue is unnecessary. </w:t>
      </w:r>
    </w:p>
    <w:p w:rsidR="00961470" w:rsidRDefault="00961470" w:rsidP="00803F09">
      <w:pPr>
        <w:ind w:firstLine="720"/>
        <w:jc w:val="both"/>
      </w:pPr>
    </w:p>
    <w:p w:rsidR="00623507" w:rsidRDefault="00C93A8C" w:rsidP="00C93A8C">
      <w:pPr>
        <w:jc w:val="both"/>
      </w:pPr>
      <w:r>
        <w:tab/>
        <w:t xml:space="preserve">In its Prehearing Statement </w:t>
      </w:r>
      <w:r w:rsidR="006A15AF" w:rsidRPr="001B583E">
        <w:t>FIPUG ha</w:t>
      </w:r>
      <w:r w:rsidR="006A15AF">
        <w:t>s</w:t>
      </w:r>
      <w:r w:rsidR="006A15AF" w:rsidRPr="001B583E">
        <w:t xml:space="preserve"> stated that </w:t>
      </w:r>
      <w:r w:rsidR="006A15AF">
        <w:t xml:space="preserve">it </w:t>
      </w:r>
      <w:r w:rsidR="006A15AF" w:rsidRPr="001B583E">
        <w:t>object</w:t>
      </w:r>
      <w:r w:rsidR="006A15AF">
        <w:t>s</w:t>
      </w:r>
      <w:r w:rsidR="006A15AF" w:rsidRPr="001B583E">
        <w:t xml:space="preserve"> to the qualifications of </w:t>
      </w:r>
      <w:r w:rsidR="006A15AF">
        <w:t xml:space="preserve">“a </w:t>
      </w:r>
      <w:r w:rsidR="006A15AF" w:rsidRPr="001B583E">
        <w:t xml:space="preserve">witness </w:t>
      </w:r>
      <w:r w:rsidR="006A15AF">
        <w:t xml:space="preserve">being considered an expert </w:t>
      </w:r>
      <w:r w:rsidR="006A15AF" w:rsidRPr="001B583E">
        <w:t xml:space="preserve">witness </w:t>
      </w:r>
      <w:r w:rsidR="006A15AF">
        <w:t>unless the witness affirmatively states the subject matter area(s) in which he or she claims expertise.</w:t>
      </w:r>
      <w:r w:rsidR="006A15AF" w:rsidRPr="001B583E">
        <w:t xml:space="preserve">”  </w:t>
      </w:r>
      <w:r>
        <w:t>Additionally, DEF has stated that it objects to Richard A. Polich’s qualifications to “testify as an expert regarding the financial condition of NorthStar, ADP, ADP CR3 or ADP SF1.”  FIPUG argues that it is necessary to know the subject matter of the witness’ expertise so that the testimony given by that witness can be appropriately evaluated and weighed.  Likewise, DEF argues that it should be allowed to ask about Mr. Polich’s qualifications so that this Commission can</w:t>
      </w:r>
      <w:r w:rsidR="00623507">
        <w:t xml:space="preserve"> give appropriate </w:t>
      </w:r>
      <w:r>
        <w:t>weigh</w:t>
      </w:r>
      <w:r w:rsidR="00623507">
        <w:t xml:space="preserve">t to </w:t>
      </w:r>
      <w:r>
        <w:t>his financial analysis of NorthStar</w:t>
      </w:r>
      <w:r w:rsidR="00DE0846">
        <w:t>,</w:t>
      </w:r>
      <w:r>
        <w:t xml:space="preserve"> et al. </w:t>
      </w:r>
    </w:p>
    <w:p w:rsidR="00623507" w:rsidRDefault="00623507" w:rsidP="00C93A8C">
      <w:pPr>
        <w:jc w:val="both"/>
      </w:pPr>
    </w:p>
    <w:p w:rsidR="00ED328F" w:rsidRDefault="00623507" w:rsidP="00C93A8C">
      <w:pPr>
        <w:jc w:val="both"/>
      </w:pPr>
      <w:r>
        <w:tab/>
      </w:r>
      <w:r w:rsidR="00C93A8C">
        <w:t>Based on statements made at the Prehearing, it appears that neither party wishes to strike the testimony of any witness based on th</w:t>
      </w:r>
      <w:r>
        <w:t>is line of questioning, nor could they.  If a party wishes to strike the testimony</w:t>
      </w:r>
      <w:r w:rsidR="00C93A8C">
        <w:t xml:space="preserve"> </w:t>
      </w:r>
      <w:r>
        <w:t xml:space="preserve">of a witness, it must comply with the requirements of Section V.A(8) of the Order </w:t>
      </w:r>
      <w:r w:rsidR="0085397B">
        <w:t>Establishing P</w:t>
      </w:r>
      <w:r>
        <w:t>rocedure issued in this case</w:t>
      </w:r>
      <w:r w:rsidR="00DE0846">
        <w:t>,</w:t>
      </w:r>
      <w:r>
        <w:rPr>
          <w:rStyle w:val="FootnoteReference"/>
        </w:rPr>
        <w:footnoteReference w:id="1"/>
      </w:r>
      <w:r>
        <w:t xml:space="preserve"> </w:t>
      </w:r>
      <w:r w:rsidR="00DE0846">
        <w:t xml:space="preserve">which requires </w:t>
      </w:r>
      <w:r>
        <w:t xml:space="preserve">that </w:t>
      </w:r>
      <w:r w:rsidR="00DE0846">
        <w:t>a party must identify</w:t>
      </w:r>
      <w:r>
        <w:t xml:space="preserve"> in its Prehearing Statement each witness to whom it objects and state with specificity the portions of their testimony by page and line number to which the party objects.  Neither FIPUG nor DEF have done so.  Thus, both FIPUG and DEF </w:t>
      </w:r>
      <w:r w:rsidR="00ED328F">
        <w:t xml:space="preserve">are hereby </w:t>
      </w:r>
      <w:r>
        <w:t xml:space="preserve">denied the ability to object to the expertise of any witness </w:t>
      </w:r>
      <w:r w:rsidR="00ED328F">
        <w:t xml:space="preserve">and move to strike that witness’ testimony </w:t>
      </w:r>
      <w:r>
        <w:t>at the July 7</w:t>
      </w:r>
      <w:r w:rsidRPr="00623507">
        <w:rPr>
          <w:vertAlign w:val="superscript"/>
        </w:rPr>
        <w:t>th</w:t>
      </w:r>
      <w:r>
        <w:t xml:space="preserve"> </w:t>
      </w:r>
      <w:r w:rsidR="00ED328F">
        <w:t xml:space="preserve">final hearing.  This ruling is consistent with the Florida Supreme Court’s ruling in </w:t>
      </w:r>
      <w:r w:rsidR="00ED328F">
        <w:rPr>
          <w:i/>
        </w:rPr>
        <w:t xml:space="preserve">Florida Industrial Users Group v. Brown, </w:t>
      </w:r>
      <w:r w:rsidR="00ED328F">
        <w:t>273 So.</w:t>
      </w:r>
      <w:r w:rsidR="00DE0846">
        <w:t xml:space="preserve"> </w:t>
      </w:r>
      <w:r w:rsidR="00ED328F">
        <w:t>3d 926 (Fla. 2019).</w:t>
      </w:r>
    </w:p>
    <w:p w:rsidR="00ED328F" w:rsidRDefault="00ED328F" w:rsidP="00C93A8C">
      <w:pPr>
        <w:jc w:val="both"/>
      </w:pPr>
    </w:p>
    <w:p w:rsidR="006A15AF" w:rsidRDefault="00ED328F" w:rsidP="00C93A8C">
      <w:pPr>
        <w:jc w:val="both"/>
      </w:pPr>
      <w:r>
        <w:tab/>
        <w:t>However, the professional qualifications of any witness in the subject areas about which they testify are obviously relevant to the weight to be given to that testimony.  This type of evidence is also commonly relied upon by reasonably prudent persons in the conduct of their affairs and is admissible in administrative proceedings.</w:t>
      </w:r>
      <w:r w:rsidR="001D26C3">
        <w:rPr>
          <w:rStyle w:val="FootnoteReference"/>
        </w:rPr>
        <w:footnoteReference w:id="2"/>
      </w:r>
      <w:r w:rsidR="001D26C3">
        <w:t xml:space="preserve">  </w:t>
      </w:r>
      <w:r w:rsidR="001240B1">
        <w:t xml:space="preserve">For those reasons, both FIPUG and </w:t>
      </w:r>
      <w:r w:rsidR="001240B1">
        <w:lastRenderedPageBreak/>
        <w:t>DEF</w:t>
      </w:r>
      <w:r w:rsidR="00B2505E">
        <w:t xml:space="preserve"> as well as all other parties</w:t>
      </w:r>
      <w:r w:rsidR="001240B1">
        <w:t xml:space="preserve"> are free to ask questions about a</w:t>
      </w:r>
      <w:r w:rsidR="00B217AF">
        <w:t>ny</w:t>
      </w:r>
      <w:r w:rsidR="001240B1">
        <w:t xml:space="preserve"> witness’s professional qualifications that are relevant to </w:t>
      </w:r>
      <w:r w:rsidR="00B217AF">
        <w:t>his/her t</w:t>
      </w:r>
      <w:r w:rsidR="001240B1">
        <w:t>estimony at the final hearing.</w:t>
      </w:r>
    </w:p>
    <w:p w:rsidR="001D26C3" w:rsidRDefault="001D26C3" w:rsidP="00C93A8C">
      <w:pPr>
        <w:jc w:val="both"/>
      </w:pPr>
    </w:p>
    <w:p w:rsidR="002623BF" w:rsidRDefault="001240B1" w:rsidP="00803F09">
      <w:pPr>
        <w:ind w:firstLine="720"/>
        <w:jc w:val="both"/>
      </w:pPr>
      <w:r>
        <w:t>The parties have requested that the date for filing their post-hearing briefs be extended from the current date of July 14, 2020 established by Order No. PSC-</w:t>
      </w:r>
      <w:r w:rsidR="002623BF">
        <w:t xml:space="preserve">2020-0105-PCO-EI, issued on April 15, 2020.  Due to the complexity of the issues in this docket and the need for a final Commission decision before October 1, 2020, the schedule for post-hearing actions </w:t>
      </w:r>
      <w:r w:rsidR="00B2505E">
        <w:t>is revised</w:t>
      </w:r>
      <w:r w:rsidR="002623BF">
        <w:t xml:space="preserve"> as follows:</w:t>
      </w:r>
    </w:p>
    <w:p w:rsidR="002623BF" w:rsidRDefault="002623BF" w:rsidP="00803F09">
      <w:pPr>
        <w:ind w:firstLine="720"/>
        <w:jc w:val="both"/>
      </w:pPr>
      <w:r>
        <w:tab/>
        <w:t>Transcripts</w:t>
      </w:r>
      <w:r>
        <w:tab/>
      </w:r>
      <w:r>
        <w:tab/>
      </w:r>
      <w:r>
        <w:tab/>
      </w:r>
      <w:r w:rsidR="0087289C">
        <w:tab/>
      </w:r>
      <w:r>
        <w:t>July 13, 2020</w:t>
      </w:r>
    </w:p>
    <w:p w:rsidR="002623BF" w:rsidRDefault="002623BF" w:rsidP="00803F09">
      <w:pPr>
        <w:ind w:firstLine="720"/>
        <w:jc w:val="both"/>
      </w:pPr>
      <w:r>
        <w:tab/>
        <w:t>Briefs</w:t>
      </w:r>
      <w:r>
        <w:tab/>
      </w:r>
      <w:r>
        <w:tab/>
      </w:r>
      <w:r>
        <w:tab/>
      </w:r>
      <w:r>
        <w:tab/>
      </w:r>
      <w:r w:rsidR="0087289C">
        <w:tab/>
      </w:r>
      <w:r>
        <w:t>July 23, 2020</w:t>
      </w:r>
    </w:p>
    <w:p w:rsidR="001240B1" w:rsidRDefault="002623BF" w:rsidP="00803F09">
      <w:pPr>
        <w:ind w:firstLine="720"/>
        <w:jc w:val="both"/>
      </w:pPr>
      <w:r>
        <w:tab/>
      </w:r>
    </w:p>
    <w:p w:rsidR="00B217AF" w:rsidRDefault="00B217AF" w:rsidP="00803F09">
      <w:pPr>
        <w:ind w:firstLine="720"/>
        <w:jc w:val="both"/>
      </w:pPr>
      <w:r>
        <w:t xml:space="preserve">With regard to the outstanding confidentiality matters, the majority have been filed in the last few weeks and are the subject of Notices of Intent to Request Confidentiality (NOI) pursuant to Rule </w:t>
      </w:r>
      <w:r w:rsidR="007D5795">
        <w:t>25-22.006(3)(a)1, F.A.C</w:t>
      </w:r>
      <w:r>
        <w:t xml:space="preserve">.  Final orders cannot be prepared from NOIs.  In order to promote administrative efficiency, if the materials which are the subject of the NOIs are admitted into evidence, the appropriate party shall prepare a Request for Confidentiality and an order shall be written after the conclusion of the final hearing.  If the material is not admitted into evidence, the materials shall be </w:t>
      </w:r>
      <w:r w:rsidR="003810EC">
        <w:t xml:space="preserve">disposed of consistent with the requirements of </w:t>
      </w:r>
      <w:r w:rsidR="00B2505E">
        <w:t xml:space="preserve">Rule 25-22.006, F.A.C., and Section 366.093, F.S., </w:t>
      </w:r>
      <w:r>
        <w:t>after the time for appeal has run.</w:t>
      </w:r>
    </w:p>
    <w:p w:rsidR="00B217AF" w:rsidRDefault="00B217AF" w:rsidP="00803F09">
      <w:pPr>
        <w:ind w:firstLine="720"/>
        <w:jc w:val="both"/>
      </w:pPr>
      <w:r>
        <w:t xml:space="preserve"> </w:t>
      </w:r>
    </w:p>
    <w:p w:rsidR="00803F09" w:rsidRPr="00701945" w:rsidRDefault="00803F09" w:rsidP="00803F09">
      <w:pPr>
        <w:jc w:val="both"/>
      </w:pPr>
      <w:r>
        <w:t xml:space="preserve">     </w:t>
      </w:r>
      <w:r>
        <w:tab/>
      </w:r>
      <w:r w:rsidRPr="00701945">
        <w:t>It is therefore,</w:t>
      </w:r>
    </w:p>
    <w:p w:rsidR="00803F09" w:rsidRPr="00701945" w:rsidRDefault="00803F09" w:rsidP="00803F09">
      <w:pPr>
        <w:jc w:val="both"/>
      </w:pPr>
    </w:p>
    <w:p w:rsidR="00803F09" w:rsidRDefault="00803F09" w:rsidP="00803F09">
      <w:pPr>
        <w:jc w:val="both"/>
      </w:pPr>
      <w:r w:rsidRPr="00701945">
        <w:tab/>
        <w:t xml:space="preserve">ORDERED by Commissioner </w:t>
      </w:r>
      <w:r w:rsidR="001D11C7">
        <w:t>Donald J. Polmann</w:t>
      </w:r>
      <w:r w:rsidRPr="00701945">
        <w:t>, as Prehearing Officer, that this Prehearing Order shall govern the conduct of these proceedings as set forth above unless modified by the Commission.</w:t>
      </w:r>
    </w:p>
    <w:p w:rsidR="00803F09" w:rsidRDefault="00803F09" w:rsidP="00803F09">
      <w:pPr>
        <w:pStyle w:val="CenterUnderline"/>
        <w:jc w:val="both"/>
        <w:rPr>
          <w:u w:val="none"/>
        </w:rPr>
      </w:pPr>
    </w:p>
    <w:p w:rsidR="001D11C7" w:rsidRDefault="001D11C7" w:rsidP="001D11C7">
      <w:pPr>
        <w:pStyle w:val="CenterUnderline"/>
        <w:keepNext/>
        <w:keepLines/>
        <w:jc w:val="both"/>
        <w:rPr>
          <w:u w:val="none"/>
        </w:rPr>
      </w:pPr>
      <w:r>
        <w:rPr>
          <w:u w:val="none"/>
        </w:rPr>
        <w:lastRenderedPageBreak/>
        <w:tab/>
        <w:t xml:space="preserve">By ORDER of Commissioner Donald J. Polmann, as Prehearing Officer, this </w:t>
      </w:r>
      <w:bookmarkStart w:id="6" w:name="replaceDate"/>
      <w:bookmarkEnd w:id="6"/>
      <w:r w:rsidR="00A52EEE">
        <w:t>6th</w:t>
      </w:r>
      <w:r w:rsidR="00A52EEE">
        <w:rPr>
          <w:u w:val="none"/>
        </w:rPr>
        <w:t xml:space="preserve"> day of </w:t>
      </w:r>
      <w:r w:rsidR="00A52EEE">
        <w:t>July</w:t>
      </w:r>
      <w:r w:rsidR="00A52EEE">
        <w:rPr>
          <w:u w:val="none"/>
        </w:rPr>
        <w:t xml:space="preserve">, </w:t>
      </w:r>
      <w:r w:rsidR="00A52EEE">
        <w:t>2020</w:t>
      </w:r>
      <w:r w:rsidR="00A52EEE">
        <w:rPr>
          <w:u w:val="none"/>
        </w:rPr>
        <w:t>.</w:t>
      </w:r>
    </w:p>
    <w:p w:rsidR="00A52EEE" w:rsidRPr="00A52EEE" w:rsidRDefault="00A52EEE" w:rsidP="001D11C7">
      <w:pPr>
        <w:pStyle w:val="CenterUnderline"/>
        <w:keepNext/>
        <w:keepLines/>
        <w:jc w:val="both"/>
        <w:rPr>
          <w:u w:val="none"/>
        </w:rPr>
      </w:pPr>
    </w:p>
    <w:p w:rsidR="001D11C7" w:rsidRDefault="00A52EEE" w:rsidP="00A52EEE">
      <w:pPr>
        <w:pStyle w:val="CenterUnderline"/>
        <w:keepNext/>
        <w:keepLines/>
        <w:tabs>
          <w:tab w:val="left" w:pos="7263"/>
        </w:tabs>
        <w:jc w:val="both"/>
        <w:rPr>
          <w:u w:val="none"/>
        </w:rPr>
      </w:pPr>
      <w:r>
        <w:rPr>
          <w:u w:val="none"/>
        </w:rPr>
        <w:tab/>
      </w:r>
    </w:p>
    <w:tbl>
      <w:tblPr>
        <w:tblW w:w="4720" w:type="dxa"/>
        <w:tblInd w:w="3800" w:type="dxa"/>
        <w:tblLayout w:type="fixed"/>
        <w:tblLook w:val="0000" w:firstRow="0" w:lastRow="0" w:firstColumn="0" w:lastColumn="0" w:noHBand="0" w:noVBand="0"/>
      </w:tblPr>
      <w:tblGrid>
        <w:gridCol w:w="686"/>
        <w:gridCol w:w="4034"/>
      </w:tblGrid>
      <w:tr w:rsidR="001D11C7" w:rsidTr="001D11C7">
        <w:tc>
          <w:tcPr>
            <w:tcW w:w="720" w:type="dxa"/>
            <w:shd w:val="clear" w:color="auto" w:fill="auto"/>
          </w:tcPr>
          <w:p w:rsidR="001D11C7" w:rsidRDefault="001D11C7" w:rsidP="001D11C7">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1D11C7" w:rsidRDefault="00DD146A" w:rsidP="001D11C7">
            <w:pPr>
              <w:pStyle w:val="CenterUnderline"/>
              <w:keepNext/>
              <w:keepLines/>
              <w:jc w:val="both"/>
              <w:rPr>
                <w:u w:val="none"/>
              </w:rPr>
            </w:pPr>
            <w:r>
              <w:rPr>
                <w:noProof/>
                <w:u w:val="none"/>
              </w:rPr>
              <w:t>/s/ Donald J. Polmann, Ph.D., P.E.</w:t>
            </w:r>
            <w:bookmarkStart w:id="8" w:name="_GoBack"/>
            <w:bookmarkEnd w:id="8"/>
          </w:p>
        </w:tc>
      </w:tr>
      <w:bookmarkEnd w:id="7"/>
      <w:tr w:rsidR="001D11C7" w:rsidTr="001D11C7">
        <w:tc>
          <w:tcPr>
            <w:tcW w:w="720" w:type="dxa"/>
            <w:shd w:val="clear" w:color="auto" w:fill="auto"/>
          </w:tcPr>
          <w:p w:rsidR="001D11C7" w:rsidRDefault="001D11C7" w:rsidP="001D11C7">
            <w:pPr>
              <w:pStyle w:val="CenterUnderline"/>
              <w:keepNext/>
              <w:keepLines/>
              <w:jc w:val="both"/>
              <w:rPr>
                <w:u w:val="none"/>
              </w:rPr>
            </w:pPr>
          </w:p>
        </w:tc>
        <w:tc>
          <w:tcPr>
            <w:tcW w:w="4320" w:type="dxa"/>
            <w:tcBorders>
              <w:top w:val="single" w:sz="4" w:space="0" w:color="auto"/>
            </w:tcBorders>
            <w:shd w:val="clear" w:color="auto" w:fill="auto"/>
          </w:tcPr>
          <w:p w:rsidR="001D11C7" w:rsidRDefault="001D11C7" w:rsidP="001D11C7">
            <w:pPr>
              <w:pStyle w:val="CenterUnderline"/>
              <w:keepNext/>
              <w:keepLines/>
              <w:jc w:val="both"/>
              <w:rPr>
                <w:u w:val="none"/>
              </w:rPr>
            </w:pPr>
            <w:r>
              <w:rPr>
                <w:u w:val="none"/>
              </w:rPr>
              <w:t>DONALD J. POLMANN, Ph.D., P.E.</w:t>
            </w:r>
          </w:p>
          <w:p w:rsidR="001D11C7" w:rsidRDefault="001D11C7" w:rsidP="001D11C7">
            <w:pPr>
              <w:pStyle w:val="CenterUnderline"/>
              <w:keepNext/>
              <w:keepLines/>
              <w:jc w:val="both"/>
              <w:rPr>
                <w:u w:val="none"/>
              </w:rPr>
            </w:pPr>
            <w:r>
              <w:rPr>
                <w:u w:val="none"/>
              </w:rPr>
              <w:t>Commissioner and Prehearing Officer</w:t>
            </w:r>
          </w:p>
        </w:tc>
      </w:tr>
    </w:tbl>
    <w:p w:rsidR="001D11C7" w:rsidRDefault="001D11C7" w:rsidP="001D11C7">
      <w:pPr>
        <w:pStyle w:val="OrderSigInfo"/>
        <w:keepNext/>
        <w:keepLines/>
      </w:pPr>
      <w:r>
        <w:t>Florida Public Service Commission</w:t>
      </w:r>
    </w:p>
    <w:p w:rsidR="001D11C7" w:rsidRDefault="001D11C7" w:rsidP="001D11C7">
      <w:pPr>
        <w:pStyle w:val="OrderSigInfo"/>
        <w:keepNext/>
        <w:keepLines/>
      </w:pPr>
      <w:r>
        <w:t>2540 Shumard Oak Boulevard</w:t>
      </w:r>
    </w:p>
    <w:p w:rsidR="001D11C7" w:rsidRDefault="001D11C7" w:rsidP="001D11C7">
      <w:pPr>
        <w:pStyle w:val="OrderSigInfo"/>
        <w:keepNext/>
        <w:keepLines/>
      </w:pPr>
      <w:r>
        <w:t>Tallahassee, Florida 32399</w:t>
      </w:r>
    </w:p>
    <w:p w:rsidR="001D11C7" w:rsidRDefault="001D11C7" w:rsidP="001D11C7">
      <w:pPr>
        <w:pStyle w:val="OrderSigInfo"/>
        <w:keepNext/>
        <w:keepLines/>
      </w:pPr>
      <w:r>
        <w:t>(850) 413</w:t>
      </w:r>
      <w:r>
        <w:noBreakHyphen/>
        <w:t>6770</w:t>
      </w:r>
    </w:p>
    <w:p w:rsidR="001D11C7" w:rsidRDefault="001D11C7" w:rsidP="001D11C7">
      <w:pPr>
        <w:pStyle w:val="OrderSigInfo"/>
        <w:keepNext/>
        <w:keepLines/>
      </w:pPr>
      <w:r>
        <w:t>www.floridapsc.com</w:t>
      </w:r>
    </w:p>
    <w:p w:rsidR="001D11C7" w:rsidRDefault="001D11C7" w:rsidP="001D11C7">
      <w:pPr>
        <w:pStyle w:val="OrderSigInfo"/>
        <w:keepNext/>
        <w:keepLines/>
      </w:pPr>
    </w:p>
    <w:p w:rsidR="001D11C7" w:rsidRDefault="001D11C7" w:rsidP="001D11C7">
      <w:pPr>
        <w:pStyle w:val="OrderSigInfo"/>
        <w:keepNext/>
        <w:keepLines/>
      </w:pPr>
      <w:r>
        <w:t>Copies furnished:  A copy of this document is provided to the parties of record at the time of issuance and, if applicable, interested persons.</w:t>
      </w:r>
    </w:p>
    <w:p w:rsidR="001D11C7" w:rsidRDefault="001D11C7" w:rsidP="001D11C7">
      <w:pPr>
        <w:pStyle w:val="OrderBody"/>
        <w:keepNext/>
        <w:keepLines/>
      </w:pPr>
    </w:p>
    <w:p w:rsidR="001D11C7" w:rsidRDefault="001D11C7" w:rsidP="001D11C7">
      <w:pPr>
        <w:pStyle w:val="CenterUnderline"/>
        <w:keepNext/>
        <w:keepLines/>
        <w:jc w:val="both"/>
        <w:rPr>
          <w:u w:val="none"/>
        </w:rPr>
      </w:pPr>
    </w:p>
    <w:p w:rsidR="001D11C7" w:rsidRDefault="001D11C7" w:rsidP="001D11C7">
      <w:pPr>
        <w:pStyle w:val="CenterUnderline"/>
        <w:jc w:val="both"/>
        <w:rPr>
          <w:u w:val="none"/>
        </w:rPr>
      </w:pPr>
      <w:r>
        <w:rPr>
          <w:u w:val="none"/>
        </w:rPr>
        <w:t>SBr</w:t>
      </w:r>
    </w:p>
    <w:p w:rsidR="001D11C7" w:rsidRDefault="001D11C7" w:rsidP="001D11C7">
      <w:pPr>
        <w:pStyle w:val="CenterUnderline"/>
        <w:jc w:val="both"/>
        <w:rPr>
          <w:u w:val="none"/>
        </w:rPr>
      </w:pPr>
    </w:p>
    <w:p w:rsidR="001D11C7" w:rsidRDefault="001D11C7" w:rsidP="001D11C7">
      <w:pPr>
        <w:pStyle w:val="CenterUnderline"/>
      </w:pPr>
      <w:r>
        <w:t>NOTICE OF FURTHER PROCEEDINGS OR JUDICIAL REVIEW</w:t>
      </w:r>
    </w:p>
    <w:p w:rsidR="001D11C7" w:rsidRDefault="001D11C7" w:rsidP="001D11C7">
      <w:pPr>
        <w:pStyle w:val="CenterUnderline"/>
      </w:pPr>
    </w:p>
    <w:p w:rsidR="001D11C7" w:rsidRDefault="001D11C7" w:rsidP="001D11C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D11C7" w:rsidRDefault="001D11C7" w:rsidP="001D11C7">
      <w:pPr>
        <w:pStyle w:val="OrderBody"/>
      </w:pPr>
    </w:p>
    <w:p w:rsidR="001D11C7" w:rsidRDefault="001D11C7" w:rsidP="001D11C7">
      <w:pPr>
        <w:pStyle w:val="OrderBody"/>
      </w:pPr>
      <w:r>
        <w:tab/>
        <w:t>Mediation may be available on a case-by-case basis.  If mediation is conducted, it does not affect a substantially interested person's right to a hearing.</w:t>
      </w:r>
    </w:p>
    <w:p w:rsidR="001D11C7" w:rsidRDefault="001D11C7" w:rsidP="001D11C7">
      <w:pPr>
        <w:pStyle w:val="OrderBody"/>
      </w:pPr>
    </w:p>
    <w:p w:rsidR="001D11C7" w:rsidRDefault="001D11C7" w:rsidP="001D11C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55926" w:rsidRDefault="00255926" w:rsidP="001D11C7">
      <w:pPr>
        <w:pStyle w:val="OrderBody"/>
      </w:pPr>
    </w:p>
    <w:p w:rsidR="00255926" w:rsidRDefault="00255926" w:rsidP="001D11C7">
      <w:pPr>
        <w:pStyle w:val="OrderBody"/>
        <w:sectPr w:rsidR="0025592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255926" w:rsidRDefault="00255926" w:rsidP="00255926">
      <w:pPr>
        <w:pStyle w:val="OrderBody"/>
        <w:jc w:val="right"/>
      </w:pPr>
      <w:r>
        <w:lastRenderedPageBreak/>
        <w:t>ATTACHMENT A</w:t>
      </w:r>
    </w:p>
    <w:p w:rsidR="00255926" w:rsidRDefault="00255926" w:rsidP="00255926">
      <w:pPr>
        <w:pStyle w:val="OrderBody"/>
        <w:jc w:val="right"/>
      </w:pPr>
    </w:p>
    <w:p w:rsidR="00255926" w:rsidRDefault="00255926" w:rsidP="00255926">
      <w:pPr>
        <w:pStyle w:val="OrderBody"/>
      </w:pPr>
    </w:p>
    <w:p w:rsidR="001D11C7" w:rsidRDefault="00D3025E" w:rsidP="001D11C7">
      <w:pPr>
        <w:pStyle w:val="OrderBody"/>
        <w:rPr>
          <w:b/>
          <w:u w:val="single"/>
        </w:rPr>
      </w:pPr>
      <w:r>
        <w:rPr>
          <w:b/>
          <w:u w:val="single"/>
        </w:rPr>
        <w:t>Requirements related to providing Cross-Examination Exhibits prior to July 7 Hearing</w:t>
      </w:r>
    </w:p>
    <w:p w:rsidR="00D3025E" w:rsidRDefault="00D3025E" w:rsidP="001D11C7">
      <w:pPr>
        <w:pStyle w:val="OrderBody"/>
        <w:rPr>
          <w:b/>
          <w:u w:val="single"/>
        </w:rPr>
      </w:pPr>
    </w:p>
    <w:p w:rsidR="00D3025E" w:rsidRDefault="00D3025E" w:rsidP="001D11C7">
      <w:pPr>
        <w:pStyle w:val="OrderBody"/>
      </w:pPr>
      <w:r>
        <w:rPr>
          <w:b/>
        </w:rPr>
        <w:tab/>
      </w:r>
      <w:r>
        <w:t xml:space="preserve">By noon on July 2, 2020, each party must provide the Commission Clerk an electronic copy of all cross-examination exhibits, including impeachment exhibits, the party plans to use during the hearing.  As discussed at the </w:t>
      </w:r>
      <w:r w:rsidR="008A3DE4">
        <w:t xml:space="preserve">noticed </w:t>
      </w:r>
      <w:r>
        <w:t>June 16, 2020 meeting</w:t>
      </w:r>
      <w:r w:rsidR="008A3DE4">
        <w:t xml:space="preserve"> with the parties and Commission staff</w:t>
      </w:r>
      <w:r>
        <w:t xml:space="preserve">, the need for limited exceptions to the July 2, 2020, due date is acknowledged when good cause is shown.  </w:t>
      </w:r>
      <w:r>
        <w:rPr>
          <w:u w:val="single"/>
        </w:rPr>
        <w:t>All cross-examination exhibits</w:t>
      </w:r>
      <w:r>
        <w:t xml:space="preserve"> must be provided to the Clerk’s Office on either USB flash drives or CDs, including any late-filed exhibits.  Confidential documents must be placed on one USB flash drive or CD, and non-confidential exhibits must be placed on a different or separate USB fl</w:t>
      </w:r>
      <w:r w:rsidR="005A50A4">
        <w:t>a</w:t>
      </w:r>
      <w:r>
        <w:t>sh drive or CD.  This is because the Clerk’s Office will process the confidential exhibits, and transmit all non-confidential exhibits to the General Counsel’s Office for processing.</w:t>
      </w:r>
    </w:p>
    <w:p w:rsidR="00043AEC" w:rsidRDefault="00043AEC" w:rsidP="001D11C7">
      <w:pPr>
        <w:pStyle w:val="OrderBody"/>
      </w:pPr>
    </w:p>
    <w:p w:rsidR="00D3025E" w:rsidRDefault="00D3025E" w:rsidP="001D11C7">
      <w:pPr>
        <w:pStyle w:val="OrderBody"/>
      </w:pPr>
      <w:r>
        <w:tab/>
        <w:t>All USB flash drives or CDs provided to the Clerk’s Office must be clearly labeled as confidential or non-confidential, and the label must also include the Docket Number and the name of the party providing the exhibits.</w:t>
      </w:r>
      <w:r w:rsidR="00AC5192">
        <w:t xml:space="preserve">  </w:t>
      </w:r>
      <w:r>
        <w:t>Pursuant to Rule 25-22.006(3), F.A.C., a notice of intent to request confidential classification must be filed for all confidential information.</w:t>
      </w:r>
    </w:p>
    <w:p w:rsidR="00043AEC" w:rsidRDefault="00043AEC" w:rsidP="001D11C7">
      <w:pPr>
        <w:pStyle w:val="OrderBody"/>
      </w:pPr>
    </w:p>
    <w:p w:rsidR="00D3025E" w:rsidRDefault="00D3025E" w:rsidP="001D11C7">
      <w:pPr>
        <w:pStyle w:val="OrderBody"/>
      </w:pPr>
      <w:r>
        <w:tab/>
        <w:t>Each party must pre-number each exhibit with the following sequential numbering system that clearly denotes confidential exhibits.  For example, DEF will pre-identify its cross-examination exhibits DEF-1, DEF-2, DEF-3, etc.  All confidential exhibits must include the letter “C” placed after the number.  Thus, if DEF’s third exhibit is confidential, it will be labeled DEF-3C.</w:t>
      </w:r>
    </w:p>
    <w:p w:rsidR="00043AEC" w:rsidRDefault="00043AEC" w:rsidP="001D11C7">
      <w:pPr>
        <w:pStyle w:val="OrderBody"/>
      </w:pPr>
    </w:p>
    <w:p w:rsidR="00984348" w:rsidRDefault="00D3025E" w:rsidP="001D11C7">
      <w:pPr>
        <w:pStyle w:val="OrderBody"/>
      </w:pPr>
      <w:r>
        <w:tab/>
        <w:t>Each exhibit must be saved as a separate electronic file, and each file must be labeled with the exhibit number that reflects</w:t>
      </w:r>
      <w:r w:rsidR="005A50A4">
        <w:t xml:space="preserve"> the information contained on the exhibit.  The exhibit number </w:t>
      </w:r>
      <w:r w:rsidR="007C44FE">
        <w:t xml:space="preserve"> </w:t>
      </w:r>
      <w:r w:rsidR="005A50A4">
        <w:t>will serve as the filename in the virtual folder during the hearing.  Each exhibit must also include a cover page that includes the exhibit number.  In addition, each exhibit must include sequentially number</w:t>
      </w:r>
      <w:r w:rsidR="00B2505E">
        <w:t xml:space="preserve">ed </w:t>
      </w:r>
      <w:r w:rsidR="005A50A4">
        <w:t>pages.  The page numbers must be placed in the upper right hand corner of each page.</w:t>
      </w:r>
      <w:r>
        <w:t xml:space="preserve">   </w:t>
      </w:r>
    </w:p>
    <w:p w:rsidR="004E008F" w:rsidRDefault="004E008F" w:rsidP="001D11C7">
      <w:pPr>
        <w:pStyle w:val="OrderBody"/>
      </w:pPr>
    </w:p>
    <w:p w:rsidR="004E008F" w:rsidRDefault="004E008F" w:rsidP="001D11C7">
      <w:pPr>
        <w:pStyle w:val="OrderBody"/>
      </w:pPr>
    </w:p>
    <w:p w:rsidR="004E008F" w:rsidRDefault="004E008F" w:rsidP="001D11C7">
      <w:pPr>
        <w:pStyle w:val="OrderBody"/>
      </w:pPr>
    </w:p>
    <w:p w:rsidR="004E008F" w:rsidRDefault="004E008F" w:rsidP="001D11C7">
      <w:pPr>
        <w:pStyle w:val="OrderBody"/>
      </w:pPr>
    </w:p>
    <w:p w:rsidR="004E008F" w:rsidRDefault="004E008F" w:rsidP="001D11C7">
      <w:pPr>
        <w:pStyle w:val="OrderBody"/>
      </w:pPr>
    </w:p>
    <w:p w:rsidR="004E008F" w:rsidRDefault="004E008F" w:rsidP="001D11C7">
      <w:pPr>
        <w:pStyle w:val="OrderBody"/>
      </w:pPr>
    </w:p>
    <w:p w:rsidR="004E008F" w:rsidRDefault="004E008F" w:rsidP="001D11C7">
      <w:pPr>
        <w:pStyle w:val="OrderBody"/>
      </w:pPr>
    </w:p>
    <w:p w:rsidR="004E008F" w:rsidRDefault="004E008F" w:rsidP="001D11C7">
      <w:pPr>
        <w:pStyle w:val="OrderBody"/>
      </w:pPr>
    </w:p>
    <w:p w:rsidR="004E008F" w:rsidRPr="004E008F" w:rsidRDefault="004E008F" w:rsidP="001D11C7">
      <w:pPr>
        <w:pStyle w:val="OrderBody"/>
        <w:rPr>
          <w:sz w:val="16"/>
          <w:szCs w:val="16"/>
        </w:rPr>
      </w:pPr>
      <w:r w:rsidRPr="004E008F">
        <w:rPr>
          <w:sz w:val="16"/>
          <w:szCs w:val="16"/>
        </w:rPr>
        <w:t>20190140.Prehearing.Ord.</w:t>
      </w:r>
      <w:r w:rsidR="00B2505E">
        <w:rPr>
          <w:sz w:val="16"/>
          <w:szCs w:val="16"/>
        </w:rPr>
        <w:t>7</w:t>
      </w:r>
    </w:p>
    <w:sectPr w:rsidR="004E008F" w:rsidRPr="004E008F">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5AF" w:rsidRDefault="006A15AF">
      <w:r>
        <w:separator/>
      </w:r>
    </w:p>
  </w:endnote>
  <w:endnote w:type="continuationSeparator" w:id="0">
    <w:p w:rsidR="006A15AF" w:rsidRDefault="006A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A75" w:rsidRDefault="00484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A75" w:rsidRDefault="00484A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5AF" w:rsidRDefault="006A15AF">
    <w:pPr>
      <w:pStyle w:val="Footer"/>
    </w:pPr>
  </w:p>
  <w:p w:rsidR="006A15AF" w:rsidRDefault="006A1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5AF" w:rsidRDefault="006A15AF">
      <w:r>
        <w:separator/>
      </w:r>
    </w:p>
  </w:footnote>
  <w:footnote w:type="continuationSeparator" w:id="0">
    <w:p w:rsidR="006A15AF" w:rsidRDefault="006A15AF">
      <w:r>
        <w:continuationSeparator/>
      </w:r>
    </w:p>
  </w:footnote>
  <w:footnote w:id="1">
    <w:p w:rsidR="00623507" w:rsidRDefault="00623507">
      <w:pPr>
        <w:pStyle w:val="FootnoteText"/>
      </w:pPr>
      <w:r>
        <w:rPr>
          <w:rStyle w:val="FootnoteReference"/>
        </w:rPr>
        <w:footnoteRef/>
      </w:r>
      <w:r>
        <w:t xml:space="preserve"> Order No. PSC-2019-0320-PCO-EI, issued August 2, 20</w:t>
      </w:r>
      <w:r w:rsidR="0085397B">
        <w:t>19</w:t>
      </w:r>
      <w:r>
        <w:t>.</w:t>
      </w:r>
    </w:p>
  </w:footnote>
  <w:footnote w:id="2">
    <w:p w:rsidR="001D26C3" w:rsidRDefault="001D26C3">
      <w:pPr>
        <w:pStyle w:val="FootnoteText"/>
      </w:pPr>
      <w:r>
        <w:rPr>
          <w:rStyle w:val="FootnoteReference"/>
        </w:rPr>
        <w:footnoteRef/>
      </w:r>
      <w:r>
        <w:t xml:space="preserve"> Section 120.569(2)(g), F.S.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A75" w:rsidRDefault="00484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5AF" w:rsidRDefault="006A15AF">
    <w:pPr>
      <w:pStyle w:val="OrderHeader"/>
    </w:pPr>
    <w:r>
      <w:t xml:space="preserve">ORDER NO. </w:t>
    </w:r>
    <w:r w:rsidR="00DD146A">
      <w:fldChar w:fldCharType="begin"/>
    </w:r>
    <w:r w:rsidR="00DD146A">
      <w:instrText xml:space="preserve"> REF OrderNo0228 </w:instrText>
    </w:r>
    <w:r w:rsidR="00DD146A">
      <w:fldChar w:fldCharType="separate"/>
    </w:r>
    <w:r w:rsidR="00DD146A">
      <w:t>PSC-2020-0228-PHO-EI</w:t>
    </w:r>
    <w:r w:rsidR="00DD146A">
      <w:fldChar w:fldCharType="end"/>
    </w:r>
  </w:p>
  <w:p w:rsidR="006A15AF" w:rsidRDefault="006A15AF">
    <w:pPr>
      <w:pStyle w:val="OrderHeader"/>
    </w:pPr>
    <w:bookmarkStart w:id="9" w:name="HeaderDocketNo"/>
    <w:bookmarkEnd w:id="9"/>
    <w:r>
      <w:t>DOCKET NO. 20190140-EI</w:t>
    </w:r>
  </w:p>
  <w:p w:rsidR="006A15AF" w:rsidRDefault="006A15A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146A">
      <w:rPr>
        <w:rStyle w:val="PageNumber"/>
        <w:noProof/>
      </w:rPr>
      <w:t>17</w:t>
    </w:r>
    <w:r>
      <w:rPr>
        <w:rStyle w:val="PageNumber"/>
      </w:rPr>
      <w:fldChar w:fldCharType="end"/>
    </w:r>
  </w:p>
  <w:p w:rsidR="006A15AF" w:rsidRDefault="006A15AF">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A75" w:rsidRDefault="00484A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5AF" w:rsidRDefault="006A15AF" w:rsidP="00255926">
    <w:pPr>
      <w:pStyle w:val="OrderHeader"/>
    </w:pPr>
    <w:r>
      <w:t>ORDER NO.</w:t>
    </w:r>
    <w:r w:rsidR="00A52EEE">
      <w:t>PSC-2020-0228-</w:t>
    </w:r>
    <w:r w:rsidR="00484A75">
      <w:t>PHO</w:t>
    </w:r>
    <w:r w:rsidR="00A52EEE">
      <w:t>-EI</w:t>
    </w:r>
    <w:r>
      <w:t xml:space="preserve"> </w:t>
    </w:r>
  </w:p>
  <w:p w:rsidR="006A15AF" w:rsidRDefault="006A15AF" w:rsidP="00255926">
    <w:pPr>
      <w:pStyle w:val="OrderHeader"/>
    </w:pPr>
    <w:r>
      <w:t>DOCKET NO. 20190140-EI</w:t>
    </w:r>
  </w:p>
  <w:p w:rsidR="006A15AF" w:rsidRDefault="006A15AF" w:rsidP="0025592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D146A">
      <w:rPr>
        <w:rStyle w:val="PageNumber"/>
        <w:noProof/>
      </w:rPr>
      <w:t>19</w:t>
    </w:r>
    <w:r>
      <w:rPr>
        <w:rStyle w:val="PageNumber"/>
      </w:rPr>
      <w:fldChar w:fldCharType="end"/>
    </w:r>
  </w:p>
  <w:p w:rsidR="006A15AF" w:rsidRDefault="006A1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8396CC3"/>
    <w:multiLevelType w:val="hybridMultilevel"/>
    <w:tmpl w:val="F67EC3BC"/>
    <w:lvl w:ilvl="0" w:tplc="C060D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30F7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7301F"/>
    <w:multiLevelType w:val="hybridMultilevel"/>
    <w:tmpl w:val="A5C606DC"/>
    <w:lvl w:ilvl="0" w:tplc="DA0EE540">
      <w:start w:val="1"/>
      <w:numFmt w:val="decimal"/>
      <w:lvlText w:val="%1."/>
      <w:lvlJc w:val="left"/>
      <w:pPr>
        <w:ind w:left="17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C7239E"/>
    <w:multiLevelType w:val="hybridMultilevel"/>
    <w:tmpl w:val="38489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15:restartNumberingAfterBreak="0">
    <w:nsid w:val="521F3706"/>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75B90"/>
    <w:multiLevelType w:val="multilevel"/>
    <w:tmpl w:val="9E26B4E8"/>
    <w:numStyleLink w:val="ArticleSection"/>
  </w:abstractNum>
  <w:abstractNum w:abstractNumId="18" w15:restartNumberingAfterBreak="0">
    <w:nsid w:val="5E077B6F"/>
    <w:multiLevelType w:val="hybridMultilevel"/>
    <w:tmpl w:val="2A1E4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8392418"/>
    <w:multiLevelType w:val="hybridMultilevel"/>
    <w:tmpl w:val="C5F4AE8E"/>
    <w:lvl w:ilvl="0" w:tplc="466284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E73FD5"/>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210EF"/>
    <w:multiLevelType w:val="hybridMultilevel"/>
    <w:tmpl w:val="3F784B40"/>
    <w:lvl w:ilvl="0" w:tplc="5D72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60E42"/>
    <w:multiLevelType w:val="multilevel"/>
    <w:tmpl w:val="9E26B4E8"/>
    <w:numStyleLink w:val="ArticleSection"/>
  </w:abstractNum>
  <w:abstractNum w:abstractNumId="24" w15:restartNumberingAfterBreak="0">
    <w:nsid w:val="7CEA7178"/>
    <w:multiLevelType w:val="hybridMultilevel"/>
    <w:tmpl w:val="C396F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5"/>
  </w:num>
  <w:num w:numId="2">
    <w:abstractNumId w:val="11"/>
  </w:num>
  <w:num w:numId="3">
    <w:abstractNumId w:val="25"/>
  </w:num>
  <w:num w:numId="4">
    <w:abstractNumId w:val="23"/>
  </w:num>
  <w:num w:numId="5">
    <w:abstractNumId w:val="19"/>
  </w:num>
  <w:num w:numId="6">
    <w:abstractNumId w:val="1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16"/>
  </w:num>
  <w:num w:numId="20">
    <w:abstractNumId w:val="21"/>
  </w:num>
  <w:num w:numId="21">
    <w:abstractNumId w:val="12"/>
  </w:num>
  <w:num w:numId="22">
    <w:abstractNumId w:val="20"/>
  </w:num>
  <w:num w:numId="23">
    <w:abstractNumId w:val="13"/>
  </w:num>
  <w:num w:numId="24">
    <w:abstractNumId w:val="24"/>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803F09"/>
    <w:rsid w:val="000022B8"/>
    <w:rsid w:val="00025C9D"/>
    <w:rsid w:val="0003433F"/>
    <w:rsid w:val="00035A8C"/>
    <w:rsid w:val="00036BDD"/>
    <w:rsid w:val="00043AEC"/>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19"/>
    <w:rsid w:val="000C6926"/>
    <w:rsid w:val="000D02B8"/>
    <w:rsid w:val="000D06E8"/>
    <w:rsid w:val="000D39AC"/>
    <w:rsid w:val="000D78FB"/>
    <w:rsid w:val="000E050C"/>
    <w:rsid w:val="000E20F0"/>
    <w:rsid w:val="000E344D"/>
    <w:rsid w:val="000E3F6D"/>
    <w:rsid w:val="000F359F"/>
    <w:rsid w:val="000F3B2C"/>
    <w:rsid w:val="000F3F6C"/>
    <w:rsid w:val="000F5B92"/>
    <w:rsid w:val="000F63EB"/>
    <w:rsid w:val="000F648A"/>
    <w:rsid w:val="000F7BE3"/>
    <w:rsid w:val="001052BA"/>
    <w:rsid w:val="001107B3"/>
    <w:rsid w:val="001114B1"/>
    <w:rsid w:val="001139D8"/>
    <w:rsid w:val="00116AD3"/>
    <w:rsid w:val="00121957"/>
    <w:rsid w:val="0012387E"/>
    <w:rsid w:val="001240B1"/>
    <w:rsid w:val="00126593"/>
    <w:rsid w:val="00136087"/>
    <w:rsid w:val="001407AC"/>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D11C7"/>
    <w:rsid w:val="001D26C3"/>
    <w:rsid w:val="001D577D"/>
    <w:rsid w:val="001E0152"/>
    <w:rsid w:val="001E0FF5"/>
    <w:rsid w:val="001F4CA3"/>
    <w:rsid w:val="002002ED"/>
    <w:rsid w:val="002170E5"/>
    <w:rsid w:val="00220D57"/>
    <w:rsid w:val="0022721A"/>
    <w:rsid w:val="00230BB9"/>
    <w:rsid w:val="00241CEF"/>
    <w:rsid w:val="0025124E"/>
    <w:rsid w:val="00252B30"/>
    <w:rsid w:val="00255926"/>
    <w:rsid w:val="002613E4"/>
    <w:rsid w:val="002623BF"/>
    <w:rsid w:val="0026544B"/>
    <w:rsid w:val="00275545"/>
    <w:rsid w:val="00276CDC"/>
    <w:rsid w:val="00277655"/>
    <w:rsid w:val="002824B7"/>
    <w:rsid w:val="00282AC4"/>
    <w:rsid w:val="00293DC9"/>
    <w:rsid w:val="002A09A3"/>
    <w:rsid w:val="002A11AC"/>
    <w:rsid w:val="002A6F30"/>
    <w:rsid w:val="002B3111"/>
    <w:rsid w:val="002B407F"/>
    <w:rsid w:val="002C027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0ED1"/>
    <w:rsid w:val="00361522"/>
    <w:rsid w:val="0037196E"/>
    <w:rsid w:val="003744F5"/>
    <w:rsid w:val="003810EC"/>
    <w:rsid w:val="003875A9"/>
    <w:rsid w:val="00387BDE"/>
    <w:rsid w:val="00390DD8"/>
    <w:rsid w:val="00394DC6"/>
    <w:rsid w:val="00397C3E"/>
    <w:rsid w:val="003A370A"/>
    <w:rsid w:val="003A7858"/>
    <w:rsid w:val="003B1A09"/>
    <w:rsid w:val="003D4CCA"/>
    <w:rsid w:val="003D52A6"/>
    <w:rsid w:val="003D6416"/>
    <w:rsid w:val="003E1D48"/>
    <w:rsid w:val="003E3F91"/>
    <w:rsid w:val="003E711F"/>
    <w:rsid w:val="003F1D2B"/>
    <w:rsid w:val="00411DF2"/>
    <w:rsid w:val="00411E8F"/>
    <w:rsid w:val="00421E6A"/>
    <w:rsid w:val="004247F5"/>
    <w:rsid w:val="0042527B"/>
    <w:rsid w:val="00427EAC"/>
    <w:rsid w:val="004431B4"/>
    <w:rsid w:val="0045537F"/>
    <w:rsid w:val="00457DC7"/>
    <w:rsid w:val="004640B3"/>
    <w:rsid w:val="0046486E"/>
    <w:rsid w:val="00472BCC"/>
    <w:rsid w:val="00484A75"/>
    <w:rsid w:val="004A1BCB"/>
    <w:rsid w:val="004A25CD"/>
    <w:rsid w:val="004A2654"/>
    <w:rsid w:val="004A26CC"/>
    <w:rsid w:val="004B2108"/>
    <w:rsid w:val="004B3A2B"/>
    <w:rsid w:val="004B70D3"/>
    <w:rsid w:val="004C312D"/>
    <w:rsid w:val="004D2D1B"/>
    <w:rsid w:val="004D5067"/>
    <w:rsid w:val="004D6838"/>
    <w:rsid w:val="004D72BC"/>
    <w:rsid w:val="004E008F"/>
    <w:rsid w:val="004E469D"/>
    <w:rsid w:val="004E7F4F"/>
    <w:rsid w:val="004F2DDE"/>
    <w:rsid w:val="004F7826"/>
    <w:rsid w:val="00500195"/>
    <w:rsid w:val="0050097F"/>
    <w:rsid w:val="00514B1F"/>
    <w:rsid w:val="00523C5C"/>
    <w:rsid w:val="00525E93"/>
    <w:rsid w:val="0052671D"/>
    <w:rsid w:val="005300C0"/>
    <w:rsid w:val="00540E6B"/>
    <w:rsid w:val="0055595D"/>
    <w:rsid w:val="00556A10"/>
    <w:rsid w:val="00557F50"/>
    <w:rsid w:val="00571D3D"/>
    <w:rsid w:val="00581846"/>
    <w:rsid w:val="0058264B"/>
    <w:rsid w:val="005868AA"/>
    <w:rsid w:val="00590845"/>
    <w:rsid w:val="005963C2"/>
    <w:rsid w:val="005A0D69"/>
    <w:rsid w:val="005A31F4"/>
    <w:rsid w:val="005A50A4"/>
    <w:rsid w:val="005A73EA"/>
    <w:rsid w:val="005B45F7"/>
    <w:rsid w:val="005B63EA"/>
    <w:rsid w:val="005C1A88"/>
    <w:rsid w:val="005C5033"/>
    <w:rsid w:val="005D137A"/>
    <w:rsid w:val="005E751B"/>
    <w:rsid w:val="005F3354"/>
    <w:rsid w:val="0060005E"/>
    <w:rsid w:val="0060095B"/>
    <w:rsid w:val="00601266"/>
    <w:rsid w:val="00610221"/>
    <w:rsid w:val="00610E73"/>
    <w:rsid w:val="00616DF2"/>
    <w:rsid w:val="00623507"/>
    <w:rsid w:val="0063168D"/>
    <w:rsid w:val="00647025"/>
    <w:rsid w:val="0064730A"/>
    <w:rsid w:val="006531A4"/>
    <w:rsid w:val="00660774"/>
    <w:rsid w:val="0066389A"/>
    <w:rsid w:val="0066495C"/>
    <w:rsid w:val="00665CC7"/>
    <w:rsid w:val="00667201"/>
    <w:rsid w:val="00672612"/>
    <w:rsid w:val="00677F18"/>
    <w:rsid w:val="00685F1C"/>
    <w:rsid w:val="00693483"/>
    <w:rsid w:val="006A0BF3"/>
    <w:rsid w:val="006A15AF"/>
    <w:rsid w:val="006B0036"/>
    <w:rsid w:val="006B0DA6"/>
    <w:rsid w:val="006C547E"/>
    <w:rsid w:val="006D2B51"/>
    <w:rsid w:val="006D5575"/>
    <w:rsid w:val="006D7191"/>
    <w:rsid w:val="006E42BE"/>
    <w:rsid w:val="006E5D4D"/>
    <w:rsid w:val="006E6D16"/>
    <w:rsid w:val="006F5D7E"/>
    <w:rsid w:val="00703F2A"/>
    <w:rsid w:val="00704C5D"/>
    <w:rsid w:val="007072BC"/>
    <w:rsid w:val="00715275"/>
    <w:rsid w:val="00721B44"/>
    <w:rsid w:val="007232A2"/>
    <w:rsid w:val="00724CAC"/>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6163"/>
    <w:rsid w:val="007B350E"/>
    <w:rsid w:val="007C0FBC"/>
    <w:rsid w:val="007C36E3"/>
    <w:rsid w:val="007C44FE"/>
    <w:rsid w:val="007C7134"/>
    <w:rsid w:val="007D3D20"/>
    <w:rsid w:val="007D5795"/>
    <w:rsid w:val="007D742E"/>
    <w:rsid w:val="007E3AFD"/>
    <w:rsid w:val="00801DAD"/>
    <w:rsid w:val="00803189"/>
    <w:rsid w:val="00803F09"/>
    <w:rsid w:val="00804E7A"/>
    <w:rsid w:val="00805FBB"/>
    <w:rsid w:val="008169A4"/>
    <w:rsid w:val="008278FE"/>
    <w:rsid w:val="00830B56"/>
    <w:rsid w:val="00830D31"/>
    <w:rsid w:val="00832598"/>
    <w:rsid w:val="0083397E"/>
    <w:rsid w:val="0083534B"/>
    <w:rsid w:val="00842035"/>
    <w:rsid w:val="00842602"/>
    <w:rsid w:val="008449F0"/>
    <w:rsid w:val="00847B45"/>
    <w:rsid w:val="0085397B"/>
    <w:rsid w:val="00863A66"/>
    <w:rsid w:val="008703D7"/>
    <w:rsid w:val="0087289C"/>
    <w:rsid w:val="00874429"/>
    <w:rsid w:val="00875D22"/>
    <w:rsid w:val="00880310"/>
    <w:rsid w:val="008817DC"/>
    <w:rsid w:val="00883D9A"/>
    <w:rsid w:val="008919EF"/>
    <w:rsid w:val="00892B20"/>
    <w:rsid w:val="008931BC"/>
    <w:rsid w:val="0089695B"/>
    <w:rsid w:val="008A046A"/>
    <w:rsid w:val="008A12EC"/>
    <w:rsid w:val="008A15A4"/>
    <w:rsid w:val="008A3DE4"/>
    <w:rsid w:val="008B19A6"/>
    <w:rsid w:val="008B4EFB"/>
    <w:rsid w:val="008C21C8"/>
    <w:rsid w:val="008C6375"/>
    <w:rsid w:val="008C6A5B"/>
    <w:rsid w:val="008D498D"/>
    <w:rsid w:val="008D6D36"/>
    <w:rsid w:val="008E0693"/>
    <w:rsid w:val="008E26A5"/>
    <w:rsid w:val="008E42D2"/>
    <w:rsid w:val="008E6328"/>
    <w:rsid w:val="008F578F"/>
    <w:rsid w:val="008F6F21"/>
    <w:rsid w:val="009040EE"/>
    <w:rsid w:val="009057FD"/>
    <w:rsid w:val="00906FBA"/>
    <w:rsid w:val="009163E8"/>
    <w:rsid w:val="009228C7"/>
    <w:rsid w:val="00922A7F"/>
    <w:rsid w:val="00923A5E"/>
    <w:rsid w:val="00924FE7"/>
    <w:rsid w:val="00926E27"/>
    <w:rsid w:val="00931C8C"/>
    <w:rsid w:val="00943D21"/>
    <w:rsid w:val="0094504B"/>
    <w:rsid w:val="00950164"/>
    <w:rsid w:val="00961470"/>
    <w:rsid w:val="00964A38"/>
    <w:rsid w:val="00966A9D"/>
    <w:rsid w:val="0096742B"/>
    <w:rsid w:val="009718C5"/>
    <w:rsid w:val="00971B90"/>
    <w:rsid w:val="00982A3A"/>
    <w:rsid w:val="00984348"/>
    <w:rsid w:val="009924CF"/>
    <w:rsid w:val="00994100"/>
    <w:rsid w:val="009A6B17"/>
    <w:rsid w:val="009D4C29"/>
    <w:rsid w:val="009F6AD2"/>
    <w:rsid w:val="00A00D8D"/>
    <w:rsid w:val="00A01BB6"/>
    <w:rsid w:val="00A1436F"/>
    <w:rsid w:val="00A26220"/>
    <w:rsid w:val="00A2690C"/>
    <w:rsid w:val="00A4303C"/>
    <w:rsid w:val="00A46CAF"/>
    <w:rsid w:val="00A470FD"/>
    <w:rsid w:val="00A50B5E"/>
    <w:rsid w:val="00A52EEE"/>
    <w:rsid w:val="00A54D90"/>
    <w:rsid w:val="00A62DAB"/>
    <w:rsid w:val="00A6757A"/>
    <w:rsid w:val="00A726A6"/>
    <w:rsid w:val="00A74842"/>
    <w:rsid w:val="00A97535"/>
    <w:rsid w:val="00AA1535"/>
    <w:rsid w:val="00AA2BAA"/>
    <w:rsid w:val="00AA6516"/>
    <w:rsid w:val="00AA73F1"/>
    <w:rsid w:val="00AB0E1A"/>
    <w:rsid w:val="00AB1A30"/>
    <w:rsid w:val="00AB3A89"/>
    <w:rsid w:val="00AB3C36"/>
    <w:rsid w:val="00AB3D30"/>
    <w:rsid w:val="00AC26CB"/>
    <w:rsid w:val="00AC5192"/>
    <w:rsid w:val="00AD033A"/>
    <w:rsid w:val="00AD10EB"/>
    <w:rsid w:val="00AD1ED3"/>
    <w:rsid w:val="00AD2525"/>
    <w:rsid w:val="00B019C1"/>
    <w:rsid w:val="00B02001"/>
    <w:rsid w:val="00B03C50"/>
    <w:rsid w:val="00B0777D"/>
    <w:rsid w:val="00B11576"/>
    <w:rsid w:val="00B1195F"/>
    <w:rsid w:val="00B14D10"/>
    <w:rsid w:val="00B209C7"/>
    <w:rsid w:val="00B217AF"/>
    <w:rsid w:val="00B2505E"/>
    <w:rsid w:val="00B3644F"/>
    <w:rsid w:val="00B4057A"/>
    <w:rsid w:val="00B40894"/>
    <w:rsid w:val="00B41034"/>
    <w:rsid w:val="00B41039"/>
    <w:rsid w:val="00B42987"/>
    <w:rsid w:val="00B444AE"/>
    <w:rsid w:val="00B45E75"/>
    <w:rsid w:val="00B50876"/>
    <w:rsid w:val="00B51074"/>
    <w:rsid w:val="00B54DAA"/>
    <w:rsid w:val="00B552E0"/>
    <w:rsid w:val="00B55AB0"/>
    <w:rsid w:val="00B55EE5"/>
    <w:rsid w:val="00B63F62"/>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072EC"/>
    <w:rsid w:val="00C10ED5"/>
    <w:rsid w:val="00C151A6"/>
    <w:rsid w:val="00C24098"/>
    <w:rsid w:val="00C30A4E"/>
    <w:rsid w:val="00C411F3"/>
    <w:rsid w:val="00C44105"/>
    <w:rsid w:val="00C55A33"/>
    <w:rsid w:val="00C61D50"/>
    <w:rsid w:val="00C66692"/>
    <w:rsid w:val="00C673B5"/>
    <w:rsid w:val="00C7063D"/>
    <w:rsid w:val="00C830BC"/>
    <w:rsid w:val="00C8524D"/>
    <w:rsid w:val="00C90904"/>
    <w:rsid w:val="00C91123"/>
    <w:rsid w:val="00C93A8C"/>
    <w:rsid w:val="00CA71FF"/>
    <w:rsid w:val="00CB5276"/>
    <w:rsid w:val="00CB5BFC"/>
    <w:rsid w:val="00CB68D7"/>
    <w:rsid w:val="00CB785B"/>
    <w:rsid w:val="00CC584C"/>
    <w:rsid w:val="00CC7E68"/>
    <w:rsid w:val="00CD7132"/>
    <w:rsid w:val="00CE0E6F"/>
    <w:rsid w:val="00CE3B21"/>
    <w:rsid w:val="00CE56FC"/>
    <w:rsid w:val="00CE7A4D"/>
    <w:rsid w:val="00CF32D2"/>
    <w:rsid w:val="00CF4CFE"/>
    <w:rsid w:val="00CF5950"/>
    <w:rsid w:val="00D02E0F"/>
    <w:rsid w:val="00D03EE8"/>
    <w:rsid w:val="00D13535"/>
    <w:rsid w:val="00D15497"/>
    <w:rsid w:val="00D17B79"/>
    <w:rsid w:val="00D23FEA"/>
    <w:rsid w:val="00D269CA"/>
    <w:rsid w:val="00D3025E"/>
    <w:rsid w:val="00D30B48"/>
    <w:rsid w:val="00D3168A"/>
    <w:rsid w:val="00D446EA"/>
    <w:rsid w:val="00D46FAA"/>
    <w:rsid w:val="00D47A40"/>
    <w:rsid w:val="00D51D33"/>
    <w:rsid w:val="00D57BB2"/>
    <w:rsid w:val="00D57E57"/>
    <w:rsid w:val="00D703E5"/>
    <w:rsid w:val="00D70752"/>
    <w:rsid w:val="00D80E2D"/>
    <w:rsid w:val="00D84D5E"/>
    <w:rsid w:val="00D8560E"/>
    <w:rsid w:val="00D86EF0"/>
    <w:rsid w:val="00D8758F"/>
    <w:rsid w:val="00DA4EDD"/>
    <w:rsid w:val="00DA6B78"/>
    <w:rsid w:val="00DC1D94"/>
    <w:rsid w:val="00DC2E26"/>
    <w:rsid w:val="00DC42CF"/>
    <w:rsid w:val="00DD146A"/>
    <w:rsid w:val="00DD3702"/>
    <w:rsid w:val="00DE057F"/>
    <w:rsid w:val="00DE0846"/>
    <w:rsid w:val="00DE2082"/>
    <w:rsid w:val="00DE2289"/>
    <w:rsid w:val="00DE7C37"/>
    <w:rsid w:val="00DF09A7"/>
    <w:rsid w:val="00DF2B51"/>
    <w:rsid w:val="00E001D6"/>
    <w:rsid w:val="00E03A76"/>
    <w:rsid w:val="00E04410"/>
    <w:rsid w:val="00E07484"/>
    <w:rsid w:val="00E11351"/>
    <w:rsid w:val="00E4225C"/>
    <w:rsid w:val="00E42DB2"/>
    <w:rsid w:val="00E44879"/>
    <w:rsid w:val="00E530D8"/>
    <w:rsid w:val="00E72914"/>
    <w:rsid w:val="00E75AE0"/>
    <w:rsid w:val="00E83C1F"/>
    <w:rsid w:val="00E84387"/>
    <w:rsid w:val="00E85684"/>
    <w:rsid w:val="00E8794B"/>
    <w:rsid w:val="00E97656"/>
    <w:rsid w:val="00EA172C"/>
    <w:rsid w:val="00EA259B"/>
    <w:rsid w:val="00EA35A3"/>
    <w:rsid w:val="00EA3E6A"/>
    <w:rsid w:val="00EB18EF"/>
    <w:rsid w:val="00EB7951"/>
    <w:rsid w:val="00ED328F"/>
    <w:rsid w:val="00ED6A79"/>
    <w:rsid w:val="00EE17DF"/>
    <w:rsid w:val="00EF1482"/>
    <w:rsid w:val="00EF4621"/>
    <w:rsid w:val="00EF4D52"/>
    <w:rsid w:val="00EF6312"/>
    <w:rsid w:val="00F038B0"/>
    <w:rsid w:val="00F05F34"/>
    <w:rsid w:val="00F22B27"/>
    <w:rsid w:val="00F234A7"/>
    <w:rsid w:val="00F277B6"/>
    <w:rsid w:val="00F2785C"/>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00D5"/>
    <w:rsid w:val="00FE53F2"/>
    <w:rsid w:val="00FF0A00"/>
    <w:rsid w:val="00FF1C57"/>
    <w:rsid w:val="00FF2581"/>
    <w:rsid w:val="00FF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uiPriority w:val="9"/>
    <w:qFormat/>
    <w:rsid w:val="00CD7132"/>
    <w:pPr>
      <w:keepNext/>
      <w:numPr>
        <w:numId w:val="4"/>
      </w:numPr>
      <w:spacing w:after="240"/>
      <w:jc w:val="both"/>
      <w:outlineLvl w:val="0"/>
    </w:pPr>
    <w:rPr>
      <w:rFonts w:cs="Arial"/>
      <w:bCs/>
      <w:kern w:val="32"/>
      <w:szCs w:val="32"/>
    </w:rPr>
  </w:style>
  <w:style w:type="paragraph" w:styleId="Heading2">
    <w:name w:val="heading 2"/>
    <w:basedOn w:val="Normal"/>
    <w:next w:val="BodyText"/>
    <w:link w:val="Heading2Char"/>
    <w:uiPriority w:val="9"/>
    <w:qFormat/>
    <w:rsid w:val="00CD7132"/>
    <w:pPr>
      <w:keepNext/>
      <w:numPr>
        <w:ilvl w:val="1"/>
        <w:numId w:val="4"/>
      </w:numPr>
      <w:spacing w:after="240"/>
      <w:jc w:val="both"/>
      <w:outlineLvl w:val="1"/>
    </w:pPr>
    <w:rPr>
      <w:rFonts w:cs="Arial"/>
      <w:bCs/>
      <w:iCs/>
      <w:szCs w:val="28"/>
    </w:rPr>
  </w:style>
  <w:style w:type="paragraph" w:styleId="Heading3">
    <w:name w:val="heading 3"/>
    <w:basedOn w:val="BodyText"/>
    <w:next w:val="BodyText"/>
    <w:link w:val="Heading3Char"/>
    <w:uiPriority w:val="9"/>
    <w:qFormat/>
    <w:rsid w:val="00CD7132"/>
    <w:pPr>
      <w:numPr>
        <w:ilvl w:val="2"/>
        <w:numId w:val="4"/>
      </w:numPr>
      <w:spacing w:after="240"/>
      <w:jc w:val="both"/>
      <w:outlineLvl w:val="2"/>
    </w:pPr>
  </w:style>
  <w:style w:type="paragraph" w:styleId="Heading4">
    <w:name w:val="heading 4"/>
    <w:basedOn w:val="Normal"/>
    <w:next w:val="Normal"/>
    <w:link w:val="Heading4Char"/>
    <w:uiPriority w:val="9"/>
    <w:qFormat/>
    <w:rsid w:val="00CD7132"/>
    <w:pPr>
      <w:keepNext/>
      <w:numPr>
        <w:ilvl w:val="3"/>
        <w:numId w:val="4"/>
      </w:numPr>
      <w:spacing w:before="240" w:after="60"/>
      <w:outlineLvl w:val="3"/>
    </w:pPr>
    <w:rPr>
      <w:b/>
      <w:bCs/>
      <w:sz w:val="28"/>
      <w:szCs w:val="28"/>
    </w:rPr>
  </w:style>
  <w:style w:type="paragraph" w:styleId="Heading5">
    <w:name w:val="heading 5"/>
    <w:basedOn w:val="Normal"/>
    <w:next w:val="Normal"/>
    <w:link w:val="Heading5Char"/>
    <w:uiPriority w:val="9"/>
    <w:qFormat/>
    <w:rsid w:val="00CD7132"/>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
    <w:qFormat/>
    <w:rsid w:val="00CD7132"/>
    <w:pPr>
      <w:numPr>
        <w:ilvl w:val="5"/>
        <w:numId w:val="4"/>
      </w:numPr>
      <w:spacing w:before="240" w:after="60"/>
      <w:outlineLvl w:val="5"/>
    </w:pPr>
    <w:rPr>
      <w:b/>
      <w:bCs/>
      <w:sz w:val="22"/>
      <w:szCs w:val="22"/>
    </w:rPr>
  </w:style>
  <w:style w:type="paragraph" w:styleId="Heading7">
    <w:name w:val="heading 7"/>
    <w:basedOn w:val="Normal"/>
    <w:next w:val="Normal"/>
    <w:link w:val="Heading7Char"/>
    <w:uiPriority w:val="9"/>
    <w:qFormat/>
    <w:rsid w:val="00CD7132"/>
    <w:pPr>
      <w:numPr>
        <w:ilvl w:val="6"/>
        <w:numId w:val="4"/>
      </w:numPr>
      <w:spacing w:before="240" w:after="60"/>
      <w:outlineLvl w:val="6"/>
    </w:pPr>
  </w:style>
  <w:style w:type="paragraph" w:styleId="Heading8">
    <w:name w:val="heading 8"/>
    <w:basedOn w:val="Normal"/>
    <w:next w:val="Normal"/>
    <w:link w:val="Heading8Char"/>
    <w:uiPriority w:val="9"/>
    <w:qFormat/>
    <w:rsid w:val="00CD7132"/>
    <w:pPr>
      <w:numPr>
        <w:ilvl w:val="7"/>
        <w:numId w:val="4"/>
      </w:numPr>
      <w:spacing w:before="240" w:after="60"/>
      <w:outlineLvl w:val="7"/>
    </w:pPr>
    <w:rPr>
      <w:i/>
      <w:iCs/>
    </w:rPr>
  </w:style>
  <w:style w:type="paragraph" w:styleId="Heading9">
    <w:name w:val="heading 9"/>
    <w:basedOn w:val="Normal"/>
    <w:next w:val="Normal"/>
    <w:link w:val="Heading9Char"/>
    <w:uiPriority w:val="9"/>
    <w:qFormat/>
    <w:rsid w:val="00CD7132"/>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uiPriority w:val="99"/>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uiPriority w:val="9"/>
    <w:rsid w:val="00CD7132"/>
    <w:rPr>
      <w:rFonts w:cs="Arial"/>
      <w:bCs/>
      <w:kern w:val="32"/>
      <w:sz w:val="24"/>
      <w:szCs w:val="32"/>
    </w:rPr>
  </w:style>
  <w:style w:type="character" w:customStyle="1" w:styleId="Heading9Char">
    <w:name w:val="Heading 9 Char"/>
    <w:link w:val="Heading9"/>
    <w:uiPriority w:val="9"/>
    <w:rsid w:val="00CD7132"/>
    <w:rPr>
      <w:rFonts w:ascii="Arial" w:hAnsi="Arial" w:cs="Arial"/>
      <w:sz w:val="22"/>
      <w:szCs w:val="22"/>
    </w:rPr>
  </w:style>
  <w:style w:type="paragraph" w:styleId="BodyText">
    <w:name w:val="Body Text"/>
    <w:basedOn w:val="Normal"/>
    <w:link w:val="BodyTextChar"/>
    <w:uiPriority w:val="99"/>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uiPriority w:val="9"/>
    <w:rsid w:val="00CD7132"/>
    <w:rPr>
      <w:rFonts w:cs="Arial"/>
      <w:bCs/>
      <w:iCs/>
      <w:sz w:val="24"/>
      <w:szCs w:val="28"/>
    </w:rPr>
  </w:style>
  <w:style w:type="character" w:customStyle="1" w:styleId="Heading3Char">
    <w:name w:val="Heading 3 Char"/>
    <w:link w:val="Heading3"/>
    <w:uiPriority w:val="9"/>
    <w:rsid w:val="00CD7132"/>
    <w:rPr>
      <w:sz w:val="24"/>
      <w:szCs w:val="24"/>
    </w:rPr>
  </w:style>
  <w:style w:type="character" w:customStyle="1" w:styleId="Heading4Char">
    <w:name w:val="Heading 4 Char"/>
    <w:link w:val="Heading4"/>
    <w:uiPriority w:val="9"/>
    <w:rsid w:val="00CD7132"/>
    <w:rPr>
      <w:b/>
      <w:bCs/>
      <w:sz w:val="28"/>
      <w:szCs w:val="28"/>
    </w:rPr>
  </w:style>
  <w:style w:type="character" w:customStyle="1" w:styleId="Heading5Char">
    <w:name w:val="Heading 5 Char"/>
    <w:link w:val="Heading5"/>
    <w:uiPriority w:val="9"/>
    <w:rsid w:val="00CD7132"/>
    <w:rPr>
      <w:b/>
      <w:bCs/>
      <w:i/>
      <w:iCs/>
      <w:sz w:val="26"/>
      <w:szCs w:val="26"/>
    </w:rPr>
  </w:style>
  <w:style w:type="character" w:customStyle="1" w:styleId="Heading6Char">
    <w:name w:val="Heading 6 Char"/>
    <w:link w:val="Heading6"/>
    <w:uiPriority w:val="9"/>
    <w:rsid w:val="00CD7132"/>
    <w:rPr>
      <w:b/>
      <w:bCs/>
      <w:sz w:val="22"/>
      <w:szCs w:val="22"/>
    </w:rPr>
  </w:style>
  <w:style w:type="character" w:customStyle="1" w:styleId="Heading7Char">
    <w:name w:val="Heading 7 Char"/>
    <w:link w:val="Heading7"/>
    <w:uiPriority w:val="9"/>
    <w:rsid w:val="00CD7132"/>
    <w:rPr>
      <w:sz w:val="24"/>
      <w:szCs w:val="24"/>
    </w:rPr>
  </w:style>
  <w:style w:type="character" w:customStyle="1" w:styleId="Heading8Char">
    <w:name w:val="Heading 8 Char"/>
    <w:link w:val="Heading8"/>
    <w:uiPriority w:val="9"/>
    <w:rsid w:val="00CD7132"/>
    <w:rPr>
      <w:i/>
      <w:iCs/>
      <w:sz w:val="24"/>
      <w:szCs w:val="24"/>
    </w:rPr>
  </w:style>
  <w:style w:type="paragraph" w:customStyle="1" w:styleId="Level2">
    <w:name w:val="Level 2"/>
    <w:rsid w:val="00803F09"/>
    <w:pPr>
      <w:autoSpaceDE w:val="0"/>
      <w:autoSpaceDN w:val="0"/>
      <w:adjustRightInd w:val="0"/>
      <w:ind w:left="1440"/>
    </w:pPr>
    <w:rPr>
      <w:sz w:val="24"/>
      <w:szCs w:val="24"/>
    </w:rPr>
  </w:style>
  <w:style w:type="paragraph" w:styleId="ListParagraph">
    <w:name w:val="List Paragraph"/>
    <w:basedOn w:val="Normal"/>
    <w:uiPriority w:val="34"/>
    <w:qFormat/>
    <w:rsid w:val="00803F09"/>
    <w:pPr>
      <w:ind w:left="720"/>
      <w:contextualSpacing/>
    </w:pPr>
  </w:style>
  <w:style w:type="paragraph" w:styleId="Date">
    <w:name w:val="Date"/>
    <w:basedOn w:val="Normal"/>
    <w:next w:val="Normal"/>
    <w:link w:val="DateChar"/>
    <w:uiPriority w:val="99"/>
    <w:unhideWhenUsed/>
    <w:rsid w:val="00803F09"/>
    <w:rPr>
      <w:rFonts w:ascii="Calibri" w:eastAsia="Calibri" w:hAnsi="Calibri"/>
    </w:rPr>
  </w:style>
  <w:style w:type="character" w:customStyle="1" w:styleId="DateChar">
    <w:name w:val="Date Char"/>
    <w:basedOn w:val="DefaultParagraphFont"/>
    <w:link w:val="Date"/>
    <w:uiPriority w:val="99"/>
    <w:rsid w:val="00803F09"/>
    <w:rPr>
      <w:rFonts w:ascii="Calibri" w:eastAsia="Calibri" w:hAnsi="Calibri"/>
      <w:sz w:val="24"/>
      <w:szCs w:val="24"/>
    </w:rPr>
  </w:style>
  <w:style w:type="paragraph" w:styleId="BodyText2">
    <w:name w:val="Body Text 2"/>
    <w:basedOn w:val="Normal"/>
    <w:link w:val="BodyText2Char"/>
    <w:uiPriority w:val="99"/>
    <w:rsid w:val="00803F09"/>
    <w:pPr>
      <w:spacing w:line="480" w:lineRule="auto"/>
      <w:ind w:firstLine="720"/>
      <w:jc w:val="both"/>
    </w:pPr>
  </w:style>
  <w:style w:type="character" w:customStyle="1" w:styleId="BodyText2Char">
    <w:name w:val="Body Text 2 Char"/>
    <w:basedOn w:val="DefaultParagraphFont"/>
    <w:link w:val="BodyText2"/>
    <w:uiPriority w:val="99"/>
    <w:rsid w:val="00803F09"/>
    <w:rPr>
      <w:sz w:val="24"/>
      <w:szCs w:val="24"/>
    </w:rPr>
  </w:style>
  <w:style w:type="character" w:customStyle="1" w:styleId="WitnessandExhibitTableHeader">
    <w:name w:val="Witness and Exhibit Table Header"/>
    <w:rsid w:val="00803F09"/>
    <w:rPr>
      <w:u w:val="single"/>
    </w:rPr>
  </w:style>
  <w:style w:type="paragraph" w:customStyle="1" w:styleId="PrehearingBody">
    <w:name w:val="Prehearing Body"/>
    <w:basedOn w:val="Normal"/>
    <w:link w:val="PrehearingBodyCharChar"/>
    <w:rsid w:val="00803F09"/>
    <w:pPr>
      <w:spacing w:after="240"/>
      <w:ind w:firstLine="720"/>
      <w:jc w:val="both"/>
    </w:pPr>
    <w:rPr>
      <w:lang w:val="x-none" w:eastAsia="x-none"/>
    </w:rPr>
  </w:style>
  <w:style w:type="character" w:customStyle="1" w:styleId="PrehearingBodyCharChar">
    <w:name w:val="Prehearing Body Char Char"/>
    <w:link w:val="PrehearingBody"/>
    <w:rsid w:val="00803F09"/>
    <w:rPr>
      <w:sz w:val="24"/>
      <w:szCs w:val="24"/>
      <w:lang w:val="x-none" w:eastAsia="x-none"/>
    </w:rPr>
  </w:style>
  <w:style w:type="paragraph" w:styleId="NoSpacing">
    <w:name w:val="No Spacing"/>
    <w:uiPriority w:val="1"/>
    <w:qFormat/>
    <w:rsid w:val="00803F09"/>
    <w:rPr>
      <w:rFonts w:eastAsiaTheme="minorHAnsi" w:cstheme="minorBidi"/>
      <w:sz w:val="24"/>
      <w:szCs w:val="22"/>
    </w:rPr>
  </w:style>
  <w:style w:type="character" w:customStyle="1" w:styleId="FootnoteTextChar">
    <w:name w:val="Footnote Text Char"/>
    <w:basedOn w:val="DefaultParagraphFont"/>
    <w:link w:val="FootnoteText"/>
    <w:uiPriority w:val="99"/>
    <w:rsid w:val="00803F09"/>
  </w:style>
  <w:style w:type="paragraph" w:customStyle="1" w:styleId="PrehearingHeading">
    <w:name w:val="Prehearing Heading"/>
    <w:basedOn w:val="Normal"/>
    <w:next w:val="Normal"/>
    <w:link w:val="PrehearingHeadingChar"/>
    <w:rsid w:val="00803F09"/>
    <w:pPr>
      <w:spacing w:after="480"/>
      <w:jc w:val="center"/>
    </w:pPr>
  </w:style>
  <w:style w:type="paragraph" w:customStyle="1" w:styleId="PrehearingHeader">
    <w:name w:val="Prehearing Header"/>
    <w:basedOn w:val="Header"/>
    <w:rsid w:val="00803F09"/>
    <w:pPr>
      <w:jc w:val="both"/>
    </w:pPr>
  </w:style>
  <w:style w:type="paragraph" w:customStyle="1" w:styleId="PrehearingDocketInfo">
    <w:name w:val="Prehearing Docket Info"/>
    <w:rsid w:val="00803F09"/>
    <w:rPr>
      <w:sz w:val="24"/>
      <w:szCs w:val="24"/>
    </w:rPr>
  </w:style>
  <w:style w:type="paragraph" w:customStyle="1" w:styleId="PrehearingSectionHeading">
    <w:name w:val="Prehearing Section Heading"/>
    <w:basedOn w:val="Heading2"/>
    <w:next w:val="PrehearingBody"/>
    <w:rsid w:val="00803F09"/>
  </w:style>
  <w:style w:type="character" w:customStyle="1" w:styleId="PrehearingSection">
    <w:name w:val="Prehearing Section"/>
    <w:rsid w:val="00803F09"/>
    <w:rPr>
      <w:u w:val="single"/>
    </w:rPr>
  </w:style>
  <w:style w:type="character" w:customStyle="1" w:styleId="PrehearingHeadingChar">
    <w:name w:val="Prehearing Heading Char"/>
    <w:link w:val="PrehearingHeading"/>
    <w:rsid w:val="00803F09"/>
    <w:rPr>
      <w:sz w:val="24"/>
      <w:szCs w:val="24"/>
    </w:rPr>
  </w:style>
  <w:style w:type="paragraph" w:customStyle="1" w:styleId="Attorney">
    <w:name w:val="Attorney"/>
    <w:basedOn w:val="Normal"/>
    <w:rsid w:val="00803F09"/>
    <w:pPr>
      <w:jc w:val="both"/>
    </w:pPr>
  </w:style>
  <w:style w:type="character" w:styleId="Strong">
    <w:name w:val="Strong"/>
    <w:basedOn w:val="DefaultParagraphFont"/>
    <w:uiPriority w:val="22"/>
    <w:qFormat/>
    <w:rsid w:val="00803F09"/>
    <w:rPr>
      <w:b/>
      <w:bCs/>
    </w:rPr>
  </w:style>
  <w:style w:type="character" w:styleId="Hyperlink">
    <w:name w:val="Hyperlink"/>
    <w:basedOn w:val="DefaultParagraphFont"/>
    <w:uiPriority w:val="99"/>
    <w:unhideWhenUsed/>
    <w:rsid w:val="00803F09"/>
    <w:rPr>
      <w:color w:val="0000FF" w:themeColor="hyperlink"/>
      <w:u w:val="single"/>
    </w:rPr>
  </w:style>
  <w:style w:type="paragraph" w:styleId="BalloonText">
    <w:name w:val="Balloon Text"/>
    <w:basedOn w:val="Normal"/>
    <w:link w:val="BalloonTextChar"/>
    <w:uiPriority w:val="99"/>
    <w:rsid w:val="00803F09"/>
    <w:rPr>
      <w:rFonts w:ascii="Tahoma" w:hAnsi="Tahoma" w:cs="Tahoma"/>
      <w:sz w:val="16"/>
      <w:szCs w:val="16"/>
    </w:rPr>
  </w:style>
  <w:style w:type="character" w:customStyle="1" w:styleId="BalloonTextChar">
    <w:name w:val="Balloon Text Char"/>
    <w:basedOn w:val="DefaultParagraphFont"/>
    <w:link w:val="BalloonText"/>
    <w:uiPriority w:val="99"/>
    <w:rsid w:val="00803F09"/>
    <w:rPr>
      <w:rFonts w:ascii="Tahoma" w:hAnsi="Tahoma" w:cs="Tahoma"/>
      <w:sz w:val="16"/>
      <w:szCs w:val="16"/>
    </w:rPr>
  </w:style>
  <w:style w:type="character" w:customStyle="1" w:styleId="FooterChar">
    <w:name w:val="Footer Char"/>
    <w:link w:val="Footer"/>
    <w:uiPriority w:val="99"/>
    <w:rsid w:val="00803F09"/>
    <w:rPr>
      <w:sz w:val="24"/>
      <w:szCs w:val="24"/>
    </w:rPr>
  </w:style>
  <w:style w:type="character" w:styleId="CommentReference">
    <w:name w:val="annotation reference"/>
    <w:basedOn w:val="DefaultParagraphFont"/>
    <w:uiPriority w:val="99"/>
    <w:unhideWhenUsed/>
    <w:rsid w:val="00803F09"/>
    <w:rPr>
      <w:sz w:val="16"/>
      <w:szCs w:val="16"/>
    </w:rPr>
  </w:style>
  <w:style w:type="paragraph" w:styleId="CommentText">
    <w:name w:val="annotation text"/>
    <w:basedOn w:val="Normal"/>
    <w:link w:val="CommentTextChar"/>
    <w:uiPriority w:val="99"/>
    <w:unhideWhenUsed/>
    <w:rsid w:val="00803F0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03F09"/>
    <w:rPr>
      <w:rFonts w:asciiTheme="minorHAnsi" w:eastAsiaTheme="minorHAnsi" w:hAnsiTheme="minorHAnsi" w:cstheme="minorBidi"/>
    </w:rPr>
  </w:style>
  <w:style w:type="numbering" w:styleId="111111">
    <w:name w:val="Outline List 2"/>
    <w:basedOn w:val="NoList"/>
    <w:rsid w:val="00803F09"/>
    <w:pPr>
      <w:numPr>
        <w:numId w:val="3"/>
      </w:numPr>
    </w:pPr>
  </w:style>
  <w:style w:type="numbering" w:styleId="1ai">
    <w:name w:val="Outline List 1"/>
    <w:basedOn w:val="NoList"/>
    <w:rsid w:val="00803F09"/>
    <w:pPr>
      <w:numPr>
        <w:numId w:val="5"/>
      </w:numPr>
    </w:pPr>
  </w:style>
  <w:style w:type="numbering" w:styleId="ArticleSection">
    <w:name w:val="Outline List 3"/>
    <w:basedOn w:val="NoList"/>
    <w:rsid w:val="00803F09"/>
    <w:pPr>
      <w:numPr>
        <w:numId w:val="6"/>
      </w:numPr>
    </w:pPr>
  </w:style>
  <w:style w:type="paragraph" w:styleId="BlockText">
    <w:name w:val="Block Text"/>
    <w:basedOn w:val="Normal"/>
    <w:uiPriority w:val="99"/>
    <w:unhideWhenUsed/>
    <w:rsid w:val="00803F09"/>
    <w:pPr>
      <w:spacing w:after="120"/>
      <w:ind w:left="1440" w:right="1440"/>
    </w:pPr>
    <w:rPr>
      <w:rFonts w:asciiTheme="minorHAnsi" w:eastAsiaTheme="minorHAnsi" w:hAnsiTheme="minorHAnsi"/>
    </w:rPr>
  </w:style>
  <w:style w:type="paragraph" w:styleId="BodyText3">
    <w:name w:val="Body Text 3"/>
    <w:basedOn w:val="Normal"/>
    <w:link w:val="BodyText3Char"/>
    <w:uiPriority w:val="99"/>
    <w:unhideWhenUsed/>
    <w:rsid w:val="00803F09"/>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rsid w:val="00803F09"/>
    <w:rPr>
      <w:rFonts w:asciiTheme="minorHAnsi" w:eastAsiaTheme="minorHAnsi" w:hAnsiTheme="minorHAnsi"/>
      <w:sz w:val="16"/>
      <w:szCs w:val="16"/>
    </w:rPr>
  </w:style>
  <w:style w:type="paragraph" w:styleId="BodyTextFirstIndent">
    <w:name w:val="Body Text First Indent"/>
    <w:basedOn w:val="BodyText"/>
    <w:link w:val="BodyTextFirstIndentChar"/>
    <w:uiPriority w:val="99"/>
    <w:unhideWhenUsed/>
    <w:rsid w:val="00803F09"/>
    <w:pPr>
      <w:ind w:firstLine="210"/>
    </w:pPr>
    <w:rPr>
      <w:rFonts w:asciiTheme="minorHAnsi" w:eastAsiaTheme="minorHAnsi" w:hAnsiTheme="minorHAnsi"/>
    </w:rPr>
  </w:style>
  <w:style w:type="character" w:customStyle="1" w:styleId="BodyTextFirstIndentChar">
    <w:name w:val="Body Text First Indent Char"/>
    <w:basedOn w:val="BodyTextChar"/>
    <w:link w:val="BodyTextFirstIndent"/>
    <w:uiPriority w:val="99"/>
    <w:rsid w:val="00803F09"/>
    <w:rPr>
      <w:rFonts w:asciiTheme="minorHAnsi" w:eastAsiaTheme="minorHAnsi" w:hAnsiTheme="minorHAnsi"/>
      <w:sz w:val="24"/>
      <w:szCs w:val="24"/>
    </w:rPr>
  </w:style>
  <w:style w:type="paragraph" w:styleId="BodyTextIndent">
    <w:name w:val="Body Text Indent"/>
    <w:basedOn w:val="Normal"/>
    <w:link w:val="BodyTextIndentChar"/>
    <w:uiPriority w:val="99"/>
    <w:unhideWhenUsed/>
    <w:rsid w:val="00803F09"/>
    <w:pPr>
      <w:spacing w:after="120"/>
      <w:ind w:left="360"/>
    </w:pPr>
    <w:rPr>
      <w:rFonts w:asciiTheme="minorHAnsi" w:eastAsiaTheme="minorHAnsi" w:hAnsiTheme="minorHAnsi"/>
    </w:rPr>
  </w:style>
  <w:style w:type="character" w:customStyle="1" w:styleId="BodyTextIndentChar">
    <w:name w:val="Body Text Indent Char"/>
    <w:basedOn w:val="DefaultParagraphFont"/>
    <w:link w:val="BodyTextIndent"/>
    <w:uiPriority w:val="99"/>
    <w:rsid w:val="00803F09"/>
    <w:rPr>
      <w:rFonts w:asciiTheme="minorHAnsi" w:eastAsiaTheme="minorHAnsi" w:hAnsiTheme="minorHAnsi"/>
      <w:sz w:val="24"/>
      <w:szCs w:val="24"/>
    </w:rPr>
  </w:style>
  <w:style w:type="paragraph" w:styleId="BodyTextFirstIndent2">
    <w:name w:val="Body Text First Indent 2"/>
    <w:basedOn w:val="BodyTextIndent"/>
    <w:link w:val="BodyTextFirstIndent2Char"/>
    <w:uiPriority w:val="99"/>
    <w:unhideWhenUsed/>
    <w:rsid w:val="00803F09"/>
    <w:pPr>
      <w:ind w:firstLine="210"/>
    </w:pPr>
  </w:style>
  <w:style w:type="character" w:customStyle="1" w:styleId="BodyTextFirstIndent2Char">
    <w:name w:val="Body Text First Indent 2 Char"/>
    <w:basedOn w:val="BodyTextIndentChar"/>
    <w:link w:val="BodyTextFirstIndent2"/>
    <w:uiPriority w:val="99"/>
    <w:rsid w:val="00803F09"/>
    <w:rPr>
      <w:rFonts w:asciiTheme="minorHAnsi" w:eastAsiaTheme="minorHAnsi" w:hAnsiTheme="minorHAnsi"/>
      <w:sz w:val="24"/>
      <w:szCs w:val="24"/>
    </w:rPr>
  </w:style>
  <w:style w:type="paragraph" w:styleId="BodyTextIndent2">
    <w:name w:val="Body Text Indent 2"/>
    <w:basedOn w:val="Normal"/>
    <w:link w:val="BodyTextIndent2Char"/>
    <w:uiPriority w:val="99"/>
    <w:unhideWhenUsed/>
    <w:rsid w:val="00803F09"/>
    <w:pPr>
      <w:spacing w:after="120" w:line="480" w:lineRule="auto"/>
      <w:ind w:left="360"/>
    </w:pPr>
    <w:rPr>
      <w:rFonts w:asciiTheme="minorHAnsi" w:eastAsiaTheme="minorHAnsi" w:hAnsiTheme="minorHAnsi"/>
    </w:rPr>
  </w:style>
  <w:style w:type="character" w:customStyle="1" w:styleId="BodyTextIndent2Char">
    <w:name w:val="Body Text Indent 2 Char"/>
    <w:basedOn w:val="DefaultParagraphFont"/>
    <w:link w:val="BodyTextIndent2"/>
    <w:uiPriority w:val="99"/>
    <w:rsid w:val="00803F09"/>
    <w:rPr>
      <w:rFonts w:asciiTheme="minorHAnsi" w:eastAsiaTheme="minorHAnsi" w:hAnsiTheme="minorHAnsi"/>
      <w:sz w:val="24"/>
      <w:szCs w:val="24"/>
    </w:rPr>
  </w:style>
  <w:style w:type="paragraph" w:styleId="BodyTextIndent3">
    <w:name w:val="Body Text Indent 3"/>
    <w:basedOn w:val="Normal"/>
    <w:link w:val="BodyTextIndent3Char"/>
    <w:uiPriority w:val="99"/>
    <w:unhideWhenUsed/>
    <w:rsid w:val="00803F09"/>
    <w:pPr>
      <w:spacing w:after="120"/>
      <w:ind w:left="360"/>
    </w:pPr>
    <w:rPr>
      <w:rFonts w:asciiTheme="minorHAnsi" w:eastAsiaTheme="minorHAnsi" w:hAnsiTheme="minorHAnsi"/>
      <w:sz w:val="16"/>
      <w:szCs w:val="16"/>
    </w:rPr>
  </w:style>
  <w:style w:type="character" w:customStyle="1" w:styleId="BodyTextIndent3Char">
    <w:name w:val="Body Text Indent 3 Char"/>
    <w:basedOn w:val="DefaultParagraphFont"/>
    <w:link w:val="BodyTextIndent3"/>
    <w:uiPriority w:val="99"/>
    <w:rsid w:val="00803F09"/>
    <w:rPr>
      <w:rFonts w:asciiTheme="minorHAnsi" w:eastAsiaTheme="minorHAnsi" w:hAnsiTheme="minorHAnsi"/>
      <w:sz w:val="16"/>
      <w:szCs w:val="16"/>
    </w:rPr>
  </w:style>
  <w:style w:type="paragraph" w:styleId="Closing">
    <w:name w:val="Closing"/>
    <w:basedOn w:val="Normal"/>
    <w:link w:val="ClosingChar"/>
    <w:uiPriority w:val="99"/>
    <w:unhideWhenUsed/>
    <w:rsid w:val="00803F09"/>
    <w:pPr>
      <w:ind w:left="4320"/>
    </w:pPr>
    <w:rPr>
      <w:rFonts w:asciiTheme="minorHAnsi" w:eastAsiaTheme="minorHAnsi" w:hAnsiTheme="minorHAnsi"/>
    </w:rPr>
  </w:style>
  <w:style w:type="character" w:customStyle="1" w:styleId="ClosingChar">
    <w:name w:val="Closing Char"/>
    <w:basedOn w:val="DefaultParagraphFont"/>
    <w:link w:val="Closing"/>
    <w:uiPriority w:val="99"/>
    <w:rsid w:val="00803F09"/>
    <w:rPr>
      <w:rFonts w:asciiTheme="minorHAnsi" w:eastAsiaTheme="minorHAnsi" w:hAnsiTheme="minorHAnsi"/>
      <w:sz w:val="24"/>
      <w:szCs w:val="24"/>
    </w:rPr>
  </w:style>
  <w:style w:type="paragraph" w:styleId="E-mailSignature">
    <w:name w:val="E-mail Signature"/>
    <w:basedOn w:val="Normal"/>
    <w:link w:val="E-mailSignatureChar"/>
    <w:uiPriority w:val="99"/>
    <w:unhideWhenUsed/>
    <w:rsid w:val="00803F09"/>
    <w:rPr>
      <w:rFonts w:asciiTheme="minorHAnsi" w:eastAsiaTheme="minorHAnsi" w:hAnsiTheme="minorHAnsi"/>
    </w:rPr>
  </w:style>
  <w:style w:type="character" w:customStyle="1" w:styleId="E-mailSignatureChar">
    <w:name w:val="E-mail Signature Char"/>
    <w:basedOn w:val="DefaultParagraphFont"/>
    <w:link w:val="E-mailSignature"/>
    <w:uiPriority w:val="99"/>
    <w:rsid w:val="00803F09"/>
    <w:rPr>
      <w:rFonts w:asciiTheme="minorHAnsi" w:eastAsiaTheme="minorHAnsi" w:hAnsiTheme="minorHAnsi"/>
      <w:sz w:val="24"/>
      <w:szCs w:val="24"/>
    </w:rPr>
  </w:style>
  <w:style w:type="character" w:styleId="Emphasis">
    <w:name w:val="Emphasis"/>
    <w:basedOn w:val="DefaultParagraphFont"/>
    <w:uiPriority w:val="20"/>
    <w:qFormat/>
    <w:rsid w:val="00803F09"/>
    <w:rPr>
      <w:rFonts w:asciiTheme="minorHAnsi" w:hAnsiTheme="minorHAnsi"/>
      <w:b/>
      <w:i/>
      <w:iCs/>
    </w:rPr>
  </w:style>
  <w:style w:type="paragraph" w:styleId="EnvelopeAddress">
    <w:name w:val="envelope address"/>
    <w:basedOn w:val="Normal"/>
    <w:uiPriority w:val="99"/>
    <w:unhideWhenUsed/>
    <w:rsid w:val="00803F09"/>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unhideWhenUsed/>
    <w:rsid w:val="00803F09"/>
    <w:rPr>
      <w:rFonts w:ascii="Arial" w:eastAsiaTheme="minorHAnsi" w:hAnsi="Arial" w:cs="Arial"/>
      <w:sz w:val="20"/>
      <w:szCs w:val="20"/>
    </w:rPr>
  </w:style>
  <w:style w:type="character" w:styleId="FollowedHyperlink">
    <w:name w:val="FollowedHyperlink"/>
    <w:basedOn w:val="DefaultParagraphFont"/>
    <w:uiPriority w:val="99"/>
    <w:unhideWhenUsed/>
    <w:rsid w:val="00803F09"/>
    <w:rPr>
      <w:color w:val="800080"/>
      <w:u w:val="single"/>
    </w:rPr>
  </w:style>
  <w:style w:type="character" w:styleId="HTMLAcronym">
    <w:name w:val="HTML Acronym"/>
    <w:basedOn w:val="DefaultParagraphFont"/>
    <w:uiPriority w:val="99"/>
    <w:unhideWhenUsed/>
    <w:rsid w:val="00803F09"/>
  </w:style>
  <w:style w:type="paragraph" w:styleId="HTMLAddress">
    <w:name w:val="HTML Address"/>
    <w:basedOn w:val="Normal"/>
    <w:link w:val="HTMLAddressChar"/>
    <w:uiPriority w:val="99"/>
    <w:unhideWhenUsed/>
    <w:rsid w:val="00803F09"/>
    <w:rPr>
      <w:rFonts w:asciiTheme="minorHAnsi" w:eastAsiaTheme="minorHAnsi" w:hAnsiTheme="minorHAnsi"/>
      <w:i/>
      <w:iCs/>
    </w:rPr>
  </w:style>
  <w:style w:type="character" w:customStyle="1" w:styleId="HTMLAddressChar">
    <w:name w:val="HTML Address Char"/>
    <w:basedOn w:val="DefaultParagraphFont"/>
    <w:link w:val="HTMLAddress"/>
    <w:uiPriority w:val="99"/>
    <w:rsid w:val="00803F09"/>
    <w:rPr>
      <w:rFonts w:asciiTheme="minorHAnsi" w:eastAsiaTheme="minorHAnsi" w:hAnsiTheme="minorHAnsi"/>
      <w:i/>
      <w:iCs/>
      <w:sz w:val="24"/>
      <w:szCs w:val="24"/>
    </w:rPr>
  </w:style>
  <w:style w:type="character" w:styleId="HTMLCite">
    <w:name w:val="HTML Cite"/>
    <w:basedOn w:val="DefaultParagraphFont"/>
    <w:uiPriority w:val="99"/>
    <w:unhideWhenUsed/>
    <w:rsid w:val="00803F09"/>
    <w:rPr>
      <w:i/>
      <w:iCs/>
    </w:rPr>
  </w:style>
  <w:style w:type="character" w:styleId="HTMLCode">
    <w:name w:val="HTML Code"/>
    <w:basedOn w:val="DefaultParagraphFont"/>
    <w:uiPriority w:val="99"/>
    <w:unhideWhenUsed/>
    <w:rsid w:val="00803F09"/>
    <w:rPr>
      <w:rFonts w:ascii="Courier New" w:hAnsi="Courier New" w:cs="Courier New"/>
      <w:sz w:val="20"/>
      <w:szCs w:val="20"/>
    </w:rPr>
  </w:style>
  <w:style w:type="character" w:styleId="HTMLDefinition">
    <w:name w:val="HTML Definition"/>
    <w:basedOn w:val="DefaultParagraphFont"/>
    <w:uiPriority w:val="99"/>
    <w:unhideWhenUsed/>
    <w:rsid w:val="00803F09"/>
    <w:rPr>
      <w:i/>
      <w:iCs/>
    </w:rPr>
  </w:style>
  <w:style w:type="character" w:styleId="HTMLKeyboard">
    <w:name w:val="HTML Keyboard"/>
    <w:basedOn w:val="DefaultParagraphFont"/>
    <w:uiPriority w:val="99"/>
    <w:unhideWhenUsed/>
    <w:rsid w:val="00803F09"/>
    <w:rPr>
      <w:rFonts w:ascii="Courier New" w:hAnsi="Courier New" w:cs="Courier New"/>
      <w:sz w:val="20"/>
      <w:szCs w:val="20"/>
    </w:rPr>
  </w:style>
  <w:style w:type="paragraph" w:styleId="HTMLPreformatted">
    <w:name w:val="HTML Preformatted"/>
    <w:basedOn w:val="Normal"/>
    <w:link w:val="HTMLPreformattedChar"/>
    <w:uiPriority w:val="99"/>
    <w:unhideWhenUsed/>
    <w:rsid w:val="00803F09"/>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803F09"/>
    <w:rPr>
      <w:rFonts w:ascii="Courier New" w:eastAsiaTheme="minorHAnsi" w:hAnsi="Courier New" w:cs="Courier New"/>
    </w:rPr>
  </w:style>
  <w:style w:type="character" w:styleId="HTMLSample">
    <w:name w:val="HTML Sample"/>
    <w:basedOn w:val="DefaultParagraphFont"/>
    <w:uiPriority w:val="99"/>
    <w:unhideWhenUsed/>
    <w:rsid w:val="00803F09"/>
    <w:rPr>
      <w:rFonts w:ascii="Courier New" w:hAnsi="Courier New" w:cs="Courier New"/>
    </w:rPr>
  </w:style>
  <w:style w:type="character" w:styleId="HTMLTypewriter">
    <w:name w:val="HTML Typewriter"/>
    <w:basedOn w:val="DefaultParagraphFont"/>
    <w:uiPriority w:val="99"/>
    <w:unhideWhenUsed/>
    <w:rsid w:val="00803F09"/>
    <w:rPr>
      <w:rFonts w:ascii="Courier New" w:hAnsi="Courier New" w:cs="Courier New"/>
      <w:sz w:val="20"/>
      <w:szCs w:val="20"/>
    </w:rPr>
  </w:style>
  <w:style w:type="character" w:styleId="HTMLVariable">
    <w:name w:val="HTML Variable"/>
    <w:basedOn w:val="DefaultParagraphFont"/>
    <w:uiPriority w:val="99"/>
    <w:unhideWhenUsed/>
    <w:rsid w:val="00803F09"/>
    <w:rPr>
      <w:i/>
      <w:iCs/>
    </w:rPr>
  </w:style>
  <w:style w:type="character" w:styleId="LineNumber">
    <w:name w:val="line number"/>
    <w:basedOn w:val="DefaultParagraphFont"/>
    <w:uiPriority w:val="99"/>
    <w:unhideWhenUsed/>
    <w:rsid w:val="00803F09"/>
  </w:style>
  <w:style w:type="paragraph" w:styleId="List">
    <w:name w:val="List"/>
    <w:basedOn w:val="Normal"/>
    <w:uiPriority w:val="99"/>
    <w:unhideWhenUsed/>
    <w:rsid w:val="00803F09"/>
    <w:pPr>
      <w:ind w:left="360" w:hanging="360"/>
    </w:pPr>
    <w:rPr>
      <w:rFonts w:asciiTheme="minorHAnsi" w:eastAsiaTheme="minorHAnsi" w:hAnsiTheme="minorHAnsi"/>
    </w:rPr>
  </w:style>
  <w:style w:type="paragraph" w:styleId="List2">
    <w:name w:val="List 2"/>
    <w:basedOn w:val="Normal"/>
    <w:uiPriority w:val="99"/>
    <w:unhideWhenUsed/>
    <w:rsid w:val="00803F09"/>
    <w:pPr>
      <w:ind w:left="720" w:hanging="360"/>
    </w:pPr>
    <w:rPr>
      <w:rFonts w:asciiTheme="minorHAnsi" w:eastAsiaTheme="minorHAnsi" w:hAnsiTheme="minorHAnsi"/>
    </w:rPr>
  </w:style>
  <w:style w:type="paragraph" w:styleId="List3">
    <w:name w:val="List 3"/>
    <w:basedOn w:val="Normal"/>
    <w:uiPriority w:val="99"/>
    <w:unhideWhenUsed/>
    <w:rsid w:val="00803F09"/>
    <w:pPr>
      <w:ind w:left="1080" w:hanging="360"/>
    </w:pPr>
    <w:rPr>
      <w:rFonts w:asciiTheme="minorHAnsi" w:eastAsiaTheme="minorHAnsi" w:hAnsiTheme="minorHAnsi"/>
    </w:rPr>
  </w:style>
  <w:style w:type="paragraph" w:styleId="List4">
    <w:name w:val="List 4"/>
    <w:basedOn w:val="Normal"/>
    <w:uiPriority w:val="99"/>
    <w:unhideWhenUsed/>
    <w:rsid w:val="00803F09"/>
    <w:pPr>
      <w:ind w:left="1440" w:hanging="360"/>
    </w:pPr>
    <w:rPr>
      <w:rFonts w:asciiTheme="minorHAnsi" w:eastAsiaTheme="minorHAnsi" w:hAnsiTheme="minorHAnsi"/>
    </w:rPr>
  </w:style>
  <w:style w:type="paragraph" w:styleId="List5">
    <w:name w:val="List 5"/>
    <w:basedOn w:val="Normal"/>
    <w:uiPriority w:val="99"/>
    <w:unhideWhenUsed/>
    <w:rsid w:val="00803F09"/>
    <w:pPr>
      <w:ind w:left="1800" w:hanging="360"/>
    </w:pPr>
    <w:rPr>
      <w:rFonts w:asciiTheme="minorHAnsi" w:eastAsiaTheme="minorHAnsi" w:hAnsiTheme="minorHAnsi"/>
    </w:rPr>
  </w:style>
  <w:style w:type="paragraph" w:styleId="ListBullet">
    <w:name w:val="List Bullet"/>
    <w:basedOn w:val="Normal"/>
    <w:uiPriority w:val="99"/>
    <w:unhideWhenUsed/>
    <w:rsid w:val="00803F09"/>
    <w:pPr>
      <w:numPr>
        <w:numId w:val="8"/>
      </w:numPr>
    </w:pPr>
    <w:rPr>
      <w:rFonts w:asciiTheme="minorHAnsi" w:eastAsiaTheme="minorHAnsi" w:hAnsiTheme="minorHAnsi"/>
    </w:rPr>
  </w:style>
  <w:style w:type="paragraph" w:styleId="ListBullet2">
    <w:name w:val="List Bullet 2"/>
    <w:basedOn w:val="Normal"/>
    <w:uiPriority w:val="99"/>
    <w:unhideWhenUsed/>
    <w:rsid w:val="00803F09"/>
    <w:pPr>
      <w:numPr>
        <w:numId w:val="9"/>
      </w:numPr>
    </w:pPr>
    <w:rPr>
      <w:rFonts w:asciiTheme="minorHAnsi" w:eastAsiaTheme="minorHAnsi" w:hAnsiTheme="minorHAnsi"/>
    </w:rPr>
  </w:style>
  <w:style w:type="paragraph" w:styleId="ListBullet3">
    <w:name w:val="List Bullet 3"/>
    <w:basedOn w:val="Normal"/>
    <w:uiPriority w:val="99"/>
    <w:unhideWhenUsed/>
    <w:rsid w:val="00803F09"/>
    <w:pPr>
      <w:numPr>
        <w:numId w:val="10"/>
      </w:numPr>
    </w:pPr>
    <w:rPr>
      <w:rFonts w:asciiTheme="minorHAnsi" w:eastAsiaTheme="minorHAnsi" w:hAnsiTheme="minorHAnsi"/>
    </w:rPr>
  </w:style>
  <w:style w:type="paragraph" w:styleId="ListBullet4">
    <w:name w:val="List Bullet 4"/>
    <w:basedOn w:val="Normal"/>
    <w:uiPriority w:val="99"/>
    <w:unhideWhenUsed/>
    <w:rsid w:val="00803F09"/>
    <w:pPr>
      <w:numPr>
        <w:numId w:val="11"/>
      </w:numPr>
    </w:pPr>
    <w:rPr>
      <w:rFonts w:asciiTheme="minorHAnsi" w:eastAsiaTheme="minorHAnsi" w:hAnsiTheme="minorHAnsi"/>
    </w:rPr>
  </w:style>
  <w:style w:type="paragraph" w:styleId="ListBullet5">
    <w:name w:val="List Bullet 5"/>
    <w:basedOn w:val="Normal"/>
    <w:uiPriority w:val="99"/>
    <w:unhideWhenUsed/>
    <w:rsid w:val="00803F09"/>
    <w:pPr>
      <w:numPr>
        <w:numId w:val="12"/>
      </w:numPr>
    </w:pPr>
    <w:rPr>
      <w:rFonts w:asciiTheme="minorHAnsi" w:eastAsiaTheme="minorHAnsi" w:hAnsiTheme="minorHAnsi"/>
    </w:rPr>
  </w:style>
  <w:style w:type="paragraph" w:styleId="ListContinue">
    <w:name w:val="List Continue"/>
    <w:basedOn w:val="Normal"/>
    <w:uiPriority w:val="99"/>
    <w:unhideWhenUsed/>
    <w:rsid w:val="00803F09"/>
    <w:pPr>
      <w:spacing w:after="120"/>
      <w:ind w:left="360"/>
    </w:pPr>
    <w:rPr>
      <w:rFonts w:asciiTheme="minorHAnsi" w:eastAsiaTheme="minorHAnsi" w:hAnsiTheme="minorHAnsi"/>
    </w:rPr>
  </w:style>
  <w:style w:type="paragraph" w:styleId="ListContinue2">
    <w:name w:val="List Continue 2"/>
    <w:basedOn w:val="Normal"/>
    <w:uiPriority w:val="99"/>
    <w:unhideWhenUsed/>
    <w:rsid w:val="00803F09"/>
    <w:pPr>
      <w:spacing w:after="120"/>
      <w:ind w:left="720"/>
    </w:pPr>
    <w:rPr>
      <w:rFonts w:asciiTheme="minorHAnsi" w:eastAsiaTheme="minorHAnsi" w:hAnsiTheme="minorHAnsi"/>
    </w:rPr>
  </w:style>
  <w:style w:type="paragraph" w:styleId="ListContinue3">
    <w:name w:val="List Continue 3"/>
    <w:basedOn w:val="Normal"/>
    <w:uiPriority w:val="99"/>
    <w:unhideWhenUsed/>
    <w:rsid w:val="00803F09"/>
    <w:pPr>
      <w:spacing w:after="120"/>
      <w:ind w:left="1080"/>
    </w:pPr>
    <w:rPr>
      <w:rFonts w:asciiTheme="minorHAnsi" w:eastAsiaTheme="minorHAnsi" w:hAnsiTheme="minorHAnsi"/>
    </w:rPr>
  </w:style>
  <w:style w:type="paragraph" w:styleId="ListContinue4">
    <w:name w:val="List Continue 4"/>
    <w:basedOn w:val="Normal"/>
    <w:uiPriority w:val="99"/>
    <w:unhideWhenUsed/>
    <w:rsid w:val="00803F09"/>
    <w:pPr>
      <w:spacing w:after="120"/>
      <w:ind w:left="1440"/>
    </w:pPr>
    <w:rPr>
      <w:rFonts w:asciiTheme="minorHAnsi" w:eastAsiaTheme="minorHAnsi" w:hAnsiTheme="minorHAnsi"/>
    </w:rPr>
  </w:style>
  <w:style w:type="paragraph" w:styleId="ListContinue5">
    <w:name w:val="List Continue 5"/>
    <w:basedOn w:val="Normal"/>
    <w:uiPriority w:val="99"/>
    <w:unhideWhenUsed/>
    <w:rsid w:val="00803F09"/>
    <w:pPr>
      <w:spacing w:after="120"/>
      <w:ind w:left="1800"/>
    </w:pPr>
    <w:rPr>
      <w:rFonts w:asciiTheme="minorHAnsi" w:eastAsiaTheme="minorHAnsi" w:hAnsiTheme="minorHAnsi"/>
    </w:rPr>
  </w:style>
  <w:style w:type="paragraph" w:styleId="ListNumber">
    <w:name w:val="List Number"/>
    <w:basedOn w:val="Normal"/>
    <w:uiPriority w:val="99"/>
    <w:unhideWhenUsed/>
    <w:rsid w:val="00803F09"/>
    <w:pPr>
      <w:numPr>
        <w:numId w:val="13"/>
      </w:numPr>
    </w:pPr>
    <w:rPr>
      <w:rFonts w:asciiTheme="minorHAnsi" w:eastAsiaTheme="minorHAnsi" w:hAnsiTheme="minorHAnsi"/>
    </w:rPr>
  </w:style>
  <w:style w:type="paragraph" w:styleId="ListNumber2">
    <w:name w:val="List Number 2"/>
    <w:basedOn w:val="Normal"/>
    <w:uiPriority w:val="99"/>
    <w:unhideWhenUsed/>
    <w:rsid w:val="00803F09"/>
    <w:pPr>
      <w:numPr>
        <w:numId w:val="14"/>
      </w:numPr>
    </w:pPr>
    <w:rPr>
      <w:rFonts w:asciiTheme="minorHAnsi" w:eastAsiaTheme="minorHAnsi" w:hAnsiTheme="minorHAnsi"/>
    </w:rPr>
  </w:style>
  <w:style w:type="paragraph" w:styleId="ListNumber3">
    <w:name w:val="List Number 3"/>
    <w:basedOn w:val="Normal"/>
    <w:uiPriority w:val="99"/>
    <w:unhideWhenUsed/>
    <w:rsid w:val="00803F09"/>
    <w:pPr>
      <w:numPr>
        <w:numId w:val="15"/>
      </w:numPr>
    </w:pPr>
    <w:rPr>
      <w:rFonts w:asciiTheme="minorHAnsi" w:eastAsiaTheme="minorHAnsi" w:hAnsiTheme="minorHAnsi"/>
    </w:rPr>
  </w:style>
  <w:style w:type="paragraph" w:styleId="ListNumber4">
    <w:name w:val="List Number 4"/>
    <w:basedOn w:val="Normal"/>
    <w:uiPriority w:val="99"/>
    <w:unhideWhenUsed/>
    <w:rsid w:val="00803F09"/>
    <w:pPr>
      <w:numPr>
        <w:numId w:val="16"/>
      </w:numPr>
    </w:pPr>
    <w:rPr>
      <w:rFonts w:asciiTheme="minorHAnsi" w:eastAsiaTheme="minorHAnsi" w:hAnsiTheme="minorHAnsi"/>
    </w:rPr>
  </w:style>
  <w:style w:type="paragraph" w:styleId="ListNumber5">
    <w:name w:val="List Number 5"/>
    <w:basedOn w:val="Normal"/>
    <w:uiPriority w:val="99"/>
    <w:unhideWhenUsed/>
    <w:rsid w:val="00803F09"/>
    <w:pPr>
      <w:numPr>
        <w:numId w:val="17"/>
      </w:numPr>
    </w:pPr>
    <w:rPr>
      <w:rFonts w:asciiTheme="minorHAnsi" w:eastAsiaTheme="minorHAnsi" w:hAnsiTheme="minorHAnsi"/>
    </w:rPr>
  </w:style>
  <w:style w:type="paragraph" w:styleId="MessageHeader">
    <w:name w:val="Message Header"/>
    <w:basedOn w:val="Normal"/>
    <w:link w:val="MessageHeaderChar"/>
    <w:uiPriority w:val="99"/>
    <w:unhideWhenUsed/>
    <w:rsid w:val="00803F0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character" w:customStyle="1" w:styleId="MessageHeaderChar">
    <w:name w:val="Message Header Char"/>
    <w:basedOn w:val="DefaultParagraphFont"/>
    <w:link w:val="MessageHeader"/>
    <w:uiPriority w:val="99"/>
    <w:rsid w:val="00803F09"/>
    <w:rPr>
      <w:rFonts w:ascii="Arial" w:eastAsiaTheme="minorHAnsi" w:hAnsi="Arial" w:cs="Arial"/>
      <w:sz w:val="24"/>
      <w:szCs w:val="24"/>
      <w:shd w:val="pct20" w:color="auto" w:fill="auto"/>
    </w:rPr>
  </w:style>
  <w:style w:type="paragraph" w:styleId="NormalWeb">
    <w:name w:val="Normal (Web)"/>
    <w:basedOn w:val="Normal"/>
    <w:uiPriority w:val="99"/>
    <w:unhideWhenUsed/>
    <w:rsid w:val="00803F09"/>
    <w:rPr>
      <w:rFonts w:asciiTheme="minorHAnsi" w:eastAsiaTheme="minorHAnsi" w:hAnsiTheme="minorHAnsi"/>
    </w:rPr>
  </w:style>
  <w:style w:type="paragraph" w:styleId="NormalIndent">
    <w:name w:val="Normal Indent"/>
    <w:basedOn w:val="Normal"/>
    <w:uiPriority w:val="99"/>
    <w:unhideWhenUsed/>
    <w:rsid w:val="00803F09"/>
    <w:pPr>
      <w:ind w:left="720"/>
    </w:pPr>
    <w:rPr>
      <w:rFonts w:asciiTheme="minorHAnsi" w:eastAsiaTheme="minorHAnsi" w:hAnsiTheme="minorHAnsi"/>
    </w:rPr>
  </w:style>
  <w:style w:type="paragraph" w:styleId="NoteHeading">
    <w:name w:val="Note Heading"/>
    <w:basedOn w:val="Normal"/>
    <w:next w:val="Normal"/>
    <w:link w:val="NoteHeadingChar"/>
    <w:uiPriority w:val="99"/>
    <w:unhideWhenUsed/>
    <w:rsid w:val="00803F09"/>
    <w:rPr>
      <w:rFonts w:asciiTheme="minorHAnsi" w:eastAsiaTheme="minorHAnsi" w:hAnsiTheme="minorHAnsi"/>
    </w:rPr>
  </w:style>
  <w:style w:type="character" w:customStyle="1" w:styleId="NoteHeadingChar">
    <w:name w:val="Note Heading Char"/>
    <w:basedOn w:val="DefaultParagraphFont"/>
    <w:link w:val="NoteHeading"/>
    <w:uiPriority w:val="99"/>
    <w:rsid w:val="00803F09"/>
    <w:rPr>
      <w:rFonts w:asciiTheme="minorHAnsi" w:eastAsiaTheme="minorHAnsi" w:hAnsiTheme="minorHAnsi"/>
      <w:sz w:val="24"/>
      <w:szCs w:val="24"/>
    </w:rPr>
  </w:style>
  <w:style w:type="paragraph" w:styleId="PlainText">
    <w:name w:val="Plain Text"/>
    <w:basedOn w:val="Normal"/>
    <w:link w:val="PlainTextChar"/>
    <w:uiPriority w:val="99"/>
    <w:unhideWhenUsed/>
    <w:rsid w:val="00803F09"/>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rsid w:val="00803F09"/>
    <w:rPr>
      <w:rFonts w:ascii="Courier New" w:eastAsiaTheme="minorHAnsi" w:hAnsi="Courier New" w:cs="Courier New"/>
    </w:rPr>
  </w:style>
  <w:style w:type="paragraph" w:styleId="Salutation">
    <w:name w:val="Salutation"/>
    <w:basedOn w:val="Normal"/>
    <w:next w:val="Normal"/>
    <w:link w:val="SalutationChar"/>
    <w:uiPriority w:val="99"/>
    <w:unhideWhenUsed/>
    <w:rsid w:val="00803F09"/>
    <w:rPr>
      <w:rFonts w:asciiTheme="minorHAnsi" w:eastAsiaTheme="minorHAnsi" w:hAnsiTheme="minorHAnsi"/>
    </w:rPr>
  </w:style>
  <w:style w:type="character" w:customStyle="1" w:styleId="SalutationChar">
    <w:name w:val="Salutation Char"/>
    <w:basedOn w:val="DefaultParagraphFont"/>
    <w:link w:val="Salutation"/>
    <w:uiPriority w:val="99"/>
    <w:rsid w:val="00803F09"/>
    <w:rPr>
      <w:rFonts w:asciiTheme="minorHAnsi" w:eastAsiaTheme="minorHAnsi" w:hAnsiTheme="minorHAnsi"/>
      <w:sz w:val="24"/>
      <w:szCs w:val="24"/>
    </w:rPr>
  </w:style>
  <w:style w:type="paragraph" w:styleId="Signature">
    <w:name w:val="Signature"/>
    <w:basedOn w:val="Normal"/>
    <w:link w:val="SignatureChar"/>
    <w:uiPriority w:val="99"/>
    <w:unhideWhenUsed/>
    <w:rsid w:val="00803F09"/>
    <w:pPr>
      <w:ind w:left="4320"/>
    </w:pPr>
    <w:rPr>
      <w:rFonts w:asciiTheme="minorHAnsi" w:eastAsiaTheme="minorHAnsi" w:hAnsiTheme="minorHAnsi"/>
    </w:rPr>
  </w:style>
  <w:style w:type="character" w:customStyle="1" w:styleId="SignatureChar">
    <w:name w:val="Signature Char"/>
    <w:basedOn w:val="DefaultParagraphFont"/>
    <w:link w:val="Signature"/>
    <w:uiPriority w:val="99"/>
    <w:rsid w:val="00803F09"/>
    <w:rPr>
      <w:rFonts w:asciiTheme="minorHAnsi" w:eastAsiaTheme="minorHAnsi" w:hAnsiTheme="minorHAnsi"/>
      <w:sz w:val="24"/>
      <w:szCs w:val="24"/>
    </w:rPr>
  </w:style>
  <w:style w:type="paragraph" w:styleId="Subtitle">
    <w:name w:val="Subtitle"/>
    <w:basedOn w:val="Normal"/>
    <w:next w:val="Normal"/>
    <w:link w:val="SubtitleChar"/>
    <w:uiPriority w:val="11"/>
    <w:qFormat/>
    <w:rsid w:val="00803F09"/>
    <w:pPr>
      <w:spacing w:after="60"/>
      <w:jc w:val="center"/>
      <w:outlineLvl w:val="1"/>
    </w:pPr>
    <w:rPr>
      <w:rFonts w:asciiTheme="majorHAnsi" w:eastAsiaTheme="majorEastAsia" w:hAnsiTheme="majorHAnsi" w:cs="Arial"/>
    </w:rPr>
  </w:style>
  <w:style w:type="character" w:customStyle="1" w:styleId="SubtitleChar">
    <w:name w:val="Subtitle Char"/>
    <w:basedOn w:val="DefaultParagraphFont"/>
    <w:link w:val="Subtitle"/>
    <w:uiPriority w:val="11"/>
    <w:rsid w:val="00803F09"/>
    <w:rPr>
      <w:rFonts w:asciiTheme="majorHAnsi" w:eastAsiaTheme="majorEastAsia" w:hAnsiTheme="majorHAnsi" w:cs="Arial"/>
      <w:sz w:val="24"/>
      <w:szCs w:val="24"/>
    </w:rPr>
  </w:style>
  <w:style w:type="table" w:styleId="Table3Deffects1">
    <w:name w:val="Table 3D effects 1"/>
    <w:basedOn w:val="TableNormal"/>
    <w:rsid w:val="00803F09"/>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03F09"/>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03F09"/>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03F09"/>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03F09"/>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03F09"/>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03F09"/>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03F09"/>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03F09"/>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03F09"/>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03F09"/>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03F09"/>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03F09"/>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03F09"/>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03F09"/>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03F09"/>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03F09"/>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03F09"/>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03F09"/>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03F09"/>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03F09"/>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03F09"/>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03F09"/>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03F09"/>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03F09"/>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03F09"/>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03F09"/>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03F09"/>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03F09"/>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03F09"/>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03F09"/>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03F09"/>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03F09"/>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03F09"/>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03F09"/>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03F09"/>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03F09"/>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03F09"/>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03F09"/>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03F09"/>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03F09"/>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03F09"/>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03F09"/>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803F09"/>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803F09"/>
    <w:rPr>
      <w:rFonts w:asciiTheme="majorHAnsi" w:eastAsiaTheme="majorEastAsia" w:hAnsiTheme="majorHAnsi" w:cs="Arial"/>
      <w:b/>
      <w:bCs/>
      <w:kern w:val="28"/>
      <w:sz w:val="32"/>
      <w:szCs w:val="32"/>
    </w:rPr>
  </w:style>
  <w:style w:type="paragraph" w:styleId="Caption">
    <w:name w:val="caption"/>
    <w:basedOn w:val="Normal"/>
    <w:next w:val="Normal"/>
    <w:uiPriority w:val="35"/>
    <w:rsid w:val="00803F09"/>
    <w:rPr>
      <w:rFonts w:asciiTheme="minorHAnsi" w:eastAsiaTheme="minorHAnsi" w:hAnsiTheme="minorHAnsi"/>
      <w:b/>
      <w:bCs/>
      <w:sz w:val="20"/>
      <w:szCs w:val="20"/>
    </w:rPr>
  </w:style>
  <w:style w:type="paragraph" w:styleId="CommentSubject">
    <w:name w:val="annotation subject"/>
    <w:basedOn w:val="CommentText"/>
    <w:next w:val="CommentText"/>
    <w:link w:val="CommentSubjectChar"/>
    <w:uiPriority w:val="99"/>
    <w:unhideWhenUsed/>
    <w:rsid w:val="00803F09"/>
    <w:pPr>
      <w:spacing w:after="0"/>
    </w:pPr>
    <w:rPr>
      <w:rFonts w:cs="Times New Roman"/>
      <w:b/>
      <w:bCs/>
    </w:rPr>
  </w:style>
  <w:style w:type="character" w:customStyle="1" w:styleId="CommentSubjectChar">
    <w:name w:val="Comment Subject Char"/>
    <w:basedOn w:val="CommentTextChar"/>
    <w:link w:val="CommentSubject"/>
    <w:uiPriority w:val="99"/>
    <w:rsid w:val="00803F09"/>
    <w:rPr>
      <w:rFonts w:asciiTheme="minorHAnsi" w:eastAsiaTheme="minorHAnsi" w:hAnsiTheme="minorHAnsi" w:cstheme="minorBidi"/>
      <w:b/>
      <w:bCs/>
    </w:rPr>
  </w:style>
  <w:style w:type="paragraph" w:styleId="DocumentMap">
    <w:name w:val="Document Map"/>
    <w:basedOn w:val="Normal"/>
    <w:link w:val="DocumentMapChar"/>
    <w:uiPriority w:val="99"/>
    <w:unhideWhenUsed/>
    <w:rsid w:val="00803F09"/>
    <w:pPr>
      <w:shd w:val="clear" w:color="auto" w:fill="000080"/>
    </w:pPr>
    <w:rPr>
      <w:rFonts w:ascii="Tahoma" w:eastAsiaTheme="minorHAnsi" w:hAnsi="Tahoma" w:cs="Tahoma"/>
      <w:sz w:val="20"/>
      <w:szCs w:val="20"/>
    </w:rPr>
  </w:style>
  <w:style w:type="character" w:customStyle="1" w:styleId="DocumentMapChar">
    <w:name w:val="Document Map Char"/>
    <w:basedOn w:val="DefaultParagraphFont"/>
    <w:link w:val="DocumentMap"/>
    <w:uiPriority w:val="99"/>
    <w:rsid w:val="00803F09"/>
    <w:rPr>
      <w:rFonts w:ascii="Tahoma" w:eastAsiaTheme="minorHAnsi" w:hAnsi="Tahoma" w:cs="Tahoma"/>
      <w:shd w:val="clear" w:color="auto" w:fill="000080"/>
    </w:rPr>
  </w:style>
  <w:style w:type="character" w:styleId="EndnoteReference">
    <w:name w:val="endnote reference"/>
    <w:basedOn w:val="DefaultParagraphFont"/>
    <w:uiPriority w:val="99"/>
    <w:unhideWhenUsed/>
    <w:rsid w:val="00803F09"/>
    <w:rPr>
      <w:vertAlign w:val="superscript"/>
    </w:rPr>
  </w:style>
  <w:style w:type="paragraph" w:styleId="EndnoteText">
    <w:name w:val="endnote text"/>
    <w:basedOn w:val="Normal"/>
    <w:link w:val="EndnoteTextChar"/>
    <w:uiPriority w:val="99"/>
    <w:unhideWhenUsed/>
    <w:rsid w:val="00803F09"/>
    <w:rPr>
      <w:rFonts w:asciiTheme="minorHAnsi" w:eastAsiaTheme="minorHAnsi" w:hAnsiTheme="minorHAnsi"/>
      <w:sz w:val="20"/>
      <w:szCs w:val="20"/>
    </w:rPr>
  </w:style>
  <w:style w:type="character" w:customStyle="1" w:styleId="EndnoteTextChar">
    <w:name w:val="Endnote Text Char"/>
    <w:basedOn w:val="DefaultParagraphFont"/>
    <w:link w:val="EndnoteText"/>
    <w:uiPriority w:val="99"/>
    <w:rsid w:val="00803F09"/>
    <w:rPr>
      <w:rFonts w:asciiTheme="minorHAnsi" w:eastAsiaTheme="minorHAnsi" w:hAnsiTheme="minorHAnsi"/>
    </w:rPr>
  </w:style>
  <w:style w:type="paragraph" w:styleId="Index1">
    <w:name w:val="index 1"/>
    <w:basedOn w:val="Normal"/>
    <w:next w:val="Normal"/>
    <w:autoRedefine/>
    <w:uiPriority w:val="99"/>
    <w:unhideWhenUsed/>
    <w:rsid w:val="00803F09"/>
    <w:pPr>
      <w:ind w:left="240" w:hanging="240"/>
    </w:pPr>
    <w:rPr>
      <w:rFonts w:asciiTheme="minorHAnsi" w:eastAsiaTheme="minorHAnsi" w:hAnsiTheme="minorHAnsi"/>
    </w:rPr>
  </w:style>
  <w:style w:type="paragraph" w:styleId="Index2">
    <w:name w:val="index 2"/>
    <w:basedOn w:val="Normal"/>
    <w:next w:val="Normal"/>
    <w:autoRedefine/>
    <w:uiPriority w:val="99"/>
    <w:unhideWhenUsed/>
    <w:rsid w:val="00803F09"/>
    <w:pPr>
      <w:ind w:left="480" w:hanging="240"/>
    </w:pPr>
    <w:rPr>
      <w:rFonts w:asciiTheme="minorHAnsi" w:eastAsiaTheme="minorHAnsi" w:hAnsiTheme="minorHAnsi"/>
    </w:rPr>
  </w:style>
  <w:style w:type="paragraph" w:styleId="Index3">
    <w:name w:val="index 3"/>
    <w:basedOn w:val="Normal"/>
    <w:next w:val="Normal"/>
    <w:autoRedefine/>
    <w:uiPriority w:val="99"/>
    <w:unhideWhenUsed/>
    <w:rsid w:val="00803F09"/>
    <w:pPr>
      <w:ind w:left="720" w:hanging="240"/>
    </w:pPr>
    <w:rPr>
      <w:rFonts w:asciiTheme="minorHAnsi" w:eastAsiaTheme="minorHAnsi" w:hAnsiTheme="minorHAnsi"/>
    </w:rPr>
  </w:style>
  <w:style w:type="paragraph" w:styleId="Index4">
    <w:name w:val="index 4"/>
    <w:basedOn w:val="Normal"/>
    <w:next w:val="Normal"/>
    <w:autoRedefine/>
    <w:uiPriority w:val="99"/>
    <w:unhideWhenUsed/>
    <w:rsid w:val="00803F09"/>
    <w:pPr>
      <w:ind w:left="960" w:hanging="240"/>
    </w:pPr>
    <w:rPr>
      <w:rFonts w:asciiTheme="minorHAnsi" w:eastAsiaTheme="minorHAnsi" w:hAnsiTheme="minorHAnsi"/>
    </w:rPr>
  </w:style>
  <w:style w:type="paragraph" w:styleId="Index5">
    <w:name w:val="index 5"/>
    <w:basedOn w:val="Normal"/>
    <w:next w:val="Normal"/>
    <w:autoRedefine/>
    <w:uiPriority w:val="99"/>
    <w:unhideWhenUsed/>
    <w:rsid w:val="00803F09"/>
    <w:pPr>
      <w:ind w:left="1200" w:hanging="240"/>
    </w:pPr>
    <w:rPr>
      <w:rFonts w:asciiTheme="minorHAnsi" w:eastAsiaTheme="minorHAnsi" w:hAnsiTheme="minorHAnsi"/>
    </w:rPr>
  </w:style>
  <w:style w:type="paragraph" w:styleId="Index6">
    <w:name w:val="index 6"/>
    <w:basedOn w:val="Normal"/>
    <w:next w:val="Normal"/>
    <w:autoRedefine/>
    <w:uiPriority w:val="99"/>
    <w:unhideWhenUsed/>
    <w:rsid w:val="00803F09"/>
    <w:pPr>
      <w:ind w:left="1440" w:hanging="240"/>
    </w:pPr>
    <w:rPr>
      <w:rFonts w:asciiTheme="minorHAnsi" w:eastAsiaTheme="minorHAnsi" w:hAnsiTheme="minorHAnsi"/>
    </w:rPr>
  </w:style>
  <w:style w:type="paragraph" w:styleId="Index7">
    <w:name w:val="index 7"/>
    <w:basedOn w:val="Normal"/>
    <w:next w:val="Normal"/>
    <w:autoRedefine/>
    <w:uiPriority w:val="99"/>
    <w:unhideWhenUsed/>
    <w:rsid w:val="00803F09"/>
    <w:pPr>
      <w:ind w:left="1680" w:hanging="240"/>
    </w:pPr>
    <w:rPr>
      <w:rFonts w:asciiTheme="minorHAnsi" w:eastAsiaTheme="minorHAnsi" w:hAnsiTheme="minorHAnsi"/>
    </w:rPr>
  </w:style>
  <w:style w:type="paragraph" w:styleId="Index8">
    <w:name w:val="index 8"/>
    <w:basedOn w:val="Normal"/>
    <w:next w:val="Normal"/>
    <w:autoRedefine/>
    <w:uiPriority w:val="99"/>
    <w:unhideWhenUsed/>
    <w:rsid w:val="00803F09"/>
    <w:pPr>
      <w:ind w:left="1920" w:hanging="240"/>
    </w:pPr>
    <w:rPr>
      <w:rFonts w:asciiTheme="minorHAnsi" w:eastAsiaTheme="minorHAnsi" w:hAnsiTheme="minorHAnsi"/>
    </w:rPr>
  </w:style>
  <w:style w:type="paragraph" w:styleId="Index9">
    <w:name w:val="index 9"/>
    <w:basedOn w:val="Normal"/>
    <w:next w:val="Normal"/>
    <w:autoRedefine/>
    <w:uiPriority w:val="99"/>
    <w:unhideWhenUsed/>
    <w:rsid w:val="00803F09"/>
    <w:pPr>
      <w:ind w:left="2160" w:hanging="240"/>
    </w:pPr>
    <w:rPr>
      <w:rFonts w:asciiTheme="minorHAnsi" w:eastAsiaTheme="minorHAnsi" w:hAnsiTheme="minorHAnsi"/>
    </w:rPr>
  </w:style>
  <w:style w:type="paragraph" w:styleId="IndexHeading">
    <w:name w:val="index heading"/>
    <w:basedOn w:val="Normal"/>
    <w:next w:val="Index1"/>
    <w:uiPriority w:val="99"/>
    <w:unhideWhenUsed/>
    <w:rsid w:val="00803F09"/>
    <w:rPr>
      <w:rFonts w:ascii="Arial" w:eastAsiaTheme="minorHAnsi" w:hAnsi="Arial" w:cs="Arial"/>
      <w:b/>
      <w:bCs/>
    </w:rPr>
  </w:style>
  <w:style w:type="paragraph" w:styleId="MacroText">
    <w:name w:val="macro"/>
    <w:link w:val="MacroTextChar"/>
    <w:uiPriority w:val="99"/>
    <w:unhideWhenUsed/>
    <w:rsid w:val="00803F09"/>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ja-JP"/>
    </w:rPr>
  </w:style>
  <w:style w:type="character" w:customStyle="1" w:styleId="MacroTextChar">
    <w:name w:val="Macro Text Char"/>
    <w:basedOn w:val="DefaultParagraphFont"/>
    <w:link w:val="MacroText"/>
    <w:uiPriority w:val="99"/>
    <w:rsid w:val="00803F09"/>
    <w:rPr>
      <w:rFonts w:ascii="Courier New" w:eastAsiaTheme="minorHAnsi" w:hAnsi="Courier New" w:cs="Courier New"/>
      <w:sz w:val="22"/>
      <w:szCs w:val="22"/>
      <w:lang w:eastAsia="ja-JP"/>
    </w:rPr>
  </w:style>
  <w:style w:type="paragraph" w:styleId="TableofAuthorities">
    <w:name w:val="table of authorities"/>
    <w:basedOn w:val="Normal"/>
    <w:next w:val="Normal"/>
    <w:uiPriority w:val="99"/>
    <w:unhideWhenUsed/>
    <w:rsid w:val="00803F09"/>
    <w:pPr>
      <w:ind w:left="240" w:hanging="240"/>
    </w:pPr>
    <w:rPr>
      <w:rFonts w:asciiTheme="minorHAnsi" w:eastAsiaTheme="minorHAnsi" w:hAnsiTheme="minorHAnsi"/>
    </w:rPr>
  </w:style>
  <w:style w:type="paragraph" w:styleId="TableofFigures">
    <w:name w:val="table of figures"/>
    <w:basedOn w:val="Normal"/>
    <w:next w:val="Normal"/>
    <w:uiPriority w:val="99"/>
    <w:unhideWhenUsed/>
    <w:rsid w:val="00803F09"/>
    <w:rPr>
      <w:rFonts w:asciiTheme="minorHAnsi" w:eastAsiaTheme="minorHAnsi" w:hAnsiTheme="minorHAnsi"/>
    </w:rPr>
  </w:style>
  <w:style w:type="paragraph" w:styleId="TOAHeading">
    <w:name w:val="toa heading"/>
    <w:basedOn w:val="Normal"/>
    <w:next w:val="Normal"/>
    <w:uiPriority w:val="99"/>
    <w:unhideWhenUsed/>
    <w:rsid w:val="00803F09"/>
    <w:pPr>
      <w:spacing w:before="120"/>
    </w:pPr>
    <w:rPr>
      <w:rFonts w:ascii="Arial" w:eastAsiaTheme="minorHAnsi" w:hAnsi="Arial" w:cs="Arial"/>
      <w:b/>
      <w:bCs/>
    </w:rPr>
  </w:style>
  <w:style w:type="paragraph" w:styleId="TOC1">
    <w:name w:val="toc 1"/>
    <w:basedOn w:val="Normal"/>
    <w:next w:val="Normal"/>
    <w:autoRedefine/>
    <w:uiPriority w:val="99"/>
    <w:unhideWhenUsed/>
    <w:rsid w:val="00803F09"/>
    <w:rPr>
      <w:rFonts w:asciiTheme="minorHAnsi" w:eastAsiaTheme="minorHAnsi" w:hAnsiTheme="minorHAnsi"/>
    </w:rPr>
  </w:style>
  <w:style w:type="paragraph" w:styleId="TOC2">
    <w:name w:val="toc 2"/>
    <w:basedOn w:val="Normal"/>
    <w:next w:val="Normal"/>
    <w:autoRedefine/>
    <w:uiPriority w:val="99"/>
    <w:unhideWhenUsed/>
    <w:rsid w:val="00803F09"/>
    <w:pPr>
      <w:ind w:left="240"/>
    </w:pPr>
    <w:rPr>
      <w:rFonts w:asciiTheme="minorHAnsi" w:eastAsiaTheme="minorHAnsi" w:hAnsiTheme="minorHAnsi"/>
    </w:rPr>
  </w:style>
  <w:style w:type="paragraph" w:styleId="TOC3">
    <w:name w:val="toc 3"/>
    <w:basedOn w:val="Normal"/>
    <w:next w:val="Normal"/>
    <w:autoRedefine/>
    <w:uiPriority w:val="99"/>
    <w:unhideWhenUsed/>
    <w:rsid w:val="00803F09"/>
    <w:pPr>
      <w:ind w:left="480"/>
    </w:pPr>
    <w:rPr>
      <w:rFonts w:asciiTheme="minorHAnsi" w:eastAsiaTheme="minorHAnsi" w:hAnsiTheme="minorHAnsi"/>
    </w:rPr>
  </w:style>
  <w:style w:type="paragraph" w:styleId="TOC4">
    <w:name w:val="toc 4"/>
    <w:basedOn w:val="Normal"/>
    <w:next w:val="Normal"/>
    <w:autoRedefine/>
    <w:uiPriority w:val="99"/>
    <w:unhideWhenUsed/>
    <w:rsid w:val="00803F09"/>
    <w:pPr>
      <w:ind w:left="720"/>
    </w:pPr>
    <w:rPr>
      <w:rFonts w:asciiTheme="minorHAnsi" w:eastAsiaTheme="minorHAnsi" w:hAnsiTheme="minorHAnsi"/>
    </w:rPr>
  </w:style>
  <w:style w:type="paragraph" w:styleId="TOC5">
    <w:name w:val="toc 5"/>
    <w:basedOn w:val="Normal"/>
    <w:next w:val="Normal"/>
    <w:autoRedefine/>
    <w:uiPriority w:val="99"/>
    <w:unhideWhenUsed/>
    <w:rsid w:val="00803F09"/>
    <w:pPr>
      <w:ind w:left="960"/>
    </w:pPr>
    <w:rPr>
      <w:rFonts w:asciiTheme="minorHAnsi" w:eastAsiaTheme="minorHAnsi" w:hAnsiTheme="minorHAnsi"/>
    </w:rPr>
  </w:style>
  <w:style w:type="paragraph" w:styleId="TOC6">
    <w:name w:val="toc 6"/>
    <w:basedOn w:val="Normal"/>
    <w:next w:val="Normal"/>
    <w:autoRedefine/>
    <w:uiPriority w:val="99"/>
    <w:unhideWhenUsed/>
    <w:rsid w:val="00803F09"/>
    <w:pPr>
      <w:ind w:left="1200"/>
    </w:pPr>
    <w:rPr>
      <w:rFonts w:asciiTheme="minorHAnsi" w:eastAsiaTheme="minorHAnsi" w:hAnsiTheme="minorHAnsi"/>
    </w:rPr>
  </w:style>
  <w:style w:type="paragraph" w:styleId="TOC7">
    <w:name w:val="toc 7"/>
    <w:basedOn w:val="Normal"/>
    <w:next w:val="Normal"/>
    <w:autoRedefine/>
    <w:uiPriority w:val="99"/>
    <w:unhideWhenUsed/>
    <w:rsid w:val="00803F09"/>
    <w:pPr>
      <w:ind w:left="1440"/>
    </w:pPr>
    <w:rPr>
      <w:rFonts w:asciiTheme="minorHAnsi" w:eastAsiaTheme="minorHAnsi" w:hAnsiTheme="minorHAnsi"/>
    </w:rPr>
  </w:style>
  <w:style w:type="paragraph" w:styleId="TOC8">
    <w:name w:val="toc 8"/>
    <w:basedOn w:val="Normal"/>
    <w:next w:val="Normal"/>
    <w:autoRedefine/>
    <w:uiPriority w:val="99"/>
    <w:unhideWhenUsed/>
    <w:rsid w:val="00803F09"/>
    <w:pPr>
      <w:ind w:left="1680"/>
    </w:pPr>
    <w:rPr>
      <w:rFonts w:asciiTheme="minorHAnsi" w:eastAsiaTheme="minorHAnsi" w:hAnsiTheme="minorHAnsi"/>
    </w:rPr>
  </w:style>
  <w:style w:type="paragraph" w:styleId="TOC9">
    <w:name w:val="toc 9"/>
    <w:basedOn w:val="Normal"/>
    <w:next w:val="Normal"/>
    <w:autoRedefine/>
    <w:uiPriority w:val="99"/>
    <w:unhideWhenUsed/>
    <w:rsid w:val="00803F09"/>
    <w:pPr>
      <w:ind w:left="1920"/>
    </w:pPr>
    <w:rPr>
      <w:rFonts w:asciiTheme="minorHAnsi" w:eastAsiaTheme="minorHAnsi" w:hAnsiTheme="minorHAnsi"/>
    </w:rPr>
  </w:style>
  <w:style w:type="paragraph" w:styleId="Quote">
    <w:name w:val="Quote"/>
    <w:basedOn w:val="Normal"/>
    <w:next w:val="Normal"/>
    <w:link w:val="QuoteChar"/>
    <w:uiPriority w:val="29"/>
    <w:qFormat/>
    <w:rsid w:val="00803F09"/>
    <w:rPr>
      <w:rFonts w:asciiTheme="minorHAnsi" w:eastAsiaTheme="minorHAnsi" w:hAnsiTheme="minorHAnsi"/>
      <w:i/>
    </w:rPr>
  </w:style>
  <w:style w:type="character" w:customStyle="1" w:styleId="QuoteChar">
    <w:name w:val="Quote Char"/>
    <w:basedOn w:val="DefaultParagraphFont"/>
    <w:link w:val="Quote"/>
    <w:uiPriority w:val="29"/>
    <w:rsid w:val="00803F09"/>
    <w:rPr>
      <w:rFonts w:asciiTheme="minorHAnsi" w:eastAsiaTheme="minorHAnsi" w:hAnsiTheme="minorHAnsi"/>
      <w:i/>
      <w:sz w:val="24"/>
      <w:szCs w:val="24"/>
    </w:rPr>
  </w:style>
  <w:style w:type="paragraph" w:styleId="IntenseQuote">
    <w:name w:val="Intense Quote"/>
    <w:basedOn w:val="Normal"/>
    <w:next w:val="Normal"/>
    <w:link w:val="IntenseQuoteChar"/>
    <w:uiPriority w:val="30"/>
    <w:qFormat/>
    <w:rsid w:val="00803F09"/>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803F09"/>
    <w:rPr>
      <w:rFonts w:asciiTheme="minorHAnsi" w:eastAsiaTheme="minorHAnsi" w:hAnsiTheme="minorHAnsi"/>
      <w:b/>
      <w:i/>
      <w:sz w:val="24"/>
      <w:szCs w:val="22"/>
    </w:rPr>
  </w:style>
  <w:style w:type="character" w:styleId="SubtleEmphasis">
    <w:name w:val="Subtle Emphasis"/>
    <w:uiPriority w:val="19"/>
    <w:qFormat/>
    <w:rsid w:val="00803F09"/>
    <w:rPr>
      <w:i/>
      <w:color w:val="5A5A5A" w:themeColor="text1" w:themeTint="A5"/>
    </w:rPr>
  </w:style>
  <w:style w:type="character" w:styleId="IntenseEmphasis">
    <w:name w:val="Intense Emphasis"/>
    <w:basedOn w:val="DefaultParagraphFont"/>
    <w:uiPriority w:val="21"/>
    <w:qFormat/>
    <w:rsid w:val="00803F09"/>
    <w:rPr>
      <w:b/>
      <w:i/>
      <w:sz w:val="24"/>
      <w:szCs w:val="24"/>
      <w:u w:val="single"/>
    </w:rPr>
  </w:style>
  <w:style w:type="character" w:styleId="SubtleReference">
    <w:name w:val="Subtle Reference"/>
    <w:basedOn w:val="DefaultParagraphFont"/>
    <w:uiPriority w:val="31"/>
    <w:qFormat/>
    <w:rsid w:val="00803F09"/>
    <w:rPr>
      <w:sz w:val="24"/>
      <w:szCs w:val="24"/>
      <w:u w:val="single"/>
    </w:rPr>
  </w:style>
  <w:style w:type="character" w:styleId="IntenseReference">
    <w:name w:val="Intense Reference"/>
    <w:basedOn w:val="DefaultParagraphFont"/>
    <w:uiPriority w:val="32"/>
    <w:qFormat/>
    <w:rsid w:val="00803F09"/>
    <w:rPr>
      <w:b/>
      <w:sz w:val="24"/>
      <w:u w:val="single"/>
    </w:rPr>
  </w:style>
  <w:style w:type="character" w:styleId="BookTitle">
    <w:name w:val="Book Title"/>
    <w:basedOn w:val="DefaultParagraphFont"/>
    <w:uiPriority w:val="33"/>
    <w:qFormat/>
    <w:rsid w:val="00803F0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03F09"/>
    <w:pPr>
      <w:numPr>
        <w:numId w:val="0"/>
      </w:numPr>
      <w:spacing w:before="240" w:after="60"/>
      <w:jc w:val="left"/>
      <w:outlineLvl w:val="9"/>
    </w:pPr>
    <w:rPr>
      <w:rFonts w:asciiTheme="majorHAnsi" w:eastAsiaTheme="majorEastAsia" w:hAnsiTheme="majorHAnsi" w:cs="Times New Roman"/>
      <w:b/>
      <w:sz w:val="32"/>
    </w:rPr>
  </w:style>
  <w:style w:type="character" w:customStyle="1" w:styleId="HeaderChar">
    <w:name w:val="Header Char"/>
    <w:basedOn w:val="DefaultParagraphFont"/>
    <w:link w:val="Header"/>
    <w:uiPriority w:val="99"/>
    <w:rsid w:val="00803F09"/>
    <w:rPr>
      <w:sz w:val="24"/>
      <w:szCs w:val="24"/>
    </w:rPr>
  </w:style>
  <w:style w:type="paragraph" w:customStyle="1" w:styleId="IssueBody">
    <w:name w:val="Issue Body"/>
    <w:basedOn w:val="Normal"/>
    <w:rsid w:val="00AB3A89"/>
    <w:pPr>
      <w:spacing w:after="240"/>
      <w:ind w:left="1440"/>
      <w:jc w:val="both"/>
    </w:pPr>
    <w:rPr>
      <w:szCs w:val="20"/>
    </w:rPr>
  </w:style>
  <w:style w:type="paragraph" w:customStyle="1" w:styleId="IssueHeading">
    <w:name w:val="Issue Heading"/>
    <w:basedOn w:val="Heading3"/>
    <w:next w:val="IssueBody"/>
    <w:rsid w:val="00AB3A89"/>
    <w:pPr>
      <w:numPr>
        <w:ilvl w:val="0"/>
        <w:numId w:val="0"/>
      </w:numPr>
      <w:spacing w:before="240" w:after="60"/>
    </w:pPr>
    <w:rPr>
      <w:rFonts w:cs="Arial"/>
      <w:b/>
      <w:bCs/>
      <w:szCs w:val="26"/>
    </w:rPr>
  </w:style>
  <w:style w:type="paragraph" w:customStyle="1" w:styleId="PositionHeading">
    <w:name w:val="Position Heading"/>
    <w:basedOn w:val="IssueHeading"/>
    <w:next w:val="Normal"/>
    <w:rsid w:val="00AB3A89"/>
    <w:pPr>
      <w:outlineLvl w:val="3"/>
    </w:pPr>
  </w:style>
  <w:style w:type="paragraph" w:customStyle="1" w:styleId="PositionBody">
    <w:name w:val="Position Body"/>
    <w:basedOn w:val="IssueBody"/>
    <w:rsid w:val="00AB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2359-2ED8-49E2-BC44-B3DDE96F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19</Pages>
  <Words>6055</Words>
  <Characters>34516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2020-07-06T11:02:00Z</dcterms:created>
  <dcterms:modified xsi:type="dcterms:W3CDTF">2020-07-07T12:43:00Z</dcterms:modified>
</cp:coreProperties>
</file>