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55030" w:rsidP="00C53D18">
            <w:pPr>
              <w:pStyle w:val="MemoHeading"/>
            </w:pPr>
            <w:bookmarkStart w:id="1" w:name="FilingDate"/>
            <w:r>
              <w:t>August 6</w:t>
            </w:r>
            <w:r w:rsidR="0081468A">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1468A" w:rsidRDefault="0081468A">
            <w:pPr>
              <w:pStyle w:val="MemoHeading"/>
            </w:pPr>
            <w:bookmarkStart w:id="2" w:name="From"/>
            <w:r>
              <w:t>Division of Accounting and Finance (Cicchetti, Buys, Hightower)</w:t>
            </w:r>
          </w:p>
          <w:p w:rsidR="007C0528" w:rsidRDefault="0081468A">
            <w:pPr>
              <w:pStyle w:val="MemoHeading"/>
            </w:pPr>
            <w:r>
              <w:t>Office of the General Counsel (</w:t>
            </w:r>
            <w:proofErr w:type="spellStart"/>
            <w:r>
              <w:t>Brownless</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1468A">
            <w:pPr>
              <w:pStyle w:val="MemoHeadingRe"/>
            </w:pPr>
            <w:bookmarkStart w:id="3" w:name="Re"/>
            <w:r>
              <w:t>Docket No. 20200148-WS – Consideration of the tax impacts associated with Tax Cuts and Jobs Act of 2017 for Gold Coast Utility Corp.</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1468A" w:rsidP="00A55030">
            <w:pPr>
              <w:pStyle w:val="MemoHeading"/>
            </w:pPr>
            <w:bookmarkStart w:id="4" w:name="AgendaDate"/>
            <w:r>
              <w:t>0</w:t>
            </w:r>
            <w:r w:rsidR="00A55030">
              <w:t>8</w:t>
            </w:r>
            <w:r>
              <w:t>/</w:t>
            </w:r>
            <w:r w:rsidR="00A55030">
              <w:t>18</w:t>
            </w:r>
            <w:r>
              <w:t>/20</w:t>
            </w:r>
            <w:bookmarkEnd w:id="4"/>
            <w:r w:rsidR="007C0528">
              <w:t xml:space="preserve"> – </w:t>
            </w:r>
            <w:bookmarkStart w:id="5" w:name="PermittedStatus"/>
            <w:r>
              <w:t xml:space="preserve">Regular Agenda – </w:t>
            </w:r>
            <w:r w:rsidR="000B4196" w:rsidRPr="00704B24">
              <w:t>Proposed Agency Action</w:t>
            </w:r>
            <w:r w:rsidR="000B4196">
              <w:t xml:space="preserve">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1468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1468A">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1468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1468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842D6" w:rsidRDefault="004842D6" w:rsidP="004842D6">
      <w:pPr>
        <w:pStyle w:val="BodyText"/>
      </w:pPr>
      <w:r>
        <w:t>The Tax Cuts and Jobs Act of 2017 (</w:t>
      </w:r>
      <w:proofErr w:type="spellStart"/>
      <w:r>
        <w:t>TCJA</w:t>
      </w:r>
      <w:proofErr w:type="spellEnd"/>
      <w:r>
        <w:t>) was signed into law on December 22, 2017</w:t>
      </w:r>
      <w:r w:rsidR="00846630">
        <w:t>,</w:t>
      </w:r>
      <w:r>
        <w:t xml:space="preserve"> and became effective for the taxable year beginning January 1, 2018. On January 9, 2018, the Office of Public Counsel (OPC) filed a “Petition to Establish Generic Docket to Investigate and Adjust Rates for 2018 Tax Savings.” </w:t>
      </w:r>
      <w:proofErr w:type="gramStart"/>
      <w:r>
        <w:t>On February 6, 2018, in Order No.</w:t>
      </w:r>
      <w:proofErr w:type="gramEnd"/>
      <w:r>
        <w:t xml:space="preserve"> PSC-2018-0104-</w:t>
      </w:r>
      <w:proofErr w:type="spellStart"/>
      <w:r>
        <w:t>PCO</w:t>
      </w:r>
      <w:proofErr w:type="spellEnd"/>
      <w:r>
        <w:t>-PU,</w:t>
      </w:r>
      <w:r>
        <w:rPr>
          <w:rStyle w:val="FootnoteReference"/>
        </w:rPr>
        <w:footnoteReference w:id="1"/>
      </w:r>
      <w:r>
        <w:t xml:space="preserve">  the Florida Public Service Commission (Commission) established jurisdiction over utilities’ tax savings if such a date was not contained in an applicable settlement agreement. Subsequently, the Commission opened separate dockets to address the tax savings for electric and natural gas utilities. At this time, all electric</w:t>
      </w:r>
      <w:r w:rsidR="00EE2152">
        <w:t>,</w:t>
      </w:r>
      <w:r>
        <w:t xml:space="preserve"> natural gas</w:t>
      </w:r>
      <w:r w:rsidR="00EE2152">
        <w:t>, and water and wastewater</w:t>
      </w:r>
      <w:r>
        <w:t xml:space="preserve"> utilities </w:t>
      </w:r>
      <w:r w:rsidR="00EE2152">
        <w:t>(</w:t>
      </w:r>
      <w:proofErr w:type="spellStart"/>
      <w:r w:rsidR="00EE2152">
        <w:t>WAW</w:t>
      </w:r>
      <w:proofErr w:type="spellEnd"/>
      <w:r w:rsidR="00EE2152">
        <w:t xml:space="preserve">) </w:t>
      </w:r>
      <w:r>
        <w:t>tax savings dockets have been resolved</w:t>
      </w:r>
      <w:r w:rsidR="00EE2152">
        <w:t xml:space="preserve"> except for two </w:t>
      </w:r>
      <w:proofErr w:type="spellStart"/>
      <w:r w:rsidR="00EE2152">
        <w:t>WAW</w:t>
      </w:r>
      <w:proofErr w:type="spellEnd"/>
      <w:r w:rsidR="00EE2152">
        <w:t xml:space="preserve"> utilities, Gold Coast</w:t>
      </w:r>
      <w:r w:rsidR="00F61CC6">
        <w:t xml:space="preserve"> Utility </w:t>
      </w:r>
      <w:r w:rsidR="00F61CC6">
        <w:lastRenderedPageBreak/>
        <w:t xml:space="preserve">Corporation </w:t>
      </w:r>
      <w:r w:rsidR="0086109B">
        <w:t xml:space="preserve">(Gold Coast) </w:t>
      </w:r>
      <w:r w:rsidR="00F61CC6">
        <w:t>and St. James</w:t>
      </w:r>
      <w:r w:rsidR="0086109B">
        <w:t xml:space="preserve"> Utility Company</w:t>
      </w:r>
      <w:r>
        <w:t xml:space="preserve">. The instant docket </w:t>
      </w:r>
      <w:r w:rsidR="0086109B">
        <w:t>was</w:t>
      </w:r>
      <w:r>
        <w:t xml:space="preserve"> open</w:t>
      </w:r>
      <w:r w:rsidR="0086109B">
        <w:t>ed</w:t>
      </w:r>
      <w:r>
        <w:t xml:space="preserve"> to address tax savings associated with </w:t>
      </w:r>
      <w:r w:rsidR="0086109B">
        <w:t>Gold Coast</w:t>
      </w:r>
      <w:r>
        <w:t xml:space="preserve">. </w:t>
      </w:r>
    </w:p>
    <w:p w:rsidR="004842D6" w:rsidRDefault="004842D6" w:rsidP="004842D6">
      <w:pPr>
        <w:pStyle w:val="BodyText"/>
      </w:pPr>
      <w:r>
        <w:t xml:space="preserve">For </w:t>
      </w:r>
      <w:proofErr w:type="spellStart"/>
      <w:r>
        <w:t>WAW</w:t>
      </w:r>
      <w:proofErr w:type="spellEnd"/>
      <w:r>
        <w:t xml:space="preserve"> utilities that have income taxes included in their revenue requirement, the 2018 annual reports are necessary to determine each utility’s earned return and if a utility earned in excess of its allowed return. </w:t>
      </w:r>
      <w:r w:rsidR="0086109B">
        <w:t>Gold</w:t>
      </w:r>
      <w:r w:rsidR="00D178B4">
        <w:t xml:space="preserve"> </w:t>
      </w:r>
      <w:r w:rsidR="0086109B">
        <w:t xml:space="preserve">Coast recently provided the Commission with its 2018 annual report. </w:t>
      </w:r>
    </w:p>
    <w:p w:rsidR="004842D6" w:rsidRDefault="004842D6" w:rsidP="004842D6">
      <w:pPr>
        <w:pStyle w:val="BodyText"/>
      </w:pPr>
      <w:r>
        <w:t>The Commission has jurisdiction in this case pursuant to Sections 36</w:t>
      </w:r>
      <w:r w:rsidR="000B4196">
        <w:t>7.011</w:t>
      </w:r>
      <w:r>
        <w:t>, 36</w:t>
      </w:r>
      <w:r w:rsidR="000B4196">
        <w:t>7</w:t>
      </w:r>
      <w:r>
        <w:t>.0</w:t>
      </w:r>
      <w:r w:rsidR="000B4196">
        <w:t>8</w:t>
      </w:r>
      <w:r>
        <w:t xml:space="preserve">1, </w:t>
      </w:r>
      <w:r w:rsidR="000B4196">
        <w:t>and 367</w:t>
      </w:r>
      <w:r>
        <w:t>.</w:t>
      </w:r>
      <w:r w:rsidR="000B4196">
        <w:t>121</w:t>
      </w:r>
      <w:r>
        <w:t xml:space="preserve">, Florida Statutes.     </w:t>
      </w:r>
    </w:p>
    <w:p w:rsidR="004842D6" w:rsidRDefault="004842D6" w:rsidP="004842D6">
      <w:pPr>
        <w:pStyle w:val="BodyText"/>
      </w:pPr>
      <w:r>
        <w:t xml:space="preserve"> </w:t>
      </w: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Pr="00644D73" w:rsidRDefault="004842D6" w:rsidP="00644D73">
      <w:pPr>
        <w:pStyle w:val="BodyText"/>
        <w:jc w:val="center"/>
        <w:rPr>
          <w:b/>
        </w:rPr>
      </w:pPr>
      <w:r w:rsidRPr="00644D73">
        <w:rPr>
          <w:b/>
        </w:rPr>
        <w:lastRenderedPageBreak/>
        <w:t>Discussion of Issues</w:t>
      </w:r>
    </w:p>
    <w:p w:rsidR="004842D6" w:rsidRDefault="004842D6" w:rsidP="004842D6">
      <w:pPr>
        <w:pStyle w:val="BodyText"/>
      </w:pPr>
      <w:r w:rsidRPr="00071B90">
        <w:rPr>
          <w:b/>
        </w:rPr>
        <w:t xml:space="preserve">Issue 1: </w:t>
      </w:r>
      <w:r>
        <w:t xml:space="preserve">What is the appropriate disposition of the tax impacts resulting from the passage of the </w:t>
      </w:r>
      <w:proofErr w:type="spellStart"/>
      <w:r>
        <w:t>TCJA</w:t>
      </w:r>
      <w:proofErr w:type="spellEnd"/>
      <w:r>
        <w:t xml:space="preserve"> for </w:t>
      </w:r>
      <w:r w:rsidR="00D178B4">
        <w:t>Gold Coast</w:t>
      </w:r>
      <w:r>
        <w:t>?</w:t>
      </w:r>
    </w:p>
    <w:p w:rsidR="004842D6" w:rsidRDefault="004842D6" w:rsidP="004842D6">
      <w:pPr>
        <w:pStyle w:val="BodyText"/>
      </w:pPr>
      <w:r w:rsidRPr="00071B90">
        <w:rPr>
          <w:b/>
        </w:rPr>
        <w:t>Recommendation:</w:t>
      </w:r>
      <w:r>
        <w:t xml:space="preserve"> </w:t>
      </w:r>
      <w:r w:rsidR="00D178B4">
        <w:t>Gold Coast is not</w:t>
      </w:r>
      <w:r>
        <w:t xml:space="preserve"> earning above </w:t>
      </w:r>
      <w:r w:rsidR="00D178B4">
        <w:t>its</w:t>
      </w:r>
      <w:r>
        <w:t xml:space="preserve"> allowed rate of return range. No adjustment to base rates </w:t>
      </w:r>
      <w:r w:rsidR="00D178B4">
        <w:t>is</w:t>
      </w:r>
      <w:r>
        <w:t xml:space="preserve"> necessary regarding the tax impacts resulting from the passage of the </w:t>
      </w:r>
      <w:proofErr w:type="spellStart"/>
      <w:r>
        <w:t>TCJA</w:t>
      </w:r>
      <w:proofErr w:type="spellEnd"/>
      <w:r>
        <w:t xml:space="preserve"> for </w:t>
      </w:r>
      <w:r w:rsidR="00D178B4">
        <w:t>Gold Coast</w:t>
      </w:r>
      <w:r>
        <w:t xml:space="preserve">. (Cicchetti)  </w:t>
      </w:r>
    </w:p>
    <w:p w:rsidR="004842D6" w:rsidRDefault="004842D6" w:rsidP="004842D6">
      <w:pPr>
        <w:pStyle w:val="BodyText"/>
      </w:pPr>
      <w:r w:rsidRPr="00644D73">
        <w:rPr>
          <w:b/>
        </w:rPr>
        <w:t>Staff Analysis:</w:t>
      </w:r>
      <w:r w:rsidR="00D45C11">
        <w:rPr>
          <w:b/>
        </w:rPr>
        <w:t xml:space="preserve"> </w:t>
      </w:r>
      <w:r w:rsidR="00D178B4">
        <w:t xml:space="preserve">Gold Coast is </w:t>
      </w:r>
      <w:r w:rsidR="00C53D18">
        <w:t xml:space="preserve">earning </w:t>
      </w:r>
      <w:r w:rsidR="00D178B4">
        <w:t xml:space="preserve">significantly </w:t>
      </w:r>
      <w:r>
        <w:t xml:space="preserve">below </w:t>
      </w:r>
      <w:r w:rsidR="00D178B4">
        <w:t xml:space="preserve">its authorized </w:t>
      </w:r>
      <w:r>
        <w:t xml:space="preserve">rate of return. Attachment A shows </w:t>
      </w:r>
      <w:r w:rsidR="00D178B4">
        <w:t>Gold Coast’s</w:t>
      </w:r>
      <w:r>
        <w:t xml:space="preserve"> Net Operating Income, Rate Base, Achieved Rate of Return, and Approved Rate of Return Cap. </w:t>
      </w:r>
    </w:p>
    <w:p w:rsidR="004842D6" w:rsidRDefault="004842D6" w:rsidP="004842D6">
      <w:pPr>
        <w:pStyle w:val="BodyText"/>
      </w:pPr>
      <w:r>
        <w:t xml:space="preserve">It is staff’s opinion that it is reasonable for the Commission to consider the earnings position of the utility when deciding if base rates should be reduced for changes in tax rates. Reducing base rates would result in cash flow reductions for the utilities, put downward pressure on earnings, and accelerate the need for a rate case sooner versus later. Consequently, staff recommends that no adjustment to base rates </w:t>
      </w:r>
      <w:r w:rsidR="00D178B4">
        <w:t>is</w:t>
      </w:r>
      <w:r>
        <w:t xml:space="preserve"> necessary regarding the tax impacts resulting from the passage of the </w:t>
      </w:r>
      <w:proofErr w:type="spellStart"/>
      <w:r>
        <w:t>TCJA</w:t>
      </w:r>
      <w:proofErr w:type="spellEnd"/>
      <w:r>
        <w:t xml:space="preserve"> for </w:t>
      </w:r>
      <w:r w:rsidR="00F2016F">
        <w:t>G</w:t>
      </w:r>
      <w:r w:rsidR="00D178B4">
        <w:t>old Coast</w:t>
      </w:r>
      <w:r>
        <w:t>. Such treatment is consistent with the Commission’s decisions in Docket Nos. 20180051-GU, 20180052-GU, 20180053-GU, 20180054-GU</w:t>
      </w:r>
      <w:r w:rsidR="00071B90">
        <w:t>, and 20180013-PU</w:t>
      </w:r>
      <w:r>
        <w:t>.</w:t>
      </w:r>
      <w:r>
        <w:rPr>
          <w:rStyle w:val="FootnoteReference"/>
        </w:rPr>
        <w:footnoteReference w:id="2"/>
      </w:r>
      <w:r>
        <w:t xml:space="preserve">  </w:t>
      </w: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4842D6" w:rsidRDefault="004842D6" w:rsidP="004842D6">
      <w:pPr>
        <w:pStyle w:val="BodyText"/>
      </w:pPr>
    </w:p>
    <w:p w:rsidR="00715A4E" w:rsidRDefault="00715A4E" w:rsidP="004842D6">
      <w:pPr>
        <w:pStyle w:val="BodyText"/>
        <w:rPr>
          <w:b/>
        </w:rPr>
      </w:pPr>
    </w:p>
    <w:p w:rsidR="004842D6" w:rsidRPr="00644D73" w:rsidRDefault="004842D6" w:rsidP="004842D6">
      <w:pPr>
        <w:pStyle w:val="BodyText"/>
        <w:rPr>
          <w:b/>
        </w:rPr>
      </w:pPr>
      <w:r w:rsidRPr="00644D73">
        <w:rPr>
          <w:b/>
        </w:rPr>
        <w:lastRenderedPageBreak/>
        <w:t xml:space="preserve">Issue 2: </w:t>
      </w:r>
      <w:r w:rsidRPr="00AD4A7C">
        <w:t>Should this docket be closed?</w:t>
      </w:r>
    </w:p>
    <w:p w:rsidR="004842D6" w:rsidRDefault="004842D6" w:rsidP="004842D6">
      <w:pPr>
        <w:pStyle w:val="BodyText"/>
      </w:pPr>
      <w:r w:rsidRPr="00644D73">
        <w:rPr>
          <w:b/>
        </w:rPr>
        <w:t>Recommendation:</w:t>
      </w:r>
      <w:r>
        <w:t xml:space="preserve"> Yes. Upon expiration of the protest period, if a timely protest is not received from a substantially affected person, the decision should become final and effective upon issuance of the Consummating Order and this docket should be closed</w:t>
      </w:r>
      <w:r w:rsidR="00D178B4">
        <w:t>.</w:t>
      </w:r>
      <w:r>
        <w:t xml:space="preserve"> (</w:t>
      </w:r>
      <w:proofErr w:type="spellStart"/>
      <w:r>
        <w:t>Brownless</w:t>
      </w:r>
      <w:proofErr w:type="spellEnd"/>
      <w:r>
        <w:t>)</w:t>
      </w:r>
    </w:p>
    <w:p w:rsidR="004842D6" w:rsidRDefault="004842D6" w:rsidP="004842D6">
      <w:pPr>
        <w:pStyle w:val="BodyText"/>
      </w:pPr>
      <w:r w:rsidRPr="00644D73">
        <w:rPr>
          <w:b/>
        </w:rPr>
        <w:t>Staff Analysis:</w:t>
      </w:r>
      <w:r>
        <w:t xml:space="preserve"> Upon expiration of the protest period, if a timely protest is not received from a substantially affected person, the decision should become final and effective upon issuance of the Consummating Order and this docket should be closed</w:t>
      </w:r>
      <w:r w:rsidR="00D178B4">
        <w:t xml:space="preserve">. </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07580A" w:rsidRDefault="0007580A" w:rsidP="0007580A">
      <w:pPr>
        <w:pStyle w:val="BodyText"/>
        <w:spacing w:after="0"/>
        <w:ind w:left="90"/>
        <w:jc w:val="center"/>
        <w:rPr>
          <w:rFonts w:ascii="Arial" w:hAnsi="Arial" w:cs="Arial"/>
          <w:b/>
        </w:rPr>
      </w:pPr>
      <w:bookmarkStart w:id="16" w:name="DiscussionOfIssues"/>
      <w:r>
        <w:rPr>
          <w:rFonts w:ascii="Arial" w:hAnsi="Arial" w:cs="Arial"/>
          <w:b/>
        </w:rPr>
        <w:lastRenderedPageBreak/>
        <w:t>Table 1-1</w:t>
      </w:r>
    </w:p>
    <w:p w:rsidR="0007580A" w:rsidRPr="00257D6D" w:rsidRDefault="0007580A" w:rsidP="0007580A">
      <w:pPr>
        <w:pStyle w:val="BodyText"/>
        <w:spacing w:after="0"/>
        <w:ind w:left="90"/>
        <w:jc w:val="center"/>
        <w:rPr>
          <w:rFonts w:ascii="Arial" w:hAnsi="Arial" w:cs="Arial"/>
          <w:b/>
        </w:rPr>
      </w:pPr>
      <w:r>
        <w:rPr>
          <w:rFonts w:ascii="Arial" w:hAnsi="Arial" w:cs="Arial"/>
          <w:b/>
        </w:rPr>
        <w:t xml:space="preserve">Tax Cuts and Jobs Act </w:t>
      </w:r>
      <w:proofErr w:type="spellStart"/>
      <w:r>
        <w:rPr>
          <w:rFonts w:ascii="Arial" w:hAnsi="Arial" w:cs="Arial"/>
          <w:b/>
        </w:rPr>
        <w:t>WAW</w:t>
      </w:r>
      <w:proofErr w:type="spellEnd"/>
      <w:r>
        <w:rPr>
          <w:rFonts w:ascii="Arial" w:hAnsi="Arial" w:cs="Arial"/>
          <w:b/>
        </w:rPr>
        <w:t xml:space="preserve"> Analysis</w:t>
      </w:r>
    </w:p>
    <w:tbl>
      <w:tblPr>
        <w:tblStyle w:val="TableGrid"/>
        <w:tblW w:w="9500" w:type="dxa"/>
        <w:tblInd w:w="90" w:type="dxa"/>
        <w:tblLayout w:type="fixed"/>
        <w:tblLook w:val="04A0" w:firstRow="1" w:lastRow="0" w:firstColumn="1" w:lastColumn="0" w:noHBand="0" w:noVBand="1"/>
      </w:tblPr>
      <w:tblGrid>
        <w:gridCol w:w="468"/>
        <w:gridCol w:w="3060"/>
        <w:gridCol w:w="1800"/>
        <w:gridCol w:w="1710"/>
        <w:gridCol w:w="1170"/>
        <w:gridCol w:w="1292"/>
      </w:tblGrid>
      <w:tr w:rsidR="0007580A" w:rsidRPr="00257D6D" w:rsidTr="0042221A">
        <w:tc>
          <w:tcPr>
            <w:tcW w:w="468" w:type="dxa"/>
            <w:tcBorders>
              <w:bottom w:val="nil"/>
            </w:tcBorders>
          </w:tcPr>
          <w:p w:rsidR="0007580A" w:rsidRPr="00257D6D" w:rsidRDefault="0007580A" w:rsidP="0042221A">
            <w:pPr>
              <w:jc w:val="center"/>
              <w:rPr>
                <w:b/>
              </w:rPr>
            </w:pPr>
          </w:p>
        </w:tc>
        <w:tc>
          <w:tcPr>
            <w:tcW w:w="3060" w:type="dxa"/>
            <w:tcBorders>
              <w:bottom w:val="nil"/>
            </w:tcBorders>
          </w:tcPr>
          <w:p w:rsidR="0007580A" w:rsidRPr="00257D6D" w:rsidRDefault="0007580A" w:rsidP="0042221A">
            <w:pPr>
              <w:jc w:val="center"/>
              <w:rPr>
                <w:b/>
              </w:rPr>
            </w:pPr>
          </w:p>
        </w:tc>
        <w:tc>
          <w:tcPr>
            <w:tcW w:w="1800" w:type="dxa"/>
            <w:tcBorders>
              <w:bottom w:val="nil"/>
            </w:tcBorders>
          </w:tcPr>
          <w:p w:rsidR="0007580A" w:rsidRPr="00257D6D" w:rsidRDefault="0007580A" w:rsidP="0042221A">
            <w:pPr>
              <w:jc w:val="center"/>
              <w:rPr>
                <w:b/>
              </w:rPr>
            </w:pPr>
            <w:r w:rsidRPr="00257D6D">
              <w:rPr>
                <w:b/>
              </w:rPr>
              <w:t xml:space="preserve">Net Operating </w:t>
            </w:r>
          </w:p>
        </w:tc>
        <w:tc>
          <w:tcPr>
            <w:tcW w:w="1710" w:type="dxa"/>
            <w:tcBorders>
              <w:bottom w:val="nil"/>
            </w:tcBorders>
          </w:tcPr>
          <w:p w:rsidR="0007580A" w:rsidRPr="00257D6D" w:rsidRDefault="0007580A" w:rsidP="0042221A">
            <w:pPr>
              <w:jc w:val="center"/>
              <w:rPr>
                <w:b/>
              </w:rPr>
            </w:pPr>
          </w:p>
        </w:tc>
        <w:tc>
          <w:tcPr>
            <w:tcW w:w="1170" w:type="dxa"/>
            <w:tcBorders>
              <w:bottom w:val="nil"/>
            </w:tcBorders>
          </w:tcPr>
          <w:p w:rsidR="0007580A" w:rsidRPr="00257D6D" w:rsidRDefault="0007580A" w:rsidP="0042221A">
            <w:pPr>
              <w:jc w:val="center"/>
              <w:rPr>
                <w:b/>
              </w:rPr>
            </w:pPr>
            <w:r w:rsidRPr="00257D6D">
              <w:rPr>
                <w:b/>
              </w:rPr>
              <w:t xml:space="preserve">Achieved </w:t>
            </w:r>
          </w:p>
        </w:tc>
        <w:tc>
          <w:tcPr>
            <w:tcW w:w="1292" w:type="dxa"/>
            <w:tcBorders>
              <w:bottom w:val="nil"/>
            </w:tcBorders>
          </w:tcPr>
          <w:p w:rsidR="0007580A" w:rsidRPr="00257D6D" w:rsidRDefault="0007580A" w:rsidP="0042221A">
            <w:pPr>
              <w:jc w:val="center"/>
              <w:rPr>
                <w:b/>
              </w:rPr>
            </w:pPr>
            <w:r w:rsidRPr="00257D6D">
              <w:rPr>
                <w:b/>
              </w:rPr>
              <w:t xml:space="preserve">Approved </w:t>
            </w:r>
          </w:p>
        </w:tc>
      </w:tr>
      <w:tr w:rsidR="0007580A" w:rsidRPr="00257D6D" w:rsidTr="0042221A">
        <w:tc>
          <w:tcPr>
            <w:tcW w:w="468" w:type="dxa"/>
            <w:tcBorders>
              <w:top w:val="nil"/>
            </w:tcBorders>
          </w:tcPr>
          <w:p w:rsidR="0007580A" w:rsidRPr="00257D6D" w:rsidRDefault="0007580A" w:rsidP="0042221A">
            <w:pPr>
              <w:jc w:val="center"/>
              <w:rPr>
                <w:b/>
              </w:rPr>
            </w:pPr>
          </w:p>
        </w:tc>
        <w:tc>
          <w:tcPr>
            <w:tcW w:w="3060" w:type="dxa"/>
            <w:tcBorders>
              <w:top w:val="nil"/>
            </w:tcBorders>
          </w:tcPr>
          <w:p w:rsidR="0007580A" w:rsidRPr="00257D6D" w:rsidRDefault="0007580A" w:rsidP="0042221A">
            <w:pPr>
              <w:jc w:val="center"/>
              <w:rPr>
                <w:b/>
              </w:rPr>
            </w:pPr>
            <w:r w:rsidRPr="00257D6D">
              <w:rPr>
                <w:b/>
              </w:rPr>
              <w:t>Company</w:t>
            </w:r>
          </w:p>
        </w:tc>
        <w:tc>
          <w:tcPr>
            <w:tcW w:w="1800" w:type="dxa"/>
            <w:tcBorders>
              <w:top w:val="nil"/>
            </w:tcBorders>
          </w:tcPr>
          <w:p w:rsidR="0007580A" w:rsidRPr="00257D6D" w:rsidRDefault="0007580A" w:rsidP="0042221A">
            <w:pPr>
              <w:jc w:val="center"/>
              <w:rPr>
                <w:b/>
              </w:rPr>
            </w:pPr>
            <w:r w:rsidRPr="00257D6D">
              <w:rPr>
                <w:b/>
              </w:rPr>
              <w:t>Income</w:t>
            </w:r>
          </w:p>
        </w:tc>
        <w:tc>
          <w:tcPr>
            <w:tcW w:w="1710" w:type="dxa"/>
            <w:tcBorders>
              <w:top w:val="nil"/>
            </w:tcBorders>
          </w:tcPr>
          <w:p w:rsidR="0007580A" w:rsidRPr="00257D6D" w:rsidRDefault="0007580A" w:rsidP="0042221A">
            <w:pPr>
              <w:jc w:val="center"/>
              <w:rPr>
                <w:b/>
              </w:rPr>
            </w:pPr>
            <w:r>
              <w:rPr>
                <w:b/>
              </w:rPr>
              <w:t xml:space="preserve">Rate </w:t>
            </w:r>
            <w:r w:rsidRPr="00257D6D">
              <w:rPr>
                <w:b/>
              </w:rPr>
              <w:t>Base</w:t>
            </w:r>
          </w:p>
        </w:tc>
        <w:tc>
          <w:tcPr>
            <w:tcW w:w="1170" w:type="dxa"/>
            <w:tcBorders>
              <w:top w:val="nil"/>
            </w:tcBorders>
          </w:tcPr>
          <w:p w:rsidR="0007580A" w:rsidRPr="00257D6D" w:rsidRDefault="0007580A" w:rsidP="0042221A">
            <w:pPr>
              <w:jc w:val="center"/>
              <w:rPr>
                <w:b/>
              </w:rPr>
            </w:pPr>
            <w:proofErr w:type="spellStart"/>
            <w:r w:rsidRPr="00257D6D">
              <w:rPr>
                <w:b/>
              </w:rPr>
              <w:t>ROR</w:t>
            </w:r>
            <w:proofErr w:type="spellEnd"/>
          </w:p>
        </w:tc>
        <w:tc>
          <w:tcPr>
            <w:tcW w:w="1292" w:type="dxa"/>
            <w:tcBorders>
              <w:top w:val="nil"/>
            </w:tcBorders>
          </w:tcPr>
          <w:p w:rsidR="0007580A" w:rsidRPr="00257D6D" w:rsidRDefault="0007580A" w:rsidP="0042221A">
            <w:pPr>
              <w:jc w:val="center"/>
              <w:rPr>
                <w:b/>
              </w:rPr>
            </w:pPr>
            <w:proofErr w:type="spellStart"/>
            <w:r w:rsidRPr="00257D6D">
              <w:rPr>
                <w:b/>
              </w:rPr>
              <w:t>ROR</w:t>
            </w:r>
            <w:proofErr w:type="spellEnd"/>
            <w:r w:rsidRPr="00257D6D">
              <w:rPr>
                <w:b/>
              </w:rPr>
              <w:t xml:space="preserve"> Cap</w:t>
            </w:r>
          </w:p>
        </w:tc>
      </w:tr>
      <w:tr w:rsidR="0007580A" w:rsidTr="0042221A">
        <w:tc>
          <w:tcPr>
            <w:tcW w:w="468" w:type="dxa"/>
          </w:tcPr>
          <w:p w:rsidR="0007580A" w:rsidRDefault="0007580A" w:rsidP="0042221A">
            <w:pPr>
              <w:jc w:val="center"/>
            </w:pPr>
            <w:r>
              <w:t>3</w:t>
            </w:r>
          </w:p>
        </w:tc>
        <w:tc>
          <w:tcPr>
            <w:tcW w:w="3060" w:type="dxa"/>
          </w:tcPr>
          <w:p w:rsidR="0007580A" w:rsidRDefault="0007580A" w:rsidP="0042221A">
            <w:r>
              <w:t>Gold Coast Utility Corporation</w:t>
            </w:r>
          </w:p>
        </w:tc>
        <w:tc>
          <w:tcPr>
            <w:tcW w:w="1800" w:type="dxa"/>
            <w:vAlign w:val="bottom"/>
          </w:tcPr>
          <w:p w:rsidR="0007580A" w:rsidRPr="00257D6D" w:rsidRDefault="0007580A" w:rsidP="0042221A">
            <w:pPr>
              <w:rPr>
                <w:color w:val="000000"/>
              </w:rPr>
            </w:pPr>
            <w:r w:rsidRPr="00257D6D">
              <w:rPr>
                <w:color w:val="000000"/>
              </w:rPr>
              <w:t> </w:t>
            </w:r>
            <w:r w:rsidR="00910737">
              <w:rPr>
                <w:color w:val="000000"/>
              </w:rPr>
              <w:t>($144,575)</w:t>
            </w:r>
          </w:p>
        </w:tc>
        <w:tc>
          <w:tcPr>
            <w:tcW w:w="1710" w:type="dxa"/>
            <w:vAlign w:val="bottom"/>
          </w:tcPr>
          <w:p w:rsidR="0007580A" w:rsidRPr="00257D6D" w:rsidRDefault="0007580A" w:rsidP="0042221A">
            <w:pPr>
              <w:rPr>
                <w:color w:val="000000"/>
              </w:rPr>
            </w:pPr>
            <w:r w:rsidRPr="00257D6D">
              <w:rPr>
                <w:color w:val="000000"/>
              </w:rPr>
              <w:t> </w:t>
            </w:r>
            <w:r w:rsidR="00910737">
              <w:rPr>
                <w:color w:val="000000"/>
              </w:rPr>
              <w:t>$387,557</w:t>
            </w:r>
          </w:p>
        </w:tc>
        <w:tc>
          <w:tcPr>
            <w:tcW w:w="1170" w:type="dxa"/>
            <w:vAlign w:val="bottom"/>
          </w:tcPr>
          <w:p w:rsidR="0007580A" w:rsidRPr="00257D6D" w:rsidRDefault="0007580A" w:rsidP="0042221A">
            <w:pPr>
              <w:rPr>
                <w:color w:val="000000"/>
              </w:rPr>
            </w:pPr>
            <w:r w:rsidRPr="00257D6D">
              <w:rPr>
                <w:color w:val="000000"/>
              </w:rPr>
              <w:t> </w:t>
            </w:r>
            <w:r w:rsidR="00910737">
              <w:rPr>
                <w:color w:val="000000"/>
              </w:rPr>
              <w:t>-37.30%</w:t>
            </w:r>
          </w:p>
        </w:tc>
        <w:tc>
          <w:tcPr>
            <w:tcW w:w="1292" w:type="dxa"/>
            <w:vAlign w:val="bottom"/>
          </w:tcPr>
          <w:p w:rsidR="0007580A" w:rsidRPr="00257D6D" w:rsidRDefault="00910737" w:rsidP="0042221A">
            <w:pPr>
              <w:jc w:val="right"/>
              <w:rPr>
                <w:color w:val="000000"/>
              </w:rPr>
            </w:pPr>
            <w:r>
              <w:rPr>
                <w:color w:val="000000"/>
              </w:rPr>
              <w:t>7.53</w:t>
            </w:r>
            <w:r w:rsidR="0007580A" w:rsidRPr="00257D6D">
              <w:rPr>
                <w:color w:val="000000"/>
              </w:rPr>
              <w:t>%</w:t>
            </w:r>
          </w:p>
        </w:tc>
      </w:tr>
    </w:tbl>
    <w:p w:rsidR="007C0528" w:rsidRPr="0007580A" w:rsidRDefault="0007580A" w:rsidP="0007580A">
      <w:pPr>
        <w:pStyle w:val="RecommendationMajorSectionHeading"/>
        <w:tabs>
          <w:tab w:val="center" w:pos="4680"/>
        </w:tabs>
        <w:jc w:val="left"/>
        <w:rPr>
          <w:rFonts w:ascii="Times New Roman" w:hAnsi="Times New Roman" w:cs="Times New Roman"/>
        </w:rPr>
      </w:pPr>
      <w:r w:rsidRPr="0007580A">
        <w:rPr>
          <w:rFonts w:ascii="Times New Roman" w:hAnsi="Times New Roman" w:cs="Times New Roman"/>
        </w:rPr>
        <w:t>Source: 2018 Annual Report</w:t>
      </w:r>
    </w:p>
    <w:bookmarkEnd w:id="16"/>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68A" w:rsidRDefault="0081468A">
      <w:r>
        <w:separator/>
      </w:r>
    </w:p>
  </w:endnote>
  <w:endnote w:type="continuationSeparator" w:id="0">
    <w:p w:rsidR="0081468A" w:rsidRDefault="0081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B64CC">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68A" w:rsidRDefault="0081468A">
      <w:r>
        <w:separator/>
      </w:r>
    </w:p>
  </w:footnote>
  <w:footnote w:type="continuationSeparator" w:id="0">
    <w:p w:rsidR="0081468A" w:rsidRDefault="0081468A">
      <w:r>
        <w:continuationSeparator/>
      </w:r>
    </w:p>
  </w:footnote>
  <w:footnote w:id="1">
    <w:p w:rsidR="004842D6" w:rsidRDefault="004842D6">
      <w:pPr>
        <w:pStyle w:val="FootnoteText"/>
      </w:pPr>
      <w:r>
        <w:rPr>
          <w:rStyle w:val="FootnoteReference"/>
        </w:rPr>
        <w:footnoteRef/>
      </w:r>
      <w:proofErr w:type="gramStart"/>
      <w:r w:rsidRPr="004842D6">
        <w:t>Order No.</w:t>
      </w:r>
      <w:proofErr w:type="gramEnd"/>
      <w:r w:rsidRPr="004842D6">
        <w:t xml:space="preserve"> PSC-2018-0104-</w:t>
      </w:r>
      <w:proofErr w:type="spellStart"/>
      <w:r w:rsidRPr="004842D6">
        <w:t>PCO</w:t>
      </w:r>
      <w:proofErr w:type="spellEnd"/>
      <w:r w:rsidRPr="004842D6">
        <w:t xml:space="preserve">-PU, issued February 6, 2018 in Docket No. 20180013-PU, </w:t>
      </w:r>
      <w:r w:rsidRPr="004842D6">
        <w:rPr>
          <w:i/>
        </w:rPr>
        <w:t>In re: Petition to establish a generic docket to investigate and adjust rates for 2018 tax savings, by Office of Public Counsel</w:t>
      </w:r>
      <w:r w:rsidRPr="004842D6">
        <w:t>.</w:t>
      </w:r>
    </w:p>
  </w:footnote>
  <w:footnote w:id="2">
    <w:p w:rsidR="00276B9E" w:rsidRPr="00F73BFB" w:rsidRDefault="004842D6" w:rsidP="00276B9E">
      <w:pPr>
        <w:pStyle w:val="FootnoteText"/>
        <w:rPr>
          <w:i/>
        </w:rPr>
      </w:pPr>
      <w:r>
        <w:rPr>
          <w:rStyle w:val="FootnoteReference"/>
        </w:rPr>
        <w:footnoteRef/>
      </w:r>
      <w:proofErr w:type="gramStart"/>
      <w:r w:rsidRPr="004842D6">
        <w:t>Order No.</w:t>
      </w:r>
      <w:proofErr w:type="gramEnd"/>
      <w:r w:rsidRPr="004842D6">
        <w:t xml:space="preserve"> PSC-2019-0076-</w:t>
      </w:r>
      <w:proofErr w:type="spellStart"/>
      <w:r w:rsidRPr="004842D6">
        <w:t>FOF</w:t>
      </w:r>
      <w:proofErr w:type="spellEnd"/>
      <w:r w:rsidRPr="004842D6">
        <w:t xml:space="preserve">-GU, issued February 25, 2019, in Docket No. 20180051-GU, </w:t>
      </w:r>
      <w:r w:rsidRPr="004842D6">
        <w:rPr>
          <w:i/>
        </w:rPr>
        <w:t>In re: Consideration of the tax impacts associated with the Tax Cuts and Jobs Act of 2017 for Florida Public Utilities Company – Gas</w:t>
      </w:r>
      <w:r w:rsidRPr="004842D6">
        <w:t>; Order No. PSC-2019-0077-</w:t>
      </w:r>
      <w:proofErr w:type="spellStart"/>
      <w:r w:rsidRPr="004842D6">
        <w:t>FOF</w:t>
      </w:r>
      <w:proofErr w:type="spellEnd"/>
      <w:r w:rsidRPr="004842D6">
        <w:t>-GU, issued February 25, 2019, in Docket No. 20180052-GU</w:t>
      </w:r>
      <w:proofErr w:type="gramStart"/>
      <w:r w:rsidRPr="004842D6">
        <w:t xml:space="preserve">,  </w:t>
      </w:r>
      <w:r w:rsidRPr="004842D6">
        <w:rPr>
          <w:i/>
        </w:rPr>
        <w:t>In</w:t>
      </w:r>
      <w:proofErr w:type="gramEnd"/>
      <w:r w:rsidRPr="004842D6">
        <w:rPr>
          <w:i/>
        </w:rPr>
        <w:t xml:space="preserve"> re: Consideration of the tax impacts associated with the Tax Cuts and Jobs Act of 2017 for Florida Public Utilities Company – Indiantown Division</w:t>
      </w:r>
      <w:r w:rsidRPr="004842D6">
        <w:t>; Order No. PSC-2019-0079-</w:t>
      </w:r>
      <w:proofErr w:type="spellStart"/>
      <w:r w:rsidRPr="004842D6">
        <w:t>FOF</w:t>
      </w:r>
      <w:proofErr w:type="spellEnd"/>
      <w:r w:rsidRPr="004842D6">
        <w:t xml:space="preserve">-GU, issued February 25, 2019, in Docket No. 20180053-GU, </w:t>
      </w:r>
      <w:r w:rsidRPr="004842D6">
        <w:rPr>
          <w:i/>
        </w:rPr>
        <w:t>In re: Consideration of the tax impacts associated with the Tax Cuts and Jobs Act of 2017 for Florida Public Utilities Company – Fort Meade Division</w:t>
      </w:r>
      <w:r w:rsidRPr="004842D6">
        <w:t>; Order No. PSC-2019-0078-</w:t>
      </w:r>
      <w:proofErr w:type="spellStart"/>
      <w:r w:rsidRPr="004842D6">
        <w:t>FOF</w:t>
      </w:r>
      <w:proofErr w:type="spellEnd"/>
      <w:r w:rsidRPr="004842D6">
        <w:t xml:space="preserve">-GU, issued February 25, 2019, in Docket No. 20180054-GU, </w:t>
      </w:r>
      <w:r w:rsidRPr="004842D6">
        <w:rPr>
          <w:i/>
        </w:rPr>
        <w:t>In re: Consideration of the tax impacts associated with the Tax Cuts and Jobs Act of 2017 for the Florida Division of Chesapeake Utilities Corporation</w:t>
      </w:r>
      <w:r w:rsidRPr="004842D6">
        <w:t>.</w:t>
      </w:r>
      <w:r w:rsidR="003C1685">
        <w:t xml:space="preserve"> </w:t>
      </w:r>
      <w:proofErr w:type="gramStart"/>
      <w:r w:rsidR="00276B9E">
        <w:t>Order No.</w:t>
      </w:r>
      <w:proofErr w:type="gramEnd"/>
      <w:r w:rsidR="00276B9E">
        <w:t xml:space="preserve"> PSC-2019-0350-</w:t>
      </w:r>
      <w:proofErr w:type="spellStart"/>
      <w:r w:rsidR="00276B9E">
        <w:t>PAA</w:t>
      </w:r>
      <w:proofErr w:type="spellEnd"/>
      <w:r w:rsidR="00276B9E">
        <w:t xml:space="preserve">-PU, </w:t>
      </w:r>
      <w:r w:rsidR="006C3F02">
        <w:t>issued August 22, 2019, in Docket No. 20180013-PU</w:t>
      </w:r>
      <w:proofErr w:type="gramStart"/>
      <w:r w:rsidR="006C3F02">
        <w:t xml:space="preserve">, </w:t>
      </w:r>
      <w:r w:rsidR="00A7088E">
        <w:t xml:space="preserve"> </w:t>
      </w:r>
      <w:r w:rsidR="00276B9E">
        <w:rPr>
          <w:i/>
        </w:rPr>
        <w:t>In</w:t>
      </w:r>
      <w:proofErr w:type="gramEnd"/>
      <w:r w:rsidR="00276B9E">
        <w:rPr>
          <w:i/>
        </w:rPr>
        <w:t xml:space="preserve"> re: Petition to establish a generic docket to investigate and adjust rates for 2018 tax savings by Office of </w:t>
      </w:r>
      <w:proofErr w:type="spellStart"/>
      <w:r w:rsidR="00276B9E">
        <w:rPr>
          <w:i/>
        </w:rPr>
        <w:t>Publc</w:t>
      </w:r>
      <w:proofErr w:type="spellEnd"/>
      <w:r w:rsidR="00276B9E">
        <w:rPr>
          <w:i/>
        </w:rPr>
        <w:t xml:space="preserve"> Counsel.</w:t>
      </w:r>
    </w:p>
    <w:p w:rsidR="004842D6" w:rsidRDefault="004842D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81468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20200148-WS</w:t>
    </w:r>
    <w:bookmarkEnd w:id="15"/>
  </w:p>
  <w:p w:rsidR="00BC402E" w:rsidRDefault="00BC402E">
    <w:pPr>
      <w:pStyle w:val="Header"/>
    </w:pPr>
    <w:r>
      <w:t xml:space="preserve">Date: </w:t>
    </w:r>
    <w:r w:rsidR="00CA4E4E">
      <w:t>August 6</w:t>
    </w:r>
    <w:r w:rsidR="00EE2152">
      <w:t>, 2020</w:t>
    </w:r>
  </w:p>
  <w:p w:rsidR="00CA4E4E" w:rsidRDefault="00CA4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81468A">
      <w:t>Docket No.</w:t>
    </w:r>
    <w:r>
      <w:fldChar w:fldCharType="end"/>
    </w:r>
    <w:r>
      <w:t xml:space="preserve"> </w:t>
    </w:r>
    <w:r>
      <w:fldChar w:fldCharType="begin"/>
    </w:r>
    <w:r>
      <w:instrText xml:space="preserve"> REF DocketList</w:instrText>
    </w:r>
    <w:r>
      <w:fldChar w:fldCharType="separate"/>
    </w:r>
    <w:r w:rsidR="0081468A">
      <w:t>20200148-WS</w:t>
    </w:r>
    <w:r>
      <w:fldChar w:fldCharType="end"/>
    </w:r>
    <w:r>
      <w:tab/>
    </w:r>
    <w:r w:rsidR="002A5757">
      <w:t>Attachment</w:t>
    </w:r>
    <w:r w:rsidR="00EE2152">
      <w:t xml:space="preserve"> A</w:t>
    </w:r>
  </w:p>
  <w:p w:rsidR="00BC402E" w:rsidRDefault="00BC402E">
    <w:pPr>
      <w:pStyle w:val="Header"/>
    </w:pPr>
    <w:r>
      <w:t xml:space="preserve">Date: </w:t>
    </w:r>
    <w:r w:rsidR="00CA4E4E">
      <w:t>August 6,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1468A"/>
    <w:rsid w:val="000043D5"/>
    <w:rsid w:val="00006170"/>
    <w:rsid w:val="00010E37"/>
    <w:rsid w:val="000172DA"/>
    <w:rsid w:val="000247C5"/>
    <w:rsid w:val="000277C2"/>
    <w:rsid w:val="00035B48"/>
    <w:rsid w:val="00036CE2"/>
    <w:rsid w:val="000437FE"/>
    <w:rsid w:val="000513BE"/>
    <w:rsid w:val="00065A06"/>
    <w:rsid w:val="000666F3"/>
    <w:rsid w:val="00070DCB"/>
    <w:rsid w:val="00071B90"/>
    <w:rsid w:val="00072CCA"/>
    <w:rsid w:val="00073120"/>
    <w:rsid w:val="0007580A"/>
    <w:rsid w:val="000764D0"/>
    <w:rsid w:val="000828D3"/>
    <w:rsid w:val="00083D4B"/>
    <w:rsid w:val="000A2B57"/>
    <w:rsid w:val="000A418B"/>
    <w:rsid w:val="000B4196"/>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76B9E"/>
    <w:rsid w:val="00292D82"/>
    <w:rsid w:val="002963CB"/>
    <w:rsid w:val="002A5757"/>
    <w:rsid w:val="002B4A01"/>
    <w:rsid w:val="002B64CC"/>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1685"/>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6553E"/>
    <w:rsid w:val="00471860"/>
    <w:rsid w:val="00477026"/>
    <w:rsid w:val="004842D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070F2"/>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4D73"/>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C3F02"/>
    <w:rsid w:val="006D18D3"/>
    <w:rsid w:val="006E08CB"/>
    <w:rsid w:val="006E598D"/>
    <w:rsid w:val="0070437D"/>
    <w:rsid w:val="00704B24"/>
    <w:rsid w:val="00704CF1"/>
    <w:rsid w:val="00705B04"/>
    <w:rsid w:val="00715A4E"/>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468A"/>
    <w:rsid w:val="00816624"/>
    <w:rsid w:val="00822427"/>
    <w:rsid w:val="00822562"/>
    <w:rsid w:val="00823663"/>
    <w:rsid w:val="00832DDC"/>
    <w:rsid w:val="0083472A"/>
    <w:rsid w:val="00846630"/>
    <w:rsid w:val="00850BAC"/>
    <w:rsid w:val="00854A3E"/>
    <w:rsid w:val="00855D08"/>
    <w:rsid w:val="0086109B"/>
    <w:rsid w:val="00874344"/>
    <w:rsid w:val="00882155"/>
    <w:rsid w:val="0088233B"/>
    <w:rsid w:val="0088599E"/>
    <w:rsid w:val="008861A5"/>
    <w:rsid w:val="00886C37"/>
    <w:rsid w:val="00892D99"/>
    <w:rsid w:val="00893315"/>
    <w:rsid w:val="008B62AE"/>
    <w:rsid w:val="008C04B5"/>
    <w:rsid w:val="008C14FA"/>
    <w:rsid w:val="008C7B0B"/>
    <w:rsid w:val="008D4057"/>
    <w:rsid w:val="008E17F2"/>
    <w:rsid w:val="008E1F19"/>
    <w:rsid w:val="008F2262"/>
    <w:rsid w:val="008F4D2B"/>
    <w:rsid w:val="008F7736"/>
    <w:rsid w:val="0090019E"/>
    <w:rsid w:val="00901086"/>
    <w:rsid w:val="00901C8A"/>
    <w:rsid w:val="00905886"/>
    <w:rsid w:val="009070D6"/>
    <w:rsid w:val="009076C6"/>
    <w:rsid w:val="0091019E"/>
    <w:rsid w:val="009106F1"/>
    <w:rsid w:val="00910737"/>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5030"/>
    <w:rsid w:val="00A56765"/>
    <w:rsid w:val="00A675AC"/>
    <w:rsid w:val="00A7088E"/>
    <w:rsid w:val="00A7581F"/>
    <w:rsid w:val="00A92FB1"/>
    <w:rsid w:val="00A95A0C"/>
    <w:rsid w:val="00AA2765"/>
    <w:rsid w:val="00AA77B5"/>
    <w:rsid w:val="00AB6C5D"/>
    <w:rsid w:val="00AC3401"/>
    <w:rsid w:val="00AC51A7"/>
    <w:rsid w:val="00AD444B"/>
    <w:rsid w:val="00AD4A7C"/>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53D18"/>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4E4E"/>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178B4"/>
    <w:rsid w:val="00D45C11"/>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2152"/>
    <w:rsid w:val="00EF264C"/>
    <w:rsid w:val="00EF3FEE"/>
    <w:rsid w:val="00F04B59"/>
    <w:rsid w:val="00F11741"/>
    <w:rsid w:val="00F12B1C"/>
    <w:rsid w:val="00F13CF8"/>
    <w:rsid w:val="00F15855"/>
    <w:rsid w:val="00F200B2"/>
    <w:rsid w:val="00F2016F"/>
    <w:rsid w:val="00F227DC"/>
    <w:rsid w:val="00F32978"/>
    <w:rsid w:val="00F45CB2"/>
    <w:rsid w:val="00F544C0"/>
    <w:rsid w:val="00F55332"/>
    <w:rsid w:val="00F61CC6"/>
    <w:rsid w:val="00F6504A"/>
    <w:rsid w:val="00F65519"/>
    <w:rsid w:val="00F713C0"/>
    <w:rsid w:val="00F72BE6"/>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4842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4842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581AE-14F4-4A59-BA9F-3819EA40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5</Pages>
  <Words>620</Words>
  <Characters>3547</Characters>
  <Application>Microsoft Office Word</Application>
  <DocSecurity>0</DocSecurity>
  <Lines>131</Lines>
  <Paragraphs>62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Mark Cicchetti</dc:creator>
  <cp:lastModifiedBy>Sara Boyer</cp:lastModifiedBy>
  <cp:revision>2</cp:revision>
  <cp:lastPrinted>2004-01-27T20:32:00Z</cp:lastPrinted>
  <dcterms:created xsi:type="dcterms:W3CDTF">2020-08-06T13:14:00Z</dcterms:created>
  <dcterms:modified xsi:type="dcterms:W3CDTF">2020-08-06T13:14:00Z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20200148-WS</vt:lpwstr>
  </property>
  <property fmtid="{D5CDD505-2E9C-101B-9397-08002B2CF9AE}" pid="3" name="MasterDocument">
    <vt:bool>false</vt:bool>
  </property>
</Properties>
</file>