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682FF681"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C499642" w14:textId="77777777" w:rsidR="007C0528" w:rsidRDefault="007C0528" w:rsidP="00532DFB">
            <w:pPr>
              <w:pStyle w:val="MastHeadState"/>
            </w:pPr>
            <w:bookmarkStart w:id="0" w:name="_GoBack"/>
            <w:bookmarkEnd w:id="0"/>
            <w:r>
              <w:t>State of Florida</w:t>
            </w:r>
          </w:p>
          <w:p w14:paraId="1E162018" w14:textId="77777777" w:rsidR="007C0528" w:rsidRDefault="00072CCA">
            <w:pPr>
              <w:jc w:val="center"/>
            </w:pPr>
            <w:r>
              <w:rPr>
                <w:noProof/>
              </w:rPr>
              <w:drawing>
                <wp:inline distT="0" distB="0" distL="0" distR="0" wp14:anchorId="5F459A8C" wp14:editId="0C46DCBB">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51DA0273"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339CC56D" w14:textId="77777777" w:rsidR="007C0528" w:rsidRDefault="007C0528">
            <w:pPr>
              <w:pStyle w:val="MastHeadPSC"/>
            </w:pPr>
            <w:r>
              <w:t>Public Service Commission</w:t>
            </w:r>
          </w:p>
          <w:p w14:paraId="204EC3A9" w14:textId="77777777" w:rsidR="007C0528" w:rsidRDefault="007C0528">
            <w:pPr>
              <w:pStyle w:val="MastHeadAddress"/>
            </w:pPr>
            <w:r>
              <w:t>Capital Circle Office Center ● 2540 Shumard Oak Boulevard</w:t>
            </w:r>
            <w:r>
              <w:br/>
              <w:t>Tallahassee, Florida 32399-0850</w:t>
            </w:r>
          </w:p>
          <w:p w14:paraId="08B4F4CD" w14:textId="77777777" w:rsidR="007C0528" w:rsidRDefault="007C0528">
            <w:pPr>
              <w:pStyle w:val="MastHeadMemorandum"/>
            </w:pPr>
            <w:r>
              <w:t>-M-E-M-O-R-A-N-D-U-M-</w:t>
            </w:r>
          </w:p>
          <w:p w14:paraId="21201E1D" w14:textId="77777777" w:rsidR="007C0528" w:rsidRDefault="007C0528">
            <w:pPr>
              <w:pStyle w:val="MemoHeading"/>
            </w:pPr>
          </w:p>
        </w:tc>
      </w:tr>
      <w:tr w:rsidR="007C0528" w14:paraId="368B19D3"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1310A701"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0E399AC" w14:textId="77777777" w:rsidR="007C0528" w:rsidRDefault="005F5B16">
            <w:pPr>
              <w:pStyle w:val="MemoHeading"/>
            </w:pPr>
            <w:bookmarkStart w:id="1" w:name="FilingDate"/>
            <w:r>
              <w:t>September 24, 2020</w:t>
            </w:r>
            <w:bookmarkEnd w:id="1"/>
          </w:p>
        </w:tc>
      </w:tr>
      <w:tr w:rsidR="007C0528" w14:paraId="4747F005" w14:textId="77777777">
        <w:tc>
          <w:tcPr>
            <w:tcW w:w="1254" w:type="dxa"/>
            <w:tcBorders>
              <w:top w:val="nil"/>
              <w:left w:val="nil"/>
              <w:bottom w:val="nil"/>
              <w:right w:val="nil"/>
            </w:tcBorders>
            <w:shd w:val="clear" w:color="auto" w:fill="auto"/>
            <w:tcMar>
              <w:top w:w="288" w:type="dxa"/>
              <w:bottom w:w="0" w:type="dxa"/>
              <w:right w:w="0" w:type="dxa"/>
            </w:tcMar>
          </w:tcPr>
          <w:p w14:paraId="116A924B"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407AEFA2" w14:textId="77777777" w:rsidR="007C0528" w:rsidRDefault="007C0528" w:rsidP="0093658B">
            <w:pPr>
              <w:pStyle w:val="MemoHeading"/>
            </w:pPr>
            <w:r>
              <w:t>Office of Commission Clerk (</w:t>
            </w:r>
            <w:r w:rsidR="004E69B5">
              <w:t>Teitzman</w:t>
            </w:r>
            <w:r>
              <w:t>)</w:t>
            </w:r>
          </w:p>
        </w:tc>
      </w:tr>
      <w:tr w:rsidR="007C0528" w14:paraId="66F5401E" w14:textId="77777777">
        <w:tc>
          <w:tcPr>
            <w:tcW w:w="1254" w:type="dxa"/>
            <w:tcBorders>
              <w:top w:val="nil"/>
              <w:left w:val="nil"/>
              <w:bottom w:val="nil"/>
              <w:right w:val="nil"/>
            </w:tcBorders>
            <w:shd w:val="clear" w:color="auto" w:fill="auto"/>
            <w:tcMar>
              <w:top w:w="288" w:type="dxa"/>
              <w:right w:w="0" w:type="dxa"/>
            </w:tcMar>
          </w:tcPr>
          <w:p w14:paraId="2DCFC550"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16D14B35" w14:textId="77777777" w:rsidR="005F5B16" w:rsidRDefault="005F5B16">
            <w:pPr>
              <w:pStyle w:val="MemoHeading"/>
            </w:pPr>
            <w:bookmarkStart w:id="2" w:name="From"/>
            <w:r>
              <w:t>Division of Accounting and Finance (Hightower, D. Buys, Cicchetti)</w:t>
            </w:r>
          </w:p>
          <w:p w14:paraId="763EEC1E" w14:textId="77777777" w:rsidR="007C0528" w:rsidRDefault="005F5B16">
            <w:pPr>
              <w:pStyle w:val="MemoHeading"/>
            </w:pPr>
            <w:r>
              <w:t>Office of the General Counsel (</w:t>
            </w:r>
            <w:proofErr w:type="spellStart"/>
            <w:r>
              <w:t>Lherisson</w:t>
            </w:r>
            <w:proofErr w:type="spellEnd"/>
            <w:r>
              <w:t>, Schrader)</w:t>
            </w:r>
            <w:bookmarkEnd w:id="2"/>
          </w:p>
        </w:tc>
      </w:tr>
      <w:tr w:rsidR="007C0528" w14:paraId="1717847A" w14:textId="77777777">
        <w:tc>
          <w:tcPr>
            <w:tcW w:w="1254" w:type="dxa"/>
            <w:tcBorders>
              <w:top w:val="nil"/>
              <w:left w:val="nil"/>
              <w:bottom w:val="nil"/>
              <w:right w:val="nil"/>
            </w:tcBorders>
            <w:shd w:val="clear" w:color="auto" w:fill="auto"/>
            <w:tcMar>
              <w:top w:w="288" w:type="dxa"/>
              <w:right w:w="0" w:type="dxa"/>
            </w:tcMar>
          </w:tcPr>
          <w:p w14:paraId="69A9BD9A"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2FDB9CB4" w14:textId="77777777" w:rsidR="007C0528" w:rsidRDefault="005F5B16">
            <w:pPr>
              <w:pStyle w:val="MemoHeadingRe"/>
            </w:pPr>
            <w:bookmarkStart w:id="3" w:name="Re"/>
            <w:r>
              <w:t xml:space="preserve">Docket No. 20200188-EI – Application for authority to issue and sell securities during calendar years 2020 and 2021, pursuant to Section 366.04, </w:t>
            </w:r>
            <w:proofErr w:type="spellStart"/>
            <w:r>
              <w:t>F.S</w:t>
            </w:r>
            <w:proofErr w:type="spellEnd"/>
            <w:r>
              <w:t>., and Chapter 25-8, F.A.C., by Florida Power &amp; Light Company and Florida City Gas.</w:t>
            </w:r>
            <w:bookmarkEnd w:id="3"/>
          </w:p>
        </w:tc>
      </w:tr>
      <w:tr w:rsidR="007C0528" w14:paraId="2D87BE06" w14:textId="77777777">
        <w:tc>
          <w:tcPr>
            <w:tcW w:w="1254" w:type="dxa"/>
            <w:tcBorders>
              <w:top w:val="nil"/>
              <w:left w:val="nil"/>
              <w:bottom w:val="nil"/>
              <w:right w:val="nil"/>
            </w:tcBorders>
            <w:shd w:val="clear" w:color="auto" w:fill="auto"/>
            <w:tcMar>
              <w:top w:w="288" w:type="dxa"/>
              <w:bottom w:w="0" w:type="dxa"/>
              <w:right w:w="0" w:type="dxa"/>
            </w:tcMar>
          </w:tcPr>
          <w:p w14:paraId="7C42030D"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0B7BF58C" w14:textId="35A1C8AC" w:rsidR="007C0528" w:rsidRDefault="005F5B16">
            <w:pPr>
              <w:pStyle w:val="MemoHeading"/>
            </w:pPr>
            <w:bookmarkStart w:id="4" w:name="AgendaDate"/>
            <w:r>
              <w:t>10/06/20</w:t>
            </w:r>
            <w:bookmarkEnd w:id="4"/>
            <w:r w:rsidR="007C0528">
              <w:t xml:space="preserve"> – </w:t>
            </w:r>
            <w:bookmarkStart w:id="5" w:name="PermittedStatus"/>
            <w:r>
              <w:t xml:space="preserve">Regular Agenda – </w:t>
            </w:r>
            <w:r w:rsidR="00F91B94">
              <w:t xml:space="preserve">Final Action – </w:t>
            </w:r>
            <w:r>
              <w:t>Interested Persons May Participate</w:t>
            </w:r>
            <w:bookmarkEnd w:id="5"/>
          </w:p>
        </w:tc>
      </w:tr>
      <w:tr w:rsidR="007C0528" w14:paraId="4D1E4006" w14:textId="77777777">
        <w:tc>
          <w:tcPr>
            <w:tcW w:w="3690" w:type="dxa"/>
            <w:gridSpan w:val="3"/>
            <w:tcBorders>
              <w:top w:val="nil"/>
              <w:left w:val="nil"/>
              <w:bottom w:val="nil"/>
              <w:right w:val="nil"/>
            </w:tcBorders>
            <w:shd w:val="clear" w:color="auto" w:fill="auto"/>
            <w:tcMar>
              <w:top w:w="288" w:type="dxa"/>
              <w:bottom w:w="0" w:type="dxa"/>
              <w:right w:w="0" w:type="dxa"/>
            </w:tcMar>
          </w:tcPr>
          <w:p w14:paraId="4B91AE91"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2EE2C7F8" w14:textId="77777777" w:rsidR="007C0528" w:rsidRDefault="005F5B16">
            <w:pPr>
              <w:pStyle w:val="MemoHeading"/>
            </w:pPr>
            <w:bookmarkStart w:id="6" w:name="CommissionersAssigned"/>
            <w:r>
              <w:t>All Commissioners</w:t>
            </w:r>
            <w:bookmarkEnd w:id="6"/>
          </w:p>
        </w:tc>
      </w:tr>
      <w:tr w:rsidR="007C0528" w14:paraId="381A25EB" w14:textId="77777777">
        <w:tc>
          <w:tcPr>
            <w:tcW w:w="3690" w:type="dxa"/>
            <w:gridSpan w:val="3"/>
            <w:tcBorders>
              <w:top w:val="nil"/>
              <w:left w:val="nil"/>
              <w:bottom w:val="nil"/>
              <w:right w:val="nil"/>
            </w:tcBorders>
            <w:shd w:val="clear" w:color="auto" w:fill="auto"/>
            <w:tcMar>
              <w:top w:w="288" w:type="dxa"/>
              <w:bottom w:w="0" w:type="dxa"/>
              <w:right w:w="0" w:type="dxa"/>
            </w:tcMar>
          </w:tcPr>
          <w:p w14:paraId="1C8AF23C"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197BA949" w14:textId="77777777" w:rsidR="007C0528" w:rsidRDefault="005F5B16">
            <w:pPr>
              <w:pStyle w:val="MemoHeading"/>
            </w:pPr>
            <w:bookmarkStart w:id="7" w:name="PrehearingOfficer"/>
            <w:r>
              <w:t>Administrative</w:t>
            </w:r>
            <w:bookmarkEnd w:id="7"/>
          </w:p>
        </w:tc>
      </w:tr>
      <w:tr w:rsidR="007C0528" w14:paraId="1CF48EDA"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5E2D7E63"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125689E3" w14:textId="77777777" w:rsidR="007C0528" w:rsidRDefault="005F5B16">
            <w:pPr>
              <w:pStyle w:val="MemoHeading"/>
            </w:pPr>
            <w:bookmarkStart w:id="9" w:name="CriticalDates"/>
            <w:r>
              <w:t>None</w:t>
            </w:r>
            <w:bookmarkEnd w:id="9"/>
          </w:p>
        </w:tc>
      </w:tr>
      <w:tr w:rsidR="007C0528" w14:paraId="4371D4C5"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6D18FC50"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72946EF6" w14:textId="773C3A60" w:rsidR="007C0528" w:rsidRDefault="00F91B94">
            <w:pPr>
              <w:pStyle w:val="MemoHeading"/>
            </w:pPr>
            <w:r>
              <w:t xml:space="preserve"> Please place this item after the item for Docket No. 20200187-EI on the Agenda</w:t>
            </w:r>
          </w:p>
        </w:tc>
      </w:tr>
    </w:tbl>
    <w:p w14:paraId="00FC57B9" w14:textId="77777777" w:rsidR="007C0528" w:rsidRDefault="007C0528">
      <w:pPr>
        <w:pStyle w:val="BodyText"/>
      </w:pPr>
    </w:p>
    <w:p w14:paraId="6BBDF2A0"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7111DA96" w14:textId="17F6F049" w:rsidR="00857711" w:rsidRDefault="00857711" w:rsidP="00857711">
      <w:pPr>
        <w:autoSpaceDE w:val="0"/>
        <w:autoSpaceDN w:val="0"/>
        <w:adjustRightInd w:val="0"/>
        <w:jc w:val="both"/>
      </w:pPr>
      <w:r>
        <w:t xml:space="preserve">Florida Power </w:t>
      </w:r>
      <w:r w:rsidR="00E877F8">
        <w:t xml:space="preserve">&amp; </w:t>
      </w:r>
      <w:r>
        <w:t xml:space="preserve">Light </w:t>
      </w:r>
      <w:r w:rsidR="00E616AE">
        <w:t xml:space="preserve">Company </w:t>
      </w:r>
      <w:r>
        <w:t xml:space="preserve">(FPL or Company) seeks authority to issue and sell and/or exchange any combination of long-term debt and equities; and issue and sell short-term debt securities during 2021. </w:t>
      </w:r>
      <w:r w:rsidR="00E877F8">
        <w:t>As part of this application, Florida City Gas (</w:t>
      </w:r>
      <w:proofErr w:type="spellStart"/>
      <w:r w:rsidR="00E877F8">
        <w:t>FCG</w:t>
      </w:r>
      <w:proofErr w:type="spellEnd"/>
      <w:r w:rsidR="00E877F8">
        <w:t xml:space="preserve">) requests authorization to make long-term and short-term borrowings from FPL. In addition, </w:t>
      </w:r>
      <w:r>
        <w:t>FPL</w:t>
      </w:r>
      <w:r w:rsidRPr="008F0C37">
        <w:t xml:space="preserve"> and its affiliate, </w:t>
      </w:r>
      <w:r>
        <w:t>Gulf Power Company (Gulf)</w:t>
      </w:r>
      <w:r w:rsidRPr="008F0C37">
        <w:t>, currently have a merger</w:t>
      </w:r>
      <w:r>
        <w:t xml:space="preserve"> </w:t>
      </w:r>
      <w:r w:rsidRPr="008F0C37">
        <w:t>application pending before the Federal Energy Regulatory Co</w:t>
      </w:r>
      <w:r>
        <w:t xml:space="preserve">mmission (FERC). </w:t>
      </w:r>
      <w:r w:rsidRPr="00640EBE">
        <w:t>Contingent upon the closing of the merger, the regulated ac</w:t>
      </w:r>
      <w:r>
        <w:t xml:space="preserve">tivities and operations of Gulf </w:t>
      </w:r>
      <w:r w:rsidRPr="00640EBE">
        <w:t>acquired by FPL as a result the merger will be financed by FPL.</w:t>
      </w:r>
      <w:r w:rsidR="00F91B94">
        <w:rPr>
          <w:rStyle w:val="FootnoteReference"/>
        </w:rPr>
        <w:footnoteReference w:id="1"/>
      </w:r>
    </w:p>
    <w:p w14:paraId="2BF005F1" w14:textId="77777777" w:rsidR="00E877F8" w:rsidRDefault="00E877F8" w:rsidP="001F7B13">
      <w:pPr>
        <w:pStyle w:val="BodyText"/>
        <w:spacing w:after="0"/>
      </w:pPr>
    </w:p>
    <w:p w14:paraId="531A9D12" w14:textId="032AA089" w:rsidR="007C0528" w:rsidRDefault="00E877F8" w:rsidP="001F7B13">
      <w:pPr>
        <w:pStyle w:val="BodyText"/>
      </w:pPr>
      <w:r>
        <w:t>This recommendation addresses the authorization to issue and sell securities. The Commission has jurisdiction over this matter pursuant to Section</w:t>
      </w:r>
      <w:r w:rsidR="00E616AE">
        <w:t xml:space="preserve"> 366.04</w:t>
      </w:r>
      <w:r>
        <w:t xml:space="preserve">, Florida Statutes. </w:t>
      </w:r>
    </w:p>
    <w:bookmarkEnd w:id="11"/>
    <w:p w14:paraId="3F0893CE" w14:textId="77777777"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14:paraId="471B1EA0" w14:textId="77777777" w:rsidR="007C0528" w:rsidRDefault="007C0528">
      <w:pPr>
        <w:pStyle w:val="RecommendationMajorSectionHeading"/>
      </w:pPr>
      <w:bookmarkStart w:id="15" w:name="DiscussionOfIssues"/>
      <w:r>
        <w:lastRenderedPageBreak/>
        <w:t>Discussion of Issues</w:t>
      </w:r>
    </w:p>
    <w:bookmarkEnd w:id="15"/>
    <w:p w14:paraId="7672C354" w14:textId="01403FC7" w:rsidR="00857711" w:rsidRDefault="00857711">
      <w:pPr>
        <w:pStyle w:val="IssueHeading"/>
        <w:rPr>
          <w:vanish/>
          <w:specVanish/>
        </w:rPr>
      </w:pPr>
      <w:r w:rsidRPr="004C3641">
        <w:t xml:space="preserve">Issue </w:t>
      </w:r>
      <w:r w:rsidR="006A7BE8">
        <w:fldChar w:fldCharType="begin"/>
      </w:r>
      <w:r w:rsidR="006A7BE8">
        <w:instrText xml:space="preserve"> SEQ Issue \* MERGEFORMAT </w:instrText>
      </w:r>
      <w:r w:rsidR="006A7BE8">
        <w:fldChar w:fldCharType="separate"/>
      </w:r>
      <w:r w:rsidR="004A02F0">
        <w:rPr>
          <w:noProof/>
        </w:rPr>
        <w:t>1</w:t>
      </w:r>
      <w:r w:rsidR="006A7BE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A02F0">
        <w:rPr>
          <w:noProof/>
        </w:rPr>
        <w:instrText>1</w:instrText>
      </w:r>
      <w:r>
        <w:fldChar w:fldCharType="end"/>
      </w:r>
      <w:r>
        <w:tab/>
        <w:instrText xml:space="preserve">(Hightower)" \l 1 </w:instrText>
      </w:r>
      <w:r>
        <w:fldChar w:fldCharType="end"/>
      </w:r>
      <w:r>
        <w:t> </w:t>
      </w:r>
    </w:p>
    <w:p w14:paraId="2BBC5A3D" w14:textId="5F09082C" w:rsidR="00857711" w:rsidRDefault="00857711">
      <w:pPr>
        <w:pStyle w:val="BodyText"/>
      </w:pPr>
      <w:r>
        <w:t xml:space="preserve"> Should the FPL application </w:t>
      </w:r>
      <w:r w:rsidR="002F021A">
        <w:t xml:space="preserve">for authority </w:t>
      </w:r>
      <w:r>
        <w:t>to issue and sell securities be approved?</w:t>
      </w:r>
    </w:p>
    <w:p w14:paraId="73DE9F36" w14:textId="77777777" w:rsidR="00857711" w:rsidRPr="004C3641" w:rsidRDefault="00857711">
      <w:pPr>
        <w:pStyle w:val="IssueSubsectionHeading"/>
        <w:rPr>
          <w:vanish/>
          <w:specVanish/>
        </w:rPr>
      </w:pPr>
      <w:r w:rsidRPr="004C3641">
        <w:t>Recommendation: </w:t>
      </w:r>
    </w:p>
    <w:p w14:paraId="3E8EDEA4" w14:textId="155D6883" w:rsidR="00857711" w:rsidRDefault="00857711">
      <w:pPr>
        <w:pStyle w:val="BodyText"/>
      </w:pPr>
      <w:r>
        <w:t xml:space="preserve"> Yes, </w:t>
      </w:r>
      <w:r w:rsidR="003763C4">
        <w:t>FPL’s</w:t>
      </w:r>
      <w:r>
        <w:t xml:space="preserve"> </w:t>
      </w:r>
      <w:r w:rsidR="002F021A">
        <w:t xml:space="preserve">application for authority </w:t>
      </w:r>
      <w:r>
        <w:t xml:space="preserve">to issue </w:t>
      </w:r>
      <w:r w:rsidR="00E877F8">
        <w:t xml:space="preserve">and sell </w:t>
      </w:r>
      <w:r>
        <w:t>securities during calendar year 2021 should be approved. (Hightower)</w:t>
      </w:r>
    </w:p>
    <w:p w14:paraId="0A001585" w14:textId="77777777" w:rsidR="00857711" w:rsidRPr="004C3641" w:rsidRDefault="00857711">
      <w:pPr>
        <w:pStyle w:val="IssueSubsectionHeading"/>
        <w:rPr>
          <w:vanish/>
          <w:specVanish/>
        </w:rPr>
      </w:pPr>
      <w:r w:rsidRPr="004C3641">
        <w:t>Staff Analysis: </w:t>
      </w:r>
    </w:p>
    <w:p w14:paraId="40463DEC" w14:textId="5C7F0D4B" w:rsidR="00857711" w:rsidRDefault="00857711" w:rsidP="00857711">
      <w:pPr>
        <w:pStyle w:val="BodyText"/>
      </w:pPr>
      <w:r>
        <w:t> FPL seeks authority to issue and sell and/or exchange any combination of long-term debt and equities; and issue and sell short-term debt securities during 2021. The amount of equity securities issued and the maximum principal amount of long-term debt securities issued</w:t>
      </w:r>
      <w:r w:rsidR="00536DEB">
        <w:t>,</w:t>
      </w:r>
      <w:r>
        <w:t xml:space="preserve"> will not, in aggregate, exceed more than $</w:t>
      </w:r>
      <w:r w:rsidR="003329AB">
        <w:t>6.35</w:t>
      </w:r>
      <w:r>
        <w:t xml:space="preserve"> billion during the calendar year 2021. The maximum aggregate principal amount of short-term debt at any one time will total not more than $</w:t>
      </w:r>
      <w:r w:rsidR="003763C4">
        <w:t>4.</w:t>
      </w:r>
      <w:r w:rsidR="003329AB">
        <w:t>1</w:t>
      </w:r>
      <w:r>
        <w:t xml:space="preserve"> million during the calendar year 2021.</w:t>
      </w:r>
    </w:p>
    <w:p w14:paraId="6F4F45BB" w14:textId="77777777" w:rsidR="00F247AB" w:rsidRDefault="003763C4" w:rsidP="003763C4">
      <w:pPr>
        <w:pStyle w:val="BodyText"/>
      </w:pPr>
      <w:proofErr w:type="spellStart"/>
      <w:r>
        <w:t>FCG</w:t>
      </w:r>
      <w:proofErr w:type="spellEnd"/>
      <w:r>
        <w:t xml:space="preserve"> seeks Commission approval to make long-term borrowings from FPL in an aggregate amount not to exceed $300 million in principal at any one time during 2021 and make short-term borrowings from FPL in an aggregate amount not to exceed $150 million </w:t>
      </w:r>
      <w:r w:rsidRPr="007D4688">
        <w:t xml:space="preserve">in principal at any one time </w:t>
      </w:r>
      <w:r>
        <w:t>during calendar years 2021.</w:t>
      </w:r>
      <w:r w:rsidR="002F021A">
        <w:t xml:space="preserve"> </w:t>
      </w:r>
      <w:r w:rsidR="00D14074">
        <w:t xml:space="preserve">These amounts are included in the long-term and short-term </w:t>
      </w:r>
      <w:r w:rsidR="0081262D">
        <w:t xml:space="preserve">amount </w:t>
      </w:r>
      <w:r w:rsidR="00D14074">
        <w:t xml:space="preserve">totals requested by FPL </w:t>
      </w:r>
      <w:r w:rsidR="00A47EC1">
        <w:t xml:space="preserve">discussed </w:t>
      </w:r>
      <w:r w:rsidR="00D14074">
        <w:t>above.</w:t>
      </w:r>
    </w:p>
    <w:p w14:paraId="61C25FD3" w14:textId="58D49B1B" w:rsidR="003763C4" w:rsidRDefault="00F247AB" w:rsidP="003763C4">
      <w:pPr>
        <w:pStyle w:val="BodyText"/>
      </w:pPr>
      <w:r w:rsidRPr="00F247AB">
        <w:t xml:space="preserve"> Only FPL is actually issuing securities to the public. </w:t>
      </w:r>
      <w:proofErr w:type="spellStart"/>
      <w:r w:rsidRPr="00F247AB">
        <w:t>FCG</w:t>
      </w:r>
      <w:proofErr w:type="spellEnd"/>
      <w:r w:rsidRPr="00F247AB">
        <w:t xml:space="preserve"> is not issuing any securities but instead is borrowing directly from FPL. The authority FPL is requesting, the aggregate amount of equity and debt securities, is inclusive of the amount it will lend to </w:t>
      </w:r>
      <w:proofErr w:type="spellStart"/>
      <w:r w:rsidRPr="00F247AB">
        <w:t>FCG</w:t>
      </w:r>
      <w:proofErr w:type="spellEnd"/>
      <w:r w:rsidRPr="00F247AB">
        <w:t>.</w:t>
      </w:r>
    </w:p>
    <w:p w14:paraId="034DD086" w14:textId="78C4BA6B" w:rsidR="00EE44B1" w:rsidRPr="005657DB" w:rsidRDefault="00EE44B1" w:rsidP="003763C4">
      <w:pPr>
        <w:pStyle w:val="BodyText"/>
      </w:pPr>
      <w:r w:rsidRPr="00EE44B1">
        <w:t xml:space="preserve">Contingent upon the </w:t>
      </w:r>
      <w:r w:rsidR="00584145" w:rsidRPr="001F7B13">
        <w:t>FERC’s</w:t>
      </w:r>
      <w:r w:rsidR="00584145">
        <w:rPr>
          <w:color w:val="0000FF"/>
        </w:rPr>
        <w:t xml:space="preserve"> </w:t>
      </w:r>
      <w:r w:rsidR="00AC0078">
        <w:t xml:space="preserve">approval </w:t>
      </w:r>
      <w:r w:rsidRPr="00EE44B1">
        <w:t>of the merger of Gulf and</w:t>
      </w:r>
      <w:r w:rsidR="00AC0078">
        <w:t xml:space="preserve"> </w:t>
      </w:r>
      <w:r w:rsidRPr="00EE44B1">
        <w:t xml:space="preserve">FPL, as discussed below, FPL </w:t>
      </w:r>
      <w:r w:rsidR="00AC0078">
        <w:t xml:space="preserve">requests </w:t>
      </w:r>
      <w:r w:rsidRPr="00EE44B1">
        <w:t>to (</w:t>
      </w:r>
      <w:proofErr w:type="spellStart"/>
      <w:r w:rsidRPr="00EE44B1">
        <w:t>i</w:t>
      </w:r>
      <w:proofErr w:type="spellEnd"/>
      <w:r w:rsidRPr="00EE44B1">
        <w:t>) issue and sell and/or exchange any combination of the long-term debt and equity securities described below and/or to assume liabilities or obligations as guarantor, endorser or surety, together with the aggregate principal amount of long-term debt and equity securities issued by Gulf and liabilities and obligations assumed by Gulf as guarantor, endorser or surety, in each case issued or assumed by Gulf during calendar year 2021 prior to the effectiveness of the merger, in an aggregate principal amount not to exceed $</w:t>
      </w:r>
      <w:r w:rsidR="007C1D2B">
        <w:t>1.50</w:t>
      </w:r>
      <w:r w:rsidRPr="00EE44B1">
        <w:t xml:space="preserve"> billion, and (ii) issue and sell short-term securities during calendar year 2021 in an amount or amounts such that the aggregate principal amount of short-term securities outstanding at the time of and including any such sale </w:t>
      </w:r>
      <w:r w:rsidR="00F91B94">
        <w:t>should</w:t>
      </w:r>
      <w:r w:rsidRPr="00EE44B1">
        <w:t xml:space="preserve"> not exceed $</w:t>
      </w:r>
      <w:r w:rsidR="007C1D2B">
        <w:t>800 m</w:t>
      </w:r>
      <w:r w:rsidRPr="00EE44B1">
        <w:t>illion.</w:t>
      </w:r>
      <w:r w:rsidR="00A47EC1">
        <w:t xml:space="preserve"> If approved, </w:t>
      </w:r>
      <w:r w:rsidR="00E25CDD">
        <w:t>these amounts would be incremental to the long-term and short-term amount totals requested by FPL discussed in the first paragrap</w:t>
      </w:r>
      <w:r w:rsidR="00E25CDD" w:rsidRPr="005657DB">
        <w:t>h.</w:t>
      </w:r>
      <w:r w:rsidRPr="005657DB">
        <w:t xml:space="preserve"> </w:t>
      </w:r>
    </w:p>
    <w:p w14:paraId="6B326F37" w14:textId="77777777" w:rsidR="001F7B13" w:rsidRDefault="001F7B13" w:rsidP="00066BE8">
      <w:pPr>
        <w:pStyle w:val="BodyText"/>
      </w:pPr>
    </w:p>
    <w:p w14:paraId="08E18B1E" w14:textId="77777777" w:rsidR="001F7B13" w:rsidRDefault="001F7B13" w:rsidP="00066BE8">
      <w:pPr>
        <w:pStyle w:val="BodyText"/>
      </w:pPr>
    </w:p>
    <w:p w14:paraId="4FA2B439" w14:textId="77777777" w:rsidR="001F7B13" w:rsidRDefault="001F7B13" w:rsidP="00066BE8">
      <w:pPr>
        <w:pStyle w:val="BodyText"/>
      </w:pPr>
    </w:p>
    <w:p w14:paraId="0E996919" w14:textId="77777777" w:rsidR="001F7B13" w:rsidRDefault="001F7B13" w:rsidP="00066BE8">
      <w:pPr>
        <w:pStyle w:val="BodyText"/>
      </w:pPr>
    </w:p>
    <w:p w14:paraId="2E619A2F" w14:textId="77777777" w:rsidR="001F7B13" w:rsidRDefault="001F7B13" w:rsidP="00066BE8">
      <w:pPr>
        <w:pStyle w:val="BodyText"/>
      </w:pPr>
    </w:p>
    <w:p w14:paraId="7164B618" w14:textId="77777777" w:rsidR="001F7B13" w:rsidRDefault="001F7B13" w:rsidP="00066BE8">
      <w:pPr>
        <w:pStyle w:val="BodyText"/>
      </w:pPr>
    </w:p>
    <w:p w14:paraId="3A3C26AB" w14:textId="77777777" w:rsidR="00C42F94" w:rsidRDefault="00C42F94" w:rsidP="00066BE8">
      <w:pPr>
        <w:pStyle w:val="BodyText"/>
      </w:pPr>
    </w:p>
    <w:p w14:paraId="30A43FF2" w14:textId="77777777" w:rsidR="00C42F94" w:rsidRDefault="00C42F94" w:rsidP="00066BE8">
      <w:pPr>
        <w:pStyle w:val="BodyText"/>
      </w:pPr>
    </w:p>
    <w:p w14:paraId="1C150497" w14:textId="5CA6A6D1" w:rsidR="009F4F4B" w:rsidRDefault="00066BE8" w:rsidP="009F4F4B">
      <w:pPr>
        <w:pStyle w:val="BodyText"/>
        <w:spacing w:after="0"/>
        <w:jc w:val="center"/>
        <w:rPr>
          <w:b/>
          <w:bCs/>
        </w:rPr>
      </w:pPr>
      <w:r>
        <w:rPr>
          <w:b/>
          <w:bCs/>
        </w:rPr>
        <w:t>Table 1.1</w:t>
      </w:r>
    </w:p>
    <w:p w14:paraId="0F878283" w14:textId="005A87DB" w:rsidR="00066BE8" w:rsidRPr="00066BE8" w:rsidRDefault="00066BE8" w:rsidP="009F4F4B">
      <w:pPr>
        <w:pStyle w:val="BodyText"/>
        <w:spacing w:after="0"/>
        <w:jc w:val="center"/>
        <w:rPr>
          <w:b/>
          <w:bCs/>
        </w:rPr>
      </w:pPr>
      <w:r>
        <w:rPr>
          <w:b/>
          <w:bCs/>
        </w:rPr>
        <w:t>Proposed Transactions:</w:t>
      </w:r>
    </w:p>
    <w:tbl>
      <w:tblPr>
        <w:tblStyle w:val="TableGrid"/>
        <w:tblW w:w="8825" w:type="dxa"/>
        <w:tblLook w:val="04A0" w:firstRow="1" w:lastRow="0" w:firstColumn="1" w:lastColumn="0" w:noHBand="0" w:noVBand="1"/>
      </w:tblPr>
      <w:tblGrid>
        <w:gridCol w:w="1368"/>
        <w:gridCol w:w="1890"/>
        <w:gridCol w:w="1710"/>
        <w:gridCol w:w="1530"/>
        <w:gridCol w:w="2327"/>
      </w:tblGrid>
      <w:tr w:rsidR="001F7B13" w14:paraId="3D1CBF0E" w14:textId="77777777" w:rsidTr="00EE45BE">
        <w:trPr>
          <w:trHeight w:val="763"/>
        </w:trPr>
        <w:tc>
          <w:tcPr>
            <w:tcW w:w="1368" w:type="dxa"/>
          </w:tcPr>
          <w:p w14:paraId="27622C52" w14:textId="70738DD4" w:rsidR="001F7B13" w:rsidRPr="00EE44B1" w:rsidRDefault="001F7B13" w:rsidP="003763C4">
            <w:pPr>
              <w:pStyle w:val="BodyText"/>
              <w:rPr>
                <w:b/>
                <w:bCs/>
              </w:rPr>
            </w:pPr>
          </w:p>
        </w:tc>
        <w:tc>
          <w:tcPr>
            <w:tcW w:w="1890" w:type="dxa"/>
          </w:tcPr>
          <w:p w14:paraId="67463874" w14:textId="78E4CC8A" w:rsidR="001F7B13" w:rsidRPr="00EE44B1" w:rsidRDefault="001F7B13" w:rsidP="0081262D">
            <w:pPr>
              <w:pStyle w:val="BodyText"/>
              <w:rPr>
                <w:b/>
                <w:bCs/>
              </w:rPr>
            </w:pPr>
            <w:r w:rsidRPr="00EE44B1">
              <w:rPr>
                <w:b/>
                <w:bCs/>
              </w:rPr>
              <w:t>FPL</w:t>
            </w:r>
            <w:r>
              <w:rPr>
                <w:b/>
                <w:bCs/>
              </w:rPr>
              <w:t>,</w:t>
            </w:r>
            <w:r w:rsidRPr="00EE44B1">
              <w:rPr>
                <w:b/>
                <w:bCs/>
              </w:rPr>
              <w:t xml:space="preserve"> </w:t>
            </w:r>
            <w:r>
              <w:rPr>
                <w:b/>
                <w:bCs/>
              </w:rPr>
              <w:t xml:space="preserve">including </w:t>
            </w:r>
            <w:proofErr w:type="spellStart"/>
            <w:r>
              <w:rPr>
                <w:b/>
                <w:bCs/>
              </w:rPr>
              <w:t>FCG</w:t>
            </w:r>
            <w:proofErr w:type="spellEnd"/>
          </w:p>
        </w:tc>
        <w:tc>
          <w:tcPr>
            <w:tcW w:w="1710" w:type="dxa"/>
          </w:tcPr>
          <w:p w14:paraId="0BF0B002" w14:textId="312F2BFB" w:rsidR="001F7B13" w:rsidRPr="00EE44B1" w:rsidRDefault="001F7B13" w:rsidP="0081262D">
            <w:pPr>
              <w:pStyle w:val="BodyText"/>
              <w:rPr>
                <w:b/>
                <w:bCs/>
              </w:rPr>
            </w:pPr>
            <w:r w:rsidRPr="00EE44B1">
              <w:rPr>
                <w:b/>
                <w:bCs/>
              </w:rPr>
              <w:t>Florida City Gas</w:t>
            </w:r>
            <w:r>
              <w:rPr>
                <w:b/>
                <w:bCs/>
              </w:rPr>
              <w:t>, stand alone</w:t>
            </w:r>
          </w:p>
        </w:tc>
        <w:tc>
          <w:tcPr>
            <w:tcW w:w="1530" w:type="dxa"/>
          </w:tcPr>
          <w:p w14:paraId="04DBCF70" w14:textId="26F488A4" w:rsidR="001F7B13" w:rsidRDefault="001F7B13" w:rsidP="003763C4">
            <w:pPr>
              <w:pStyle w:val="BodyText"/>
              <w:rPr>
                <w:b/>
                <w:bCs/>
              </w:rPr>
            </w:pPr>
            <w:r>
              <w:rPr>
                <w:b/>
                <w:bCs/>
              </w:rPr>
              <w:t>Gulf, stand alone</w:t>
            </w:r>
          </w:p>
        </w:tc>
        <w:tc>
          <w:tcPr>
            <w:tcW w:w="2327" w:type="dxa"/>
          </w:tcPr>
          <w:p w14:paraId="2B9CE57D" w14:textId="4EAE03FD" w:rsidR="001F7B13" w:rsidRPr="00EE44B1" w:rsidRDefault="001F7B13" w:rsidP="003763C4">
            <w:pPr>
              <w:pStyle w:val="BodyText"/>
              <w:rPr>
                <w:b/>
                <w:bCs/>
              </w:rPr>
            </w:pPr>
            <w:r>
              <w:rPr>
                <w:b/>
                <w:bCs/>
              </w:rPr>
              <w:t>FPL, c</w:t>
            </w:r>
            <w:r w:rsidRPr="00EE44B1">
              <w:rPr>
                <w:b/>
                <w:bCs/>
              </w:rPr>
              <w:t>ontingent upon FPL/Gulf merger</w:t>
            </w:r>
            <w:r>
              <w:rPr>
                <w:b/>
                <w:bCs/>
              </w:rPr>
              <w:t xml:space="preserve"> (01/01/2021)</w:t>
            </w:r>
            <w:r w:rsidRPr="00EE44B1">
              <w:rPr>
                <w:b/>
                <w:bCs/>
              </w:rPr>
              <w:t xml:space="preserve"> </w:t>
            </w:r>
          </w:p>
        </w:tc>
      </w:tr>
      <w:tr w:rsidR="001F7B13" w14:paraId="04452587" w14:textId="77777777" w:rsidTr="00EE45BE">
        <w:trPr>
          <w:trHeight w:val="498"/>
        </w:trPr>
        <w:tc>
          <w:tcPr>
            <w:tcW w:w="1368" w:type="dxa"/>
          </w:tcPr>
          <w:p w14:paraId="65D8D9E3" w14:textId="7C87B341" w:rsidR="001F7B13" w:rsidRDefault="001F7B13" w:rsidP="007C1D2B">
            <w:pPr>
              <w:pStyle w:val="BodyText"/>
            </w:pPr>
            <w:r>
              <w:t>Long-term securities</w:t>
            </w:r>
          </w:p>
        </w:tc>
        <w:tc>
          <w:tcPr>
            <w:tcW w:w="1890" w:type="dxa"/>
          </w:tcPr>
          <w:p w14:paraId="12DA6357" w14:textId="77B70ADB" w:rsidR="001F7B13" w:rsidRDefault="001F7B13" w:rsidP="003763C4">
            <w:pPr>
              <w:pStyle w:val="BodyText"/>
            </w:pPr>
            <w:r>
              <w:t>$6.35 billion</w:t>
            </w:r>
          </w:p>
        </w:tc>
        <w:tc>
          <w:tcPr>
            <w:tcW w:w="1710" w:type="dxa"/>
          </w:tcPr>
          <w:p w14:paraId="5F21BF9E" w14:textId="36CD801E" w:rsidR="001F7B13" w:rsidRDefault="001F7B13" w:rsidP="003763C4">
            <w:pPr>
              <w:pStyle w:val="BodyText"/>
            </w:pPr>
            <w:r>
              <w:t>$300 million</w:t>
            </w:r>
          </w:p>
        </w:tc>
        <w:tc>
          <w:tcPr>
            <w:tcW w:w="1530" w:type="dxa"/>
          </w:tcPr>
          <w:p w14:paraId="60AA9822" w14:textId="19A3DA11" w:rsidR="001F7B13" w:rsidRDefault="001F7B13" w:rsidP="003763C4">
            <w:pPr>
              <w:pStyle w:val="BodyText"/>
            </w:pPr>
            <w:r>
              <w:t>$ 1.50 billion</w:t>
            </w:r>
          </w:p>
        </w:tc>
        <w:tc>
          <w:tcPr>
            <w:tcW w:w="2327" w:type="dxa"/>
          </w:tcPr>
          <w:p w14:paraId="2CC10763" w14:textId="7FB1BCF2" w:rsidR="001F7B13" w:rsidRDefault="001F7B13" w:rsidP="003763C4">
            <w:pPr>
              <w:pStyle w:val="BodyText"/>
            </w:pPr>
            <w:r>
              <w:t>$7.85 billion</w:t>
            </w:r>
          </w:p>
        </w:tc>
      </w:tr>
      <w:tr w:rsidR="001F7B13" w14:paraId="2DD625F4" w14:textId="77777777" w:rsidTr="00EE45BE">
        <w:trPr>
          <w:trHeight w:val="514"/>
        </w:trPr>
        <w:tc>
          <w:tcPr>
            <w:tcW w:w="1368" w:type="dxa"/>
          </w:tcPr>
          <w:p w14:paraId="696A67E6" w14:textId="7CF4BED1" w:rsidR="001F7B13" w:rsidRDefault="001F7B13" w:rsidP="007C1D2B">
            <w:pPr>
              <w:pStyle w:val="BodyText"/>
            </w:pPr>
            <w:r>
              <w:t>Short-term securities</w:t>
            </w:r>
          </w:p>
        </w:tc>
        <w:tc>
          <w:tcPr>
            <w:tcW w:w="1890" w:type="dxa"/>
          </w:tcPr>
          <w:p w14:paraId="6BBD673C" w14:textId="0366FF6E" w:rsidR="001F7B13" w:rsidRDefault="001F7B13" w:rsidP="003763C4">
            <w:pPr>
              <w:pStyle w:val="BodyText"/>
            </w:pPr>
            <w:r>
              <w:t>$4.1 billion</w:t>
            </w:r>
          </w:p>
        </w:tc>
        <w:tc>
          <w:tcPr>
            <w:tcW w:w="1710" w:type="dxa"/>
          </w:tcPr>
          <w:p w14:paraId="5C2E55AB" w14:textId="0A8774DF" w:rsidR="001F7B13" w:rsidRDefault="001F7B13" w:rsidP="003763C4">
            <w:pPr>
              <w:pStyle w:val="BodyText"/>
            </w:pPr>
            <w:r>
              <w:t>$150 million</w:t>
            </w:r>
          </w:p>
        </w:tc>
        <w:tc>
          <w:tcPr>
            <w:tcW w:w="1530" w:type="dxa"/>
          </w:tcPr>
          <w:p w14:paraId="5BF61CBA" w14:textId="3DF17EB1" w:rsidR="001F7B13" w:rsidRDefault="001F7B13" w:rsidP="003763C4">
            <w:pPr>
              <w:pStyle w:val="BodyText"/>
            </w:pPr>
            <w:r>
              <w:t>$ 800 million</w:t>
            </w:r>
          </w:p>
        </w:tc>
        <w:tc>
          <w:tcPr>
            <w:tcW w:w="2327" w:type="dxa"/>
          </w:tcPr>
          <w:p w14:paraId="7899581C" w14:textId="0B9B32BC" w:rsidR="001F7B13" w:rsidRDefault="001F7B13" w:rsidP="003763C4">
            <w:pPr>
              <w:pStyle w:val="BodyText"/>
            </w:pPr>
            <w:r>
              <w:t>$4.9 billion</w:t>
            </w:r>
          </w:p>
        </w:tc>
      </w:tr>
    </w:tbl>
    <w:p w14:paraId="2B7CCA17" w14:textId="77777777" w:rsidR="004739CB" w:rsidRDefault="004739CB" w:rsidP="003763C4">
      <w:pPr>
        <w:pStyle w:val="BodyText"/>
      </w:pPr>
    </w:p>
    <w:p w14:paraId="40F65C65" w14:textId="1894542F" w:rsidR="007A326B" w:rsidRDefault="007A326B" w:rsidP="007A326B">
      <w:pPr>
        <w:pStyle w:val="BodyText"/>
        <w:spacing w:after="0"/>
      </w:pPr>
      <w:r>
        <w:t>Subject to FERC approval, on January 1, 2021</w:t>
      </w:r>
      <w:r w:rsidRPr="00A818D9">
        <w:t>, Gulf will cease to exist as</w:t>
      </w:r>
      <w:r>
        <w:t xml:space="preserve"> </w:t>
      </w:r>
      <w:r w:rsidRPr="00A818D9">
        <w:t xml:space="preserve">a separate legal entity and therefore there will be no remaining authority under the Gulf </w:t>
      </w:r>
      <w:r>
        <w:t xml:space="preserve">Securities </w:t>
      </w:r>
      <w:r w:rsidRPr="00A818D9">
        <w:t>Application and the</w:t>
      </w:r>
      <w:r>
        <w:t xml:space="preserve"> </w:t>
      </w:r>
      <w:r w:rsidRPr="00A818D9">
        <w:t xml:space="preserve">Gulf regulated activities </w:t>
      </w:r>
      <w:r>
        <w:t>would</w:t>
      </w:r>
      <w:r w:rsidRPr="00A818D9">
        <w:t xml:space="preserve"> be financed by FPL as set forth in this </w:t>
      </w:r>
      <w:r>
        <w:t xml:space="preserve">Securities </w:t>
      </w:r>
      <w:r w:rsidRPr="00A818D9">
        <w:t>Application. Upon the effectiveness of</w:t>
      </w:r>
      <w:r>
        <w:t xml:space="preserve"> the merger, the Utility</w:t>
      </w:r>
      <w:r w:rsidRPr="00A818D9">
        <w:t xml:space="preserve"> </w:t>
      </w:r>
      <w:r>
        <w:t xml:space="preserve">should </w:t>
      </w:r>
      <w:r w:rsidRPr="00A818D9">
        <w:t xml:space="preserve">provide prompt notice to the Commission that the authority granted under </w:t>
      </w:r>
      <w:r>
        <w:t>the Gulf</w:t>
      </w:r>
      <w:r w:rsidRPr="00A818D9">
        <w:t xml:space="preserve"> Order</w:t>
      </w:r>
      <w:r>
        <w:t xml:space="preserve"> in Docket No. 20200187-EI should</w:t>
      </w:r>
      <w:r w:rsidRPr="00A818D9">
        <w:t xml:space="preserve"> be terminated as of the effective date of the merger</w:t>
      </w:r>
      <w:r>
        <w:t>.</w:t>
      </w:r>
    </w:p>
    <w:p w14:paraId="68ED4882" w14:textId="77777777" w:rsidR="007A326B" w:rsidRDefault="007A326B" w:rsidP="003763C4">
      <w:pPr>
        <w:jc w:val="both"/>
      </w:pPr>
    </w:p>
    <w:p w14:paraId="067AC1E5" w14:textId="6B6B9538" w:rsidR="003763C4" w:rsidRDefault="003763C4" w:rsidP="003763C4">
      <w:pPr>
        <w:pStyle w:val="BodyText"/>
      </w:pPr>
      <w:r>
        <w:t xml:space="preserve">In connection with this application, FPL confirms that the capital raised pursuant to this application will be used in connection with the regulated activities of FPL and FPL’s subsidiaries and affiliates, including </w:t>
      </w:r>
      <w:proofErr w:type="spellStart"/>
      <w:r>
        <w:t>FCG</w:t>
      </w:r>
      <w:proofErr w:type="spellEnd"/>
      <w:r>
        <w:t xml:space="preserve"> and G</w:t>
      </w:r>
      <w:r w:rsidR="00E25CDD">
        <w:t>ulf</w:t>
      </w:r>
      <w:r>
        <w:t>, and not the nonregulated activities of its subsidiaries or affiliates.</w:t>
      </w:r>
    </w:p>
    <w:p w14:paraId="2E6D1E12" w14:textId="70D25943" w:rsidR="00857711" w:rsidRDefault="00927024" w:rsidP="00857711">
      <w:pPr>
        <w:pStyle w:val="BodyText"/>
      </w:pPr>
      <w:r>
        <w:t xml:space="preserve">Staff has reviewed the Company’s projected capital expenditures. The amount requested by the Company, </w:t>
      </w:r>
      <w:r w:rsidR="00066BE8">
        <w:t>contingent</w:t>
      </w:r>
      <w:r>
        <w:t xml:space="preserve"> upon the merger, ($</w:t>
      </w:r>
      <w:r w:rsidR="00F91B94">
        <w:t>12.8</w:t>
      </w:r>
      <w:r>
        <w:t xml:space="preserve"> billion, of which $450 million is for </w:t>
      </w:r>
      <w:proofErr w:type="spellStart"/>
      <w:r>
        <w:t>FCG</w:t>
      </w:r>
      <w:proofErr w:type="spellEnd"/>
      <w:r>
        <w:t>) exceeds its expected capital expenditures ($8.2</w:t>
      </w:r>
      <w:r w:rsidR="00F91B94">
        <w:t>5</w:t>
      </w:r>
      <w:r>
        <w:t xml:space="preserve"> billion in 2021).</w:t>
      </w:r>
      <w:r w:rsidR="00DD65F4">
        <w:t xml:space="preserve"> </w:t>
      </w:r>
      <w:r w:rsidR="00857711">
        <w:t xml:space="preserve">The additional amount requested exceeding the projected capital expenditures allows for financial flexibility for unexpected events such as hurricanes, financial market disruptions and other unforeseen circumstances. Staff believes the requested amounts are reasonable. Staff recommends FPL’s </w:t>
      </w:r>
      <w:r w:rsidR="00DD65F4">
        <w:t xml:space="preserve">application for authority </w:t>
      </w:r>
      <w:r w:rsidR="00857711">
        <w:t xml:space="preserve">to issue </w:t>
      </w:r>
      <w:r w:rsidR="00DD65F4">
        <w:t xml:space="preserve">and sell </w:t>
      </w:r>
      <w:r w:rsidR="00857711">
        <w:t>securities during calendar year 2021 be approved.</w:t>
      </w:r>
    </w:p>
    <w:p w14:paraId="6B610192" w14:textId="09AB2CF4" w:rsidR="00927024" w:rsidRDefault="00927024" w:rsidP="00066BE8">
      <w:pPr>
        <w:jc w:val="both"/>
      </w:pPr>
      <w:r>
        <w:t>For monitoring purposes, this docket should remain open until May 7, 2022, to allow the Company time to file the required Consummation Report.</w:t>
      </w:r>
    </w:p>
    <w:p w14:paraId="2B277501" w14:textId="77777777" w:rsidR="00857711" w:rsidRDefault="00857711">
      <w:pPr>
        <w:pStyle w:val="BodyText"/>
      </w:pPr>
    </w:p>
    <w:p w14:paraId="23C06063" w14:textId="6445C4B3" w:rsidR="00857711" w:rsidRDefault="00857711">
      <w:pPr>
        <w:pStyle w:val="IssueHeading"/>
        <w:rPr>
          <w:vanish/>
          <w:specVanish/>
        </w:rPr>
      </w:pPr>
      <w:r w:rsidRPr="004C3641">
        <w:rPr>
          <w:b w:val="0"/>
          <w:i w:val="0"/>
        </w:rPr>
        <w:br w:type="page"/>
      </w:r>
      <w:r w:rsidRPr="004C3641">
        <w:lastRenderedPageBreak/>
        <w:t xml:space="preserve">Issue </w:t>
      </w:r>
      <w:r w:rsidR="006A7BE8">
        <w:fldChar w:fldCharType="begin"/>
      </w:r>
      <w:r w:rsidR="006A7BE8">
        <w:instrText xml:space="preserve"> SEQ Issue \* MERGEFORMAT </w:instrText>
      </w:r>
      <w:r w:rsidR="006A7BE8">
        <w:fldChar w:fldCharType="separate"/>
      </w:r>
      <w:r w:rsidR="004A02F0">
        <w:rPr>
          <w:noProof/>
        </w:rPr>
        <w:t>2</w:t>
      </w:r>
      <w:r w:rsidR="006A7BE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4A02F0">
        <w:rPr>
          <w:noProof/>
        </w:rPr>
        <w:instrText>2</w:instrText>
      </w:r>
      <w:r>
        <w:fldChar w:fldCharType="end"/>
      </w:r>
      <w:r>
        <w:tab/>
        <w:instrText xml:space="preserve">(Schrader)" \l 1 </w:instrText>
      </w:r>
      <w:r>
        <w:fldChar w:fldCharType="end"/>
      </w:r>
      <w:r>
        <w:t> </w:t>
      </w:r>
    </w:p>
    <w:p w14:paraId="263E7236" w14:textId="77777777" w:rsidR="00857711" w:rsidRDefault="00857711">
      <w:pPr>
        <w:pStyle w:val="BodyText"/>
      </w:pPr>
      <w:r>
        <w:t> Should this docket be closed?</w:t>
      </w:r>
    </w:p>
    <w:p w14:paraId="44B03697" w14:textId="77777777" w:rsidR="00857711" w:rsidRPr="004C3641" w:rsidRDefault="00857711">
      <w:pPr>
        <w:pStyle w:val="IssueSubsectionHeading"/>
        <w:rPr>
          <w:vanish/>
          <w:specVanish/>
        </w:rPr>
      </w:pPr>
      <w:r w:rsidRPr="004C3641">
        <w:t>Recommendation: </w:t>
      </w:r>
    </w:p>
    <w:p w14:paraId="372B28CE" w14:textId="60F00027" w:rsidR="00857711" w:rsidRDefault="00536DEB">
      <w:pPr>
        <w:pStyle w:val="BodyText"/>
      </w:pPr>
      <w:r>
        <w:t> No</w:t>
      </w:r>
      <w:r w:rsidR="00857711">
        <w:t>,</w:t>
      </w:r>
      <w:r>
        <w:t xml:space="preserve"> this docket should remain open.</w:t>
      </w:r>
      <w:r w:rsidR="00857711">
        <w:t xml:space="preserve"> (</w:t>
      </w:r>
      <w:proofErr w:type="spellStart"/>
      <w:r w:rsidR="00857711" w:rsidRPr="006C169A">
        <w:t>Lherisson</w:t>
      </w:r>
      <w:proofErr w:type="spellEnd"/>
      <w:r w:rsidR="00857711">
        <w:t>, Schrader)</w:t>
      </w:r>
    </w:p>
    <w:p w14:paraId="0DC93A89" w14:textId="77777777" w:rsidR="00857711" w:rsidRPr="004C3641" w:rsidRDefault="00857711">
      <w:pPr>
        <w:pStyle w:val="IssueSubsectionHeading"/>
        <w:rPr>
          <w:vanish/>
          <w:specVanish/>
        </w:rPr>
      </w:pPr>
      <w:r w:rsidRPr="004C3641">
        <w:t>Staff Analysis: </w:t>
      </w:r>
    </w:p>
    <w:p w14:paraId="7BD7491F" w14:textId="77777777" w:rsidR="00857711" w:rsidRDefault="00857711" w:rsidP="00857711">
      <w:pPr>
        <w:pStyle w:val="BodyText"/>
      </w:pPr>
      <w:r>
        <w:t> </w:t>
      </w:r>
      <w:r w:rsidRPr="006C169A">
        <w:t>For monitoring purposes, this docket should remain open until May 7, 2022, to allow the Company time to file the required Consummation Report.</w:t>
      </w:r>
    </w:p>
    <w:p w14:paraId="0D1D22AD" w14:textId="77777777" w:rsidR="00857711" w:rsidRDefault="00857711">
      <w:pPr>
        <w:pStyle w:val="BodyText"/>
      </w:pPr>
    </w:p>
    <w:p w14:paraId="31C7F66E" w14:textId="77777777"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10135" w14:textId="77777777" w:rsidR="00C515E4" w:rsidRDefault="00C515E4">
      <w:r>
        <w:separator/>
      </w:r>
    </w:p>
  </w:endnote>
  <w:endnote w:type="continuationSeparator" w:id="0">
    <w:p w14:paraId="5E83FBE3" w14:textId="77777777" w:rsidR="00C515E4" w:rsidRDefault="00C5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86485" w14:textId="77777777"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B3B53">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F2CB5" w14:textId="77777777"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239FA" w14:textId="77777777" w:rsidR="00C515E4" w:rsidRDefault="00C515E4">
      <w:r>
        <w:separator/>
      </w:r>
    </w:p>
  </w:footnote>
  <w:footnote w:type="continuationSeparator" w:id="0">
    <w:p w14:paraId="5A61A235" w14:textId="77777777" w:rsidR="00C515E4" w:rsidRDefault="00C515E4">
      <w:r>
        <w:continuationSeparator/>
      </w:r>
    </w:p>
  </w:footnote>
  <w:footnote w:id="1">
    <w:p w14:paraId="776CDB69" w14:textId="38D512CF" w:rsidR="00F91B94" w:rsidRDefault="00F91B94">
      <w:pPr>
        <w:pStyle w:val="FootnoteText"/>
      </w:pPr>
      <w:r>
        <w:rPr>
          <w:rStyle w:val="FootnoteReference"/>
        </w:rPr>
        <w:footnoteRef/>
      </w:r>
      <w:r>
        <w:t xml:space="preserve"> The companion securities docket for Gulf, Docket No. 20200187-EI, </w:t>
      </w:r>
      <w:r w:rsidRPr="00F247AB">
        <w:rPr>
          <w:i/>
        </w:rPr>
        <w:t xml:space="preserve">In re: Application for authority to issue and sell securities during calendar year 2021, pursuant to Section 366.04, </w:t>
      </w:r>
      <w:proofErr w:type="spellStart"/>
      <w:r w:rsidRPr="00F247AB">
        <w:rPr>
          <w:i/>
        </w:rPr>
        <w:t>F.S</w:t>
      </w:r>
      <w:proofErr w:type="spellEnd"/>
      <w:r w:rsidRPr="00F247AB">
        <w:rPr>
          <w:i/>
        </w:rPr>
        <w:t>., and Chapter 25-8, F.A.C., by Gulf Power Company</w:t>
      </w:r>
      <w:r>
        <w:t xml:space="preserve">, </w:t>
      </w:r>
      <w:r w:rsidRPr="003164AB">
        <w:t>is scheduled to be presented at the October 6, 2020, Agenda Conference along with this docket.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AF164" w14:textId="77777777" w:rsidR="00BC402E" w:rsidRDefault="005F5B16"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20200188-EI</w:t>
    </w:r>
    <w:bookmarkEnd w:id="14"/>
  </w:p>
  <w:p w14:paraId="554B5681" w14:textId="2E018383" w:rsidR="00BC402E" w:rsidRDefault="00BC402E">
    <w:pPr>
      <w:pStyle w:val="Header"/>
    </w:pPr>
    <w:r>
      <w:t xml:space="preserve">Date: </w:t>
    </w:r>
    <w:fldSimple w:instr=" REF FilingDate ">
      <w:r w:rsidR="004A02F0">
        <w:t>September 24,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E097E" w14:textId="270E6E14"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A02F0">
      <w:t>Docket No.</w:t>
    </w:r>
    <w:r>
      <w:fldChar w:fldCharType="end"/>
    </w:r>
    <w:r>
      <w:t xml:space="preserve"> </w:t>
    </w:r>
    <w:r>
      <w:fldChar w:fldCharType="begin"/>
    </w:r>
    <w:r>
      <w:instrText xml:space="preserve"> REF DocketList</w:instrText>
    </w:r>
    <w:r>
      <w:fldChar w:fldCharType="separate"/>
    </w:r>
    <w:r w:rsidR="004A02F0">
      <w:t>20200188-EI</w:t>
    </w:r>
    <w:r>
      <w:fldChar w:fldCharType="end"/>
    </w:r>
    <w:r>
      <w:tab/>
      <w:t xml:space="preserve">Issue </w:t>
    </w:r>
    <w:fldSimple w:instr=" Seq Issue \c \* Arabic ">
      <w:r w:rsidR="00BB3B53">
        <w:rPr>
          <w:noProof/>
        </w:rPr>
        <w:t>2</w:t>
      </w:r>
    </w:fldSimple>
  </w:p>
  <w:p w14:paraId="434F282D" w14:textId="1A75A215" w:rsidR="00BC402E" w:rsidRDefault="00BC402E">
    <w:pPr>
      <w:pStyle w:val="Header"/>
    </w:pPr>
    <w:r>
      <w:t xml:space="preserve">Date: </w:t>
    </w:r>
    <w:fldSimple w:instr=" REF FilingDate ">
      <w:r w:rsidR="004A02F0">
        <w:t>September 24,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D5769" w14:textId="77777777"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hightower">
    <w15:presenceInfo w15:providerId="Windows Live" w15:userId="576759ae32db9e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F5B16"/>
    <w:rsid w:val="000043D5"/>
    <w:rsid w:val="00006170"/>
    <w:rsid w:val="000109E7"/>
    <w:rsid w:val="00010E37"/>
    <w:rsid w:val="000172DA"/>
    <w:rsid w:val="000247C5"/>
    <w:rsid w:val="000277C2"/>
    <w:rsid w:val="00035B48"/>
    <w:rsid w:val="00036CE2"/>
    <w:rsid w:val="000437FE"/>
    <w:rsid w:val="000513BE"/>
    <w:rsid w:val="00065A06"/>
    <w:rsid w:val="000666F3"/>
    <w:rsid w:val="00066BE8"/>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2FC"/>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1F7B13"/>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021A"/>
    <w:rsid w:val="002F6030"/>
    <w:rsid w:val="002F6F9F"/>
    <w:rsid w:val="00301CC2"/>
    <w:rsid w:val="003037E1"/>
    <w:rsid w:val="00307E51"/>
    <w:rsid w:val="003103EC"/>
    <w:rsid w:val="003144EF"/>
    <w:rsid w:val="00322F74"/>
    <w:rsid w:val="003329AB"/>
    <w:rsid w:val="00340073"/>
    <w:rsid w:val="003632FD"/>
    <w:rsid w:val="00372805"/>
    <w:rsid w:val="00373180"/>
    <w:rsid w:val="00374DFD"/>
    <w:rsid w:val="00375AB9"/>
    <w:rsid w:val="003763C4"/>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60C5A"/>
    <w:rsid w:val="00471860"/>
    <w:rsid w:val="004739CB"/>
    <w:rsid w:val="00477026"/>
    <w:rsid w:val="004A02F0"/>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36DEB"/>
    <w:rsid w:val="00543CB3"/>
    <w:rsid w:val="005442E4"/>
    <w:rsid w:val="0055529B"/>
    <w:rsid w:val="00560FF0"/>
    <w:rsid w:val="005614BD"/>
    <w:rsid w:val="005657DB"/>
    <w:rsid w:val="0057154F"/>
    <w:rsid w:val="00580F69"/>
    <w:rsid w:val="00581CA3"/>
    <w:rsid w:val="00584145"/>
    <w:rsid w:val="00587A44"/>
    <w:rsid w:val="00597730"/>
    <w:rsid w:val="005977EC"/>
    <w:rsid w:val="00597DE7"/>
    <w:rsid w:val="005A4AA2"/>
    <w:rsid w:val="005B34B6"/>
    <w:rsid w:val="005B6C8F"/>
    <w:rsid w:val="005B6EC3"/>
    <w:rsid w:val="005D0F74"/>
    <w:rsid w:val="005D2E7D"/>
    <w:rsid w:val="005D4174"/>
    <w:rsid w:val="005D4A8F"/>
    <w:rsid w:val="005D561B"/>
    <w:rsid w:val="005D5ECF"/>
    <w:rsid w:val="005F468D"/>
    <w:rsid w:val="005F5B16"/>
    <w:rsid w:val="005F69A3"/>
    <w:rsid w:val="00604CC7"/>
    <w:rsid w:val="00615423"/>
    <w:rsid w:val="006165B2"/>
    <w:rsid w:val="00617276"/>
    <w:rsid w:val="0062527B"/>
    <w:rsid w:val="00625D97"/>
    <w:rsid w:val="00625F1C"/>
    <w:rsid w:val="006279E1"/>
    <w:rsid w:val="00630CEB"/>
    <w:rsid w:val="00632264"/>
    <w:rsid w:val="006470BC"/>
    <w:rsid w:val="006554D3"/>
    <w:rsid w:val="00655950"/>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63030"/>
    <w:rsid w:val="00780C09"/>
    <w:rsid w:val="00780DDF"/>
    <w:rsid w:val="007834E9"/>
    <w:rsid w:val="00787DBC"/>
    <w:rsid w:val="0079019A"/>
    <w:rsid w:val="00792935"/>
    <w:rsid w:val="007A04A1"/>
    <w:rsid w:val="007A1840"/>
    <w:rsid w:val="007A326B"/>
    <w:rsid w:val="007C0528"/>
    <w:rsid w:val="007C1D2B"/>
    <w:rsid w:val="007C3D38"/>
    <w:rsid w:val="007D0F35"/>
    <w:rsid w:val="007D4FEB"/>
    <w:rsid w:val="007D6146"/>
    <w:rsid w:val="007E0CE7"/>
    <w:rsid w:val="007F1193"/>
    <w:rsid w:val="007F417F"/>
    <w:rsid w:val="007F7644"/>
    <w:rsid w:val="008042BD"/>
    <w:rsid w:val="0081262D"/>
    <w:rsid w:val="00816624"/>
    <w:rsid w:val="00822427"/>
    <w:rsid w:val="00822562"/>
    <w:rsid w:val="00823663"/>
    <w:rsid w:val="00832DDC"/>
    <w:rsid w:val="00850BAC"/>
    <w:rsid w:val="00854A3E"/>
    <w:rsid w:val="00855D08"/>
    <w:rsid w:val="00857711"/>
    <w:rsid w:val="00874344"/>
    <w:rsid w:val="00882155"/>
    <w:rsid w:val="0088233B"/>
    <w:rsid w:val="0088599E"/>
    <w:rsid w:val="00886C37"/>
    <w:rsid w:val="00892D99"/>
    <w:rsid w:val="00893315"/>
    <w:rsid w:val="008B3468"/>
    <w:rsid w:val="008B62AE"/>
    <w:rsid w:val="008C04B5"/>
    <w:rsid w:val="008C14FA"/>
    <w:rsid w:val="008C7B0B"/>
    <w:rsid w:val="008D4057"/>
    <w:rsid w:val="008E1F19"/>
    <w:rsid w:val="008F2262"/>
    <w:rsid w:val="008F4D2B"/>
    <w:rsid w:val="008F7736"/>
    <w:rsid w:val="0090019E"/>
    <w:rsid w:val="00901086"/>
    <w:rsid w:val="00901C8A"/>
    <w:rsid w:val="00905886"/>
    <w:rsid w:val="00905C0B"/>
    <w:rsid w:val="009070D6"/>
    <w:rsid w:val="009076C6"/>
    <w:rsid w:val="0091019E"/>
    <w:rsid w:val="009106F1"/>
    <w:rsid w:val="00912404"/>
    <w:rsid w:val="009145D6"/>
    <w:rsid w:val="00920E64"/>
    <w:rsid w:val="00922002"/>
    <w:rsid w:val="00924020"/>
    <w:rsid w:val="00927024"/>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9F4F4B"/>
    <w:rsid w:val="00A019B9"/>
    <w:rsid w:val="00A12508"/>
    <w:rsid w:val="00A1282B"/>
    <w:rsid w:val="00A13A27"/>
    <w:rsid w:val="00A175B6"/>
    <w:rsid w:val="00A21835"/>
    <w:rsid w:val="00A2374B"/>
    <w:rsid w:val="00A27D6E"/>
    <w:rsid w:val="00A328EC"/>
    <w:rsid w:val="00A33A51"/>
    <w:rsid w:val="00A41CA6"/>
    <w:rsid w:val="00A46E25"/>
    <w:rsid w:val="00A47927"/>
    <w:rsid w:val="00A47EC1"/>
    <w:rsid w:val="00A47FFC"/>
    <w:rsid w:val="00A5442F"/>
    <w:rsid w:val="00A54FF9"/>
    <w:rsid w:val="00A56765"/>
    <w:rsid w:val="00A675AC"/>
    <w:rsid w:val="00A7581F"/>
    <w:rsid w:val="00A92FB1"/>
    <w:rsid w:val="00A95A0C"/>
    <w:rsid w:val="00AA2765"/>
    <w:rsid w:val="00AA77B5"/>
    <w:rsid w:val="00AB6C5D"/>
    <w:rsid w:val="00AC0078"/>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0DD2"/>
    <w:rsid w:val="00B516ED"/>
    <w:rsid w:val="00B57A6A"/>
    <w:rsid w:val="00B760F1"/>
    <w:rsid w:val="00B7669E"/>
    <w:rsid w:val="00B77DA1"/>
    <w:rsid w:val="00B822A0"/>
    <w:rsid w:val="00B858AE"/>
    <w:rsid w:val="00B85964"/>
    <w:rsid w:val="00B96250"/>
    <w:rsid w:val="00BA0D55"/>
    <w:rsid w:val="00BA37B3"/>
    <w:rsid w:val="00BA4CC6"/>
    <w:rsid w:val="00BB3493"/>
    <w:rsid w:val="00BB3B53"/>
    <w:rsid w:val="00BB7468"/>
    <w:rsid w:val="00BC188A"/>
    <w:rsid w:val="00BC402E"/>
    <w:rsid w:val="00BD0F48"/>
    <w:rsid w:val="00BE6DDB"/>
    <w:rsid w:val="00BF5010"/>
    <w:rsid w:val="00C03D5F"/>
    <w:rsid w:val="00C13791"/>
    <w:rsid w:val="00C31BB3"/>
    <w:rsid w:val="00C36977"/>
    <w:rsid w:val="00C42F94"/>
    <w:rsid w:val="00C467DA"/>
    <w:rsid w:val="00C477D9"/>
    <w:rsid w:val="00C515E4"/>
    <w:rsid w:val="00C60BA3"/>
    <w:rsid w:val="00C623F7"/>
    <w:rsid w:val="00C62A81"/>
    <w:rsid w:val="00C63B15"/>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074"/>
    <w:rsid w:val="00D14127"/>
    <w:rsid w:val="00D60B16"/>
    <w:rsid w:val="00D60F02"/>
    <w:rsid w:val="00D66E49"/>
    <w:rsid w:val="00D70D71"/>
    <w:rsid w:val="00D72F74"/>
    <w:rsid w:val="00D72FBD"/>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D65F4"/>
    <w:rsid w:val="00DF1510"/>
    <w:rsid w:val="00E02F1F"/>
    <w:rsid w:val="00E06484"/>
    <w:rsid w:val="00E20A7D"/>
    <w:rsid w:val="00E25CDD"/>
    <w:rsid w:val="00E275D8"/>
    <w:rsid w:val="00E30F6A"/>
    <w:rsid w:val="00E3117C"/>
    <w:rsid w:val="00E375CA"/>
    <w:rsid w:val="00E5364F"/>
    <w:rsid w:val="00E567E8"/>
    <w:rsid w:val="00E616AE"/>
    <w:rsid w:val="00E64679"/>
    <w:rsid w:val="00E65EBC"/>
    <w:rsid w:val="00E677FE"/>
    <w:rsid w:val="00E73432"/>
    <w:rsid w:val="00E7530E"/>
    <w:rsid w:val="00E77B0C"/>
    <w:rsid w:val="00E77FB8"/>
    <w:rsid w:val="00E838B0"/>
    <w:rsid w:val="00E86A7C"/>
    <w:rsid w:val="00E877F8"/>
    <w:rsid w:val="00E878E1"/>
    <w:rsid w:val="00E87F2C"/>
    <w:rsid w:val="00E95278"/>
    <w:rsid w:val="00EA2273"/>
    <w:rsid w:val="00EA7C3C"/>
    <w:rsid w:val="00EB2DB3"/>
    <w:rsid w:val="00EC3FBB"/>
    <w:rsid w:val="00EC6B7A"/>
    <w:rsid w:val="00ED3A87"/>
    <w:rsid w:val="00ED5B67"/>
    <w:rsid w:val="00EE4094"/>
    <w:rsid w:val="00EE44B1"/>
    <w:rsid w:val="00EE45BE"/>
    <w:rsid w:val="00EF264C"/>
    <w:rsid w:val="00EF3FEE"/>
    <w:rsid w:val="00F04B59"/>
    <w:rsid w:val="00F11741"/>
    <w:rsid w:val="00F12B1C"/>
    <w:rsid w:val="00F13CF8"/>
    <w:rsid w:val="00F15855"/>
    <w:rsid w:val="00F200B2"/>
    <w:rsid w:val="00F227DC"/>
    <w:rsid w:val="00F247AB"/>
    <w:rsid w:val="00F32978"/>
    <w:rsid w:val="00F45CB2"/>
    <w:rsid w:val="00F544C0"/>
    <w:rsid w:val="00F55332"/>
    <w:rsid w:val="00F64A2A"/>
    <w:rsid w:val="00F6504A"/>
    <w:rsid w:val="00F65519"/>
    <w:rsid w:val="00F713C0"/>
    <w:rsid w:val="00F75DDC"/>
    <w:rsid w:val="00F7792F"/>
    <w:rsid w:val="00F842AA"/>
    <w:rsid w:val="00F8476F"/>
    <w:rsid w:val="00F853E1"/>
    <w:rsid w:val="00F85604"/>
    <w:rsid w:val="00F86B85"/>
    <w:rsid w:val="00F91B9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6D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91B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91B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434B8-786C-44D9-A3A4-41505999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5</Pages>
  <Words>964</Words>
  <Characters>5633</Characters>
  <Application>Microsoft Office Word</Application>
  <DocSecurity>0</DocSecurity>
  <Lines>140</Lines>
  <Paragraphs>71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John Hightower</dc:creator>
  <cp:lastModifiedBy>Sara Boyer</cp:lastModifiedBy>
  <cp:revision>2</cp:revision>
  <cp:lastPrinted>2020-09-17T17:52:00Z</cp:lastPrinted>
  <dcterms:created xsi:type="dcterms:W3CDTF">2020-09-24T12:15:00Z</dcterms:created>
  <dcterms:modified xsi:type="dcterms:W3CDTF">2020-09-24T12:15:00Z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20200188-EI</vt:lpwstr>
  </property>
  <property fmtid="{D5CDD505-2E9C-101B-9397-08002B2CF9AE}" pid="3" name="MasterDocument">
    <vt:bool>false</vt:bool>
  </property>
</Properties>
</file>