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7D6DB3" w:rsidP="007D6DB3">
      <w:pPr>
        <w:pStyle w:val="OrderHeading"/>
      </w:pPr>
      <w:r>
        <w:t>BEFORE THE FLORIDA PUBLIC SERVICE COMMISSION</w:t>
      </w:r>
    </w:p>
    <w:p w:rsidR="007D6DB3" w:rsidRDefault="007D6DB3" w:rsidP="007D6DB3">
      <w:pPr>
        <w:pStyle w:val="OrderBody"/>
      </w:pPr>
    </w:p>
    <w:p w:rsidR="007D6DB3" w:rsidRDefault="007D6DB3" w:rsidP="007D6DB3">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7D6DB3" w:rsidRPr="00C63FCF" w:rsidTr="00C63FCF">
        <w:trPr>
          <w:trHeight w:val="828"/>
        </w:trPr>
        <w:tc>
          <w:tcPr>
            <w:tcW w:w="4788" w:type="dxa"/>
            <w:tcBorders>
              <w:bottom w:val="single" w:sz="8" w:space="0" w:color="auto"/>
              <w:right w:val="double" w:sz="6" w:space="0" w:color="auto"/>
            </w:tcBorders>
            <w:shd w:val="clear" w:color="auto" w:fill="auto"/>
          </w:tcPr>
          <w:p w:rsidR="007D6DB3" w:rsidRDefault="007D6DB3" w:rsidP="00C63FCF">
            <w:pPr>
              <w:pStyle w:val="OrderBody"/>
              <w:tabs>
                <w:tab w:val="center" w:pos="4320"/>
                <w:tab w:val="right" w:pos="8640"/>
              </w:tabs>
              <w:jc w:val="left"/>
            </w:pPr>
            <w:r>
              <w:t xml:space="preserve">In re: </w:t>
            </w:r>
            <w:bookmarkStart w:id="0" w:name="SSInRe"/>
            <w:bookmarkEnd w:id="0"/>
            <w:r>
              <w:t>Storm protection plan cost recovery clause.</w:t>
            </w:r>
          </w:p>
        </w:tc>
        <w:tc>
          <w:tcPr>
            <w:tcW w:w="4788" w:type="dxa"/>
            <w:tcBorders>
              <w:left w:val="double" w:sz="6" w:space="0" w:color="auto"/>
            </w:tcBorders>
            <w:shd w:val="clear" w:color="auto" w:fill="auto"/>
          </w:tcPr>
          <w:p w:rsidR="007D6DB3" w:rsidRDefault="007D6DB3" w:rsidP="007D6DB3">
            <w:pPr>
              <w:pStyle w:val="OrderBody"/>
            </w:pPr>
            <w:r>
              <w:t xml:space="preserve">DOCKET NO. </w:t>
            </w:r>
            <w:bookmarkStart w:id="1" w:name="SSDocketNo"/>
            <w:bookmarkEnd w:id="1"/>
            <w:r>
              <w:t>20200092-EI</w:t>
            </w:r>
          </w:p>
          <w:p w:rsidR="007D6DB3" w:rsidRDefault="007D6DB3" w:rsidP="00C63FCF">
            <w:pPr>
              <w:pStyle w:val="OrderBody"/>
              <w:tabs>
                <w:tab w:val="center" w:pos="4320"/>
                <w:tab w:val="right" w:pos="8640"/>
              </w:tabs>
              <w:jc w:val="left"/>
            </w:pPr>
            <w:r>
              <w:t xml:space="preserve">ORDER NO. </w:t>
            </w:r>
            <w:bookmarkStart w:id="2" w:name="OrderNo0409"/>
            <w:r w:rsidR="003D507C">
              <w:t>PSC-2020-0409-AS</w:t>
            </w:r>
            <w:r w:rsidR="00E57C4A">
              <w:t>-EI</w:t>
            </w:r>
            <w:bookmarkEnd w:id="2"/>
          </w:p>
          <w:p w:rsidR="007D6DB3" w:rsidRDefault="007D6DB3" w:rsidP="00C63FCF">
            <w:pPr>
              <w:pStyle w:val="OrderBody"/>
              <w:tabs>
                <w:tab w:val="center" w:pos="4320"/>
                <w:tab w:val="right" w:pos="8640"/>
              </w:tabs>
              <w:jc w:val="left"/>
            </w:pPr>
            <w:r>
              <w:t xml:space="preserve">ISSUED: </w:t>
            </w:r>
            <w:r w:rsidR="00E57C4A">
              <w:t>October 27, 2020</w:t>
            </w:r>
          </w:p>
        </w:tc>
      </w:tr>
    </w:tbl>
    <w:p w:rsidR="007D6DB3" w:rsidRDefault="007D6DB3" w:rsidP="007D6DB3"/>
    <w:p w:rsidR="007D6DB3" w:rsidRDefault="007D6DB3" w:rsidP="007D6DB3"/>
    <w:p w:rsidR="007D6DB3" w:rsidRDefault="007D6DB3" w:rsidP="00B67A43">
      <w:pPr>
        <w:ind w:firstLine="720"/>
        <w:jc w:val="both"/>
      </w:pPr>
      <w:bookmarkStart w:id="3" w:name="Commissioners"/>
      <w:bookmarkEnd w:id="3"/>
      <w:r>
        <w:t>The following Commissioners participated in the disposition of this matter:</w:t>
      </w:r>
    </w:p>
    <w:p w:rsidR="007D6DB3" w:rsidRDefault="007D6DB3" w:rsidP="00B67A43"/>
    <w:p w:rsidR="007D6DB3" w:rsidRDefault="007D6DB3" w:rsidP="00B67A43">
      <w:pPr>
        <w:jc w:val="center"/>
      </w:pPr>
      <w:r>
        <w:t>GARY F. CLARK, Chairman</w:t>
      </w:r>
    </w:p>
    <w:p w:rsidR="007D6DB3" w:rsidRDefault="007D6DB3" w:rsidP="00B67A43">
      <w:pPr>
        <w:jc w:val="center"/>
      </w:pPr>
      <w:r>
        <w:t>ART GRAHAM</w:t>
      </w:r>
    </w:p>
    <w:p w:rsidR="007D6DB3" w:rsidRDefault="007D6DB3" w:rsidP="00B67A43">
      <w:pPr>
        <w:jc w:val="center"/>
      </w:pPr>
      <w:r>
        <w:t>JULIE I. BROWN</w:t>
      </w:r>
    </w:p>
    <w:p w:rsidR="007D6DB3" w:rsidRDefault="007D6DB3" w:rsidP="00B67A43">
      <w:pPr>
        <w:jc w:val="center"/>
      </w:pPr>
      <w:r>
        <w:t>DONALD J. POLMANN</w:t>
      </w:r>
    </w:p>
    <w:p w:rsidR="007D6DB3" w:rsidRDefault="007D6DB3" w:rsidP="00B67A43">
      <w:pPr>
        <w:jc w:val="center"/>
      </w:pPr>
      <w:r>
        <w:t>ANDREW GILES FAY</w:t>
      </w:r>
    </w:p>
    <w:p w:rsidR="007D6DB3" w:rsidRDefault="007D6DB3" w:rsidP="00B67A43"/>
    <w:p w:rsidR="004D70D0" w:rsidRDefault="004D70D0" w:rsidP="004D70D0">
      <w:pPr>
        <w:pStyle w:val="OrderBody"/>
      </w:pPr>
      <w:r>
        <w:t xml:space="preserve">APPEARANCES: </w:t>
      </w:r>
    </w:p>
    <w:p w:rsidR="004D70D0" w:rsidRDefault="004D70D0" w:rsidP="004D70D0">
      <w:pPr>
        <w:pStyle w:val="OrderBody"/>
      </w:pPr>
    </w:p>
    <w:p w:rsidR="006C12D6" w:rsidRPr="002F0E60" w:rsidRDefault="006C12D6" w:rsidP="006C12D6">
      <w:pPr>
        <w:ind w:left="1440"/>
        <w:jc w:val="both"/>
      </w:pPr>
      <w:r w:rsidRPr="002F0E60">
        <w:t>JASON A. HIGGINBOTHAM</w:t>
      </w:r>
      <w:r>
        <w:t>,</w:t>
      </w:r>
      <w:r w:rsidRPr="006C12D6">
        <w:t xml:space="preserve"> </w:t>
      </w:r>
      <w:r w:rsidRPr="002F0E60">
        <w:t>CHRISTOPHER T. WRIGHT</w:t>
      </w:r>
      <w:r>
        <w:t xml:space="preserve">, and </w:t>
      </w:r>
      <w:r w:rsidRPr="002F0E60">
        <w:t>JOHN T. BURNETT</w:t>
      </w:r>
      <w:r>
        <w:t>,</w:t>
      </w:r>
      <w:r w:rsidRPr="002F0E60">
        <w:t xml:space="preserve"> ESQUIRE</w:t>
      </w:r>
      <w:r>
        <w:t>S</w:t>
      </w:r>
      <w:r w:rsidRPr="002F0E60">
        <w:t>, 700 Universe Boulevard, Juno Beach, Florida 33408-0420</w:t>
      </w:r>
      <w:r>
        <w:t xml:space="preserve"> and</w:t>
      </w:r>
      <w:r w:rsidRPr="006C12D6">
        <w:t xml:space="preserve"> </w:t>
      </w:r>
      <w:r>
        <w:t>RUSSELL</w:t>
      </w:r>
      <w:r w:rsidRPr="002F0E60">
        <w:t xml:space="preserve"> </w:t>
      </w:r>
      <w:r>
        <w:t>A. BADDERS</w:t>
      </w:r>
      <w:r w:rsidRPr="002F0E60">
        <w:t>, ESQUIRE</w:t>
      </w:r>
      <w:r>
        <w:t>, One Energy Place, Pensacola, FL 32520</w:t>
      </w:r>
    </w:p>
    <w:p w:rsidR="006C12D6" w:rsidRPr="002F0E60" w:rsidRDefault="006C12D6" w:rsidP="006C12D6">
      <w:pPr>
        <w:ind w:left="720" w:firstLine="720"/>
        <w:jc w:val="both"/>
      </w:pPr>
      <w:r w:rsidRPr="002F0E60">
        <w:rPr>
          <w:u w:val="single"/>
        </w:rPr>
        <w:t xml:space="preserve">On behalf of </w:t>
      </w:r>
      <w:r>
        <w:rPr>
          <w:u w:val="single"/>
        </w:rPr>
        <w:t xml:space="preserve">Florida Power &amp; Light Company and </w:t>
      </w:r>
      <w:r w:rsidRPr="002F0E60">
        <w:rPr>
          <w:u w:val="single"/>
        </w:rPr>
        <w:t>Gulf Power Company</w:t>
      </w:r>
      <w:r w:rsidRPr="002F0E60">
        <w:t>.</w:t>
      </w:r>
    </w:p>
    <w:p w:rsidR="006C12D6" w:rsidRPr="002F0E60" w:rsidRDefault="006C12D6" w:rsidP="006C12D6">
      <w:pPr>
        <w:ind w:left="720" w:firstLine="720"/>
        <w:jc w:val="both"/>
      </w:pPr>
    </w:p>
    <w:p w:rsidR="006C12D6" w:rsidRPr="002F0E60" w:rsidRDefault="006C12D6" w:rsidP="006C12D6">
      <w:pPr>
        <w:ind w:left="1440"/>
        <w:jc w:val="both"/>
      </w:pPr>
      <w:r>
        <w:t xml:space="preserve">J.R. KELLY, </w:t>
      </w:r>
      <w:r w:rsidRPr="002F0E60">
        <w:t>PATRICIA A. CHRISTENSEN, CHARLES REHWINKEL, and THOMAS A. (TAD) DAVID, ESQUIRES,</w:t>
      </w:r>
      <w:r w:rsidRPr="001165D5">
        <w:t xml:space="preserve"> </w:t>
      </w:r>
      <w:r>
        <w:t>Office of Public Counsel, c/o The Florida Legislature,</w:t>
      </w:r>
      <w:r w:rsidRPr="002F0E60">
        <w:t xml:space="preserve"> </w:t>
      </w:r>
      <w:r>
        <w:t>111 West Madison Street, R</w:t>
      </w:r>
      <w:r w:rsidRPr="002F0E60">
        <w:t>oom 812, Tallahassee, Florida 32399-1400</w:t>
      </w:r>
    </w:p>
    <w:p w:rsidR="006C12D6" w:rsidRPr="002F0E60" w:rsidRDefault="006C12D6" w:rsidP="006C12D6">
      <w:pPr>
        <w:ind w:left="720" w:firstLine="720"/>
        <w:jc w:val="both"/>
      </w:pPr>
      <w:r w:rsidRPr="002F0E60">
        <w:rPr>
          <w:u w:val="single"/>
        </w:rPr>
        <w:t>On behalf of Office of Public Counsel</w:t>
      </w:r>
      <w:r w:rsidRPr="002F0E60">
        <w:t>.</w:t>
      </w:r>
    </w:p>
    <w:p w:rsidR="006C12D6" w:rsidRDefault="006C12D6" w:rsidP="00854DD0">
      <w:pPr>
        <w:jc w:val="both"/>
      </w:pPr>
    </w:p>
    <w:p w:rsidR="00854DD0" w:rsidRPr="002F0E60" w:rsidRDefault="00854DD0" w:rsidP="00854DD0">
      <w:pPr>
        <w:ind w:left="1440"/>
        <w:jc w:val="both"/>
      </w:pPr>
      <w:r w:rsidRPr="002F0E60">
        <w:t>STEPHANIE U. EATON, ESQUIRE, 110 Oakwood Drive, Suite 500, Winston-Salem, North Carolina 27103 and DERRICK PRICE WILLIAMSON</w:t>
      </w:r>
      <w:r>
        <w:t>, ESQUIRE</w:t>
      </w:r>
      <w:r w:rsidRPr="002F0E60">
        <w:t>,</w:t>
      </w:r>
      <w:r>
        <w:t xml:space="preserve"> </w:t>
      </w:r>
      <w:r w:rsidRPr="002F0E60">
        <w:t>1100 Bent Creek Boulevard, Suite 101, Mechanicsburg, Pennsylvania 17050</w:t>
      </w:r>
    </w:p>
    <w:p w:rsidR="00854DD0" w:rsidRPr="002F0E60" w:rsidRDefault="00854DD0" w:rsidP="00854DD0">
      <w:pPr>
        <w:ind w:left="720" w:firstLine="720"/>
        <w:jc w:val="both"/>
      </w:pPr>
      <w:r w:rsidRPr="002F0E60">
        <w:rPr>
          <w:u w:val="single"/>
        </w:rPr>
        <w:t>On behalf of Walmart Inc</w:t>
      </w:r>
      <w:r w:rsidRPr="002F0E60">
        <w:t>.</w:t>
      </w:r>
    </w:p>
    <w:p w:rsidR="00854DD0" w:rsidRDefault="00854DD0" w:rsidP="004D70D0">
      <w:pPr>
        <w:ind w:left="1440"/>
        <w:jc w:val="both"/>
      </w:pPr>
    </w:p>
    <w:p w:rsidR="004D70D0" w:rsidRPr="002F0E60" w:rsidRDefault="00854DD0" w:rsidP="004D70D0">
      <w:pPr>
        <w:ind w:left="1440"/>
        <w:jc w:val="both"/>
      </w:pPr>
      <w:r>
        <w:t>MALCOLM N. MEANS, ESQUIRE</w:t>
      </w:r>
      <w:r w:rsidR="004D70D0" w:rsidRPr="002F0E60">
        <w:t>, Post Office Box 391, Tallahassee, Florida 32302</w:t>
      </w:r>
    </w:p>
    <w:p w:rsidR="004D70D0" w:rsidRPr="002F0E60" w:rsidRDefault="004D70D0" w:rsidP="00854DD0">
      <w:pPr>
        <w:ind w:left="720" w:firstLine="720"/>
        <w:jc w:val="both"/>
      </w:pPr>
      <w:r w:rsidRPr="002F0E60">
        <w:rPr>
          <w:u w:val="single"/>
        </w:rPr>
        <w:t>On behalf of Tampa Electric Company</w:t>
      </w:r>
      <w:r w:rsidRPr="002F0E60">
        <w:t>.</w:t>
      </w:r>
    </w:p>
    <w:p w:rsidR="004D70D0" w:rsidRPr="002F0E60" w:rsidRDefault="004D70D0" w:rsidP="004D70D0">
      <w:pPr>
        <w:ind w:left="720" w:firstLine="720"/>
        <w:jc w:val="both"/>
      </w:pPr>
    </w:p>
    <w:p w:rsidR="004D70D0" w:rsidRPr="002F0E60" w:rsidRDefault="004D70D0" w:rsidP="004D70D0">
      <w:pPr>
        <w:ind w:left="1440"/>
        <w:jc w:val="both"/>
      </w:pPr>
      <w:r w:rsidRPr="002F0E60">
        <w:t>JON C. MOYLE, JR.</w:t>
      </w:r>
      <w:r w:rsidR="00854DD0">
        <w:t>, ESQUIRE</w:t>
      </w:r>
      <w:r w:rsidRPr="002F0E60">
        <w:t>, 118 North Gadsden Street, Tallahassee, Florida 32312</w:t>
      </w:r>
    </w:p>
    <w:p w:rsidR="004D70D0" w:rsidRPr="002F0E60" w:rsidRDefault="004D70D0" w:rsidP="00854DD0">
      <w:pPr>
        <w:ind w:left="1440"/>
        <w:jc w:val="both"/>
      </w:pPr>
      <w:r w:rsidRPr="002F0E60">
        <w:rPr>
          <w:u w:val="single"/>
        </w:rPr>
        <w:t>On behalf of Florida Industrial Power Users Group</w:t>
      </w:r>
      <w:r w:rsidRPr="002F0E60">
        <w:t>.</w:t>
      </w:r>
    </w:p>
    <w:p w:rsidR="004D70D0" w:rsidRPr="002F0E60" w:rsidRDefault="004D70D0" w:rsidP="004D70D0">
      <w:pPr>
        <w:ind w:left="720" w:firstLine="720"/>
        <w:jc w:val="both"/>
      </w:pPr>
    </w:p>
    <w:p w:rsidR="007C1D4C" w:rsidRDefault="007C1D4C">
      <w:r>
        <w:br w:type="page"/>
      </w:r>
    </w:p>
    <w:p w:rsidR="004D70D0" w:rsidRPr="002F0E60" w:rsidRDefault="004D70D0" w:rsidP="004D70D0">
      <w:pPr>
        <w:ind w:left="1440"/>
        <w:jc w:val="both"/>
      </w:pPr>
      <w:r>
        <w:lastRenderedPageBreak/>
        <w:t xml:space="preserve">SHAW P. STILLER and JENNIFER S CRAWFORD, </w:t>
      </w:r>
      <w:r w:rsidRPr="002F0E60">
        <w:t>ESQUIRES, Florida Public Service Commission, 2540 Shumard Oak Boulevard, Tallahassee, Florida 32399-0850</w:t>
      </w:r>
    </w:p>
    <w:p w:rsidR="004D70D0" w:rsidRPr="002F0E60" w:rsidRDefault="004D70D0" w:rsidP="004D70D0">
      <w:pPr>
        <w:ind w:left="720" w:firstLine="720"/>
        <w:jc w:val="both"/>
      </w:pPr>
      <w:r w:rsidRPr="002F0E60">
        <w:rPr>
          <w:u w:val="single"/>
        </w:rPr>
        <w:t>On behalf of the Florida Public Service Commission (Staff)</w:t>
      </w:r>
      <w:r w:rsidRPr="002F0E60">
        <w:t>.</w:t>
      </w:r>
    </w:p>
    <w:p w:rsidR="004D70D0" w:rsidRPr="002F0E60" w:rsidRDefault="004D70D0" w:rsidP="004D70D0">
      <w:pPr>
        <w:jc w:val="both"/>
      </w:pPr>
    </w:p>
    <w:p w:rsidR="004D70D0" w:rsidRPr="002F0E60" w:rsidRDefault="004D70D0" w:rsidP="004D70D0">
      <w:pPr>
        <w:ind w:left="1440"/>
        <w:jc w:val="both"/>
      </w:pPr>
      <w:r w:rsidRPr="002F0E60">
        <w:t xml:space="preserve">MARY ANNE HELTON, ESQUIRE, </w:t>
      </w:r>
      <w:smartTag w:uri="urn:schemas-microsoft-com:office:smarttags" w:element="place">
        <w:smartTag w:uri="urn:schemas-microsoft-com:office:smarttags" w:element="City">
          <w:r w:rsidRPr="002F0E60">
            <w:t>Deputy General</w:t>
          </w:r>
        </w:smartTag>
        <w:r w:rsidRPr="002F0E60">
          <w:t xml:space="preserve"> </w:t>
        </w:r>
        <w:smartTag w:uri="urn:schemas-microsoft-com:office:smarttags" w:element="State">
          <w:r w:rsidRPr="002F0E60">
            <w:t>Counsel</w:t>
          </w:r>
        </w:smartTag>
        <w:r w:rsidRPr="002F0E60">
          <w:t xml:space="preserve">, </w:t>
        </w:r>
        <w:smartTag w:uri="urn:schemas-microsoft-com:office:smarttags" w:element="State">
          <w:r w:rsidRPr="002F0E60">
            <w:t>Florida</w:t>
          </w:r>
        </w:smartTag>
      </w:smartTag>
      <w:r w:rsidRPr="002F0E60">
        <w:t xml:space="preserve"> Public Service Commission, </w:t>
      </w:r>
      <w:smartTag w:uri="urn:schemas-microsoft-com:office:smarttags" w:element="address">
        <w:smartTag w:uri="urn:schemas-microsoft-com:office:smarttags" w:element="Street">
          <w:r w:rsidRPr="002F0E60">
            <w:t>2540 Shumard Oak Boulevard</w:t>
          </w:r>
        </w:smartTag>
        <w:r w:rsidRPr="002F0E60">
          <w:t xml:space="preserve">, </w:t>
        </w:r>
        <w:smartTag w:uri="urn:schemas-microsoft-com:office:smarttags" w:element="City">
          <w:r w:rsidRPr="002F0E60">
            <w:t>Tallahassee</w:t>
          </w:r>
        </w:smartTag>
        <w:r w:rsidRPr="002F0E60">
          <w:t xml:space="preserve">, </w:t>
        </w:r>
        <w:smartTag w:uri="urn:schemas-microsoft-com:office:smarttags" w:element="State">
          <w:r w:rsidRPr="002F0E60">
            <w:t>Florida</w:t>
          </w:r>
        </w:smartTag>
        <w:r w:rsidRPr="002F0E60">
          <w:t xml:space="preserve"> </w:t>
        </w:r>
        <w:smartTag w:uri="urn:schemas-microsoft-com:office:smarttags" w:element="PostalCode">
          <w:r w:rsidRPr="002F0E60">
            <w:t>32399-0850</w:t>
          </w:r>
        </w:smartTag>
      </w:smartTag>
    </w:p>
    <w:p w:rsidR="004D70D0" w:rsidRPr="002F0E60" w:rsidRDefault="004D70D0" w:rsidP="004D70D0">
      <w:pPr>
        <w:ind w:left="720" w:firstLine="720"/>
        <w:jc w:val="both"/>
      </w:pPr>
      <w:r w:rsidRPr="002F0E60">
        <w:rPr>
          <w:u w:val="single"/>
        </w:rPr>
        <w:t>Advisor to the Florida Public Service Commission</w:t>
      </w:r>
      <w:r w:rsidRPr="002F0E60">
        <w:t>.</w:t>
      </w:r>
    </w:p>
    <w:p w:rsidR="004D70D0" w:rsidRPr="002F0E60" w:rsidRDefault="004D70D0" w:rsidP="004D70D0">
      <w:pPr>
        <w:jc w:val="center"/>
        <w:rPr>
          <w:b/>
          <w:bCs/>
          <w:u w:val="single"/>
        </w:rPr>
      </w:pPr>
    </w:p>
    <w:p w:rsidR="004D70D0" w:rsidRPr="002F0E60" w:rsidRDefault="004D70D0" w:rsidP="004D70D0">
      <w:pPr>
        <w:ind w:left="1440"/>
        <w:jc w:val="both"/>
      </w:pPr>
      <w:r w:rsidRPr="002F0E60">
        <w:t>KEITH C. HETRICK, ESQUIRE, General Counsel, Florida Public Service Commission, 2540 Shumard Oak Boulevard, Tallahassee, Florida 32399-0850</w:t>
      </w:r>
    </w:p>
    <w:p w:rsidR="004D70D0" w:rsidRPr="002F0E60" w:rsidRDefault="004D70D0" w:rsidP="004D70D0">
      <w:pPr>
        <w:ind w:left="720" w:firstLine="720"/>
        <w:jc w:val="both"/>
      </w:pPr>
      <w:r w:rsidRPr="002F0E60">
        <w:rPr>
          <w:u w:val="single"/>
        </w:rPr>
        <w:t>Florida Public Service Commission General Counsel</w:t>
      </w:r>
      <w:r w:rsidRPr="002F0E60">
        <w:t>.</w:t>
      </w:r>
    </w:p>
    <w:p w:rsidR="004D70D0" w:rsidRDefault="004D70D0" w:rsidP="004D70D0">
      <w:pPr>
        <w:ind w:left="720" w:firstLine="720"/>
        <w:jc w:val="both"/>
      </w:pPr>
    </w:p>
    <w:p w:rsidR="007D6DB3" w:rsidRDefault="007D6DB3" w:rsidP="00B67A43"/>
    <w:p w:rsidR="00CB5276" w:rsidRDefault="00CB5276">
      <w:pPr>
        <w:pStyle w:val="OrderBody"/>
      </w:pPr>
    </w:p>
    <w:p w:rsidR="007D6DB3" w:rsidRDefault="004D70D0" w:rsidP="007D6DB3">
      <w:pPr>
        <w:pStyle w:val="CenterUnderline"/>
      </w:pPr>
      <w:r>
        <w:t xml:space="preserve">FINAL </w:t>
      </w:r>
      <w:r w:rsidR="007D6DB3">
        <w:t>ORDER</w:t>
      </w:r>
      <w:bookmarkStart w:id="4" w:name="OrderTitle"/>
      <w:r w:rsidR="007D6DB3">
        <w:t xml:space="preserve"> </w:t>
      </w:r>
      <w:r w:rsidRPr="004D70D0">
        <w:t>APPROVING SETTLEMENT AGREEMENT</w:t>
      </w:r>
      <w:r w:rsidR="007D6DB3">
        <w:t xml:space="preserve"> </w:t>
      </w:r>
      <w:bookmarkEnd w:id="4"/>
    </w:p>
    <w:p w:rsidR="007D6DB3" w:rsidRDefault="007D6DB3" w:rsidP="007D6DB3">
      <w:pPr>
        <w:pStyle w:val="CenterUnderline"/>
      </w:pPr>
    </w:p>
    <w:p w:rsidR="007D6DB3" w:rsidRDefault="007D6DB3" w:rsidP="007D6DB3">
      <w:pPr>
        <w:pStyle w:val="OrderBody"/>
      </w:pPr>
      <w:r>
        <w:t>BY THE COMMISSION:</w:t>
      </w:r>
    </w:p>
    <w:p w:rsidR="007D6DB3" w:rsidRDefault="007D6DB3" w:rsidP="007D6DB3">
      <w:pPr>
        <w:pStyle w:val="OrderBody"/>
      </w:pPr>
    </w:p>
    <w:p w:rsidR="00EA6C99" w:rsidRPr="007D1468" w:rsidRDefault="00EA6C99" w:rsidP="00EA6C99">
      <w:pPr>
        <w:keepNext/>
        <w:spacing w:after="240"/>
        <w:jc w:val="center"/>
        <w:outlineLvl w:val="0"/>
        <w:rPr>
          <w:b/>
          <w:bCs/>
          <w:kern w:val="32"/>
          <w:szCs w:val="32"/>
        </w:rPr>
      </w:pPr>
      <w:bookmarkStart w:id="5" w:name="OrderText"/>
      <w:bookmarkEnd w:id="5"/>
      <w:r w:rsidRPr="007D1468">
        <w:rPr>
          <w:b/>
          <w:bCs/>
          <w:kern w:val="32"/>
          <w:szCs w:val="32"/>
        </w:rPr>
        <w:t>Background</w:t>
      </w:r>
      <w:r w:rsidRPr="007D1468">
        <w:rPr>
          <w:b/>
          <w:bCs/>
          <w:kern w:val="32"/>
          <w:szCs w:val="32"/>
        </w:rPr>
        <w:fldChar w:fldCharType="begin"/>
      </w:r>
      <w:r w:rsidRPr="007D1468">
        <w:rPr>
          <w:b/>
          <w:bCs/>
          <w:kern w:val="32"/>
          <w:szCs w:val="32"/>
        </w:rPr>
        <w:instrText xml:space="preserve"> TC  "</w:instrText>
      </w:r>
      <w:r w:rsidRPr="007D1468">
        <w:rPr>
          <w:b/>
          <w:bCs/>
          <w:kern w:val="32"/>
          <w:szCs w:val="32"/>
        </w:rPr>
        <w:tab/>
      </w:r>
      <w:bookmarkStart w:id="6" w:name="_Toc94516455"/>
      <w:r w:rsidRPr="007D1468">
        <w:rPr>
          <w:b/>
          <w:bCs/>
          <w:kern w:val="32"/>
          <w:szCs w:val="32"/>
        </w:rPr>
        <w:instrText>Case Background</w:instrText>
      </w:r>
      <w:bookmarkEnd w:id="6"/>
      <w:r w:rsidRPr="007D1468">
        <w:rPr>
          <w:b/>
          <w:bCs/>
          <w:kern w:val="32"/>
          <w:szCs w:val="32"/>
        </w:rPr>
        <w:instrText xml:space="preserve">" \l 1 </w:instrText>
      </w:r>
      <w:r w:rsidRPr="007D1468">
        <w:rPr>
          <w:b/>
          <w:bCs/>
          <w:kern w:val="32"/>
          <w:szCs w:val="32"/>
        </w:rPr>
        <w:fldChar w:fldCharType="end"/>
      </w:r>
    </w:p>
    <w:p w:rsidR="005768A3" w:rsidRDefault="005768A3" w:rsidP="005768A3">
      <w:pPr>
        <w:ind w:firstLine="720"/>
        <w:jc w:val="both"/>
      </w:pPr>
      <w:r>
        <w:t xml:space="preserve">The 2019 Florida Legislature enacted Section 366.96, Florida Statutes (F.S.), entitled “Storm protection plan cost recovery.” Pursuant to Section 366.96(7), F.S., </w:t>
      </w:r>
      <w:r w:rsidR="00FD0B5B">
        <w:t>we</w:t>
      </w:r>
      <w:r>
        <w:t xml:space="preserve"> shall conduct an annual proceeding to determine a utility’s prudently incurred transmission and distribution storm protection plan costs and allow the utility to recover such costs through a charge separate and apart from its base rates, to be referred to as the storm protection plan cost recovery clause</w:t>
      </w:r>
      <w:r w:rsidR="00FD0B5B">
        <w:t xml:space="preserve"> (SPPCRC)</w:t>
      </w:r>
      <w:r>
        <w:t xml:space="preserve">. If </w:t>
      </w:r>
      <w:r w:rsidR="00FD0B5B">
        <w:t>we d</w:t>
      </w:r>
      <w:r>
        <w:t>etermine that costs were prudently incurred, those costs will not be subject to disallowance or further prudence review except for fraud, perjury, or intentional withholding of key information by the public utility.</w:t>
      </w:r>
    </w:p>
    <w:p w:rsidR="005768A3" w:rsidRDefault="005768A3" w:rsidP="00F44932">
      <w:pPr>
        <w:ind w:firstLine="720"/>
        <w:jc w:val="both"/>
      </w:pPr>
    </w:p>
    <w:p w:rsidR="00F44932" w:rsidRPr="0098620F" w:rsidRDefault="008B532A" w:rsidP="00F44932">
      <w:pPr>
        <w:ind w:firstLine="720"/>
        <w:jc w:val="both"/>
      </w:pPr>
      <w:r>
        <w:t xml:space="preserve">On August 27, 2020, </w:t>
      </w:r>
      <w:r w:rsidR="00BE6B29">
        <w:t>a</w:t>
      </w:r>
      <w:r w:rsidR="00F44932">
        <w:t xml:space="preserve"> Joint Motion for Expedited </w:t>
      </w:r>
      <w:r w:rsidR="00F44932" w:rsidRPr="0098620F">
        <w:t>Approval of</w:t>
      </w:r>
      <w:r w:rsidR="00F44932">
        <w:t xml:space="preserve"> a Stipulation and</w:t>
      </w:r>
      <w:r w:rsidR="00F44932" w:rsidRPr="0098620F">
        <w:t xml:space="preserve"> Settlement Agreement</w:t>
      </w:r>
      <w:r w:rsidR="00F44932">
        <w:t xml:space="preserve"> (Motion)</w:t>
      </w:r>
      <w:r w:rsidR="00BE6B29">
        <w:t xml:space="preserve"> was filed in this docket</w:t>
      </w:r>
      <w:r w:rsidR="007C1D4C">
        <w:t xml:space="preserve"> with respect to Florida Power &amp; Light Company</w:t>
      </w:r>
      <w:r w:rsidR="005768A3">
        <w:t>’s</w:t>
      </w:r>
      <w:r w:rsidR="007C1D4C">
        <w:t xml:space="preserve"> (FPL) and Gulf Power Company</w:t>
      </w:r>
      <w:r w:rsidR="005768A3">
        <w:t>’s</w:t>
      </w:r>
      <w:r w:rsidR="007C1D4C">
        <w:t xml:space="preserve"> (Gulf)</w:t>
      </w:r>
      <w:r w:rsidR="005768A3">
        <w:t xml:space="preserve"> reques</w:t>
      </w:r>
      <w:r w:rsidR="00FD0B5B">
        <w:t>ts for SPPCRC cost recovery</w:t>
      </w:r>
      <w:r w:rsidR="00F44932" w:rsidRPr="0098620F">
        <w:t>.</w:t>
      </w:r>
      <w:r w:rsidR="0070784F">
        <w:t xml:space="preserve"> </w:t>
      </w:r>
      <w:r>
        <w:t>On October 6</w:t>
      </w:r>
      <w:r w:rsidRPr="0098620F">
        <w:t xml:space="preserve">, 2020, </w:t>
      </w:r>
      <w:r>
        <w:t xml:space="preserve">we </w:t>
      </w:r>
      <w:r w:rsidRPr="0098620F">
        <w:t>conducted a hearing to consider</w:t>
      </w:r>
      <w:r>
        <w:t xml:space="preserve"> t</w:t>
      </w:r>
      <w:r w:rsidR="0070784F">
        <w:t>he Stipulation and Settlement Agreement (Agreement)</w:t>
      </w:r>
      <w:r>
        <w:t>, a copy of which</w:t>
      </w:r>
      <w:r w:rsidR="0070784F">
        <w:t xml:space="preserve"> is attached hereto as Exhibit A.</w:t>
      </w:r>
    </w:p>
    <w:p w:rsidR="00F44932" w:rsidRPr="0098620F" w:rsidRDefault="00F44932" w:rsidP="00F44932">
      <w:pPr>
        <w:jc w:val="both"/>
      </w:pPr>
    </w:p>
    <w:p w:rsidR="00F44932" w:rsidRPr="0098620F" w:rsidRDefault="00F44932" w:rsidP="008B3569">
      <w:pPr>
        <w:jc w:val="both"/>
      </w:pPr>
      <w:r>
        <w:tab/>
        <w:t>The signatories to the Agreement</w:t>
      </w:r>
      <w:r w:rsidRPr="0098620F">
        <w:t xml:space="preserve"> are </w:t>
      </w:r>
      <w:r>
        <w:t>FPL, Gulf,</w:t>
      </w:r>
      <w:r w:rsidRPr="0098620F">
        <w:t xml:space="preserve"> </w:t>
      </w:r>
      <w:r w:rsidR="00BE6B29">
        <w:t>the Office of Public Counsel (OPC)</w:t>
      </w:r>
      <w:r w:rsidRPr="0098620F">
        <w:t>,</w:t>
      </w:r>
      <w:r w:rsidR="0070784F">
        <w:t xml:space="preserve"> and </w:t>
      </w:r>
      <w:r w:rsidR="0070784F" w:rsidRPr="0098620F">
        <w:t>Walmart, Inc. (Walmart)</w:t>
      </w:r>
      <w:r w:rsidR="0070784F">
        <w:t>. Tampa Electric Company</w:t>
      </w:r>
      <w:r w:rsidR="00B317B7">
        <w:t xml:space="preserve"> (TECO)</w:t>
      </w:r>
      <w:r w:rsidR="0070784F">
        <w:t>, Duke Energy Florida, LLC, the</w:t>
      </w:r>
      <w:r w:rsidRPr="0098620F">
        <w:t xml:space="preserve"> Flori</w:t>
      </w:r>
      <w:r w:rsidR="0070784F">
        <w:t xml:space="preserve">da Industrial Power Users Group, </w:t>
      </w:r>
      <w:r w:rsidRPr="0098620F">
        <w:t>and White Springs Agricultural Chemicals, Inc. d/b/a PCS Phosphate</w:t>
      </w:r>
      <w:r w:rsidR="0070784F">
        <w:t>, the remaining parties to this docket, take no position regarding the</w:t>
      </w:r>
      <w:r w:rsidRPr="0098620F">
        <w:t xml:space="preserve"> Agreement.</w:t>
      </w:r>
      <w:r w:rsidR="008B3569">
        <w:t xml:space="preserve"> </w:t>
      </w:r>
      <w:r w:rsidR="003D4464">
        <w:t xml:space="preserve">The </w:t>
      </w:r>
      <w:r w:rsidR="00C034EC">
        <w:t xml:space="preserve">proposed stipulations in the </w:t>
      </w:r>
      <w:r w:rsidRPr="0098620F">
        <w:t>Agreement</w:t>
      </w:r>
      <w:r w:rsidR="003D4464">
        <w:t xml:space="preserve"> resolve all remaining issues for FPL and Gulf in Docket No. 20200092-EI</w:t>
      </w:r>
      <w:r w:rsidR="008B3569">
        <w:t>.</w:t>
      </w:r>
    </w:p>
    <w:p w:rsidR="00F44932" w:rsidRPr="0098620F" w:rsidRDefault="00F44932" w:rsidP="00F44932">
      <w:pPr>
        <w:jc w:val="both"/>
      </w:pPr>
    </w:p>
    <w:p w:rsidR="00F44932" w:rsidRPr="0098620F" w:rsidRDefault="00F44932" w:rsidP="00F44932">
      <w:pPr>
        <w:spacing w:after="240"/>
        <w:jc w:val="both"/>
      </w:pPr>
      <w:r>
        <w:lastRenderedPageBreak/>
        <w:tab/>
        <w:t>A</w:t>
      </w:r>
      <w:r w:rsidR="008B3569">
        <w:t>t the October 6</w:t>
      </w:r>
      <w:r w:rsidRPr="0098620F">
        <w:t xml:space="preserve">, 2020 public hearing, counsel for </w:t>
      </w:r>
      <w:r w:rsidR="00B317B7">
        <w:t xml:space="preserve">FPL and Gulf, OPC, and Walmart </w:t>
      </w:r>
      <w:r w:rsidRPr="0098620F">
        <w:t>made prese</w:t>
      </w:r>
      <w:r w:rsidR="00B317B7">
        <w:t xml:space="preserve">ntations in favor of the </w:t>
      </w:r>
      <w:r w:rsidRPr="0098620F">
        <w:t>Agreement.</w:t>
      </w:r>
      <w:r w:rsidR="00B317B7">
        <w:t xml:space="preserve"> The </w:t>
      </w:r>
      <w:r w:rsidR="00B317B7" w:rsidRPr="00D82839">
        <w:t xml:space="preserve">testimony of </w:t>
      </w:r>
      <w:r w:rsidR="00B317B7">
        <w:t xml:space="preserve">FPL </w:t>
      </w:r>
      <w:r w:rsidR="00B317B7" w:rsidRPr="00D82839">
        <w:t xml:space="preserve">witnesses </w:t>
      </w:r>
      <w:r w:rsidR="00B317B7">
        <w:t xml:space="preserve">Jarro, Fuentes, and  Deaton, and also </w:t>
      </w:r>
      <w:r w:rsidR="00B317B7" w:rsidRPr="00D82839">
        <w:t>the testimony of</w:t>
      </w:r>
      <w:r w:rsidR="00B317B7">
        <w:t xml:space="preserve"> Gulf witnesses Spoor, Fuentes, and Deaton, </w:t>
      </w:r>
      <w:r w:rsidR="00CB7C03">
        <w:t>were</w:t>
      </w:r>
      <w:r w:rsidR="00B317B7" w:rsidRPr="00D82839">
        <w:t xml:space="preserve"> entered into the record.</w:t>
      </w:r>
      <w:r w:rsidR="00B317B7">
        <w:t xml:space="preserve"> </w:t>
      </w:r>
      <w:r w:rsidR="009C4127">
        <w:t xml:space="preserve">We also admitted </w:t>
      </w:r>
      <w:r w:rsidR="00B317B7">
        <w:t>19</w:t>
      </w:r>
      <w:r w:rsidR="009C4127">
        <w:t xml:space="preserve"> </w:t>
      </w:r>
      <w:r w:rsidR="00CF23BE">
        <w:t xml:space="preserve">supporting </w:t>
      </w:r>
      <w:r w:rsidR="009C4127">
        <w:t>evidentiary exhibits into the record without objection.</w:t>
      </w:r>
      <w:r w:rsidR="00A569E8">
        <w:rPr>
          <w:rStyle w:val="FootnoteReference"/>
        </w:rPr>
        <w:footnoteReference w:id="1"/>
      </w:r>
    </w:p>
    <w:p w:rsidR="00F44932" w:rsidRDefault="00F44932" w:rsidP="00F44932">
      <w:pPr>
        <w:spacing w:after="240"/>
        <w:jc w:val="both"/>
      </w:pPr>
      <w:r>
        <w:tab/>
        <w:t>We</w:t>
      </w:r>
      <w:r w:rsidRPr="0098620F">
        <w:t xml:space="preserve"> </w:t>
      </w:r>
      <w:r w:rsidR="00CF23BE">
        <w:t xml:space="preserve">have </w:t>
      </w:r>
      <w:r w:rsidRPr="0098620F">
        <w:t>jurisdiction over this matter pursuant to Sections 366.03, 366.05, and 366.06, Florida Statutes.</w:t>
      </w:r>
    </w:p>
    <w:p w:rsidR="00F44932" w:rsidRPr="00B9448F" w:rsidRDefault="00F44932" w:rsidP="00F44932">
      <w:pPr>
        <w:spacing w:after="240"/>
        <w:jc w:val="center"/>
      </w:pPr>
      <w:r>
        <w:rPr>
          <w:b/>
        </w:rPr>
        <w:t>Decision</w:t>
      </w:r>
    </w:p>
    <w:p w:rsidR="00F44932" w:rsidRDefault="00F44932" w:rsidP="00F44932">
      <w:pPr>
        <w:spacing w:after="240"/>
        <w:ind w:firstLine="720"/>
        <w:jc w:val="both"/>
      </w:pPr>
      <w:r w:rsidRPr="00BE455E">
        <w:t>The standard for approval of a settlement agreement is whether it is in the public interest.</w:t>
      </w:r>
      <w:r w:rsidRPr="00BE455E">
        <w:rPr>
          <w:rStyle w:val="FootnoteReference"/>
        </w:rPr>
        <w:footnoteReference w:id="2"/>
      </w:r>
      <w:r>
        <w:t xml:space="preserve"> </w:t>
      </w:r>
      <w:r w:rsidRPr="00BE455E">
        <w:t xml:space="preserve">A determination of </w:t>
      </w:r>
      <w:r>
        <w:t xml:space="preserve">whether a settlement is in the </w:t>
      </w:r>
      <w:r w:rsidRPr="00BE455E">
        <w:t>public interest requires a case-specific analysis based on consideration of the proposed settlement taken as a whole.</w:t>
      </w:r>
      <w:r w:rsidRPr="00BE455E">
        <w:rPr>
          <w:rStyle w:val="FootnoteReference"/>
        </w:rPr>
        <w:footnoteReference w:id="3"/>
      </w:r>
    </w:p>
    <w:p w:rsidR="009A1192" w:rsidRDefault="009A1192" w:rsidP="009A1192">
      <w:pPr>
        <w:ind w:firstLine="720"/>
        <w:jc w:val="both"/>
      </w:pPr>
      <w:r>
        <w:t xml:space="preserve">The Agreement </w:t>
      </w:r>
      <w:r w:rsidRPr="0098620F">
        <w:t>contains a series of stipulations</w:t>
      </w:r>
      <w:r w:rsidR="00BC58E3">
        <w:t xml:space="preserve"> regarding 2021 storm protection plan cost recovery for FPL and Gulf</w:t>
      </w:r>
      <w:r w:rsidRPr="0098620F">
        <w:t>.</w:t>
      </w:r>
      <w:r w:rsidR="00BC58E3">
        <w:t xml:space="preserve"> These stipulations address all remaining issues for FPL and Gulf</w:t>
      </w:r>
      <w:r w:rsidR="00CB7C03">
        <w:t xml:space="preserve"> in this docket, </w:t>
      </w:r>
      <w:r w:rsidR="00BC58E3">
        <w:t>including factors and costs</w:t>
      </w:r>
      <w:r w:rsidR="00CB7C03">
        <w:t xml:space="preserve"> to be</w:t>
      </w:r>
      <w:r w:rsidR="00BC58E3">
        <w:t xml:space="preserve"> included for recovery, projects projected to be performed, and the weighted average cost of capital.</w:t>
      </w:r>
      <w:r w:rsidRPr="009A1192">
        <w:t xml:space="preserve"> </w:t>
      </w:r>
      <w:r>
        <w:t xml:space="preserve">The signatories contend that approval </w:t>
      </w:r>
      <w:r w:rsidR="00B11F4B">
        <w:t xml:space="preserve">of </w:t>
      </w:r>
      <w:r>
        <w:t>the Agreement is in the public interest for a number of reasons, foremost of which are promoting efficiency and transparency and avoiding the expense and delay of litigation.</w:t>
      </w:r>
    </w:p>
    <w:p w:rsidR="009A1192" w:rsidRDefault="009A1192" w:rsidP="009A1192">
      <w:pPr>
        <w:autoSpaceDE w:val="0"/>
        <w:autoSpaceDN w:val="0"/>
        <w:adjustRightInd w:val="0"/>
        <w:ind w:firstLine="720"/>
        <w:jc w:val="both"/>
      </w:pPr>
    </w:p>
    <w:p w:rsidR="009A1192" w:rsidRPr="00A63792" w:rsidRDefault="009A1192" w:rsidP="009A1192">
      <w:pPr>
        <w:pStyle w:val="CenterUnderline"/>
        <w:jc w:val="both"/>
        <w:rPr>
          <w:u w:val="none"/>
        </w:rPr>
      </w:pPr>
      <w:r>
        <w:rPr>
          <w:u w:val="none"/>
        </w:rPr>
        <w:tab/>
        <w:t>Having carefully reviewed the Agreement</w:t>
      </w:r>
      <w:r w:rsidR="00C220B1">
        <w:rPr>
          <w:u w:val="none"/>
        </w:rPr>
        <w:t>, the parties’ arguments at hearing,</w:t>
      </w:r>
      <w:r>
        <w:rPr>
          <w:u w:val="none"/>
        </w:rPr>
        <w:t xml:space="preserve"> and the testimony and exhibits entered into the record, we find that, taken as a whole, </w:t>
      </w:r>
      <w:r w:rsidR="00C220B1">
        <w:rPr>
          <w:u w:val="none"/>
        </w:rPr>
        <w:t>the Agreement</w:t>
      </w:r>
      <w:r>
        <w:rPr>
          <w:u w:val="none"/>
        </w:rPr>
        <w:t xml:space="preserve"> provides a reasonable resolution of the issues. We find, therefore, that the Agreement, Attachment A hereto, is in the public interest, and we hereby approve it.</w:t>
      </w:r>
    </w:p>
    <w:p w:rsidR="00EA6C99" w:rsidRDefault="00EA6C99">
      <w:pPr>
        <w:pStyle w:val="OrderBody"/>
      </w:pPr>
    </w:p>
    <w:p w:rsidR="00ED5634" w:rsidRDefault="00ED5634" w:rsidP="00ED5634">
      <w:pPr>
        <w:pStyle w:val="OrderBody"/>
      </w:pPr>
      <w:r>
        <w:tab/>
        <w:t>Based on the foregoing, it is</w:t>
      </w:r>
    </w:p>
    <w:p w:rsidR="00ED5634" w:rsidRDefault="00ED5634" w:rsidP="00ED5634">
      <w:pPr>
        <w:pStyle w:val="OrderBody"/>
      </w:pPr>
    </w:p>
    <w:p w:rsidR="00191483" w:rsidRPr="00023612" w:rsidRDefault="00ED5634" w:rsidP="00191483">
      <w:pPr>
        <w:autoSpaceDE w:val="0"/>
        <w:autoSpaceDN w:val="0"/>
        <w:adjustRightInd w:val="0"/>
        <w:jc w:val="both"/>
      </w:pPr>
      <w:r>
        <w:lastRenderedPageBreak/>
        <w:tab/>
        <w:t>ORDERED by the Florida Public Service Commission that</w:t>
      </w:r>
      <w:r w:rsidR="00191483" w:rsidRPr="00191483">
        <w:rPr>
          <w:bCs/>
        </w:rPr>
        <w:t xml:space="preserve"> </w:t>
      </w:r>
      <w:r w:rsidR="00191483">
        <w:rPr>
          <w:bCs/>
        </w:rPr>
        <w:t>the Joint Motion for Expedited Approval of a Stipulation and Settlement Agreement filed August 27, 2020, is granted. It is further</w:t>
      </w:r>
    </w:p>
    <w:p w:rsidR="00191483" w:rsidRDefault="00191483" w:rsidP="00191483">
      <w:pPr>
        <w:pStyle w:val="OrderBody"/>
        <w:keepNext/>
        <w:keepLines/>
      </w:pPr>
    </w:p>
    <w:p w:rsidR="00191483" w:rsidRDefault="00191483" w:rsidP="00191483">
      <w:pPr>
        <w:pStyle w:val="OrderBody"/>
        <w:keepNext/>
        <w:keepLines/>
      </w:pPr>
      <w:r>
        <w:tab/>
        <w:t xml:space="preserve"> ORDERED that the </w:t>
      </w:r>
      <w:r w:rsidRPr="00023612">
        <w:rPr>
          <w:bCs/>
        </w:rPr>
        <w:t>Agreement</w:t>
      </w:r>
      <w:r>
        <w:t xml:space="preserve"> attached hereto as Attachment A, and incorporated by reference, is hereby approved. It is further</w:t>
      </w:r>
    </w:p>
    <w:p w:rsidR="00ED5634" w:rsidRDefault="00ED5634" w:rsidP="00ED5634">
      <w:pPr>
        <w:pStyle w:val="OrderBody"/>
      </w:pPr>
    </w:p>
    <w:p w:rsidR="00EA6C99" w:rsidRDefault="006E64DF" w:rsidP="00ED5634">
      <w:pPr>
        <w:pStyle w:val="OrderBody"/>
      </w:pPr>
      <w:r>
        <w:tab/>
      </w:r>
      <w:r w:rsidR="00EA6C99" w:rsidRPr="00EA6C99">
        <w:t>ORDERED that this docket shall</w:t>
      </w:r>
      <w:r w:rsidR="00191483">
        <w:t xml:space="preserve"> remain open.</w:t>
      </w:r>
    </w:p>
    <w:p w:rsidR="00EA6C99" w:rsidRDefault="00EA6C99" w:rsidP="00ED5634">
      <w:pPr>
        <w:pStyle w:val="OrderBody"/>
      </w:pPr>
    </w:p>
    <w:p w:rsidR="00ED5634" w:rsidRDefault="00ED5634" w:rsidP="00ED5634">
      <w:pPr>
        <w:pStyle w:val="OrderBody"/>
        <w:keepNext/>
        <w:keepLines/>
      </w:pPr>
      <w:r>
        <w:tab/>
        <w:t xml:space="preserve">By ORDER of the Florida Public Service Commission this </w:t>
      </w:r>
      <w:bookmarkStart w:id="7" w:name="replaceDate"/>
      <w:bookmarkEnd w:id="7"/>
      <w:r w:rsidR="00E57C4A">
        <w:rPr>
          <w:u w:val="single"/>
        </w:rPr>
        <w:t>27th</w:t>
      </w:r>
      <w:r w:rsidR="00E57C4A">
        <w:t xml:space="preserve"> day of </w:t>
      </w:r>
      <w:r w:rsidR="00E57C4A">
        <w:rPr>
          <w:u w:val="single"/>
        </w:rPr>
        <w:t>October</w:t>
      </w:r>
      <w:r w:rsidR="00E57C4A">
        <w:t xml:space="preserve">, </w:t>
      </w:r>
      <w:r w:rsidR="00E57C4A">
        <w:rPr>
          <w:u w:val="single"/>
        </w:rPr>
        <w:t>2020</w:t>
      </w:r>
      <w:r w:rsidR="00E57C4A">
        <w:t>.</w:t>
      </w:r>
    </w:p>
    <w:p w:rsidR="00E57C4A" w:rsidRPr="00E57C4A" w:rsidRDefault="00E57C4A" w:rsidP="00ED5634">
      <w:pPr>
        <w:pStyle w:val="OrderBody"/>
        <w:keepNext/>
        <w:keepLines/>
      </w:pPr>
    </w:p>
    <w:p w:rsidR="00ED5634" w:rsidRDefault="00ED5634" w:rsidP="00ED5634">
      <w:pPr>
        <w:pStyle w:val="OrderBody"/>
        <w:keepNext/>
        <w:keepLines/>
      </w:pPr>
    </w:p>
    <w:p w:rsidR="00ED5634" w:rsidRDefault="00ED5634" w:rsidP="00ED5634">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ED5634" w:rsidTr="00ED5634">
        <w:tc>
          <w:tcPr>
            <w:tcW w:w="720" w:type="dxa"/>
            <w:shd w:val="clear" w:color="auto" w:fill="auto"/>
          </w:tcPr>
          <w:p w:rsidR="00ED5634" w:rsidRDefault="00ED5634" w:rsidP="00ED5634">
            <w:pPr>
              <w:pStyle w:val="OrderBody"/>
              <w:keepNext/>
              <w:keepLines/>
            </w:pPr>
            <w:bookmarkStart w:id="8" w:name="bkmrkSignature" w:colFirst="0" w:colLast="0"/>
          </w:p>
        </w:tc>
        <w:tc>
          <w:tcPr>
            <w:tcW w:w="4320" w:type="dxa"/>
            <w:tcBorders>
              <w:bottom w:val="single" w:sz="4" w:space="0" w:color="auto"/>
            </w:tcBorders>
            <w:shd w:val="clear" w:color="auto" w:fill="auto"/>
          </w:tcPr>
          <w:p w:rsidR="00ED5634" w:rsidRDefault="00BC45FD" w:rsidP="00ED5634">
            <w:pPr>
              <w:pStyle w:val="OrderBody"/>
              <w:keepNext/>
              <w:keepLines/>
            </w:pPr>
            <w:r>
              <w:t>/s/ Adam J. Teitzman</w:t>
            </w:r>
          </w:p>
        </w:tc>
      </w:tr>
      <w:bookmarkEnd w:id="8"/>
      <w:tr w:rsidR="00ED5634" w:rsidTr="00ED5634">
        <w:tc>
          <w:tcPr>
            <w:tcW w:w="720" w:type="dxa"/>
            <w:shd w:val="clear" w:color="auto" w:fill="auto"/>
          </w:tcPr>
          <w:p w:rsidR="00ED5634" w:rsidRDefault="00ED5634" w:rsidP="00ED5634">
            <w:pPr>
              <w:pStyle w:val="OrderBody"/>
              <w:keepNext/>
              <w:keepLines/>
            </w:pPr>
          </w:p>
        </w:tc>
        <w:tc>
          <w:tcPr>
            <w:tcW w:w="4320" w:type="dxa"/>
            <w:tcBorders>
              <w:top w:val="single" w:sz="4" w:space="0" w:color="auto"/>
            </w:tcBorders>
            <w:shd w:val="clear" w:color="auto" w:fill="auto"/>
          </w:tcPr>
          <w:p w:rsidR="00ED5634" w:rsidRDefault="00ED5634" w:rsidP="00ED5634">
            <w:pPr>
              <w:pStyle w:val="OrderBody"/>
              <w:keepNext/>
              <w:keepLines/>
            </w:pPr>
            <w:r>
              <w:t>ADAM J. TEITZMAN</w:t>
            </w:r>
          </w:p>
          <w:p w:rsidR="00ED5634" w:rsidRDefault="00ED5634" w:rsidP="00ED5634">
            <w:pPr>
              <w:pStyle w:val="OrderBody"/>
              <w:keepNext/>
              <w:keepLines/>
            </w:pPr>
            <w:r>
              <w:t>Commission Clerk</w:t>
            </w:r>
          </w:p>
        </w:tc>
      </w:tr>
    </w:tbl>
    <w:p w:rsidR="00ED5634" w:rsidRDefault="00ED5634" w:rsidP="00ED5634">
      <w:pPr>
        <w:pStyle w:val="OrderSigInfo"/>
        <w:keepNext/>
        <w:keepLines/>
      </w:pPr>
      <w:r>
        <w:t>Florida Public Service Commission</w:t>
      </w:r>
    </w:p>
    <w:p w:rsidR="00ED5634" w:rsidRDefault="00ED5634" w:rsidP="00ED5634">
      <w:pPr>
        <w:pStyle w:val="OrderSigInfo"/>
        <w:keepNext/>
        <w:keepLines/>
      </w:pPr>
      <w:r>
        <w:t>2540 Shumard Oak Boulevard</w:t>
      </w:r>
    </w:p>
    <w:p w:rsidR="00ED5634" w:rsidRDefault="00ED5634" w:rsidP="00ED5634">
      <w:pPr>
        <w:pStyle w:val="OrderSigInfo"/>
        <w:keepNext/>
        <w:keepLines/>
      </w:pPr>
      <w:r>
        <w:t>Tallahassee, Florida 32399</w:t>
      </w:r>
    </w:p>
    <w:p w:rsidR="00ED5634" w:rsidRDefault="00ED5634" w:rsidP="00ED5634">
      <w:pPr>
        <w:pStyle w:val="OrderSigInfo"/>
        <w:keepNext/>
        <w:keepLines/>
      </w:pPr>
      <w:r>
        <w:t>(850) 413</w:t>
      </w:r>
      <w:r>
        <w:noBreakHyphen/>
        <w:t>6770</w:t>
      </w:r>
    </w:p>
    <w:p w:rsidR="00ED5634" w:rsidRDefault="00ED5634" w:rsidP="00ED5634">
      <w:pPr>
        <w:pStyle w:val="OrderSigInfo"/>
        <w:keepNext/>
        <w:keepLines/>
      </w:pPr>
      <w:r>
        <w:t>www.floridapsc.com</w:t>
      </w:r>
    </w:p>
    <w:p w:rsidR="00ED5634" w:rsidRDefault="00ED5634" w:rsidP="00ED5634">
      <w:pPr>
        <w:pStyle w:val="OrderSigInfo"/>
        <w:keepNext/>
        <w:keepLines/>
      </w:pPr>
    </w:p>
    <w:p w:rsidR="00ED5634" w:rsidRDefault="00ED5634" w:rsidP="00ED5634">
      <w:pPr>
        <w:pStyle w:val="OrderSigInfo"/>
        <w:keepNext/>
        <w:keepLines/>
      </w:pPr>
      <w:r>
        <w:t>Copies furnished:  A copy of this document is provided to the parties of record at the time of issuance and, if applicable, interested persons.</w:t>
      </w:r>
    </w:p>
    <w:p w:rsidR="00ED5634" w:rsidRDefault="00ED5634" w:rsidP="00ED5634">
      <w:pPr>
        <w:pStyle w:val="OrderBody"/>
        <w:keepNext/>
        <w:keepLines/>
      </w:pPr>
    </w:p>
    <w:p w:rsidR="00ED5634" w:rsidRDefault="00ED5634" w:rsidP="00ED5634">
      <w:pPr>
        <w:pStyle w:val="OrderBody"/>
        <w:keepNext/>
        <w:keepLines/>
      </w:pPr>
    </w:p>
    <w:p w:rsidR="00ED5634" w:rsidRDefault="00ED5634" w:rsidP="00ED5634">
      <w:pPr>
        <w:pStyle w:val="OrderBody"/>
        <w:keepNext/>
        <w:keepLines/>
      </w:pPr>
      <w:r>
        <w:t>SPS</w:t>
      </w:r>
    </w:p>
    <w:p w:rsidR="00ED5634" w:rsidRDefault="00ED5634" w:rsidP="00ED5634">
      <w:pPr>
        <w:pStyle w:val="OrderBody"/>
      </w:pPr>
    </w:p>
    <w:p w:rsidR="00ED5634" w:rsidRDefault="00ED5634" w:rsidP="00ED5634">
      <w:pPr>
        <w:pStyle w:val="OrderBody"/>
      </w:pPr>
    </w:p>
    <w:p w:rsidR="00EA6C99" w:rsidRDefault="00EA6C99" w:rsidP="00ED5634">
      <w:pPr>
        <w:pStyle w:val="OrderBody"/>
      </w:pPr>
    </w:p>
    <w:p w:rsidR="00D57E57" w:rsidRDefault="00ED5634" w:rsidP="00ED5634">
      <w:pPr>
        <w:pStyle w:val="CenterUnderline"/>
      </w:pPr>
      <w:r>
        <w:t>NOTICE OF FURTHER PROCEEDINGS OR JUDICIAL REVIEW</w:t>
      </w:r>
    </w:p>
    <w:p w:rsidR="00ED5634" w:rsidRDefault="00ED5634" w:rsidP="00ED5634">
      <w:pPr>
        <w:pStyle w:val="OrderBody"/>
      </w:pPr>
    </w:p>
    <w:p w:rsidR="00EA6C99" w:rsidRDefault="00ED5634" w:rsidP="00EA6C99">
      <w:pPr>
        <w:pStyle w:val="OrderBody"/>
      </w:pPr>
      <w:r>
        <w:tab/>
      </w:r>
      <w:r w:rsidR="00EA6C99">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EA6C99" w:rsidRDefault="00EA6C99" w:rsidP="00EA6C99">
      <w:pPr>
        <w:pStyle w:val="OrderBody"/>
      </w:pPr>
    </w:p>
    <w:p w:rsidR="00EA6C99" w:rsidRDefault="00EA6C99" w:rsidP="00EA6C99">
      <w:pPr>
        <w:pStyle w:val="OrderBody"/>
      </w:pPr>
      <w:r>
        <w:tab/>
        <w:t xml:space="preserve">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t>
      </w:r>
      <w:r>
        <w:lastRenderedPageBreak/>
        <w:t>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EA6C99" w:rsidRDefault="00EA6C99" w:rsidP="00EA6C99">
      <w:pPr>
        <w:pStyle w:val="OrderBody"/>
      </w:pPr>
    </w:p>
    <w:p w:rsidR="00EA6C99" w:rsidRDefault="00EA6C99" w:rsidP="00EA6C99">
      <w:pPr>
        <w:pStyle w:val="OrderBody"/>
        <w:sectPr w:rsidR="00EA6C99">
          <w:headerReference w:type="default" r:id="rId8"/>
          <w:footerReference w:type="first" r:id="rId9"/>
          <w:pgSz w:w="12240" w:h="15840" w:code="1"/>
          <w:pgMar w:top="1440" w:right="1440" w:bottom="1440" w:left="1440" w:header="720" w:footer="720" w:gutter="0"/>
          <w:cols w:space="720"/>
          <w:titlePg/>
          <w:docGrid w:linePitch="360"/>
        </w:sectPr>
      </w:pPr>
    </w:p>
    <w:p w:rsidR="006E64DF" w:rsidRDefault="006E64DF" w:rsidP="00EA6C99">
      <w:pPr>
        <w:jc w:val="center"/>
      </w:pPr>
      <w:r>
        <w:rPr>
          <w:noProof/>
        </w:rPr>
        <w:lastRenderedPageBreak/>
        <w:drawing>
          <wp:inline distT="0" distB="0" distL="0" distR="0" wp14:anchorId="376C7CB1" wp14:editId="57F8574F">
            <wp:extent cx="5943600" cy="7691755"/>
            <wp:effectExtent l="0" t="0" r="0" b="4445"/>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7691755"/>
                    </a:xfrm>
                    <a:prstGeom prst="rect">
                      <a:avLst/>
                    </a:prstGeom>
                  </pic:spPr>
                </pic:pic>
              </a:graphicData>
            </a:graphic>
          </wp:inline>
        </w:drawing>
      </w:r>
      <w:bookmarkStart w:id="10" w:name="_GoBack"/>
      <w:bookmarkEnd w:id="10"/>
    </w:p>
    <w:p w:rsidR="006E64DF" w:rsidRDefault="006E64DF">
      <w:r>
        <w:br w:type="page"/>
      </w:r>
    </w:p>
    <w:p w:rsidR="006E64DF" w:rsidRDefault="006E64DF" w:rsidP="00EA6C99">
      <w:pPr>
        <w:jc w:val="center"/>
      </w:pPr>
      <w:r>
        <w:rPr>
          <w:noProof/>
        </w:rPr>
        <w:lastRenderedPageBreak/>
        <w:drawing>
          <wp:inline distT="0" distB="0" distL="0" distR="0" wp14:anchorId="6D3A56B3" wp14:editId="721D0B88">
            <wp:extent cx="5943600" cy="76917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691755"/>
                    </a:xfrm>
                    <a:prstGeom prst="rect">
                      <a:avLst/>
                    </a:prstGeom>
                  </pic:spPr>
                </pic:pic>
              </a:graphicData>
            </a:graphic>
          </wp:inline>
        </w:drawing>
      </w:r>
    </w:p>
    <w:p w:rsidR="006E64DF" w:rsidRDefault="006E64DF">
      <w:r>
        <w:br w:type="page"/>
      </w:r>
    </w:p>
    <w:p w:rsidR="006E64DF" w:rsidRDefault="006E64DF" w:rsidP="00EA6C99">
      <w:pPr>
        <w:jc w:val="center"/>
      </w:pPr>
      <w:r>
        <w:rPr>
          <w:noProof/>
        </w:rPr>
        <w:lastRenderedPageBreak/>
        <w:drawing>
          <wp:inline distT="0" distB="0" distL="0" distR="0" wp14:anchorId="5F506002" wp14:editId="29801374">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691755"/>
                    </a:xfrm>
                    <a:prstGeom prst="rect">
                      <a:avLst/>
                    </a:prstGeom>
                  </pic:spPr>
                </pic:pic>
              </a:graphicData>
            </a:graphic>
          </wp:inline>
        </w:drawing>
      </w:r>
    </w:p>
    <w:p w:rsidR="006E64DF" w:rsidRDefault="006E64DF">
      <w:r>
        <w:br w:type="page"/>
      </w:r>
    </w:p>
    <w:p w:rsidR="006E64DF" w:rsidRDefault="006E64DF" w:rsidP="00EA6C99">
      <w:pPr>
        <w:jc w:val="center"/>
      </w:pPr>
      <w:r>
        <w:rPr>
          <w:noProof/>
        </w:rPr>
        <w:lastRenderedPageBreak/>
        <w:drawing>
          <wp:inline distT="0" distB="0" distL="0" distR="0" wp14:anchorId="3177241B" wp14:editId="42B0E6EA">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691755"/>
                    </a:xfrm>
                    <a:prstGeom prst="rect">
                      <a:avLst/>
                    </a:prstGeom>
                  </pic:spPr>
                </pic:pic>
              </a:graphicData>
            </a:graphic>
          </wp:inline>
        </w:drawing>
      </w:r>
    </w:p>
    <w:p w:rsidR="006E64DF" w:rsidRDefault="006E64DF">
      <w:r>
        <w:br w:type="page"/>
      </w:r>
    </w:p>
    <w:p w:rsidR="006E64DF" w:rsidRDefault="006E64DF" w:rsidP="00EA6C99">
      <w:pPr>
        <w:jc w:val="center"/>
      </w:pPr>
      <w:r>
        <w:rPr>
          <w:noProof/>
        </w:rPr>
        <w:lastRenderedPageBreak/>
        <w:drawing>
          <wp:inline distT="0" distB="0" distL="0" distR="0" wp14:anchorId="17978750" wp14:editId="2B2EB58C">
            <wp:extent cx="5943600" cy="769175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691755"/>
                    </a:xfrm>
                    <a:prstGeom prst="rect">
                      <a:avLst/>
                    </a:prstGeom>
                  </pic:spPr>
                </pic:pic>
              </a:graphicData>
            </a:graphic>
          </wp:inline>
        </w:drawing>
      </w:r>
    </w:p>
    <w:p w:rsidR="006E64DF" w:rsidRDefault="006E64DF">
      <w:r>
        <w:br w:type="page"/>
      </w:r>
    </w:p>
    <w:p w:rsidR="006E64DF" w:rsidRDefault="006E64DF" w:rsidP="00EA6C99">
      <w:pPr>
        <w:jc w:val="center"/>
      </w:pPr>
      <w:r>
        <w:rPr>
          <w:noProof/>
        </w:rPr>
        <w:lastRenderedPageBreak/>
        <w:drawing>
          <wp:inline distT="0" distB="0" distL="0" distR="0" wp14:anchorId="39F77927" wp14:editId="65EF96F8">
            <wp:extent cx="5943600" cy="7691755"/>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691755"/>
                    </a:xfrm>
                    <a:prstGeom prst="rect">
                      <a:avLst/>
                    </a:prstGeom>
                  </pic:spPr>
                </pic:pic>
              </a:graphicData>
            </a:graphic>
          </wp:inline>
        </w:drawing>
      </w:r>
    </w:p>
    <w:p w:rsidR="006E64DF" w:rsidRDefault="006E64DF">
      <w:r>
        <w:br w:type="page"/>
      </w:r>
    </w:p>
    <w:p w:rsidR="006E64DF" w:rsidRDefault="006E64DF" w:rsidP="00EA6C99">
      <w:pPr>
        <w:jc w:val="center"/>
      </w:pPr>
      <w:r>
        <w:rPr>
          <w:noProof/>
        </w:rPr>
        <w:lastRenderedPageBreak/>
        <w:drawing>
          <wp:inline distT="0" distB="0" distL="0" distR="0" wp14:anchorId="337FA513" wp14:editId="42ECA2D8">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691755"/>
                    </a:xfrm>
                    <a:prstGeom prst="rect">
                      <a:avLst/>
                    </a:prstGeom>
                  </pic:spPr>
                </pic:pic>
              </a:graphicData>
            </a:graphic>
          </wp:inline>
        </w:drawing>
      </w:r>
    </w:p>
    <w:p w:rsidR="006E64DF" w:rsidRDefault="006E64DF">
      <w:r>
        <w:br w:type="page"/>
      </w:r>
    </w:p>
    <w:p w:rsidR="006E64DF" w:rsidRDefault="006E64DF" w:rsidP="00EA6C99">
      <w:pPr>
        <w:jc w:val="center"/>
      </w:pPr>
      <w:r>
        <w:rPr>
          <w:noProof/>
        </w:rPr>
        <w:lastRenderedPageBreak/>
        <w:drawing>
          <wp:inline distT="0" distB="0" distL="0" distR="0" wp14:anchorId="0B300340" wp14:editId="4BF96C5D">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691755"/>
                    </a:xfrm>
                    <a:prstGeom prst="rect">
                      <a:avLst/>
                    </a:prstGeom>
                  </pic:spPr>
                </pic:pic>
              </a:graphicData>
            </a:graphic>
          </wp:inline>
        </w:drawing>
      </w:r>
    </w:p>
    <w:p w:rsidR="006E64DF" w:rsidRDefault="006E64DF">
      <w:r>
        <w:br w:type="page"/>
      </w:r>
    </w:p>
    <w:p w:rsidR="006E64DF" w:rsidRDefault="006E64DF" w:rsidP="00EA6C99">
      <w:pPr>
        <w:jc w:val="center"/>
      </w:pPr>
      <w:r>
        <w:rPr>
          <w:noProof/>
        </w:rPr>
        <w:lastRenderedPageBreak/>
        <w:drawing>
          <wp:inline distT="0" distB="0" distL="0" distR="0" wp14:anchorId="3ABF1BE1" wp14:editId="509D5663">
            <wp:extent cx="5943600" cy="76917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691755"/>
                    </a:xfrm>
                    <a:prstGeom prst="rect">
                      <a:avLst/>
                    </a:prstGeom>
                  </pic:spPr>
                </pic:pic>
              </a:graphicData>
            </a:graphic>
          </wp:inline>
        </w:drawing>
      </w:r>
    </w:p>
    <w:p w:rsidR="006E64DF" w:rsidRDefault="006E64DF">
      <w:r>
        <w:br w:type="page"/>
      </w:r>
    </w:p>
    <w:p w:rsidR="006E64DF" w:rsidRDefault="006E64DF" w:rsidP="00EA6C99">
      <w:pPr>
        <w:jc w:val="center"/>
      </w:pPr>
      <w:r>
        <w:rPr>
          <w:noProof/>
        </w:rPr>
        <w:lastRenderedPageBreak/>
        <w:drawing>
          <wp:inline distT="0" distB="0" distL="0" distR="0" wp14:anchorId="3F07F107" wp14:editId="2EB663F3">
            <wp:extent cx="5943600" cy="7691755"/>
            <wp:effectExtent l="0" t="0" r="0" b="4445"/>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691755"/>
                    </a:xfrm>
                    <a:prstGeom prst="rect">
                      <a:avLst/>
                    </a:prstGeom>
                  </pic:spPr>
                </pic:pic>
              </a:graphicData>
            </a:graphic>
          </wp:inline>
        </w:drawing>
      </w:r>
    </w:p>
    <w:p w:rsidR="006E64DF" w:rsidRDefault="006E64DF">
      <w:r>
        <w:br w:type="page"/>
      </w:r>
    </w:p>
    <w:p w:rsidR="006E64DF" w:rsidRDefault="006E64DF" w:rsidP="00EA6C99">
      <w:pPr>
        <w:jc w:val="center"/>
      </w:pPr>
      <w:r>
        <w:rPr>
          <w:noProof/>
        </w:rPr>
        <w:lastRenderedPageBreak/>
        <w:drawing>
          <wp:inline distT="0" distB="0" distL="0" distR="0" wp14:anchorId="262522EB" wp14:editId="79B94957">
            <wp:extent cx="5943600" cy="7691755"/>
            <wp:effectExtent l="0" t="0" r="0" b="4445"/>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691755"/>
                    </a:xfrm>
                    <a:prstGeom prst="rect">
                      <a:avLst/>
                    </a:prstGeom>
                  </pic:spPr>
                </pic:pic>
              </a:graphicData>
            </a:graphic>
          </wp:inline>
        </w:drawing>
      </w:r>
    </w:p>
    <w:p w:rsidR="006E64DF" w:rsidRDefault="006E64DF">
      <w:r>
        <w:br w:type="page"/>
      </w:r>
    </w:p>
    <w:p w:rsidR="006E64DF" w:rsidRDefault="006E64DF" w:rsidP="00EA6C99">
      <w:pPr>
        <w:jc w:val="center"/>
      </w:pPr>
      <w:r>
        <w:rPr>
          <w:noProof/>
        </w:rPr>
        <w:lastRenderedPageBreak/>
        <w:drawing>
          <wp:inline distT="0" distB="0" distL="0" distR="0" wp14:anchorId="543F82BE" wp14:editId="2387A1B2">
            <wp:extent cx="5943600" cy="7691755"/>
            <wp:effectExtent l="0" t="0" r="0" b="4445"/>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691755"/>
                    </a:xfrm>
                    <a:prstGeom prst="rect">
                      <a:avLst/>
                    </a:prstGeom>
                  </pic:spPr>
                </pic:pic>
              </a:graphicData>
            </a:graphic>
          </wp:inline>
        </w:drawing>
      </w:r>
    </w:p>
    <w:p w:rsidR="006E64DF" w:rsidRDefault="006E64DF">
      <w:r>
        <w:br w:type="page"/>
      </w:r>
    </w:p>
    <w:p w:rsidR="006E64DF" w:rsidRDefault="006E64DF" w:rsidP="00EA6C99">
      <w:pPr>
        <w:jc w:val="center"/>
      </w:pPr>
      <w:r>
        <w:rPr>
          <w:noProof/>
        </w:rPr>
        <w:lastRenderedPageBreak/>
        <w:drawing>
          <wp:inline distT="0" distB="0" distL="0" distR="0" wp14:anchorId="2552E802" wp14:editId="789B4CFF">
            <wp:extent cx="5943600" cy="7691755"/>
            <wp:effectExtent l="0" t="0" r="0" b="4445"/>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691755"/>
                    </a:xfrm>
                    <a:prstGeom prst="rect">
                      <a:avLst/>
                    </a:prstGeom>
                  </pic:spPr>
                </pic:pic>
              </a:graphicData>
            </a:graphic>
          </wp:inline>
        </w:drawing>
      </w:r>
    </w:p>
    <w:p w:rsidR="006E64DF" w:rsidRDefault="006E64DF">
      <w:r>
        <w:br w:type="page"/>
      </w:r>
    </w:p>
    <w:p w:rsidR="006E64DF" w:rsidRDefault="006E64DF" w:rsidP="00EA6C99">
      <w:pPr>
        <w:jc w:val="center"/>
      </w:pPr>
      <w:r>
        <w:rPr>
          <w:noProof/>
        </w:rPr>
        <w:lastRenderedPageBreak/>
        <w:drawing>
          <wp:inline distT="0" distB="0" distL="0" distR="0" wp14:anchorId="78E5BC48" wp14:editId="20751AB5">
            <wp:extent cx="5943600" cy="7691755"/>
            <wp:effectExtent l="0" t="0" r="0" b="4445"/>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691755"/>
                    </a:xfrm>
                    <a:prstGeom prst="rect">
                      <a:avLst/>
                    </a:prstGeom>
                  </pic:spPr>
                </pic:pic>
              </a:graphicData>
            </a:graphic>
          </wp:inline>
        </w:drawing>
      </w:r>
    </w:p>
    <w:p w:rsidR="006E64DF" w:rsidRDefault="006E64DF">
      <w:r>
        <w:br w:type="page"/>
      </w:r>
    </w:p>
    <w:p w:rsidR="006E64DF" w:rsidRPr="00EA6C99" w:rsidRDefault="006E64DF" w:rsidP="00EA6C99">
      <w:pPr>
        <w:jc w:val="center"/>
      </w:pPr>
      <w:r>
        <w:rPr>
          <w:noProof/>
        </w:rPr>
        <w:lastRenderedPageBreak/>
        <w:drawing>
          <wp:inline distT="0" distB="0" distL="0" distR="0" wp14:anchorId="478E51AB" wp14:editId="39DFE4A3">
            <wp:extent cx="5943600" cy="7691755"/>
            <wp:effectExtent l="0" t="0" r="0" b="4445"/>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7691755"/>
                    </a:xfrm>
                    <a:prstGeom prst="rect">
                      <a:avLst/>
                    </a:prstGeom>
                  </pic:spPr>
                </pic:pic>
              </a:graphicData>
            </a:graphic>
          </wp:inline>
        </w:drawing>
      </w:r>
    </w:p>
    <w:sectPr w:rsidR="006E64DF" w:rsidRPr="00EA6C99">
      <w:headerReference w:type="first" r:id="rId2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6DB3" w:rsidRDefault="007D6DB3">
      <w:r>
        <w:separator/>
      </w:r>
    </w:p>
  </w:endnote>
  <w:endnote w:type="continuationSeparator" w:id="0">
    <w:p w:rsidR="007D6DB3" w:rsidRDefault="007D6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6DB3" w:rsidRDefault="007D6DB3">
      <w:r>
        <w:separator/>
      </w:r>
    </w:p>
  </w:footnote>
  <w:footnote w:type="continuationSeparator" w:id="0">
    <w:p w:rsidR="007D6DB3" w:rsidRDefault="007D6DB3">
      <w:r>
        <w:continuationSeparator/>
      </w:r>
    </w:p>
  </w:footnote>
  <w:footnote w:id="1">
    <w:p w:rsidR="00A569E8" w:rsidRDefault="00A569E8">
      <w:pPr>
        <w:pStyle w:val="FootnoteText"/>
      </w:pPr>
      <w:r>
        <w:rPr>
          <w:rStyle w:val="FootnoteReference"/>
        </w:rPr>
        <w:footnoteRef/>
      </w:r>
      <w:r>
        <w:t xml:space="preserve"> We</w:t>
      </w:r>
      <w:r w:rsidRPr="001D1829">
        <w:t xml:space="preserve"> previously approved a Settlement </w:t>
      </w:r>
      <w:r w:rsidRPr="00B317B7">
        <w:rPr>
          <w:rFonts w:cstheme="minorHAnsi"/>
        </w:rPr>
        <w:t>Agreement involving T</w:t>
      </w:r>
      <w:r>
        <w:rPr>
          <w:rFonts w:cstheme="minorHAnsi"/>
        </w:rPr>
        <w:t>ECO</w:t>
      </w:r>
      <w:r w:rsidRPr="00B317B7">
        <w:rPr>
          <w:rFonts w:cstheme="minorHAnsi"/>
        </w:rPr>
        <w:t xml:space="preserve"> in</w:t>
      </w:r>
      <w:r>
        <w:rPr>
          <w:rFonts w:cstheme="minorHAnsi"/>
        </w:rPr>
        <w:t xml:space="preserve"> Order PSC-2020-0224-AS-EI, which</w:t>
      </w:r>
      <w:r w:rsidRPr="00B317B7">
        <w:rPr>
          <w:rFonts w:cstheme="minorHAnsi"/>
        </w:rPr>
        <w:t xml:space="preserve"> </w:t>
      </w:r>
      <w:r>
        <w:rPr>
          <w:rFonts w:cstheme="minorHAnsi"/>
        </w:rPr>
        <w:t>e</w:t>
      </w:r>
      <w:r w:rsidRPr="00B317B7">
        <w:rPr>
          <w:rFonts w:cstheme="minorHAnsi"/>
        </w:rPr>
        <w:t>stablished agreed terms and stipulations for TECO’s storm protection plan cost recovery.</w:t>
      </w:r>
      <w:r w:rsidRPr="00B317B7">
        <w:t xml:space="preserve"> </w:t>
      </w:r>
      <w:r w:rsidRPr="001D1829">
        <w:t xml:space="preserve">The terms of that settlement called for the TECO prefiled testimony </w:t>
      </w:r>
      <w:r>
        <w:t xml:space="preserve">and exhibits </w:t>
      </w:r>
      <w:r w:rsidRPr="001D1829">
        <w:t>to be entered into the record for this docket.</w:t>
      </w:r>
      <w:r>
        <w:t xml:space="preserve"> </w:t>
      </w:r>
      <w:r>
        <w:rPr>
          <w:rFonts w:cstheme="minorHAnsi"/>
        </w:rPr>
        <w:t xml:space="preserve">Accordingly, the </w:t>
      </w:r>
      <w:r w:rsidRPr="001D1829">
        <w:rPr>
          <w:rFonts w:cstheme="minorHAnsi"/>
        </w:rPr>
        <w:t>prefiled, direct testimony</w:t>
      </w:r>
      <w:r>
        <w:rPr>
          <w:rFonts w:cstheme="minorHAnsi"/>
        </w:rPr>
        <w:t xml:space="preserve"> and exhibits</w:t>
      </w:r>
      <w:r w:rsidRPr="001D1829">
        <w:rPr>
          <w:rFonts w:cstheme="minorHAnsi"/>
        </w:rPr>
        <w:t xml:space="preserve"> of witnesses Roche, Plusquellic, Lewis, andAshburn in support of its storm protection plan cost recovery</w:t>
      </w:r>
      <w:r>
        <w:rPr>
          <w:rFonts w:cstheme="minorHAnsi"/>
        </w:rPr>
        <w:t xml:space="preserve"> were admitted as Exhibits 15-18 during this hearing</w:t>
      </w:r>
      <w:r w:rsidRPr="001D1829">
        <w:rPr>
          <w:rFonts w:cstheme="minorHAnsi"/>
        </w:rPr>
        <w:t>.</w:t>
      </w:r>
    </w:p>
  </w:footnote>
  <w:footnote w:id="2">
    <w:p w:rsidR="00F44932" w:rsidRDefault="00F44932" w:rsidP="00F44932">
      <w:pPr>
        <w:pStyle w:val="FootnoteText"/>
      </w:pPr>
      <w:r>
        <w:rPr>
          <w:rStyle w:val="FootnoteReference"/>
        </w:rPr>
        <w:footnoteRef/>
      </w:r>
      <w:r>
        <w:t xml:space="preserve"> </w:t>
      </w:r>
      <w:r>
        <w:rPr>
          <w:u w:val="single"/>
        </w:rPr>
        <w:t>Sierra Club v. Brown</w:t>
      </w:r>
      <w:r>
        <w:t xml:space="preserve">, 243 So. 3d 903, 910-913 (Fla. 2018); Order No. PSC-13-0023-S-EI, issued on January 14, 2013, in Docket No. 120015-EI, </w:t>
      </w:r>
      <w:r>
        <w:rPr>
          <w:u w:val="single"/>
        </w:rPr>
        <w:t>In re: Petition for increase in rates by Florida Power &amp; Light Company</w:t>
      </w:r>
      <w:r>
        <w:t xml:space="preserve">; Order No. PSC-11-0089-S-EI, issued February 1, 2011, in Docket Nos. 080677-EI and 090130-EI, </w:t>
      </w:r>
      <w:r>
        <w:rPr>
          <w:u w:val="single"/>
        </w:rPr>
        <w:t>In re: Petition for increase in rates by Florida Power &amp; Light Company</w:t>
      </w:r>
      <w:r>
        <w:t xml:space="preserve"> and </w:t>
      </w:r>
      <w:r>
        <w:rPr>
          <w:u w:val="single"/>
        </w:rPr>
        <w:t>In re: 2009 depreciation and dismantlement study by Florida Power &amp; Light Company</w:t>
      </w:r>
      <w:r>
        <w:t xml:space="preserve">; Order No. PSC-10-0398-S-EI, issued June 18, 2010, in Docket Nos. 090079-EI, 090144-EI, 090145-EI, and 100136-EI, </w:t>
      </w:r>
      <w:r>
        <w:rPr>
          <w:u w:val="single"/>
        </w:rPr>
        <w:t>In re: Petition for increase in rates by Progress Energy Florida, Inc.</w:t>
      </w:r>
      <w:r>
        <w:t xml:space="preserve">, </w:t>
      </w:r>
      <w:r>
        <w:rPr>
          <w:u w:val="single"/>
        </w:rPr>
        <w:t>In re: Petition for limited proceeding to include Bartow repowering project in base rates, by Progress Energy Florida, Inc.</w:t>
      </w:r>
      <w:r>
        <w:t xml:space="preserve">, </w:t>
      </w:r>
      <w:r>
        <w:rPr>
          <w:u w:val="single"/>
        </w:rPr>
        <w:t>In re: Petition for expedited approval of the deferral of pension expenses, authorization to charge storm hardening expenses to the storm damage reserve, and variance from or waiver of Rule 25-6.0143(1)(c), (d), and (f), F.A.C., by Progress Energy Florida, Inc.</w:t>
      </w:r>
      <w:r>
        <w:t xml:space="preserve">, and </w:t>
      </w:r>
      <w:r>
        <w:rPr>
          <w:u w:val="single"/>
        </w:rPr>
        <w:t>In re: Petition for approval of an accounting order to record a depreciation expense credit, by Progress Energy Florida, Inc.</w:t>
      </w:r>
      <w:r>
        <w:t xml:space="preserve">; Order No. PSC-05-0945-S-EI, issued September 28, 2005, in Docket No. 050078-EI, </w:t>
      </w:r>
      <w:r>
        <w:rPr>
          <w:u w:val="single"/>
        </w:rPr>
        <w:t>In re: Petition for rate increase by Progress Energy Florida, Inc.</w:t>
      </w:r>
      <w:r>
        <w:t xml:space="preserve">      </w:t>
      </w:r>
    </w:p>
  </w:footnote>
  <w:footnote w:id="3">
    <w:p w:rsidR="00F44932" w:rsidRDefault="00F44932" w:rsidP="00F44932">
      <w:pPr>
        <w:pStyle w:val="FootnoteText"/>
      </w:pPr>
      <w:r>
        <w:rPr>
          <w:rStyle w:val="FootnoteReference"/>
        </w:rPr>
        <w:footnoteRef/>
      </w:r>
      <w:r>
        <w:t xml:space="preserve"> Order No. PSC-13-0023-S-EI, at p. 7.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FF59E2">
      <w:fldChar w:fldCharType="begin"/>
    </w:r>
    <w:r w:rsidR="00FF59E2">
      <w:instrText xml:space="preserve"> REF OrderNo0409 </w:instrText>
    </w:r>
    <w:r w:rsidR="00FF59E2">
      <w:fldChar w:fldCharType="separate"/>
    </w:r>
    <w:r w:rsidR="00FF59E2">
      <w:t>PSC-2020-0409-AS-EI</w:t>
    </w:r>
    <w:r w:rsidR="00FF59E2">
      <w:fldChar w:fldCharType="end"/>
    </w:r>
  </w:p>
  <w:p w:rsidR="00FA6EFD" w:rsidRDefault="007D6DB3">
    <w:pPr>
      <w:pStyle w:val="OrderHeader"/>
    </w:pPr>
    <w:bookmarkStart w:id="9" w:name="HeaderDocketNo"/>
    <w:bookmarkEnd w:id="9"/>
    <w:r>
      <w:t>DOCKET NO. 20200092-EI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F59E2">
      <w:rPr>
        <w:rStyle w:val="PageNumber"/>
        <w:noProof/>
      </w:rPr>
      <w:t>5</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C99" w:rsidRDefault="00EA6C99" w:rsidP="00E57C4A">
    <w:pPr>
      <w:pStyle w:val="OrderHeader"/>
    </w:pPr>
    <w:r>
      <w:t xml:space="preserve">ORDER NO. </w:t>
    </w:r>
    <w:fldSimple w:instr=" REF OrderNo0409 ">
      <w:r w:rsidR="00FF59E2">
        <w:t>PSC-2020-0409-AS-EI</w:t>
      </w:r>
    </w:fldSimple>
  </w:p>
  <w:p w:rsidR="00EA6C99" w:rsidRDefault="00EA6C99" w:rsidP="00EA6C99">
    <w:pPr>
      <w:pStyle w:val="Header"/>
    </w:pPr>
    <w:r>
      <w:t>DOCKET NO. 20200092-EI</w:t>
    </w:r>
    <w:r>
      <w:tab/>
    </w:r>
    <w:r>
      <w:tab/>
      <w:t>Attachment A</w:t>
    </w:r>
  </w:p>
  <w:p w:rsidR="00EA6C99" w:rsidRDefault="00EA6C99" w:rsidP="00EA6C99">
    <w:pPr>
      <w:pStyle w:val="Header"/>
    </w:pPr>
    <w:r>
      <w:t xml:space="preserve">PAGE </w:t>
    </w:r>
    <w:r w:rsidR="00FF59E2">
      <w:t>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7B579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5EC576A8"/>
    <w:multiLevelType w:val="hybridMultilevel"/>
    <w:tmpl w:val="1D8CEB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092-EI"/>
  </w:docVars>
  <w:rsids>
    <w:rsidRoot w:val="007D6DB3"/>
    <w:rsid w:val="000022B8"/>
    <w:rsid w:val="0000690E"/>
    <w:rsid w:val="00025C9D"/>
    <w:rsid w:val="0003433F"/>
    <w:rsid w:val="00035A8C"/>
    <w:rsid w:val="00036BDD"/>
    <w:rsid w:val="00053AB9"/>
    <w:rsid w:val="00056229"/>
    <w:rsid w:val="00057AF1"/>
    <w:rsid w:val="00065FC2"/>
    <w:rsid w:val="00067685"/>
    <w:rsid w:val="00067B07"/>
    <w:rsid w:val="000730D7"/>
    <w:rsid w:val="00076E6B"/>
    <w:rsid w:val="00081AE4"/>
    <w:rsid w:val="0008247D"/>
    <w:rsid w:val="00090AFC"/>
    <w:rsid w:val="000962C5"/>
    <w:rsid w:val="00096507"/>
    <w:rsid w:val="000B783E"/>
    <w:rsid w:val="000B7D81"/>
    <w:rsid w:val="000C1994"/>
    <w:rsid w:val="000C6926"/>
    <w:rsid w:val="000D02B8"/>
    <w:rsid w:val="000D06E8"/>
    <w:rsid w:val="000D78FB"/>
    <w:rsid w:val="000E050C"/>
    <w:rsid w:val="000E20F0"/>
    <w:rsid w:val="000E344D"/>
    <w:rsid w:val="000E3F6D"/>
    <w:rsid w:val="000F359F"/>
    <w:rsid w:val="000F3B2C"/>
    <w:rsid w:val="000F3F6C"/>
    <w:rsid w:val="000F63EB"/>
    <w:rsid w:val="000F648A"/>
    <w:rsid w:val="000F7BE3"/>
    <w:rsid w:val="001052BA"/>
    <w:rsid w:val="001107B3"/>
    <w:rsid w:val="001114B1"/>
    <w:rsid w:val="001139D8"/>
    <w:rsid w:val="00116AD3"/>
    <w:rsid w:val="00121957"/>
    <w:rsid w:val="0012387E"/>
    <w:rsid w:val="00126593"/>
    <w:rsid w:val="00136087"/>
    <w:rsid w:val="00142A96"/>
    <w:rsid w:val="001513DE"/>
    <w:rsid w:val="00154A71"/>
    <w:rsid w:val="001655D4"/>
    <w:rsid w:val="00187E32"/>
    <w:rsid w:val="00191483"/>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4CA3"/>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93DC9"/>
    <w:rsid w:val="002A11AC"/>
    <w:rsid w:val="002A6F30"/>
    <w:rsid w:val="002B3111"/>
    <w:rsid w:val="002C2096"/>
    <w:rsid w:val="002C7908"/>
    <w:rsid w:val="002D391B"/>
    <w:rsid w:val="002D4B1F"/>
    <w:rsid w:val="002D7D15"/>
    <w:rsid w:val="002E1B2E"/>
    <w:rsid w:val="002E27EB"/>
    <w:rsid w:val="002F2A9D"/>
    <w:rsid w:val="002F31C2"/>
    <w:rsid w:val="002F7BF6"/>
    <w:rsid w:val="00303FDE"/>
    <w:rsid w:val="00313C5B"/>
    <w:rsid w:val="003140E8"/>
    <w:rsid w:val="003231C7"/>
    <w:rsid w:val="00323839"/>
    <w:rsid w:val="003270C4"/>
    <w:rsid w:val="00331ED0"/>
    <w:rsid w:val="00332B0A"/>
    <w:rsid w:val="00333A41"/>
    <w:rsid w:val="00345434"/>
    <w:rsid w:val="0035495B"/>
    <w:rsid w:val="00355A93"/>
    <w:rsid w:val="00361522"/>
    <w:rsid w:val="0037196E"/>
    <w:rsid w:val="003744F5"/>
    <w:rsid w:val="003875A9"/>
    <w:rsid w:val="00387BDE"/>
    <w:rsid w:val="00390DD8"/>
    <w:rsid w:val="00394DC6"/>
    <w:rsid w:val="00397C3E"/>
    <w:rsid w:val="003B1A09"/>
    <w:rsid w:val="003D4464"/>
    <w:rsid w:val="003D4CCA"/>
    <w:rsid w:val="003D507C"/>
    <w:rsid w:val="003D52A6"/>
    <w:rsid w:val="003D6416"/>
    <w:rsid w:val="003E1D48"/>
    <w:rsid w:val="003E711F"/>
    <w:rsid w:val="003F1D2B"/>
    <w:rsid w:val="00411DF2"/>
    <w:rsid w:val="00411E8F"/>
    <w:rsid w:val="004247F5"/>
    <w:rsid w:val="0042527B"/>
    <w:rsid w:val="00427EAC"/>
    <w:rsid w:val="004431B4"/>
    <w:rsid w:val="0045537F"/>
    <w:rsid w:val="00457DC7"/>
    <w:rsid w:val="004640B3"/>
    <w:rsid w:val="00472BCC"/>
    <w:rsid w:val="004832F6"/>
    <w:rsid w:val="004A25CD"/>
    <w:rsid w:val="004A26CC"/>
    <w:rsid w:val="004B2108"/>
    <w:rsid w:val="004B3A2B"/>
    <w:rsid w:val="004B70D3"/>
    <w:rsid w:val="004C312D"/>
    <w:rsid w:val="004D2D1B"/>
    <w:rsid w:val="004D5067"/>
    <w:rsid w:val="004D6838"/>
    <w:rsid w:val="004D70D0"/>
    <w:rsid w:val="004D72BC"/>
    <w:rsid w:val="004E30ED"/>
    <w:rsid w:val="004E469D"/>
    <w:rsid w:val="004E7F4F"/>
    <w:rsid w:val="004F2DDE"/>
    <w:rsid w:val="004F7826"/>
    <w:rsid w:val="0050097F"/>
    <w:rsid w:val="00514B1F"/>
    <w:rsid w:val="00523C5C"/>
    <w:rsid w:val="00525E93"/>
    <w:rsid w:val="0052671D"/>
    <w:rsid w:val="005300C0"/>
    <w:rsid w:val="00540E6B"/>
    <w:rsid w:val="0055595D"/>
    <w:rsid w:val="00556A10"/>
    <w:rsid w:val="00557D0F"/>
    <w:rsid w:val="00557F50"/>
    <w:rsid w:val="00571D3D"/>
    <w:rsid w:val="005768A3"/>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221"/>
    <w:rsid w:val="00610E73"/>
    <w:rsid w:val="00616DF2"/>
    <w:rsid w:val="0063168D"/>
    <w:rsid w:val="00647025"/>
    <w:rsid w:val="0064730A"/>
    <w:rsid w:val="006531A4"/>
    <w:rsid w:val="00660774"/>
    <w:rsid w:val="0066389A"/>
    <w:rsid w:val="0066495C"/>
    <w:rsid w:val="00665CC7"/>
    <w:rsid w:val="00672612"/>
    <w:rsid w:val="0067370D"/>
    <w:rsid w:val="00677F18"/>
    <w:rsid w:val="00693483"/>
    <w:rsid w:val="006A0BF3"/>
    <w:rsid w:val="006B0036"/>
    <w:rsid w:val="006B0DA6"/>
    <w:rsid w:val="006C12D6"/>
    <w:rsid w:val="006C547E"/>
    <w:rsid w:val="006D2B51"/>
    <w:rsid w:val="006D5575"/>
    <w:rsid w:val="006D7191"/>
    <w:rsid w:val="006E42BE"/>
    <w:rsid w:val="006E5D4D"/>
    <w:rsid w:val="006E64DF"/>
    <w:rsid w:val="006E6D16"/>
    <w:rsid w:val="00703F2A"/>
    <w:rsid w:val="00704C5D"/>
    <w:rsid w:val="007072BC"/>
    <w:rsid w:val="0070784F"/>
    <w:rsid w:val="00715275"/>
    <w:rsid w:val="00721B44"/>
    <w:rsid w:val="007232A2"/>
    <w:rsid w:val="00726366"/>
    <w:rsid w:val="00733B6B"/>
    <w:rsid w:val="00740808"/>
    <w:rsid w:val="007467C4"/>
    <w:rsid w:val="0076170F"/>
    <w:rsid w:val="0076669C"/>
    <w:rsid w:val="00766E46"/>
    <w:rsid w:val="00777727"/>
    <w:rsid w:val="0078166A"/>
    <w:rsid w:val="00782B79"/>
    <w:rsid w:val="00783811"/>
    <w:rsid w:val="007865E9"/>
    <w:rsid w:val="0079237D"/>
    <w:rsid w:val="00792383"/>
    <w:rsid w:val="00794D5A"/>
    <w:rsid w:val="00794DD9"/>
    <w:rsid w:val="007A060F"/>
    <w:rsid w:val="007B350E"/>
    <w:rsid w:val="007C0FBC"/>
    <w:rsid w:val="007C1D4C"/>
    <w:rsid w:val="007C36E3"/>
    <w:rsid w:val="007C7134"/>
    <w:rsid w:val="007D3D20"/>
    <w:rsid w:val="007D6DB3"/>
    <w:rsid w:val="007D742E"/>
    <w:rsid w:val="007E3AFD"/>
    <w:rsid w:val="00801DAD"/>
    <w:rsid w:val="00803189"/>
    <w:rsid w:val="00804E7A"/>
    <w:rsid w:val="00805FBB"/>
    <w:rsid w:val="008169A4"/>
    <w:rsid w:val="008278FE"/>
    <w:rsid w:val="00832598"/>
    <w:rsid w:val="0083397E"/>
    <w:rsid w:val="0083534B"/>
    <w:rsid w:val="00842035"/>
    <w:rsid w:val="00842602"/>
    <w:rsid w:val="008449F0"/>
    <w:rsid w:val="00847B45"/>
    <w:rsid w:val="00854DD0"/>
    <w:rsid w:val="00863A66"/>
    <w:rsid w:val="008703D7"/>
    <w:rsid w:val="00874429"/>
    <w:rsid w:val="00875D22"/>
    <w:rsid w:val="00883D9A"/>
    <w:rsid w:val="008919EF"/>
    <w:rsid w:val="00892B20"/>
    <w:rsid w:val="008931BC"/>
    <w:rsid w:val="0089695B"/>
    <w:rsid w:val="008A12EC"/>
    <w:rsid w:val="008B19A6"/>
    <w:rsid w:val="008B3569"/>
    <w:rsid w:val="008B4EFB"/>
    <w:rsid w:val="008B532A"/>
    <w:rsid w:val="008C21C8"/>
    <w:rsid w:val="008C6375"/>
    <w:rsid w:val="008C6A5B"/>
    <w:rsid w:val="008C7F63"/>
    <w:rsid w:val="008D498D"/>
    <w:rsid w:val="008D6D36"/>
    <w:rsid w:val="008E0693"/>
    <w:rsid w:val="008E26A5"/>
    <w:rsid w:val="008E42D2"/>
    <w:rsid w:val="008E6328"/>
    <w:rsid w:val="008F578F"/>
    <w:rsid w:val="009040EE"/>
    <w:rsid w:val="009057FD"/>
    <w:rsid w:val="00906FBA"/>
    <w:rsid w:val="009163E8"/>
    <w:rsid w:val="009228C7"/>
    <w:rsid w:val="00922A7F"/>
    <w:rsid w:val="00923A5E"/>
    <w:rsid w:val="00924FE7"/>
    <w:rsid w:val="00926E27"/>
    <w:rsid w:val="00931C8C"/>
    <w:rsid w:val="00943D21"/>
    <w:rsid w:val="0094504B"/>
    <w:rsid w:val="00964A38"/>
    <w:rsid w:val="00966A9D"/>
    <w:rsid w:val="0096742B"/>
    <w:rsid w:val="009718C5"/>
    <w:rsid w:val="009924CF"/>
    <w:rsid w:val="00994100"/>
    <w:rsid w:val="009A1192"/>
    <w:rsid w:val="009A6B17"/>
    <w:rsid w:val="009C4127"/>
    <w:rsid w:val="009D4C29"/>
    <w:rsid w:val="009F6AD2"/>
    <w:rsid w:val="00A00D8D"/>
    <w:rsid w:val="00A01BB6"/>
    <w:rsid w:val="00A4303C"/>
    <w:rsid w:val="00A46CAF"/>
    <w:rsid w:val="00A470FD"/>
    <w:rsid w:val="00A50B5E"/>
    <w:rsid w:val="00A569E8"/>
    <w:rsid w:val="00A62DAB"/>
    <w:rsid w:val="00A6757A"/>
    <w:rsid w:val="00A726A6"/>
    <w:rsid w:val="00A74842"/>
    <w:rsid w:val="00A97535"/>
    <w:rsid w:val="00AA2BAA"/>
    <w:rsid w:val="00AA6516"/>
    <w:rsid w:val="00AA73F1"/>
    <w:rsid w:val="00AB0E1A"/>
    <w:rsid w:val="00AB1A30"/>
    <w:rsid w:val="00AB3C36"/>
    <w:rsid w:val="00AB3D30"/>
    <w:rsid w:val="00AD10EB"/>
    <w:rsid w:val="00AD1ED3"/>
    <w:rsid w:val="00B019C1"/>
    <w:rsid w:val="00B02001"/>
    <w:rsid w:val="00B03C50"/>
    <w:rsid w:val="00B0777D"/>
    <w:rsid w:val="00B11576"/>
    <w:rsid w:val="00B1195F"/>
    <w:rsid w:val="00B11F4B"/>
    <w:rsid w:val="00B14D10"/>
    <w:rsid w:val="00B209C7"/>
    <w:rsid w:val="00B317B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86EF0"/>
    <w:rsid w:val="00B96969"/>
    <w:rsid w:val="00B97900"/>
    <w:rsid w:val="00BA1229"/>
    <w:rsid w:val="00BA44A8"/>
    <w:rsid w:val="00BA49C5"/>
    <w:rsid w:val="00BC45FD"/>
    <w:rsid w:val="00BC58E3"/>
    <w:rsid w:val="00BC786E"/>
    <w:rsid w:val="00BC7969"/>
    <w:rsid w:val="00BD5C92"/>
    <w:rsid w:val="00BE292B"/>
    <w:rsid w:val="00BE50E6"/>
    <w:rsid w:val="00BE6B29"/>
    <w:rsid w:val="00BE7A0C"/>
    <w:rsid w:val="00BF6691"/>
    <w:rsid w:val="00C028FC"/>
    <w:rsid w:val="00C034EC"/>
    <w:rsid w:val="00C037F2"/>
    <w:rsid w:val="00C0386D"/>
    <w:rsid w:val="00C065A1"/>
    <w:rsid w:val="00C10ED5"/>
    <w:rsid w:val="00C151A6"/>
    <w:rsid w:val="00C220B1"/>
    <w:rsid w:val="00C24098"/>
    <w:rsid w:val="00C30A4E"/>
    <w:rsid w:val="00C411F3"/>
    <w:rsid w:val="00C44105"/>
    <w:rsid w:val="00C55A33"/>
    <w:rsid w:val="00C66692"/>
    <w:rsid w:val="00C673B5"/>
    <w:rsid w:val="00C7063D"/>
    <w:rsid w:val="00C830BC"/>
    <w:rsid w:val="00C8524D"/>
    <w:rsid w:val="00C90904"/>
    <w:rsid w:val="00C91123"/>
    <w:rsid w:val="00CA71FF"/>
    <w:rsid w:val="00CB5276"/>
    <w:rsid w:val="00CB5BFC"/>
    <w:rsid w:val="00CB68D7"/>
    <w:rsid w:val="00CB785B"/>
    <w:rsid w:val="00CB7C03"/>
    <w:rsid w:val="00CC7E68"/>
    <w:rsid w:val="00CD7132"/>
    <w:rsid w:val="00CE0E6F"/>
    <w:rsid w:val="00CE3B21"/>
    <w:rsid w:val="00CE56FC"/>
    <w:rsid w:val="00CE7A4D"/>
    <w:rsid w:val="00CF23BE"/>
    <w:rsid w:val="00CF32D2"/>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E057F"/>
    <w:rsid w:val="00DE2082"/>
    <w:rsid w:val="00DE2289"/>
    <w:rsid w:val="00DF09A7"/>
    <w:rsid w:val="00DF2B51"/>
    <w:rsid w:val="00E001D6"/>
    <w:rsid w:val="00E03A76"/>
    <w:rsid w:val="00E04410"/>
    <w:rsid w:val="00E07484"/>
    <w:rsid w:val="00E11351"/>
    <w:rsid w:val="00E4225C"/>
    <w:rsid w:val="00E44879"/>
    <w:rsid w:val="00E47EA0"/>
    <w:rsid w:val="00E57C4A"/>
    <w:rsid w:val="00E72914"/>
    <w:rsid w:val="00E75AE0"/>
    <w:rsid w:val="00E83C1F"/>
    <w:rsid w:val="00E85684"/>
    <w:rsid w:val="00E8794B"/>
    <w:rsid w:val="00E97656"/>
    <w:rsid w:val="00EA172C"/>
    <w:rsid w:val="00EA259B"/>
    <w:rsid w:val="00EA35A3"/>
    <w:rsid w:val="00EA3E6A"/>
    <w:rsid w:val="00EA6C99"/>
    <w:rsid w:val="00EB18EF"/>
    <w:rsid w:val="00EB7951"/>
    <w:rsid w:val="00ED5634"/>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44932"/>
    <w:rsid w:val="00F54380"/>
    <w:rsid w:val="00F54B47"/>
    <w:rsid w:val="00F61247"/>
    <w:rsid w:val="00F63191"/>
    <w:rsid w:val="00F6702E"/>
    <w:rsid w:val="00F70E84"/>
    <w:rsid w:val="00FA092B"/>
    <w:rsid w:val="00FA4F6C"/>
    <w:rsid w:val="00FA6EFD"/>
    <w:rsid w:val="00FB3791"/>
    <w:rsid w:val="00FB6780"/>
    <w:rsid w:val="00FB74EA"/>
    <w:rsid w:val="00FD0B5B"/>
    <w:rsid w:val="00FD2C9E"/>
    <w:rsid w:val="00FD4786"/>
    <w:rsid w:val="00FD616C"/>
    <w:rsid w:val="00FE53F2"/>
    <w:rsid w:val="00FF0A00"/>
    <w:rsid w:val="00FF1C57"/>
    <w:rsid w:val="00FF2581"/>
    <w:rsid w:val="00FF5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place"/>
  <w:smartTagType w:namespaceuri="urn:schemas-microsoft-com:office:smarttags" w:name="State"/>
  <w:smartTagType w:namespaceuri="urn:schemas-microsoft-com:office:smarttags" w:name="City"/>
  <w:shapeDefaults>
    <o:shapedefaults v:ext="edit" spidmax="6145"/>
    <o:shapelayout v:ext="edit">
      <o:idmap v:ext="edit" data="1"/>
    </o:shapelayout>
  </w:shapeDefaults>
  <w:decimalSymbol w:val="."/>
  <w:listSeparator w:val=","/>
  <w14:docId w14:val="7C72C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semiHidden/>
    <w:unhideWhenUsed/>
    <w:rsid w:val="006E64DF"/>
    <w:rPr>
      <w:rFonts w:ascii="Tahoma" w:hAnsi="Tahoma" w:cs="Tahoma"/>
      <w:sz w:val="16"/>
      <w:szCs w:val="16"/>
    </w:rPr>
  </w:style>
  <w:style w:type="character" w:customStyle="1" w:styleId="BalloonTextChar">
    <w:name w:val="Balloon Text Char"/>
    <w:basedOn w:val="DefaultParagraphFont"/>
    <w:link w:val="BalloonText"/>
    <w:semiHidden/>
    <w:rsid w:val="006E64DF"/>
    <w:rPr>
      <w:rFonts w:ascii="Tahoma" w:hAnsi="Tahoma" w:cs="Tahoma"/>
      <w:sz w:val="16"/>
      <w:szCs w:val="16"/>
    </w:rPr>
  </w:style>
  <w:style w:type="character" w:customStyle="1" w:styleId="FootnoteTextChar">
    <w:name w:val="Footnote Text Char"/>
    <w:link w:val="FootnoteText"/>
    <w:rsid w:val="00F44932"/>
  </w:style>
  <w:style w:type="numbering" w:styleId="1ai">
    <w:name w:val="Outline List 1"/>
    <w:basedOn w:val="NoList"/>
    <w:rsid w:val="00B317B7"/>
    <w:pPr>
      <w:numPr>
        <w:numId w:val="1"/>
      </w:numPr>
    </w:pPr>
  </w:style>
  <w:style w:type="paragraph" w:styleId="ListParagraph">
    <w:name w:val="List Paragraph"/>
    <w:basedOn w:val="Normal"/>
    <w:uiPriority w:val="34"/>
    <w:qFormat/>
    <w:rsid w:val="00B317B7"/>
    <w:pPr>
      <w:ind w:left="720"/>
      <w:contextualSpacing/>
    </w:pPr>
    <w:rPr>
      <w:rFonts w:asciiTheme="minorHAnsi" w:eastAsiaTheme="minorHAnsi" w:hAnsiTheme="minorHAnsi"/>
    </w:rPr>
  </w:style>
  <w:style w:type="character" w:styleId="CommentReference">
    <w:name w:val="annotation reference"/>
    <w:basedOn w:val="DefaultParagraphFont"/>
    <w:semiHidden/>
    <w:unhideWhenUsed/>
    <w:rsid w:val="007C1D4C"/>
    <w:rPr>
      <w:sz w:val="16"/>
      <w:szCs w:val="16"/>
    </w:rPr>
  </w:style>
  <w:style w:type="paragraph" w:styleId="CommentText">
    <w:name w:val="annotation text"/>
    <w:basedOn w:val="Normal"/>
    <w:link w:val="CommentTextChar"/>
    <w:semiHidden/>
    <w:unhideWhenUsed/>
    <w:rsid w:val="007C1D4C"/>
    <w:rPr>
      <w:sz w:val="20"/>
      <w:szCs w:val="20"/>
    </w:rPr>
  </w:style>
  <w:style w:type="character" w:customStyle="1" w:styleId="CommentTextChar">
    <w:name w:val="Comment Text Char"/>
    <w:basedOn w:val="DefaultParagraphFont"/>
    <w:link w:val="CommentText"/>
    <w:semiHidden/>
    <w:rsid w:val="007C1D4C"/>
  </w:style>
  <w:style w:type="paragraph" w:styleId="CommentSubject">
    <w:name w:val="annotation subject"/>
    <w:basedOn w:val="CommentText"/>
    <w:next w:val="CommentText"/>
    <w:link w:val="CommentSubjectChar"/>
    <w:semiHidden/>
    <w:unhideWhenUsed/>
    <w:rsid w:val="007C1D4C"/>
    <w:rPr>
      <w:b/>
      <w:bCs/>
    </w:rPr>
  </w:style>
  <w:style w:type="character" w:customStyle="1" w:styleId="CommentSubjectChar">
    <w:name w:val="Comment Subject Char"/>
    <w:basedOn w:val="CommentTextChar"/>
    <w:link w:val="CommentSubject"/>
    <w:semiHidden/>
    <w:rsid w:val="007C1D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Polmann,%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2C2CC-C8A4-492B-A0D9-4E7359840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Clark, Graham, Brown, Polmann, and Fay.dotm</Template>
  <TotalTime>0</TotalTime>
  <Pages>20</Pages>
  <Words>1147</Words>
  <Characters>6542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2020-10-27T17:06:00Z</dcterms:created>
  <dcterms:modified xsi:type="dcterms:W3CDTF">2020-10-27T20:18:00Z</dcterms:modified>
</cp:coreProperties>
</file>