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C4BF9" w14:textId="77777777" w:rsidR="00CB5276" w:rsidRDefault="001717D1" w:rsidP="001717D1">
      <w:pPr>
        <w:pStyle w:val="OrderHeading"/>
      </w:pPr>
      <w:r>
        <w:t>BEFORE THE FLORIDA PUBLIC SERVICE COMMISSION</w:t>
      </w:r>
    </w:p>
    <w:p w14:paraId="254B7729" w14:textId="77777777" w:rsidR="001717D1" w:rsidRDefault="001717D1" w:rsidP="001717D1">
      <w:pPr>
        <w:pStyle w:val="OrderBody"/>
      </w:pPr>
    </w:p>
    <w:p w14:paraId="5B27225B" w14:textId="77777777" w:rsidR="00A7763F" w:rsidRDefault="00A7763F" w:rsidP="001717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17D1" w:rsidRPr="00C63FCF" w14:paraId="4C38ED3E" w14:textId="77777777" w:rsidTr="00C63FCF">
        <w:trPr>
          <w:trHeight w:val="828"/>
        </w:trPr>
        <w:tc>
          <w:tcPr>
            <w:tcW w:w="4788" w:type="dxa"/>
            <w:tcBorders>
              <w:bottom w:val="single" w:sz="8" w:space="0" w:color="auto"/>
              <w:right w:val="double" w:sz="6" w:space="0" w:color="auto"/>
            </w:tcBorders>
            <w:shd w:val="clear" w:color="auto" w:fill="auto"/>
          </w:tcPr>
          <w:p w14:paraId="075DDB52" w14:textId="77777777" w:rsidR="001717D1" w:rsidRDefault="001717D1"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14:paraId="36B39F99" w14:textId="77777777" w:rsidR="001717D1" w:rsidRDefault="001717D1" w:rsidP="001717D1">
            <w:pPr>
              <w:pStyle w:val="OrderBody"/>
            </w:pPr>
            <w:r>
              <w:t xml:space="preserve">DOCKET NO. </w:t>
            </w:r>
            <w:bookmarkStart w:id="1" w:name="SSDocketNo"/>
            <w:bookmarkEnd w:id="1"/>
            <w:r>
              <w:t>20200172-EI</w:t>
            </w:r>
          </w:p>
          <w:p w14:paraId="23FE7D03" w14:textId="1CF27B24" w:rsidR="001717D1" w:rsidRDefault="001717D1" w:rsidP="00C63FCF">
            <w:pPr>
              <w:pStyle w:val="OrderBody"/>
              <w:tabs>
                <w:tab w:val="center" w:pos="4320"/>
                <w:tab w:val="right" w:pos="8640"/>
              </w:tabs>
              <w:jc w:val="left"/>
            </w:pPr>
            <w:r>
              <w:t xml:space="preserve">ORDER NO. </w:t>
            </w:r>
            <w:bookmarkStart w:id="2" w:name="OrderNo0418"/>
            <w:r w:rsidR="007D084F">
              <w:t>PSC-2020-0418-PCO-EI</w:t>
            </w:r>
            <w:bookmarkEnd w:id="2"/>
          </w:p>
          <w:p w14:paraId="750E9A0D" w14:textId="1D6AC66F" w:rsidR="001717D1" w:rsidRDefault="001717D1" w:rsidP="00C63FCF">
            <w:pPr>
              <w:pStyle w:val="OrderBody"/>
              <w:tabs>
                <w:tab w:val="center" w:pos="4320"/>
                <w:tab w:val="right" w:pos="8640"/>
              </w:tabs>
              <w:jc w:val="left"/>
            </w:pPr>
            <w:r>
              <w:t xml:space="preserve">ISSUED: </w:t>
            </w:r>
            <w:r w:rsidR="007D084F">
              <w:t>November 6, 2020</w:t>
            </w:r>
          </w:p>
        </w:tc>
      </w:tr>
    </w:tbl>
    <w:p w14:paraId="3EF23B91" w14:textId="77777777" w:rsidR="001717D1" w:rsidRDefault="001717D1" w:rsidP="001717D1">
      <w:pPr>
        <w:pStyle w:val="CenterUnderline"/>
      </w:pPr>
    </w:p>
    <w:p w14:paraId="6DE3ED8F" w14:textId="77777777" w:rsidR="008B0285" w:rsidRDefault="001717D1" w:rsidP="001717D1">
      <w:pPr>
        <w:pStyle w:val="CenterUnderline"/>
      </w:pPr>
      <w:r>
        <w:t>ORDER</w:t>
      </w:r>
      <w:bookmarkStart w:id="3" w:name="OrderTitle"/>
      <w:r>
        <w:t xml:space="preserve"> GRANTING MOTION TO EXTEND DUE DATES</w:t>
      </w:r>
    </w:p>
    <w:p w14:paraId="5C1D7684" w14:textId="77777777" w:rsidR="001717D1" w:rsidRDefault="008B0285" w:rsidP="001717D1">
      <w:pPr>
        <w:pStyle w:val="CenterUnderline"/>
      </w:pPr>
      <w:r>
        <w:t>AND FIRST ORDER MODIFYING ORDER ESTABLISHING PROCEDURE</w:t>
      </w:r>
      <w:r w:rsidR="001717D1">
        <w:t xml:space="preserve"> </w:t>
      </w:r>
      <w:bookmarkEnd w:id="3"/>
    </w:p>
    <w:p w14:paraId="7158919F" w14:textId="77777777" w:rsidR="001717D1" w:rsidRDefault="001717D1" w:rsidP="001717D1">
      <w:pPr>
        <w:pStyle w:val="CenterUnderline"/>
      </w:pPr>
    </w:p>
    <w:p w14:paraId="6DD781A3" w14:textId="77777777" w:rsidR="008B0285" w:rsidRDefault="001717D1" w:rsidP="008B0285">
      <w:pPr>
        <w:pStyle w:val="CenterUnderline"/>
        <w:jc w:val="both"/>
        <w:rPr>
          <w:u w:val="none"/>
        </w:rPr>
      </w:pPr>
      <w:r>
        <w:rPr>
          <w:u w:val="none"/>
        </w:rPr>
        <w:tab/>
      </w:r>
      <w:r w:rsidR="008B0285">
        <w:rPr>
          <w:u w:val="none"/>
        </w:rPr>
        <w:t xml:space="preserve">On September 14, 2020, Order No. PSC-2020-0311-PCO-EI was issued, setting this matter for an administrative hearing and establishing controlling dates for prehearing activities, including the filing of testimony and exhibits.  On </w:t>
      </w:r>
      <w:r>
        <w:rPr>
          <w:u w:val="none"/>
        </w:rPr>
        <w:t xml:space="preserve">October 23, 2020, the Office of Public Counsel (OPC) filed a Motion to Extend Due Dates for Testimony and Exhibits Established by Order No. PSC-2020-0311-PCO-EI (Motion).  In its Motion, OPC is requesting that the filing dates for Intervenors’ testimony and exhibits, staff testimony and exhibits, and rebuttal testimony and exhibits be </w:t>
      </w:r>
      <w:r w:rsidR="008B0285">
        <w:rPr>
          <w:u w:val="none"/>
        </w:rPr>
        <w:t>modified as follows</w:t>
      </w:r>
      <w:r>
        <w:rPr>
          <w:u w:val="none"/>
        </w:rPr>
        <w:t>:</w:t>
      </w:r>
    </w:p>
    <w:p w14:paraId="7F95343C" w14:textId="77777777" w:rsidR="008B0285" w:rsidRDefault="008B0285" w:rsidP="008B0285">
      <w:pPr>
        <w:pStyle w:val="CenterUnderline"/>
        <w:jc w:val="both"/>
        <w:rPr>
          <w:u w:val="none"/>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610"/>
        <w:gridCol w:w="2538"/>
      </w:tblGrid>
      <w:tr w:rsidR="000C5387" w14:paraId="2CA0D1ED" w14:textId="77777777" w:rsidTr="004B4875">
        <w:tc>
          <w:tcPr>
            <w:tcW w:w="3870" w:type="dxa"/>
          </w:tcPr>
          <w:p w14:paraId="1A01E2E7" w14:textId="77777777" w:rsidR="005327E9" w:rsidRPr="005327E9" w:rsidRDefault="000C5387" w:rsidP="005327E9">
            <w:pPr>
              <w:pStyle w:val="CenterUnderline"/>
              <w:ind w:right="720"/>
            </w:pPr>
            <w:r w:rsidRPr="005327E9">
              <w:t>Event</w:t>
            </w:r>
          </w:p>
        </w:tc>
        <w:tc>
          <w:tcPr>
            <w:tcW w:w="2610" w:type="dxa"/>
          </w:tcPr>
          <w:p w14:paraId="556A6A32" w14:textId="77777777" w:rsidR="008B0285" w:rsidRPr="005327E9" w:rsidRDefault="000C5387" w:rsidP="005327E9">
            <w:pPr>
              <w:pStyle w:val="CenterUnderline"/>
              <w:ind w:right="720"/>
            </w:pPr>
            <w:r w:rsidRPr="005327E9">
              <w:t>Current</w:t>
            </w:r>
          </w:p>
        </w:tc>
        <w:tc>
          <w:tcPr>
            <w:tcW w:w="2538" w:type="dxa"/>
          </w:tcPr>
          <w:p w14:paraId="6E78D56E" w14:textId="77777777" w:rsidR="008B0285" w:rsidRPr="005327E9" w:rsidRDefault="000C5387" w:rsidP="005327E9">
            <w:pPr>
              <w:pStyle w:val="CenterUnderline"/>
              <w:ind w:right="720"/>
            </w:pPr>
            <w:r w:rsidRPr="005327E9">
              <w:t>Modified</w:t>
            </w:r>
          </w:p>
        </w:tc>
      </w:tr>
      <w:tr w:rsidR="000C5387" w14:paraId="13F2E2D8" w14:textId="77777777" w:rsidTr="004B4875">
        <w:tc>
          <w:tcPr>
            <w:tcW w:w="3870" w:type="dxa"/>
          </w:tcPr>
          <w:p w14:paraId="30A23968" w14:textId="77777777" w:rsidR="008B0285" w:rsidRDefault="000C5387" w:rsidP="000C5387">
            <w:r>
              <w:t>Intervenors’ testimony and exhibits</w:t>
            </w:r>
          </w:p>
        </w:tc>
        <w:tc>
          <w:tcPr>
            <w:tcW w:w="2610" w:type="dxa"/>
          </w:tcPr>
          <w:p w14:paraId="5A81091F" w14:textId="77777777" w:rsidR="008B0285" w:rsidRDefault="000C5387" w:rsidP="000C5387">
            <w:r>
              <w:t>November 30, 2020</w:t>
            </w:r>
          </w:p>
        </w:tc>
        <w:tc>
          <w:tcPr>
            <w:tcW w:w="2538" w:type="dxa"/>
          </w:tcPr>
          <w:p w14:paraId="2347C8E6" w14:textId="77777777" w:rsidR="008B0285" w:rsidRDefault="000C5387" w:rsidP="000C5387">
            <w:r>
              <w:t>December 8, 2020</w:t>
            </w:r>
          </w:p>
        </w:tc>
      </w:tr>
      <w:tr w:rsidR="000C5387" w14:paraId="380C5317" w14:textId="77777777" w:rsidTr="004B4875">
        <w:tc>
          <w:tcPr>
            <w:tcW w:w="3870" w:type="dxa"/>
          </w:tcPr>
          <w:p w14:paraId="67F5304A" w14:textId="77777777" w:rsidR="008B0285" w:rsidRDefault="000C5387" w:rsidP="008B0285">
            <w:pPr>
              <w:pStyle w:val="CenterUnderline"/>
              <w:ind w:right="720"/>
              <w:jc w:val="both"/>
              <w:rPr>
                <w:u w:val="none"/>
              </w:rPr>
            </w:pPr>
            <w:r>
              <w:rPr>
                <w:u w:val="none"/>
              </w:rPr>
              <w:t>Staff testimony and exhibits</w:t>
            </w:r>
          </w:p>
        </w:tc>
        <w:tc>
          <w:tcPr>
            <w:tcW w:w="2610" w:type="dxa"/>
          </w:tcPr>
          <w:p w14:paraId="444A6D16" w14:textId="77777777" w:rsidR="008B0285" w:rsidRDefault="000C5387" w:rsidP="000C5387">
            <w:r>
              <w:t>December 11, 2020</w:t>
            </w:r>
          </w:p>
        </w:tc>
        <w:tc>
          <w:tcPr>
            <w:tcW w:w="2538" w:type="dxa"/>
          </w:tcPr>
          <w:p w14:paraId="7647B58A" w14:textId="77777777" w:rsidR="008B0285" w:rsidRDefault="000C5387" w:rsidP="005327E9">
            <w:r>
              <w:t>December 2</w:t>
            </w:r>
            <w:r w:rsidR="005327E9">
              <w:t>2</w:t>
            </w:r>
            <w:r>
              <w:t>, 2020</w:t>
            </w:r>
          </w:p>
        </w:tc>
      </w:tr>
      <w:tr w:rsidR="000C5387" w14:paraId="4CC24434" w14:textId="77777777" w:rsidTr="004B4875">
        <w:tc>
          <w:tcPr>
            <w:tcW w:w="3870" w:type="dxa"/>
          </w:tcPr>
          <w:p w14:paraId="4BDC58D2" w14:textId="77777777" w:rsidR="008B0285" w:rsidRDefault="000C5387" w:rsidP="000C5387">
            <w:r>
              <w:t>Rebuttal testimony and exhibits</w:t>
            </w:r>
          </w:p>
        </w:tc>
        <w:tc>
          <w:tcPr>
            <w:tcW w:w="2610" w:type="dxa"/>
          </w:tcPr>
          <w:p w14:paraId="5F48445B" w14:textId="77777777" w:rsidR="008B0285" w:rsidRDefault="000C5387" w:rsidP="000C5387">
            <w:pPr>
              <w:pStyle w:val="CenterUnderline"/>
              <w:ind w:right="720"/>
              <w:jc w:val="left"/>
              <w:rPr>
                <w:u w:val="none"/>
              </w:rPr>
            </w:pPr>
            <w:r>
              <w:rPr>
                <w:u w:val="none"/>
              </w:rPr>
              <w:t>January 5, 2020</w:t>
            </w:r>
          </w:p>
        </w:tc>
        <w:tc>
          <w:tcPr>
            <w:tcW w:w="2538" w:type="dxa"/>
          </w:tcPr>
          <w:p w14:paraId="72734F9E" w14:textId="77777777" w:rsidR="008B0285" w:rsidRDefault="004B4875" w:rsidP="004B4875">
            <w:r>
              <w:t>January 12, 2021</w:t>
            </w:r>
          </w:p>
        </w:tc>
      </w:tr>
    </w:tbl>
    <w:p w14:paraId="53BF56A1" w14:textId="77777777" w:rsidR="004B4875" w:rsidRDefault="004B4875" w:rsidP="001717D1">
      <w:pPr>
        <w:pStyle w:val="CenterUnderline"/>
        <w:jc w:val="both"/>
        <w:rPr>
          <w:u w:val="none"/>
        </w:rPr>
      </w:pPr>
    </w:p>
    <w:p w14:paraId="6E6B5339" w14:textId="6FAF98EF" w:rsidR="001717D1" w:rsidRDefault="001717D1" w:rsidP="001717D1">
      <w:pPr>
        <w:pStyle w:val="CenterUnderline"/>
        <w:jc w:val="both"/>
        <w:rPr>
          <w:u w:val="none"/>
        </w:rPr>
      </w:pPr>
      <w:r>
        <w:rPr>
          <w:u w:val="none"/>
        </w:rPr>
        <w:tab/>
      </w:r>
      <w:r w:rsidR="004B4875">
        <w:rPr>
          <w:u w:val="none"/>
        </w:rPr>
        <w:t xml:space="preserve">As support for its request, OPC states that it only recently received responses to its first set of discovery and needs additional time to conduct further discovery and prepare its testimony and exhibits.  </w:t>
      </w:r>
      <w:r w:rsidR="00C6448B">
        <w:rPr>
          <w:u w:val="none"/>
        </w:rPr>
        <w:t xml:space="preserve">OPC avers that </w:t>
      </w:r>
      <w:r w:rsidR="004B4875">
        <w:rPr>
          <w:u w:val="none"/>
        </w:rPr>
        <w:t xml:space="preserve">Florida Power &amp; Light Company (FPL) </w:t>
      </w:r>
      <w:r w:rsidR="005327E9">
        <w:rPr>
          <w:u w:val="none"/>
        </w:rPr>
        <w:t xml:space="preserve">also needs additional time to conduct further discovery and prepare its responsive testimony.  OPC states that it and FPL have reached consensus on the proposed dates and believe </w:t>
      </w:r>
      <w:r w:rsidR="00C6448B">
        <w:rPr>
          <w:u w:val="none"/>
        </w:rPr>
        <w:t xml:space="preserve">they are </w:t>
      </w:r>
      <w:r w:rsidR="005327E9">
        <w:rPr>
          <w:u w:val="none"/>
        </w:rPr>
        <w:t xml:space="preserve">in the best interest of both parties.   </w:t>
      </w:r>
    </w:p>
    <w:p w14:paraId="2664B1C3" w14:textId="77777777" w:rsidR="00FA1EC1" w:rsidRDefault="00FA1EC1" w:rsidP="001717D1">
      <w:pPr>
        <w:pStyle w:val="CenterUnderline"/>
        <w:jc w:val="both"/>
        <w:rPr>
          <w:u w:val="none"/>
        </w:rPr>
      </w:pPr>
    </w:p>
    <w:p w14:paraId="000449A7" w14:textId="77777777" w:rsidR="00DC4D09" w:rsidRDefault="00FA1EC1" w:rsidP="001717D1">
      <w:pPr>
        <w:pStyle w:val="CenterUnderline"/>
        <w:jc w:val="both"/>
        <w:rPr>
          <w:u w:val="none"/>
        </w:rPr>
      </w:pPr>
      <w:r>
        <w:rPr>
          <w:u w:val="none"/>
        </w:rPr>
        <w:tab/>
        <w:t>Having reviewed OPC’s Motion,</w:t>
      </w:r>
      <w:r w:rsidR="005327E9">
        <w:rPr>
          <w:u w:val="none"/>
        </w:rPr>
        <w:t xml:space="preserve"> it appears that the request is reasonable and will not prejudice either the parties or Commission staff.  Therefore, </w:t>
      </w:r>
      <w:r w:rsidR="00AC3EE4">
        <w:rPr>
          <w:u w:val="none"/>
        </w:rPr>
        <w:t xml:space="preserve">Section </w:t>
      </w:r>
      <w:r w:rsidR="00D44C20">
        <w:rPr>
          <w:u w:val="none"/>
        </w:rPr>
        <w:t>VIII</w:t>
      </w:r>
      <w:r w:rsidR="00DC4D09">
        <w:rPr>
          <w:u w:val="none"/>
        </w:rPr>
        <w:t xml:space="preserve">, Controlling Dates, </w:t>
      </w:r>
      <w:r w:rsidR="00D44C20">
        <w:rPr>
          <w:u w:val="none"/>
        </w:rPr>
        <w:t>of Order No. PSC-2020-0311-PCO-EI, is modified</w:t>
      </w:r>
      <w:r w:rsidR="00DC4D09">
        <w:rPr>
          <w:u w:val="none"/>
        </w:rPr>
        <w:t xml:space="preserve"> as follows:</w:t>
      </w:r>
    </w:p>
    <w:p w14:paraId="3F8A4DE8" w14:textId="77777777" w:rsidR="00DC4D09" w:rsidRDefault="00DC4D09" w:rsidP="001717D1">
      <w:pPr>
        <w:pStyle w:val="CenterUnderline"/>
        <w:jc w:val="both"/>
        <w:rPr>
          <w:u w:val="none"/>
        </w:rPr>
      </w:pPr>
    </w:p>
    <w:p w14:paraId="37DB86A3" w14:textId="77777777" w:rsidR="001717D1" w:rsidRDefault="00DC4D09" w:rsidP="001717D1">
      <w:pPr>
        <w:pStyle w:val="CenterUnderline"/>
        <w:jc w:val="both"/>
        <w:rPr>
          <w:b/>
        </w:rPr>
      </w:pPr>
      <w:r>
        <w:rPr>
          <w:b/>
          <w:u w:val="none"/>
        </w:rPr>
        <w:t>VII.</w:t>
      </w:r>
      <w:r>
        <w:rPr>
          <w:b/>
          <w:u w:val="none"/>
        </w:rPr>
        <w:tab/>
      </w:r>
      <w:r>
        <w:rPr>
          <w:b/>
        </w:rPr>
        <w:t>Controlling Dates</w:t>
      </w:r>
    </w:p>
    <w:p w14:paraId="7BC8FC3E" w14:textId="77777777" w:rsidR="00DC4D09" w:rsidRDefault="00DC4D09" w:rsidP="001717D1">
      <w:pPr>
        <w:pStyle w:val="CenterUnderline"/>
        <w:jc w:val="both"/>
        <w:rPr>
          <w:b/>
        </w:rPr>
      </w:pPr>
    </w:p>
    <w:p w14:paraId="6881DF57" w14:textId="77777777" w:rsidR="00DC4D09" w:rsidRPr="00DC4D09" w:rsidRDefault="00DC4D09" w:rsidP="001717D1">
      <w:pPr>
        <w:pStyle w:val="CenterUnderline"/>
        <w:jc w:val="both"/>
        <w:rPr>
          <w:u w:val="none"/>
        </w:rPr>
      </w:pPr>
      <w:r>
        <w:rPr>
          <w:u w:val="none"/>
        </w:rPr>
        <w:tab/>
        <w:t>The following dates have been established to govern the key activities of this case:</w:t>
      </w:r>
    </w:p>
    <w:p w14:paraId="59620085" w14:textId="77777777" w:rsidR="00DC4D09" w:rsidRPr="00A7763F" w:rsidRDefault="00A7763F" w:rsidP="00DC4D09">
      <w:pPr>
        <w:pStyle w:val="CenterUnderline"/>
        <w:rPr>
          <w:u w:val="none"/>
        </w:rPr>
      </w:pPr>
      <w:r w:rsidRPr="00A7763F">
        <w:rPr>
          <w:u w:val="none"/>
        </w:rPr>
        <w:t>. . .</w:t>
      </w:r>
    </w:p>
    <w:p w14:paraId="1FBAC815" w14:textId="77777777" w:rsidR="00DC4D09" w:rsidRDefault="00DC4D09" w:rsidP="00DC4D09">
      <w:pPr>
        <w:pStyle w:val="CenterUnderline"/>
        <w:jc w:val="both"/>
        <w:rPr>
          <w:u w:val="none"/>
        </w:rPr>
      </w:pPr>
      <w:r>
        <w:rPr>
          <w:u w:val="none"/>
        </w:rPr>
        <w:t>(2)</w:t>
      </w:r>
      <w:r>
        <w:rPr>
          <w:u w:val="none"/>
        </w:rPr>
        <w:tab/>
        <w:t>Intervenors’ testimony and exhibits</w:t>
      </w:r>
      <w:r>
        <w:rPr>
          <w:u w:val="none"/>
        </w:rPr>
        <w:tab/>
        <w:t xml:space="preserve">    </w:t>
      </w:r>
      <w:r>
        <w:rPr>
          <w:u w:val="none"/>
        </w:rPr>
        <w:tab/>
        <w:t>December 8, 2020</w:t>
      </w:r>
    </w:p>
    <w:p w14:paraId="5B9A9855" w14:textId="77777777" w:rsidR="00DC4D09" w:rsidRDefault="00DC4D09" w:rsidP="00DC4D09">
      <w:pPr>
        <w:pStyle w:val="CenterUnderline"/>
        <w:jc w:val="both"/>
        <w:rPr>
          <w:u w:val="none"/>
        </w:rPr>
      </w:pPr>
      <w:r>
        <w:rPr>
          <w:u w:val="none"/>
        </w:rPr>
        <w:t>(3)</w:t>
      </w:r>
      <w:r>
        <w:rPr>
          <w:u w:val="none"/>
        </w:rPr>
        <w:tab/>
        <w:t>Staff’s testimony and exhibits, if any</w:t>
      </w:r>
      <w:r>
        <w:rPr>
          <w:u w:val="none"/>
        </w:rPr>
        <w:tab/>
      </w:r>
      <w:r>
        <w:rPr>
          <w:u w:val="none"/>
        </w:rPr>
        <w:tab/>
        <w:t>December 22, 2020</w:t>
      </w:r>
    </w:p>
    <w:p w14:paraId="54D2D263" w14:textId="77777777" w:rsidR="00DC4D09" w:rsidRDefault="00A7763F" w:rsidP="00DC4D09">
      <w:pPr>
        <w:pStyle w:val="CenterUnderline"/>
        <w:jc w:val="both"/>
        <w:rPr>
          <w:u w:val="none"/>
        </w:rPr>
      </w:pPr>
      <w:r>
        <w:rPr>
          <w:u w:val="none"/>
        </w:rPr>
        <w:t>(4)</w:t>
      </w:r>
      <w:r w:rsidR="00DC4D09">
        <w:rPr>
          <w:u w:val="none"/>
        </w:rPr>
        <w:tab/>
        <w:t xml:space="preserve">Rebuttal </w:t>
      </w:r>
      <w:r>
        <w:rPr>
          <w:u w:val="none"/>
        </w:rPr>
        <w:t>t</w:t>
      </w:r>
      <w:r w:rsidR="00DC4D09">
        <w:rPr>
          <w:u w:val="none"/>
        </w:rPr>
        <w:t xml:space="preserve">estimony and </w:t>
      </w:r>
      <w:r>
        <w:rPr>
          <w:u w:val="none"/>
        </w:rPr>
        <w:t>e</w:t>
      </w:r>
      <w:r w:rsidR="00DC4D09">
        <w:rPr>
          <w:u w:val="none"/>
        </w:rPr>
        <w:t>xhibits</w:t>
      </w:r>
      <w:r w:rsidR="00DC4D09">
        <w:rPr>
          <w:u w:val="none"/>
        </w:rPr>
        <w:tab/>
      </w:r>
      <w:r w:rsidR="00DC4D09">
        <w:rPr>
          <w:u w:val="none"/>
        </w:rPr>
        <w:tab/>
        <w:t>January 12, 2021</w:t>
      </w:r>
    </w:p>
    <w:p w14:paraId="36DE142E" w14:textId="77777777" w:rsidR="00DC4D09" w:rsidRDefault="00DC4D09" w:rsidP="001717D1">
      <w:pPr>
        <w:pStyle w:val="CenterUnderline"/>
        <w:jc w:val="both"/>
        <w:rPr>
          <w:u w:val="none"/>
        </w:rPr>
      </w:pPr>
    </w:p>
    <w:p w14:paraId="00B8F7FD" w14:textId="77777777" w:rsidR="00A7763F" w:rsidRDefault="00A7763F" w:rsidP="001717D1">
      <w:pPr>
        <w:pStyle w:val="CenterUnderline"/>
        <w:jc w:val="both"/>
        <w:rPr>
          <w:u w:val="none"/>
        </w:rPr>
      </w:pPr>
      <w:r>
        <w:rPr>
          <w:u w:val="none"/>
        </w:rPr>
        <w:tab/>
        <w:t>Order No. PSC-2020-0311-PCO-EI is reaffirmed to the extent not inconsistent with this order.</w:t>
      </w:r>
    </w:p>
    <w:p w14:paraId="530E5F21" w14:textId="77777777" w:rsidR="00A7763F" w:rsidRDefault="00A7763F" w:rsidP="001717D1">
      <w:pPr>
        <w:pStyle w:val="CenterUnderline"/>
        <w:jc w:val="both"/>
        <w:rPr>
          <w:u w:val="none"/>
        </w:rPr>
      </w:pPr>
    </w:p>
    <w:p w14:paraId="139C46C5" w14:textId="101CF3A5" w:rsidR="007D084F" w:rsidRDefault="00A7763F" w:rsidP="00A7763F">
      <w:pPr>
        <w:pStyle w:val="CenterUnderline"/>
        <w:keepNext/>
        <w:keepLines/>
        <w:jc w:val="both"/>
        <w:rPr>
          <w:u w:val="none"/>
        </w:rPr>
      </w:pPr>
      <w:r>
        <w:rPr>
          <w:u w:val="none"/>
        </w:rPr>
        <w:lastRenderedPageBreak/>
        <w:tab/>
        <w:t xml:space="preserve">By ORDER of Commissioner Julie I. Brown, as Prehearing Officer, this </w:t>
      </w:r>
      <w:bookmarkStart w:id="4" w:name="replaceDate"/>
      <w:bookmarkEnd w:id="4"/>
      <w:r w:rsidR="00E80A5C">
        <w:t>6th</w:t>
      </w:r>
      <w:r w:rsidR="00E80A5C">
        <w:rPr>
          <w:u w:val="none"/>
        </w:rPr>
        <w:t xml:space="preserve"> day of </w:t>
      </w:r>
      <w:r w:rsidR="00E80A5C">
        <w:t>November</w:t>
      </w:r>
      <w:r w:rsidR="00E80A5C">
        <w:rPr>
          <w:u w:val="none"/>
        </w:rPr>
        <w:t xml:space="preserve">, </w:t>
      </w:r>
      <w:r w:rsidR="00E80A5C">
        <w:t>2020</w:t>
      </w:r>
      <w:r w:rsidR="00E80A5C">
        <w:rPr>
          <w:u w:val="none"/>
        </w:rPr>
        <w:t>.</w:t>
      </w:r>
    </w:p>
    <w:p w14:paraId="41BBA79B" w14:textId="77777777" w:rsidR="00E80A5C" w:rsidRPr="00E80A5C" w:rsidRDefault="00E80A5C" w:rsidP="00A7763F">
      <w:pPr>
        <w:pStyle w:val="CenterUnderline"/>
        <w:keepNext/>
        <w:keepLines/>
        <w:jc w:val="both"/>
        <w:rPr>
          <w:u w:val="none"/>
        </w:rPr>
      </w:pPr>
    </w:p>
    <w:p w14:paraId="79B3D574" w14:textId="6B5DF140" w:rsidR="007D084F" w:rsidRDefault="007D084F" w:rsidP="00A7763F">
      <w:pPr>
        <w:pStyle w:val="CenterUnderline"/>
        <w:keepNext/>
        <w:keepLines/>
        <w:jc w:val="both"/>
        <w:rPr>
          <w:u w:val="none"/>
        </w:rPr>
      </w:pPr>
    </w:p>
    <w:p w14:paraId="201BE3BA" w14:textId="75C76241" w:rsidR="007D084F" w:rsidRDefault="007D084F" w:rsidP="00A7763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7763F" w14:paraId="4C87A23D" w14:textId="77777777" w:rsidTr="00A7763F">
        <w:tc>
          <w:tcPr>
            <w:tcW w:w="686" w:type="dxa"/>
            <w:shd w:val="clear" w:color="auto" w:fill="auto"/>
          </w:tcPr>
          <w:p w14:paraId="6D65F142" w14:textId="35E73BBC" w:rsidR="00A7763F" w:rsidRDefault="00A7763F" w:rsidP="00A7763F">
            <w:pPr>
              <w:pStyle w:val="CenterUnderline"/>
              <w:keepNext/>
              <w:keepLines/>
              <w:jc w:val="both"/>
              <w:rPr>
                <w:u w:val="none"/>
              </w:rPr>
            </w:pPr>
            <w:bookmarkStart w:id="5" w:name="bkmrkSignature" w:colFirst="0" w:colLast="0"/>
          </w:p>
        </w:tc>
        <w:tc>
          <w:tcPr>
            <w:tcW w:w="4034" w:type="dxa"/>
            <w:tcBorders>
              <w:bottom w:val="single" w:sz="4" w:space="0" w:color="auto"/>
            </w:tcBorders>
            <w:shd w:val="clear" w:color="auto" w:fill="auto"/>
          </w:tcPr>
          <w:p w14:paraId="7AE55F58" w14:textId="000BDF11" w:rsidR="00A7763F" w:rsidRDefault="00E80A5C" w:rsidP="00A7763F">
            <w:pPr>
              <w:pStyle w:val="CenterUnderline"/>
              <w:keepNext/>
              <w:keepLines/>
              <w:jc w:val="both"/>
              <w:rPr>
                <w:u w:val="none"/>
              </w:rPr>
            </w:pPr>
            <w:r>
              <w:rPr>
                <w:u w:val="none"/>
              </w:rPr>
              <w:t>/s/ Julie I. Brown</w:t>
            </w:r>
            <w:bookmarkStart w:id="6" w:name="_GoBack"/>
            <w:bookmarkEnd w:id="6"/>
          </w:p>
        </w:tc>
      </w:tr>
      <w:bookmarkEnd w:id="5"/>
      <w:tr w:rsidR="00A7763F" w14:paraId="7902786D" w14:textId="77777777" w:rsidTr="00A7763F">
        <w:tc>
          <w:tcPr>
            <w:tcW w:w="686" w:type="dxa"/>
            <w:shd w:val="clear" w:color="auto" w:fill="auto"/>
          </w:tcPr>
          <w:p w14:paraId="0A67CDF6" w14:textId="77777777" w:rsidR="00A7763F" w:rsidRDefault="00A7763F" w:rsidP="00A7763F">
            <w:pPr>
              <w:pStyle w:val="CenterUnderline"/>
              <w:keepNext/>
              <w:keepLines/>
              <w:jc w:val="both"/>
              <w:rPr>
                <w:u w:val="none"/>
              </w:rPr>
            </w:pPr>
          </w:p>
        </w:tc>
        <w:tc>
          <w:tcPr>
            <w:tcW w:w="4034" w:type="dxa"/>
            <w:tcBorders>
              <w:top w:val="single" w:sz="4" w:space="0" w:color="auto"/>
            </w:tcBorders>
            <w:shd w:val="clear" w:color="auto" w:fill="auto"/>
          </w:tcPr>
          <w:p w14:paraId="4B551B00" w14:textId="77777777" w:rsidR="00A7763F" w:rsidRDefault="00A7763F" w:rsidP="00A7763F">
            <w:pPr>
              <w:pStyle w:val="CenterUnderline"/>
              <w:keepNext/>
              <w:keepLines/>
              <w:jc w:val="both"/>
              <w:rPr>
                <w:u w:val="none"/>
              </w:rPr>
            </w:pPr>
            <w:r>
              <w:rPr>
                <w:u w:val="none"/>
              </w:rPr>
              <w:t>JULIE I. BROWN</w:t>
            </w:r>
          </w:p>
          <w:p w14:paraId="1AF9B787" w14:textId="77777777" w:rsidR="00A7763F" w:rsidRDefault="00A7763F" w:rsidP="00A7763F">
            <w:pPr>
              <w:pStyle w:val="CenterUnderline"/>
              <w:keepNext/>
              <w:keepLines/>
              <w:jc w:val="both"/>
              <w:rPr>
                <w:u w:val="none"/>
              </w:rPr>
            </w:pPr>
            <w:r>
              <w:rPr>
                <w:u w:val="none"/>
              </w:rPr>
              <w:t>Commissioner and Prehearing Officer</w:t>
            </w:r>
          </w:p>
        </w:tc>
      </w:tr>
    </w:tbl>
    <w:p w14:paraId="6ED2EB40" w14:textId="77777777" w:rsidR="00A7763F" w:rsidRDefault="00A7763F" w:rsidP="00A7763F">
      <w:pPr>
        <w:pStyle w:val="OrderSigInfo"/>
        <w:keepNext/>
        <w:keepLines/>
      </w:pPr>
      <w:r>
        <w:t>Florida Public Service Commission</w:t>
      </w:r>
    </w:p>
    <w:p w14:paraId="2C97E79E" w14:textId="77777777" w:rsidR="00A7763F" w:rsidRDefault="00A7763F" w:rsidP="00A7763F">
      <w:pPr>
        <w:pStyle w:val="OrderSigInfo"/>
        <w:keepNext/>
        <w:keepLines/>
      </w:pPr>
      <w:r>
        <w:t>2540 Shumard Oak Boulevard</w:t>
      </w:r>
    </w:p>
    <w:p w14:paraId="5A9D6B7E" w14:textId="77777777" w:rsidR="00A7763F" w:rsidRDefault="00A7763F" w:rsidP="00A7763F">
      <w:pPr>
        <w:pStyle w:val="OrderSigInfo"/>
        <w:keepNext/>
        <w:keepLines/>
      </w:pPr>
      <w:r>
        <w:t>Tallahassee, Florida 32399</w:t>
      </w:r>
    </w:p>
    <w:p w14:paraId="6431AB78" w14:textId="77777777" w:rsidR="00A7763F" w:rsidRDefault="00A7763F" w:rsidP="00A7763F">
      <w:pPr>
        <w:pStyle w:val="OrderSigInfo"/>
        <w:keepNext/>
        <w:keepLines/>
      </w:pPr>
      <w:r>
        <w:t>(850) 413</w:t>
      </w:r>
      <w:r>
        <w:noBreakHyphen/>
        <w:t>6770</w:t>
      </w:r>
    </w:p>
    <w:p w14:paraId="608C0D9B" w14:textId="77777777" w:rsidR="00A7763F" w:rsidRDefault="00A7763F" w:rsidP="00A7763F">
      <w:pPr>
        <w:pStyle w:val="OrderSigInfo"/>
        <w:keepNext/>
        <w:keepLines/>
      </w:pPr>
      <w:r>
        <w:t>www.floridapsc.com</w:t>
      </w:r>
    </w:p>
    <w:p w14:paraId="77F2EC8A" w14:textId="77777777" w:rsidR="00A7763F" w:rsidRDefault="00A7763F" w:rsidP="00A7763F">
      <w:pPr>
        <w:pStyle w:val="OrderSigInfo"/>
        <w:keepNext/>
        <w:keepLines/>
      </w:pPr>
    </w:p>
    <w:p w14:paraId="3D69664A" w14:textId="77777777" w:rsidR="00A7763F" w:rsidRDefault="00A7763F" w:rsidP="00A7763F">
      <w:pPr>
        <w:pStyle w:val="OrderSigInfo"/>
        <w:keepNext/>
        <w:keepLines/>
      </w:pPr>
      <w:r>
        <w:t>Copies furnished:  A copy of this document is provided to the parties of record at the time of issuance and, if applicable, interested persons.</w:t>
      </w:r>
    </w:p>
    <w:p w14:paraId="0F85FDFA" w14:textId="77777777" w:rsidR="00A7763F" w:rsidRDefault="00A7763F" w:rsidP="00A7763F">
      <w:pPr>
        <w:pStyle w:val="OrderBody"/>
        <w:keepNext/>
        <w:keepLines/>
      </w:pPr>
      <w:r>
        <w:t>SBr</w:t>
      </w:r>
    </w:p>
    <w:p w14:paraId="226D122D" w14:textId="77777777" w:rsidR="00A7763F" w:rsidRDefault="00A7763F" w:rsidP="00A7763F">
      <w:pPr>
        <w:pStyle w:val="OrderBody"/>
        <w:keepNext/>
        <w:keepLines/>
      </w:pPr>
    </w:p>
    <w:p w14:paraId="4D5EFE38" w14:textId="77777777" w:rsidR="00A7763F" w:rsidRDefault="00A7763F" w:rsidP="00A7763F">
      <w:pPr>
        <w:pStyle w:val="OrderBody"/>
        <w:keepNext/>
        <w:keepLines/>
      </w:pPr>
    </w:p>
    <w:p w14:paraId="7F8D490A" w14:textId="1BF38200" w:rsidR="00A7763F" w:rsidRDefault="00A7763F" w:rsidP="0081148F">
      <w:pPr>
        <w:pStyle w:val="CenterUnderline"/>
        <w:ind w:left="720" w:firstLine="720"/>
        <w:jc w:val="left"/>
      </w:pPr>
      <w:r>
        <w:t>NOTICE OF FURTHER PROCEEDINGS OR JUDICIAL REVIEW</w:t>
      </w:r>
    </w:p>
    <w:p w14:paraId="6A380535" w14:textId="77777777" w:rsidR="00A7763F" w:rsidRDefault="00A7763F" w:rsidP="00A7763F">
      <w:pPr>
        <w:pStyle w:val="CenterUnderline"/>
      </w:pPr>
    </w:p>
    <w:p w14:paraId="022CB6C6" w14:textId="77777777" w:rsidR="00A7763F" w:rsidRDefault="00A7763F" w:rsidP="00A776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86C685B" w14:textId="77777777" w:rsidR="00A7763F" w:rsidRDefault="00A7763F" w:rsidP="00A7763F">
      <w:pPr>
        <w:pStyle w:val="OrderBody"/>
      </w:pPr>
    </w:p>
    <w:p w14:paraId="41EC14CC" w14:textId="77777777" w:rsidR="00A7763F" w:rsidRDefault="00A7763F" w:rsidP="00A7763F">
      <w:pPr>
        <w:pStyle w:val="OrderBody"/>
      </w:pPr>
      <w:r>
        <w:tab/>
        <w:t>Mediation may be available on a case-by-case basis.  If mediation is conducted, it does not affect a substantially interested person's right to a hearing.</w:t>
      </w:r>
    </w:p>
    <w:p w14:paraId="18E6A740" w14:textId="77777777" w:rsidR="00A7763F" w:rsidRDefault="00A7763F" w:rsidP="00A7763F">
      <w:pPr>
        <w:pStyle w:val="OrderBody"/>
      </w:pPr>
    </w:p>
    <w:p w14:paraId="63AB01F0" w14:textId="77777777" w:rsidR="00A7763F" w:rsidRDefault="00A7763F" w:rsidP="00A7763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2763D2A" w14:textId="77777777" w:rsidR="00A7763F" w:rsidRDefault="00A7763F" w:rsidP="00A7763F">
      <w:pPr>
        <w:pStyle w:val="OrderBody"/>
      </w:pPr>
    </w:p>
    <w:sectPr w:rsidR="00A7763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8321" w14:textId="77777777" w:rsidR="003635AC" w:rsidRDefault="003635AC">
      <w:r>
        <w:separator/>
      </w:r>
    </w:p>
  </w:endnote>
  <w:endnote w:type="continuationSeparator" w:id="0">
    <w:p w14:paraId="1D1C9A55" w14:textId="77777777" w:rsidR="003635AC" w:rsidRDefault="0036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B703" w14:textId="77777777" w:rsidR="00FA6EFD" w:rsidRDefault="00FA6EFD">
    <w:pPr>
      <w:pStyle w:val="Footer"/>
    </w:pPr>
  </w:p>
  <w:p w14:paraId="3861C1A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58E8" w14:textId="77777777" w:rsidR="003635AC" w:rsidRDefault="003635AC">
      <w:r>
        <w:separator/>
      </w:r>
    </w:p>
  </w:footnote>
  <w:footnote w:type="continuationSeparator" w:id="0">
    <w:p w14:paraId="239B0898" w14:textId="77777777" w:rsidR="003635AC" w:rsidRDefault="0036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1F3F" w14:textId="521CB685" w:rsidR="00FA6EFD" w:rsidRDefault="00FA6EFD">
    <w:pPr>
      <w:pStyle w:val="OrderHeader"/>
    </w:pPr>
    <w:r>
      <w:t xml:space="preserve">ORDER NO. </w:t>
    </w:r>
    <w:r w:rsidR="00E80A5C">
      <w:fldChar w:fldCharType="begin"/>
    </w:r>
    <w:r w:rsidR="00E80A5C">
      <w:instrText xml:space="preserve"> REF OrderNo0418 </w:instrText>
    </w:r>
    <w:r w:rsidR="00E80A5C">
      <w:fldChar w:fldCharType="separate"/>
    </w:r>
    <w:r w:rsidR="00E80A5C">
      <w:t>PSC-2020-0418-PCO-EI</w:t>
    </w:r>
    <w:r w:rsidR="00E80A5C">
      <w:fldChar w:fldCharType="end"/>
    </w:r>
  </w:p>
  <w:p w14:paraId="5FA0A4BA" w14:textId="77777777" w:rsidR="00FA6EFD" w:rsidRDefault="001717D1">
    <w:pPr>
      <w:pStyle w:val="OrderHeader"/>
    </w:pPr>
    <w:bookmarkStart w:id="7" w:name="HeaderDocketNo"/>
    <w:bookmarkEnd w:id="7"/>
    <w:r>
      <w:t>DOCKET NO. 20200172-EI</w:t>
    </w:r>
  </w:p>
  <w:p w14:paraId="30DC628A" w14:textId="7873549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0A5C">
      <w:rPr>
        <w:rStyle w:val="PageNumber"/>
        <w:noProof/>
      </w:rPr>
      <w:t>2</w:t>
    </w:r>
    <w:r>
      <w:rPr>
        <w:rStyle w:val="PageNumber"/>
      </w:rPr>
      <w:fldChar w:fldCharType="end"/>
    </w:r>
  </w:p>
  <w:p w14:paraId="11BD225A"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1717D1"/>
    <w:rsid w:val="000022B8"/>
    <w:rsid w:val="00025C9D"/>
    <w:rsid w:val="0003433F"/>
    <w:rsid w:val="00035A8C"/>
    <w:rsid w:val="00036BDD"/>
    <w:rsid w:val="000373C7"/>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5387"/>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410B"/>
    <w:rsid w:val="00136087"/>
    <w:rsid w:val="00142A96"/>
    <w:rsid w:val="001513DE"/>
    <w:rsid w:val="00154A71"/>
    <w:rsid w:val="001655D4"/>
    <w:rsid w:val="001717D1"/>
    <w:rsid w:val="00187E32"/>
    <w:rsid w:val="00194A97"/>
    <w:rsid w:val="00194E81"/>
    <w:rsid w:val="001A15E7"/>
    <w:rsid w:val="001A33C9"/>
    <w:rsid w:val="001A58F3"/>
    <w:rsid w:val="001A5F0F"/>
    <w:rsid w:val="001B034E"/>
    <w:rsid w:val="001C2847"/>
    <w:rsid w:val="001C3BB5"/>
    <w:rsid w:val="001C3F8C"/>
    <w:rsid w:val="001C6097"/>
    <w:rsid w:val="001C7126"/>
    <w:rsid w:val="001D008A"/>
    <w:rsid w:val="001E0152"/>
    <w:rsid w:val="001E0FF5"/>
    <w:rsid w:val="001F4CA3"/>
    <w:rsid w:val="002002ED"/>
    <w:rsid w:val="00214936"/>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35AC"/>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4875"/>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27E9"/>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54E7D"/>
    <w:rsid w:val="00660774"/>
    <w:rsid w:val="0066389A"/>
    <w:rsid w:val="0066495C"/>
    <w:rsid w:val="00665CC7"/>
    <w:rsid w:val="00667578"/>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084F"/>
    <w:rsid w:val="007D3D20"/>
    <w:rsid w:val="007D742E"/>
    <w:rsid w:val="007E3AFD"/>
    <w:rsid w:val="00801DAD"/>
    <w:rsid w:val="00803189"/>
    <w:rsid w:val="00804E7A"/>
    <w:rsid w:val="00805FBB"/>
    <w:rsid w:val="0081148F"/>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0285"/>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7763F"/>
    <w:rsid w:val="00A97535"/>
    <w:rsid w:val="00AA2BAA"/>
    <w:rsid w:val="00AA6516"/>
    <w:rsid w:val="00AA73F1"/>
    <w:rsid w:val="00AB0E1A"/>
    <w:rsid w:val="00AB1A30"/>
    <w:rsid w:val="00AB3C36"/>
    <w:rsid w:val="00AB3D30"/>
    <w:rsid w:val="00AC3EE4"/>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D66AD"/>
    <w:rsid w:val="00BE50E6"/>
    <w:rsid w:val="00BE7A0C"/>
    <w:rsid w:val="00BF6691"/>
    <w:rsid w:val="00C028FC"/>
    <w:rsid w:val="00C037F2"/>
    <w:rsid w:val="00C0386D"/>
    <w:rsid w:val="00C065A1"/>
    <w:rsid w:val="00C10ED5"/>
    <w:rsid w:val="00C151A6"/>
    <w:rsid w:val="00C24098"/>
    <w:rsid w:val="00C27180"/>
    <w:rsid w:val="00C30A4E"/>
    <w:rsid w:val="00C411F3"/>
    <w:rsid w:val="00C44105"/>
    <w:rsid w:val="00C55A33"/>
    <w:rsid w:val="00C6448B"/>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4C20"/>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4D09"/>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0A5C"/>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1EC1"/>
    <w:rsid w:val="00FA4F6C"/>
    <w:rsid w:val="00FA6EFD"/>
    <w:rsid w:val="00FB3791"/>
    <w:rsid w:val="00FB6780"/>
    <w:rsid w:val="00FB74EA"/>
    <w:rsid w:val="00FD2C9E"/>
    <w:rsid w:val="00FD4786"/>
    <w:rsid w:val="00FD616C"/>
    <w:rsid w:val="00FE24E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B1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448B"/>
    <w:rPr>
      <w:sz w:val="18"/>
      <w:szCs w:val="18"/>
    </w:rPr>
  </w:style>
  <w:style w:type="character" w:customStyle="1" w:styleId="BalloonTextChar">
    <w:name w:val="Balloon Text Char"/>
    <w:basedOn w:val="DefaultParagraphFont"/>
    <w:link w:val="BalloonText"/>
    <w:semiHidden/>
    <w:rsid w:val="00C644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2020-11-06T14:27:00Z</dcterms:created>
  <dcterms:modified xsi:type="dcterms:W3CDTF">2020-11-06T15:58:00Z</dcterms:modified>
</cp:coreProperties>
</file>