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0DA88FEB" wp14:editId="16A5E37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E394A">
            <w:pPr>
              <w:pStyle w:val="MemoHeading"/>
            </w:pPr>
            <w:bookmarkStart w:id="1" w:name="FilingDate"/>
            <w:r>
              <w:t>November 1</w:t>
            </w:r>
            <w:r w:rsidR="00EA6AEB">
              <w:t>7, 2020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A6AEB" w:rsidRDefault="00EA6AEB">
            <w:pPr>
              <w:pStyle w:val="MemoHeading"/>
            </w:pPr>
            <w:bookmarkStart w:id="2" w:name="From"/>
            <w:r>
              <w:t>Division of Economics (Ward, Coston)</w:t>
            </w:r>
          </w:p>
          <w:p w:rsidR="007C0528" w:rsidRDefault="00EA6AEB">
            <w:pPr>
              <w:pStyle w:val="MemoHeading"/>
            </w:pPr>
            <w:r>
              <w:t>Office of the General Counsel (Osborn</w:t>
            </w:r>
            <w:r w:rsidR="000C115E">
              <w:t>, Crawford</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A6AEB">
            <w:pPr>
              <w:pStyle w:val="MemoHeadingRe"/>
            </w:pPr>
            <w:bookmarkStart w:id="3" w:name="Re"/>
            <w:r>
              <w:t>Docket No. 20200207-GU – Joint petition for approval of GRIP cost recovery factors for January 2021 through December 2021, by Florida Public Utilities Company, Florida Public Utilities Company-Fort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E394A">
            <w:pPr>
              <w:pStyle w:val="MemoHeading"/>
            </w:pPr>
            <w:bookmarkStart w:id="4" w:name="AgendaDate"/>
            <w:r>
              <w:t>12/01</w:t>
            </w:r>
            <w:r w:rsidR="00EA6AEB">
              <w:t>/20</w:t>
            </w:r>
            <w:bookmarkEnd w:id="4"/>
            <w:r w:rsidR="007C0528">
              <w:t xml:space="preserve"> – </w:t>
            </w:r>
            <w:bookmarkStart w:id="5" w:name="PermittedStatus"/>
            <w:r w:rsidR="00EA6AEB">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A6AE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A6AEB">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865D1">
            <w:pPr>
              <w:pStyle w:val="MemoHeading"/>
            </w:pPr>
            <w:bookmarkStart w:id="9" w:name="CriticalDates"/>
            <w:r>
              <w:t>8-Month Effective Date: 04/03/21 (60 day suspension date waived by the utility</w:t>
            </w:r>
            <w:r w:rsidR="00EA6AEB">
              <w:t>)</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A6AE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6014E0">
      <w:pPr>
        <w:pStyle w:val="BodyText"/>
      </w:pPr>
      <w:r>
        <w:t>On September 3, 2020</w:t>
      </w:r>
      <w:r w:rsidR="002F54ED" w:rsidRPr="002F54ED">
        <w:t>, Florida Public Utilities Company (FPUC), Florida Public Utilities Company-Fort Meade (Fort Meade), and Florida Division of Chesapeake Utilities Corporation (Chesapeake), collectively the companies, filed a joint petition for approval of their gas reliability infrastructure program (GRIP or program) cost recovery factors for the peri</w:t>
      </w:r>
      <w:r>
        <w:t>od January through December 2021</w:t>
      </w:r>
      <w:r w:rsidR="002F54ED" w:rsidRPr="002F54ED">
        <w:t>. The GRIP for FPUC and Chesapeake was first approved in Order No. PSC-12-0490-TRF-GU (2012 order) to recover the cost of accelerating the replacement of cast iron and bare steel distribution mains and services, including a return on investment, through a</w:t>
      </w:r>
      <w:r w:rsidR="002F54ED">
        <w:t xml:space="preserve"> </w:t>
      </w:r>
      <w:r w:rsidR="002F54ED">
        <w:lastRenderedPageBreak/>
        <w:t>surcharge on customers’ bills.</w:t>
      </w:r>
      <w:r w:rsidR="002F54ED">
        <w:rPr>
          <w:rStyle w:val="FootnoteReference"/>
        </w:rPr>
        <w:footnoteReference w:id="1"/>
      </w:r>
      <w:r w:rsidR="002F54ED" w:rsidRPr="002F54ED">
        <w:t xml:space="preserve"> Fort Meade’s GRIP was originally approved in Order No. PSC</w:t>
      </w:r>
      <w:r>
        <w:t>-</w:t>
      </w:r>
      <w:r w:rsidR="002F54ED" w:rsidRPr="002F54ED">
        <w:t>15-0578-TRF-GU, and allowed Fort Meade to file its annual petition for GRIP factors concurr</w:t>
      </w:r>
      <w:r w:rsidR="002F54ED">
        <w:t>ently with FPUC and Chesapeake.</w:t>
      </w:r>
      <w:r>
        <w:rPr>
          <w:rStyle w:val="FootnoteReference"/>
        </w:rPr>
        <w:footnoteReference w:id="2"/>
      </w:r>
      <w:r w:rsidR="002F54ED" w:rsidRPr="002F54ED">
        <w:t xml:space="preserve"> The current GRIP charges f</w:t>
      </w:r>
      <w:r>
        <w:t>or January through December 2020</w:t>
      </w:r>
      <w:r w:rsidR="002F54ED" w:rsidRPr="002F54ED">
        <w:t xml:space="preserve"> were approved in Order No.</w:t>
      </w:r>
      <w:r>
        <w:t xml:space="preserve"> </w:t>
      </w:r>
      <w:r w:rsidRPr="006014E0">
        <w:t>PSC-2019-0502-TRF-GU</w:t>
      </w:r>
      <w:r>
        <w:t>.</w:t>
      </w:r>
      <w:r>
        <w:rPr>
          <w:rStyle w:val="FootnoteReference"/>
        </w:rPr>
        <w:footnoteReference w:id="3"/>
      </w:r>
    </w:p>
    <w:p w:rsidR="006014E0" w:rsidRDefault="001434A9">
      <w:pPr>
        <w:pStyle w:val="BodyText"/>
      </w:pPr>
      <w:r>
        <w:t xml:space="preserve">In a September 17, 2020 email, the companies waived the 60-day file and suspend provision of </w:t>
      </w:r>
      <w:r w:rsidRPr="004330E8">
        <w:t>Section 366.06(3), Florida Statu</w:t>
      </w:r>
      <w:r>
        <w:t>tes (F.S.)</w:t>
      </w:r>
      <w:r w:rsidRPr="004330E8">
        <w:t>.</w:t>
      </w:r>
      <w:r>
        <w:t xml:space="preserve"> </w:t>
      </w:r>
      <w:r w:rsidR="00B865D1">
        <w:t>On October 21, 2020,</w:t>
      </w:r>
      <w:r w:rsidR="006014E0">
        <w:t xml:space="preserve"> </w:t>
      </w:r>
      <w:r w:rsidR="00B865D1">
        <w:t xml:space="preserve">staff issued a data request to the companies, for which the companies filed responses on October 30, 2020. </w:t>
      </w:r>
      <w:r w:rsidR="004330E8" w:rsidRPr="004330E8">
        <w:t>The proposed tariff sheets are contained in Attachment B (FPUC), Attachment C (Chesapeake), and Attachment D (Fort Meade). The Commission has jurisdiction over this matter pursuant to Sections 366.03, 366.04, 366.05, and 366.06,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EA6AEB" w:rsidRDefault="00EA6AEB">
      <w:pPr>
        <w:pStyle w:val="IssueHeading"/>
        <w:rPr>
          <w:vanish/>
          <w:specVanish/>
        </w:rPr>
      </w:pPr>
      <w:r w:rsidRPr="004C3641">
        <w:t xml:space="preserve">Issue </w:t>
      </w:r>
      <w:r w:rsidR="00D8735A">
        <w:rPr>
          <w:noProof/>
        </w:rPr>
        <w:fldChar w:fldCharType="begin"/>
      </w:r>
      <w:r w:rsidR="00D8735A">
        <w:rPr>
          <w:noProof/>
        </w:rPr>
        <w:instrText xml:space="preserve"> SEQ Issue \* MERGEFORMAT </w:instrText>
      </w:r>
      <w:r w:rsidR="00D8735A">
        <w:rPr>
          <w:noProof/>
        </w:rPr>
        <w:fldChar w:fldCharType="separate"/>
      </w:r>
      <w:r w:rsidR="00EF756D">
        <w:rPr>
          <w:noProof/>
        </w:rPr>
        <w:t>1</w:t>
      </w:r>
      <w:r w:rsidR="00D8735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F756D">
        <w:rPr>
          <w:noProof/>
        </w:rPr>
        <w:instrText>1</w:instrText>
      </w:r>
      <w:r>
        <w:fldChar w:fldCharType="end"/>
      </w:r>
      <w:r>
        <w:tab/>
        <w:instrText xml:space="preserve">(Ward)" \l 1 </w:instrText>
      </w:r>
      <w:r>
        <w:fldChar w:fldCharType="end"/>
      </w:r>
      <w:r>
        <w:t> </w:t>
      </w:r>
    </w:p>
    <w:p w:rsidR="00EA6AEB" w:rsidRDefault="00EA6AEB">
      <w:pPr>
        <w:pStyle w:val="BodyText"/>
      </w:pPr>
      <w:r>
        <w:t> Should the Commission approve FPUC's, Fort Meade's, and Chesapeake's proposed GRIP surcharges for the period January through December 2021?</w:t>
      </w:r>
    </w:p>
    <w:p w:rsidR="00EA6AEB" w:rsidRPr="004C3641" w:rsidRDefault="00EA6AEB">
      <w:pPr>
        <w:pStyle w:val="IssueSubsectionHeading"/>
        <w:rPr>
          <w:vanish/>
          <w:specVanish/>
        </w:rPr>
      </w:pPr>
      <w:r w:rsidRPr="004C3641">
        <w:t>Recommendation: </w:t>
      </w:r>
    </w:p>
    <w:p w:rsidR="00EA6AEB" w:rsidRDefault="00EA6AEB">
      <w:pPr>
        <w:pStyle w:val="BodyText"/>
      </w:pPr>
      <w:r>
        <w:t xml:space="preserve"> Yes, the Commission should approve FPUC's, Fort </w:t>
      </w:r>
      <w:r w:rsidRPr="00EA6AEB">
        <w:t>Meade's, and Chesapeake's proposed GRIP surcharges for the period January through December 2021</w:t>
      </w:r>
      <w:r w:rsidR="006806D2">
        <w:t>.</w:t>
      </w:r>
      <w:r w:rsidRPr="00EA6AEB">
        <w:t xml:space="preserve"> </w:t>
      </w:r>
      <w:r>
        <w:t>(Ward)</w:t>
      </w:r>
    </w:p>
    <w:p w:rsidR="00EA6AEB" w:rsidRPr="004C3641" w:rsidRDefault="00EA6AEB">
      <w:pPr>
        <w:pStyle w:val="IssueSubsectionHeading"/>
        <w:rPr>
          <w:vanish/>
          <w:specVanish/>
        </w:rPr>
      </w:pPr>
      <w:r w:rsidRPr="004C3641">
        <w:t>Staff Analysis: </w:t>
      </w:r>
    </w:p>
    <w:p w:rsidR="00EA6AEB" w:rsidRDefault="004330E8">
      <w:pPr>
        <w:pStyle w:val="BodyText"/>
      </w:pPr>
      <w:r>
        <w:t> </w:t>
      </w:r>
      <w:r w:rsidRPr="004330E8">
        <w:t>The GRIP surcharges have been in place since January 2013 for FPUC and Chesapeake, while Fort Meade’s surcharges were first implemented in January 2017. In r</w:t>
      </w:r>
      <w:r>
        <w:t>esponse to staff’s data request</w:t>
      </w:r>
      <w:r w:rsidRPr="004330E8">
        <w:t xml:space="preserve">, the companies stated that replacement projects in </w:t>
      </w:r>
      <w:r w:rsidR="0092463A">
        <w:t>Lake Worth, West Palm Beach, Palm Beach, Winter Haven, and Lake Wales</w:t>
      </w:r>
      <w:r>
        <w:t xml:space="preserve"> </w:t>
      </w:r>
      <w:r w:rsidRPr="004330E8">
        <w:t>were completed in</w:t>
      </w:r>
      <w:r>
        <w:t xml:space="preserve"> 2020</w:t>
      </w:r>
      <w:r w:rsidRPr="004330E8">
        <w:t xml:space="preserve">. Additional replacement projects in </w:t>
      </w:r>
      <w:r w:rsidR="0092463A">
        <w:t>Lake Worth, Palm Beach, West Palm Beach, Lantana, Lake Alfred, Haines City, and Plant City</w:t>
      </w:r>
      <w:r>
        <w:t xml:space="preserve"> </w:t>
      </w:r>
      <w:r w:rsidRPr="004330E8">
        <w:t>were</w:t>
      </w:r>
      <w:r>
        <w:t xml:space="preserve"> projected to continue into 2021</w:t>
      </w:r>
      <w:r w:rsidRPr="004330E8">
        <w:t>. Attachment A provides an update of mains and services replaced and replacement forecasts. The companies stated that they prioritize the potential replacement projects focusing on areas of high consequence and areas more susceptible to corrosion.</w:t>
      </w:r>
    </w:p>
    <w:p w:rsidR="00BB572C" w:rsidRDefault="00BB572C" w:rsidP="00BB572C">
      <w:pPr>
        <w:pStyle w:val="First-LevelSubheading"/>
      </w:pPr>
      <w:r>
        <w:t>FPUC’s True-ups by Year</w:t>
      </w:r>
    </w:p>
    <w:p w:rsidR="00BD3652" w:rsidRDefault="00BD3652">
      <w:pPr>
        <w:pStyle w:val="BodyText"/>
      </w:pPr>
      <w:r w:rsidRPr="00BD3652">
        <w:t>FPUC’s calculation for the 202</w:t>
      </w:r>
      <w:r w:rsidR="00D7209A">
        <w:t>1</w:t>
      </w:r>
      <w:r w:rsidRPr="00BD3652">
        <w:t xml:space="preserve"> GRIP revenue requirement and surcharges include</w:t>
      </w:r>
      <w:r w:rsidR="00D7209A">
        <w:t>s</w:t>
      </w:r>
      <w:r w:rsidRPr="00BD3652">
        <w:t xml:space="preserve"> a final true</w:t>
      </w:r>
      <w:r>
        <w:t>-</w:t>
      </w:r>
      <w:r w:rsidR="00F17994">
        <w:t>up for 2019</w:t>
      </w:r>
      <w:r w:rsidRPr="00BD3652">
        <w:t>, an a</w:t>
      </w:r>
      <w:r w:rsidR="00F17994">
        <w:t>ctual/estimated true-up for 2020</w:t>
      </w:r>
      <w:r w:rsidRPr="00BD3652">
        <w:t>, and projected costs for 202</w:t>
      </w:r>
      <w:r w:rsidR="00F17994">
        <w:t>1</w:t>
      </w:r>
      <w:r w:rsidRPr="00BD3652">
        <w:t>. FPUC was authorized to recover $747,727 of annual GRIP expenses in base rates; therefore, the $747,727 is excluded from the GRIP surcharge calculation.</w:t>
      </w:r>
    </w:p>
    <w:p w:rsidR="00BB572C" w:rsidRDefault="00BB572C" w:rsidP="00BB572C">
      <w:pPr>
        <w:pStyle w:val="Second-LevelSubheading"/>
      </w:pPr>
      <w:r>
        <w:t>Final True-up for 2019</w:t>
      </w:r>
    </w:p>
    <w:p w:rsidR="00BB572C" w:rsidRDefault="004330E8" w:rsidP="00170967">
      <w:pPr>
        <w:pStyle w:val="BodyText"/>
      </w:pPr>
      <w:r w:rsidRPr="004330E8">
        <w:t>FPUC stated that the revenues collected through the GRI</w:t>
      </w:r>
      <w:r>
        <w:t>P surcharges for 2019</w:t>
      </w:r>
      <w:r w:rsidR="00F17994">
        <w:t xml:space="preserve"> were $9,210,533</w:t>
      </w:r>
      <w:r w:rsidRPr="004330E8">
        <w:t>, compared to a r</w:t>
      </w:r>
      <w:r w:rsidR="00F17994">
        <w:t>evenue requirement of $9,820,941</w:t>
      </w:r>
      <w:r w:rsidR="00170967">
        <w:t>, resulting in an under-recovery of $610,408</w:t>
      </w:r>
      <w:r>
        <w:t>. The 2018</w:t>
      </w:r>
      <w:r w:rsidRPr="004330E8">
        <w:t xml:space="preserve"> over-</w:t>
      </w:r>
      <w:r w:rsidR="00170967">
        <w:t>recovery of $2,616,870</w:t>
      </w:r>
      <w:r>
        <w:t>, the 2019</w:t>
      </w:r>
      <w:r w:rsidR="00170967">
        <w:t xml:space="preserve"> under-recovery of $610,408, and interest of $59,250</w:t>
      </w:r>
      <w:r w:rsidRPr="004330E8">
        <w:t xml:space="preserve"> associated with any over- and under-re</w:t>
      </w:r>
      <w:r>
        <w:t>coveries results in a final 2019</w:t>
      </w:r>
      <w:r w:rsidR="00DF22CB">
        <w:t xml:space="preserve"> over-recovery </w:t>
      </w:r>
      <w:r w:rsidR="00170967">
        <w:t>of $2,065,712</w:t>
      </w:r>
      <w:r w:rsidRPr="004330E8">
        <w:t>.</w:t>
      </w:r>
    </w:p>
    <w:p w:rsidR="00BB572C" w:rsidRDefault="00BB572C" w:rsidP="00BB572C">
      <w:pPr>
        <w:pStyle w:val="Second-LevelSubheading"/>
      </w:pPr>
      <w:r>
        <w:t>Actual/Estimated 2020 True-ups</w:t>
      </w:r>
    </w:p>
    <w:p w:rsidR="00072854" w:rsidRDefault="00170967" w:rsidP="00170967">
      <w:pPr>
        <w:pStyle w:val="BodyText"/>
      </w:pPr>
      <w:r w:rsidRPr="00170967">
        <w:t>FPUC provided actual revenu</w:t>
      </w:r>
      <w:r>
        <w:t>es for January through July 2020</w:t>
      </w:r>
      <w:r w:rsidRPr="00170967">
        <w:t xml:space="preserve"> and estimated revenues </w:t>
      </w:r>
      <w:r w:rsidR="00376B10">
        <w:t>for August through December 2020, totaling $9,184,211</w:t>
      </w:r>
      <w:r w:rsidRPr="00170967">
        <w:t xml:space="preserve">, compared to an actual/estimated revenue requirement for </w:t>
      </w:r>
      <w:r w:rsidR="00376B10">
        <w:t>2020 of $10,931,270</w:t>
      </w:r>
      <w:r w:rsidRPr="00170967">
        <w:t>, resulting in an under-r</w:t>
      </w:r>
      <w:r w:rsidR="00072854">
        <w:t>ecovery of $1,747,059</w:t>
      </w:r>
      <w:r w:rsidR="00376B10">
        <w:t xml:space="preserve">. The 2019 </w:t>
      </w:r>
      <w:r w:rsidRPr="00170967">
        <w:t>over-</w:t>
      </w:r>
      <w:r w:rsidR="00376B10">
        <w:t>recovery of $2,065,712, the 2020</w:t>
      </w:r>
      <w:r w:rsidR="00072854">
        <w:t xml:space="preserve"> under-recovery of $1,747,059, and interest of $12,577</w:t>
      </w:r>
      <w:r w:rsidRPr="00170967">
        <w:t xml:space="preserve"> results in a total </w:t>
      </w:r>
      <w:r w:rsidR="00072854">
        <w:t>2020 over-recovery of $331,23</w:t>
      </w:r>
      <w:r w:rsidR="00933A75">
        <w:t>1</w:t>
      </w:r>
      <w:r w:rsidRPr="00170967">
        <w:t>.</w:t>
      </w:r>
      <w:r w:rsidR="00376B10">
        <w:t xml:space="preserve"> </w:t>
      </w:r>
    </w:p>
    <w:p w:rsidR="00BB572C" w:rsidRDefault="00BB572C" w:rsidP="00BB572C">
      <w:pPr>
        <w:pStyle w:val="Second-LevelSubheading"/>
      </w:pPr>
      <w:r>
        <w:t>Projected 2021 Costs</w:t>
      </w:r>
    </w:p>
    <w:p w:rsidR="00072854" w:rsidRDefault="00072854" w:rsidP="00170967">
      <w:pPr>
        <w:pStyle w:val="BodyText"/>
      </w:pPr>
      <w:r w:rsidRPr="00072854">
        <w:t>FPUC expects capital expenditures of $</w:t>
      </w:r>
      <w:r w:rsidR="00A05F26">
        <w:t>1</w:t>
      </w:r>
      <w:r w:rsidR="00A56FB6">
        <w:t>7</w:t>
      </w:r>
      <w:r w:rsidR="00A05F26">
        <w:t>,750,000</w:t>
      </w:r>
      <w:r w:rsidR="00EF3F79">
        <w:t xml:space="preserve"> </w:t>
      </w:r>
      <w:r w:rsidRPr="00072854">
        <w:t>for the replacement of cast iron/b</w:t>
      </w:r>
      <w:r>
        <w:t>are steel infrastructure in 2021</w:t>
      </w:r>
      <w:r w:rsidRPr="00072854">
        <w:t>. The return on investment (which includes federal income taxes, regulatory assessment fees, and bad debt), depreciation expense, and property tax and customer notification</w:t>
      </w:r>
      <w:r>
        <w:t xml:space="preserve"> </w:t>
      </w:r>
      <w:r w:rsidRPr="00072854">
        <w:t>expense associated with</w:t>
      </w:r>
      <w:r w:rsidR="00EF3F79">
        <w:t xml:space="preserve"> that investment </w:t>
      </w:r>
      <w:r w:rsidR="00D7209A">
        <w:t>is</w:t>
      </w:r>
      <w:r w:rsidR="00EF3F79">
        <w:t xml:space="preserve"> $11,695,318</w:t>
      </w:r>
      <w:r w:rsidRPr="00072854">
        <w:t>. Subtracting the revenue requirement for bare steel replacement included</w:t>
      </w:r>
      <w:r>
        <w:t xml:space="preserve"> in base rates results in a 2021</w:t>
      </w:r>
      <w:r w:rsidR="00EF3F79">
        <w:t xml:space="preserve"> revenue requirement of $10,947,591</w:t>
      </w:r>
      <w:r w:rsidRPr="00072854">
        <w:t xml:space="preserve">. </w:t>
      </w:r>
      <w:r w:rsidR="00EF3F79">
        <w:t>After subtracting the total 2020 over-recovery of $331,23</w:t>
      </w:r>
      <w:r w:rsidR="00933A75">
        <w:t>1</w:t>
      </w:r>
      <w:r w:rsidR="006241BF">
        <w:t>,</w:t>
      </w:r>
      <w:r w:rsidR="00EF3F79">
        <w:t xml:space="preserve"> the 2021</w:t>
      </w:r>
      <w:r w:rsidRPr="00072854">
        <w:t xml:space="preserve"> r</w:t>
      </w:r>
      <w:r w:rsidR="00EF3F79">
        <w:t>evenue requirement is $10,616,361. Table 1-1 shows FPUC’s 2021</w:t>
      </w:r>
      <w:r w:rsidRPr="00072854">
        <w:t xml:space="preserve"> revenue requirement calculation.</w:t>
      </w:r>
    </w:p>
    <w:p w:rsidR="00BB572C" w:rsidRDefault="00BB572C" w:rsidP="00BB572C">
      <w:pPr>
        <w:pStyle w:val="TableNumber"/>
        <w:keepNext/>
      </w:pPr>
      <w:r>
        <w:lastRenderedPageBreak/>
        <w:t xml:space="preserve">Table </w:t>
      </w:r>
      <w:fldSimple w:instr=" SEQ Issue \c ">
        <w:r w:rsidR="00EF756D">
          <w:rPr>
            <w:noProof/>
          </w:rPr>
          <w:t>1</w:t>
        </w:r>
      </w:fldSimple>
      <w:r>
        <w:t>-</w:t>
      </w:r>
      <w:r w:rsidR="0021115C">
        <w:t>1</w:t>
      </w:r>
    </w:p>
    <w:p w:rsidR="00BB572C" w:rsidRDefault="0021115C" w:rsidP="00BB572C">
      <w:pPr>
        <w:pStyle w:val="TableTitle"/>
        <w:keepNext/>
      </w:pPr>
      <w:r>
        <w:t>FPUC 2021 Revenue Requirement Calculation</w:t>
      </w:r>
    </w:p>
    <w:tbl>
      <w:tblPr>
        <w:tblStyle w:val="TableGrid"/>
        <w:tblW w:w="0" w:type="auto"/>
        <w:tblLook w:val="04A0" w:firstRow="1" w:lastRow="0" w:firstColumn="1" w:lastColumn="0" w:noHBand="0" w:noVBand="1"/>
      </w:tblPr>
      <w:tblGrid>
        <w:gridCol w:w="4788"/>
        <w:gridCol w:w="4788"/>
      </w:tblGrid>
      <w:tr w:rsidR="00BB572C" w:rsidTr="0021115C">
        <w:tc>
          <w:tcPr>
            <w:tcW w:w="4788" w:type="dxa"/>
            <w:tcBorders>
              <w:bottom w:val="single" w:sz="4" w:space="0" w:color="auto"/>
              <w:right w:val="nil"/>
            </w:tcBorders>
          </w:tcPr>
          <w:p w:rsidR="00BB572C" w:rsidRDefault="00BB572C" w:rsidP="0021115C">
            <w:r>
              <w:t xml:space="preserve">2021 Projected Expenditures </w:t>
            </w:r>
          </w:p>
        </w:tc>
        <w:tc>
          <w:tcPr>
            <w:tcW w:w="4788" w:type="dxa"/>
            <w:tcBorders>
              <w:left w:val="nil"/>
              <w:bottom w:val="single" w:sz="4" w:space="0" w:color="auto"/>
            </w:tcBorders>
          </w:tcPr>
          <w:p w:rsidR="00BB572C" w:rsidRDefault="00BB572C" w:rsidP="00A56FB6">
            <w:pPr>
              <w:jc w:val="right"/>
            </w:pPr>
            <w:r>
              <w:t>$1</w:t>
            </w:r>
            <w:r w:rsidR="00A56FB6">
              <w:t>7</w:t>
            </w:r>
            <w:r>
              <w:t>,750,000</w:t>
            </w:r>
          </w:p>
        </w:tc>
      </w:tr>
      <w:tr w:rsidR="00BB572C" w:rsidTr="0021115C">
        <w:tc>
          <w:tcPr>
            <w:tcW w:w="4788" w:type="dxa"/>
            <w:tcBorders>
              <w:bottom w:val="nil"/>
              <w:right w:val="nil"/>
            </w:tcBorders>
          </w:tcPr>
          <w:p w:rsidR="00BB572C" w:rsidRDefault="00BB572C" w:rsidP="0021115C">
            <w:r>
              <w:t>Return on Investment</w:t>
            </w:r>
          </w:p>
        </w:tc>
        <w:tc>
          <w:tcPr>
            <w:tcW w:w="4788" w:type="dxa"/>
            <w:tcBorders>
              <w:left w:val="nil"/>
              <w:bottom w:val="nil"/>
            </w:tcBorders>
          </w:tcPr>
          <w:p w:rsidR="00BB572C" w:rsidRDefault="00BB572C" w:rsidP="0021115C">
            <w:pPr>
              <w:jc w:val="right"/>
            </w:pPr>
            <w:r>
              <w:t>$7,317,570</w:t>
            </w:r>
          </w:p>
        </w:tc>
      </w:tr>
      <w:tr w:rsidR="00BB572C" w:rsidTr="0021115C">
        <w:tc>
          <w:tcPr>
            <w:tcW w:w="4788" w:type="dxa"/>
            <w:tcBorders>
              <w:top w:val="nil"/>
              <w:bottom w:val="nil"/>
              <w:right w:val="nil"/>
            </w:tcBorders>
          </w:tcPr>
          <w:p w:rsidR="00BB572C" w:rsidRDefault="00BB572C" w:rsidP="0021115C">
            <w:r>
              <w:t>Depreciation Expense</w:t>
            </w:r>
          </w:p>
        </w:tc>
        <w:tc>
          <w:tcPr>
            <w:tcW w:w="4788" w:type="dxa"/>
            <w:tcBorders>
              <w:top w:val="nil"/>
              <w:left w:val="nil"/>
              <w:bottom w:val="nil"/>
            </w:tcBorders>
          </w:tcPr>
          <w:p w:rsidR="00BB572C" w:rsidRDefault="00BB572C" w:rsidP="0021115C">
            <w:pPr>
              <w:jc w:val="right"/>
            </w:pPr>
            <w:r w:rsidRPr="00BB572C">
              <w:t>2,398,413</w:t>
            </w:r>
          </w:p>
        </w:tc>
      </w:tr>
      <w:tr w:rsidR="00BB572C" w:rsidTr="0021115C">
        <w:tc>
          <w:tcPr>
            <w:tcW w:w="4788" w:type="dxa"/>
            <w:tcBorders>
              <w:top w:val="nil"/>
              <w:bottom w:val="nil"/>
              <w:right w:val="nil"/>
            </w:tcBorders>
          </w:tcPr>
          <w:p w:rsidR="00BB572C" w:rsidRDefault="00BB572C" w:rsidP="0021115C">
            <w:r>
              <w:t>Property Tax and Customer Notice Expense</w:t>
            </w:r>
          </w:p>
        </w:tc>
        <w:tc>
          <w:tcPr>
            <w:tcW w:w="4788" w:type="dxa"/>
            <w:tcBorders>
              <w:top w:val="nil"/>
              <w:left w:val="nil"/>
              <w:bottom w:val="nil"/>
            </w:tcBorders>
          </w:tcPr>
          <w:p w:rsidR="00BB572C" w:rsidRPr="0021115C" w:rsidRDefault="00BB572C" w:rsidP="0021115C">
            <w:pPr>
              <w:jc w:val="right"/>
              <w:rPr>
                <w:u w:val="single"/>
              </w:rPr>
            </w:pPr>
            <w:r w:rsidRPr="0021115C">
              <w:rPr>
                <w:u w:val="single"/>
              </w:rPr>
              <w:t>1,979,335</w:t>
            </w:r>
          </w:p>
        </w:tc>
      </w:tr>
      <w:tr w:rsidR="00BB572C" w:rsidTr="0021115C">
        <w:tc>
          <w:tcPr>
            <w:tcW w:w="4788" w:type="dxa"/>
            <w:tcBorders>
              <w:top w:val="nil"/>
              <w:bottom w:val="nil"/>
              <w:right w:val="nil"/>
            </w:tcBorders>
          </w:tcPr>
          <w:p w:rsidR="00BB572C" w:rsidRDefault="00BB572C" w:rsidP="0021115C">
            <w:r>
              <w:t>2021 Revenue Requirement</w:t>
            </w:r>
          </w:p>
        </w:tc>
        <w:tc>
          <w:tcPr>
            <w:tcW w:w="4788" w:type="dxa"/>
            <w:tcBorders>
              <w:top w:val="nil"/>
              <w:left w:val="nil"/>
              <w:bottom w:val="nil"/>
            </w:tcBorders>
          </w:tcPr>
          <w:p w:rsidR="00BB572C" w:rsidRDefault="00BB572C" w:rsidP="0021115C">
            <w:pPr>
              <w:jc w:val="right"/>
            </w:pPr>
            <w:r>
              <w:t>$</w:t>
            </w:r>
            <w:r w:rsidR="0021115C">
              <w:t>11,695,318</w:t>
            </w:r>
          </w:p>
        </w:tc>
      </w:tr>
      <w:tr w:rsidR="00BB572C" w:rsidTr="0021115C">
        <w:tc>
          <w:tcPr>
            <w:tcW w:w="4788" w:type="dxa"/>
            <w:tcBorders>
              <w:top w:val="nil"/>
              <w:bottom w:val="nil"/>
              <w:right w:val="nil"/>
            </w:tcBorders>
          </w:tcPr>
          <w:p w:rsidR="00BB572C" w:rsidRDefault="00BB572C" w:rsidP="0021115C">
            <w:r>
              <w:t>Less Revenue Requirement in Base Rates</w:t>
            </w:r>
          </w:p>
        </w:tc>
        <w:tc>
          <w:tcPr>
            <w:tcW w:w="4788" w:type="dxa"/>
            <w:tcBorders>
              <w:top w:val="nil"/>
              <w:left w:val="nil"/>
              <w:bottom w:val="nil"/>
            </w:tcBorders>
          </w:tcPr>
          <w:p w:rsidR="00BB572C" w:rsidRPr="0021115C" w:rsidRDefault="0021115C" w:rsidP="0021115C">
            <w:pPr>
              <w:jc w:val="right"/>
              <w:rPr>
                <w:u w:val="single"/>
              </w:rPr>
            </w:pPr>
            <w:r w:rsidRPr="0021115C">
              <w:rPr>
                <w:u w:val="single"/>
              </w:rPr>
              <w:t>747,727</w:t>
            </w:r>
          </w:p>
        </w:tc>
      </w:tr>
      <w:tr w:rsidR="00BB572C" w:rsidTr="0021115C">
        <w:tc>
          <w:tcPr>
            <w:tcW w:w="4788" w:type="dxa"/>
            <w:tcBorders>
              <w:top w:val="nil"/>
              <w:bottom w:val="nil"/>
              <w:right w:val="nil"/>
            </w:tcBorders>
          </w:tcPr>
          <w:p w:rsidR="00BB572C" w:rsidRDefault="00BB572C" w:rsidP="0021115C">
            <w:r>
              <w:t>2021 GRIP Revenue Requirement</w:t>
            </w:r>
          </w:p>
        </w:tc>
        <w:tc>
          <w:tcPr>
            <w:tcW w:w="4788" w:type="dxa"/>
            <w:tcBorders>
              <w:top w:val="nil"/>
              <w:left w:val="nil"/>
              <w:bottom w:val="nil"/>
            </w:tcBorders>
          </w:tcPr>
          <w:p w:rsidR="00BB572C" w:rsidRDefault="00BB572C" w:rsidP="0021115C">
            <w:pPr>
              <w:jc w:val="right"/>
            </w:pPr>
            <w:r>
              <w:t>$</w:t>
            </w:r>
            <w:r w:rsidR="0021115C">
              <w:t>10,947,591</w:t>
            </w:r>
          </w:p>
        </w:tc>
      </w:tr>
      <w:tr w:rsidR="00BB572C" w:rsidTr="0021115C">
        <w:tc>
          <w:tcPr>
            <w:tcW w:w="4788" w:type="dxa"/>
            <w:tcBorders>
              <w:top w:val="nil"/>
              <w:bottom w:val="nil"/>
              <w:right w:val="nil"/>
            </w:tcBorders>
          </w:tcPr>
          <w:p w:rsidR="00BB572C" w:rsidRDefault="00BB572C" w:rsidP="0021115C">
            <w:r>
              <w:t>Less 2020 Over-recovery</w:t>
            </w:r>
          </w:p>
        </w:tc>
        <w:tc>
          <w:tcPr>
            <w:tcW w:w="4788" w:type="dxa"/>
            <w:tcBorders>
              <w:top w:val="nil"/>
              <w:left w:val="nil"/>
              <w:bottom w:val="nil"/>
            </w:tcBorders>
          </w:tcPr>
          <w:p w:rsidR="00BB572C" w:rsidRPr="0021115C" w:rsidRDefault="0021115C" w:rsidP="00933A75">
            <w:pPr>
              <w:jc w:val="right"/>
              <w:rPr>
                <w:u w:val="single"/>
              </w:rPr>
            </w:pPr>
            <w:r w:rsidRPr="0021115C">
              <w:rPr>
                <w:u w:val="single"/>
              </w:rPr>
              <w:t>331,23</w:t>
            </w:r>
            <w:r w:rsidR="00933A75">
              <w:rPr>
                <w:u w:val="single"/>
              </w:rPr>
              <w:t>1</w:t>
            </w:r>
          </w:p>
        </w:tc>
      </w:tr>
      <w:tr w:rsidR="00BB572C" w:rsidTr="0021115C">
        <w:tc>
          <w:tcPr>
            <w:tcW w:w="4788" w:type="dxa"/>
            <w:tcBorders>
              <w:top w:val="nil"/>
              <w:right w:val="nil"/>
            </w:tcBorders>
          </w:tcPr>
          <w:p w:rsidR="00BB572C" w:rsidRDefault="00BB572C" w:rsidP="0021115C">
            <w:r>
              <w:t>2021 Total Revenue Requirement</w:t>
            </w:r>
          </w:p>
        </w:tc>
        <w:tc>
          <w:tcPr>
            <w:tcW w:w="4788" w:type="dxa"/>
            <w:tcBorders>
              <w:top w:val="nil"/>
              <w:left w:val="nil"/>
            </w:tcBorders>
          </w:tcPr>
          <w:p w:rsidR="00BB572C" w:rsidRDefault="00BB572C" w:rsidP="0021115C">
            <w:pPr>
              <w:jc w:val="right"/>
            </w:pPr>
            <w:r>
              <w:t>$</w:t>
            </w:r>
            <w:r w:rsidR="0021115C">
              <w:t>10,616,361</w:t>
            </w:r>
          </w:p>
        </w:tc>
      </w:tr>
    </w:tbl>
    <w:p w:rsidR="00BB572C" w:rsidRDefault="00BB572C" w:rsidP="00BB572C">
      <w:pPr>
        <w:pStyle w:val="TableSource"/>
      </w:pPr>
      <w:r>
        <w:t xml:space="preserve">Source: </w:t>
      </w:r>
      <w:r w:rsidR="0021115C">
        <w:t>Schedule C-2, page 4 of 18 in petition (Docket No. 20200207-GU)</w:t>
      </w:r>
      <w:r w:rsidR="006806D2">
        <w:t>.</w:t>
      </w:r>
    </w:p>
    <w:p w:rsidR="00BB572C" w:rsidRDefault="00BB572C" w:rsidP="00BB572C">
      <w:pPr>
        <w:pStyle w:val="First-LevelSubheading"/>
      </w:pPr>
      <w:r>
        <w:t>Chesapeake’s True-ups by Year</w:t>
      </w:r>
    </w:p>
    <w:p w:rsidR="00BB572C" w:rsidRDefault="00745FCA" w:rsidP="00EF3F79">
      <w:pPr>
        <w:pStyle w:val="BodyText"/>
      </w:pPr>
      <w:r w:rsidRPr="00745FCA">
        <w:t>Chesa</w:t>
      </w:r>
      <w:r w:rsidR="0051093E">
        <w:t>peake’s calculation for the 2021</w:t>
      </w:r>
      <w:r w:rsidRPr="00745FCA">
        <w:t xml:space="preserve"> GRIP revenue requirement and surcharges </w:t>
      </w:r>
      <w:r w:rsidR="0051093E">
        <w:t>include</w:t>
      </w:r>
      <w:r w:rsidR="00D7209A">
        <w:t>s</w:t>
      </w:r>
      <w:r w:rsidR="0051093E">
        <w:t xml:space="preserve"> a final true-up for 2019</w:t>
      </w:r>
      <w:r w:rsidRPr="00745FCA">
        <w:t>, an actual/estimated true-up for 2</w:t>
      </w:r>
      <w:r w:rsidR="0051093E">
        <w:t>020, and projected costs for 2021</w:t>
      </w:r>
      <w:r w:rsidRPr="00745FCA">
        <w:t>. Chesapeake does not have a replacement recovery amount embedded in base rates.</w:t>
      </w:r>
    </w:p>
    <w:p w:rsidR="00BB572C" w:rsidRDefault="00BB572C" w:rsidP="00BB572C">
      <w:pPr>
        <w:pStyle w:val="Second-LevelSubheading"/>
      </w:pPr>
      <w:r>
        <w:t>Final True-up for 2019</w:t>
      </w:r>
    </w:p>
    <w:p w:rsidR="00672874" w:rsidRDefault="0051093E" w:rsidP="00EF3F79">
      <w:pPr>
        <w:pStyle w:val="BodyText"/>
      </w:pPr>
      <w:r w:rsidRPr="0051093E">
        <w:t>Chesapeake stated that the revenues collect</w:t>
      </w:r>
      <w:r w:rsidR="00672874">
        <w:t>ed for 2019 were $4,099,554</w:t>
      </w:r>
      <w:r w:rsidRPr="0051093E">
        <w:t>, compared to</w:t>
      </w:r>
      <w:r w:rsidR="00672874">
        <w:t xml:space="preserve"> a revenue requirement of $3,703,085</w:t>
      </w:r>
      <w:r w:rsidRPr="0051093E">
        <w:t xml:space="preserve">, resulting in </w:t>
      </w:r>
      <w:r w:rsidR="00D7209A">
        <w:t xml:space="preserve">an </w:t>
      </w:r>
      <w:r w:rsidRPr="0051093E">
        <w:t>ove</w:t>
      </w:r>
      <w:r w:rsidR="00672874">
        <w:t>r-recovery of $396,469. The 2018 over-recovery of $192,146, 2019 over-recovery of $396,469</w:t>
      </w:r>
      <w:r w:rsidRPr="0051093E">
        <w:t>, and interest of $1</w:t>
      </w:r>
      <w:r w:rsidR="00672874">
        <w:t>1,270</w:t>
      </w:r>
      <w:r w:rsidRPr="0051093E">
        <w:t xml:space="preserve"> associated with any over- and under-recoveries</w:t>
      </w:r>
      <w:r w:rsidR="00672874">
        <w:t xml:space="preserve"> results in a final 2019 over-recovery of $599,885</w:t>
      </w:r>
      <w:r w:rsidRPr="0051093E">
        <w:t>.</w:t>
      </w:r>
    </w:p>
    <w:p w:rsidR="00BB572C" w:rsidRDefault="00BB572C" w:rsidP="00BB572C">
      <w:pPr>
        <w:pStyle w:val="Second-LevelSubheading"/>
      </w:pPr>
      <w:r>
        <w:t>Actual/Estimated 2020 True-up</w:t>
      </w:r>
    </w:p>
    <w:p w:rsidR="008B5A3F" w:rsidRDefault="00672874" w:rsidP="00EF3F79">
      <w:pPr>
        <w:pStyle w:val="BodyText"/>
      </w:pPr>
      <w:r w:rsidRPr="00672874">
        <w:t>Chesapeake provided actual GRIP revenu</w:t>
      </w:r>
      <w:r>
        <w:t>es for January through July 2020</w:t>
      </w:r>
      <w:r w:rsidRPr="00672874">
        <w:t xml:space="preserve"> and estimated revenues </w:t>
      </w:r>
      <w:r>
        <w:t>for August through December 2020, totaling $3,053,757</w:t>
      </w:r>
      <w:r w:rsidRPr="00672874">
        <w:t>, compared to an actual/estimated r</w:t>
      </w:r>
      <w:r>
        <w:t>evenue requirement of $3,951,203</w:t>
      </w:r>
      <w:r w:rsidR="008B5A3F">
        <w:t>, resulting in an under-recovery of $897,446</w:t>
      </w:r>
      <w:r w:rsidRPr="00672874">
        <w:t xml:space="preserve">. The </w:t>
      </w:r>
      <w:r>
        <w:t>2019 over-recovery of $599,885, 2020</w:t>
      </w:r>
      <w:r w:rsidR="008B5A3F">
        <w:t xml:space="preserve"> under-recovery of $897,446, and interest of $2,807</w:t>
      </w:r>
      <w:r w:rsidRPr="00672874">
        <w:t xml:space="preserve"> associated with any over- and under-re</w:t>
      </w:r>
      <w:r w:rsidR="008B5A3F">
        <w:t>coveries results in a total 2020 under-recovery of $294,754</w:t>
      </w:r>
      <w:r w:rsidRPr="00672874">
        <w:t>.</w:t>
      </w:r>
    </w:p>
    <w:p w:rsidR="00BB572C" w:rsidRDefault="00BB572C" w:rsidP="00BB572C">
      <w:pPr>
        <w:pStyle w:val="Second-LevelSubheading"/>
      </w:pPr>
      <w:r>
        <w:t>Projected 2021 Costs</w:t>
      </w:r>
    </w:p>
    <w:p w:rsidR="008B5A3F" w:rsidRDefault="008B5A3F" w:rsidP="00EF3F79">
      <w:pPr>
        <w:pStyle w:val="BodyText"/>
      </w:pPr>
      <w:r w:rsidRPr="008B5A3F">
        <w:t>Chesapeake projects capital expenditures of $</w:t>
      </w:r>
      <w:r w:rsidR="00A05F26">
        <w:t>250,000</w:t>
      </w:r>
      <w:r>
        <w:t xml:space="preserve"> </w:t>
      </w:r>
      <w:r w:rsidRPr="008B5A3F">
        <w:t xml:space="preserve">for the replacement of cast iron/bare </w:t>
      </w:r>
      <w:r>
        <w:t>steel infrastructure in 2021</w:t>
      </w:r>
      <w:r w:rsidRPr="008B5A3F">
        <w:t xml:space="preserve">. </w:t>
      </w:r>
      <w:r w:rsidR="00D56428">
        <w:t xml:space="preserve">Chesapeake has almost completed its infrastructure replacement project, two years ahead of the originally scheduled completion date of 2022, with only one replacement project in Plant City scheduled for 2021. </w:t>
      </w:r>
      <w:r w:rsidRPr="008B5A3F">
        <w:t>The return on investment</w:t>
      </w:r>
      <w:r w:rsidR="00ED4BB5">
        <w:t xml:space="preserve"> (calculated on the total GRIP investment installed to date)</w:t>
      </w:r>
      <w:r w:rsidRPr="008B5A3F">
        <w:t>, depreciation expense, and property tax and customer notification expense to be rec</w:t>
      </w:r>
      <w:r>
        <w:t>overed in 2021 totals $3,843,929</w:t>
      </w:r>
      <w:r w:rsidRPr="008B5A3F">
        <w:t xml:space="preserve">. </w:t>
      </w:r>
      <w:r w:rsidR="008269F4">
        <w:t>After adding</w:t>
      </w:r>
      <w:r>
        <w:t xml:space="preserve"> the total 2020 under</w:t>
      </w:r>
      <w:r w:rsidRPr="008B5A3F">
        <w:t>-reco</w:t>
      </w:r>
      <w:r>
        <w:t>very of $294,754, the total 2021</w:t>
      </w:r>
      <w:r w:rsidRPr="008B5A3F">
        <w:t xml:space="preserve"> revenue r</w:t>
      </w:r>
      <w:r w:rsidR="008269F4">
        <w:t>equirement is $4,138,683</w:t>
      </w:r>
      <w:r w:rsidR="00222A77">
        <w:t>. Table 1-</w:t>
      </w:r>
      <w:r w:rsidRPr="008B5A3F">
        <w:t>2 shows Chesapeake’s 202</w:t>
      </w:r>
      <w:r w:rsidR="00D7209A">
        <w:t>1</w:t>
      </w:r>
      <w:r w:rsidRPr="008B5A3F">
        <w:t xml:space="preserve"> revenue requirement calculation.</w:t>
      </w:r>
    </w:p>
    <w:p w:rsidR="006806D2" w:rsidRDefault="006806D2" w:rsidP="0021115C">
      <w:pPr>
        <w:pStyle w:val="TableNumber"/>
        <w:keepNext/>
        <w:sectPr w:rsidR="006806D2"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21115C" w:rsidRDefault="0021115C" w:rsidP="0021115C">
      <w:pPr>
        <w:pStyle w:val="TableNumber"/>
        <w:keepNext/>
      </w:pPr>
      <w:r>
        <w:lastRenderedPageBreak/>
        <w:t xml:space="preserve">Table </w:t>
      </w:r>
      <w:fldSimple w:instr=" SEQ Issue \c ">
        <w:r w:rsidR="00EF756D">
          <w:rPr>
            <w:noProof/>
          </w:rPr>
          <w:t>1</w:t>
        </w:r>
      </w:fldSimple>
      <w:r>
        <w:t>-2</w:t>
      </w:r>
    </w:p>
    <w:p w:rsidR="0021115C" w:rsidRDefault="0021115C" w:rsidP="0021115C">
      <w:pPr>
        <w:pStyle w:val="TableTitle"/>
        <w:keepNext/>
      </w:pPr>
      <w:r>
        <w:t>Chesapeake 2021 Revenue Requirement Calculation</w:t>
      </w:r>
    </w:p>
    <w:tbl>
      <w:tblPr>
        <w:tblStyle w:val="TableGrid"/>
        <w:tblW w:w="0" w:type="auto"/>
        <w:tblLook w:val="04A0" w:firstRow="1" w:lastRow="0" w:firstColumn="1" w:lastColumn="0" w:noHBand="0" w:noVBand="1"/>
      </w:tblPr>
      <w:tblGrid>
        <w:gridCol w:w="4788"/>
        <w:gridCol w:w="4788"/>
      </w:tblGrid>
      <w:tr w:rsidR="0021115C" w:rsidTr="0021115C">
        <w:tc>
          <w:tcPr>
            <w:tcW w:w="4788" w:type="dxa"/>
            <w:tcBorders>
              <w:bottom w:val="single" w:sz="4" w:space="0" w:color="auto"/>
              <w:right w:val="nil"/>
            </w:tcBorders>
          </w:tcPr>
          <w:p w:rsidR="0021115C" w:rsidRDefault="0021115C" w:rsidP="0021115C">
            <w:r>
              <w:t>2021 Projected Expenditures</w:t>
            </w:r>
          </w:p>
        </w:tc>
        <w:tc>
          <w:tcPr>
            <w:tcW w:w="4788" w:type="dxa"/>
            <w:tcBorders>
              <w:left w:val="nil"/>
              <w:bottom w:val="single" w:sz="4" w:space="0" w:color="auto"/>
            </w:tcBorders>
          </w:tcPr>
          <w:p w:rsidR="0021115C" w:rsidRDefault="0021115C" w:rsidP="0021115C">
            <w:pPr>
              <w:jc w:val="right"/>
            </w:pPr>
            <w:r>
              <w:t>$250,000</w:t>
            </w:r>
          </w:p>
        </w:tc>
      </w:tr>
      <w:tr w:rsidR="0021115C" w:rsidTr="0021115C">
        <w:tc>
          <w:tcPr>
            <w:tcW w:w="4788" w:type="dxa"/>
            <w:tcBorders>
              <w:bottom w:val="nil"/>
              <w:right w:val="nil"/>
            </w:tcBorders>
          </w:tcPr>
          <w:p w:rsidR="0021115C" w:rsidRDefault="0021115C" w:rsidP="00ED4BB5">
            <w:r>
              <w:t>Return on Investment</w:t>
            </w:r>
          </w:p>
        </w:tc>
        <w:tc>
          <w:tcPr>
            <w:tcW w:w="4788" w:type="dxa"/>
            <w:tcBorders>
              <w:left w:val="nil"/>
              <w:bottom w:val="nil"/>
            </w:tcBorders>
          </w:tcPr>
          <w:p w:rsidR="0021115C" w:rsidRDefault="0021115C" w:rsidP="0021115C">
            <w:pPr>
              <w:jc w:val="right"/>
            </w:pPr>
            <w:r>
              <w:t>$2,380,672</w:t>
            </w:r>
          </w:p>
        </w:tc>
      </w:tr>
      <w:tr w:rsidR="0021115C" w:rsidTr="0021115C">
        <w:tc>
          <w:tcPr>
            <w:tcW w:w="4788" w:type="dxa"/>
            <w:tcBorders>
              <w:top w:val="nil"/>
              <w:bottom w:val="nil"/>
              <w:right w:val="nil"/>
            </w:tcBorders>
          </w:tcPr>
          <w:p w:rsidR="0021115C" w:rsidRDefault="0021115C" w:rsidP="0021115C">
            <w:r>
              <w:t>Depreciation Expense</w:t>
            </w:r>
          </w:p>
        </w:tc>
        <w:tc>
          <w:tcPr>
            <w:tcW w:w="4788" w:type="dxa"/>
            <w:tcBorders>
              <w:top w:val="nil"/>
              <w:left w:val="nil"/>
              <w:bottom w:val="nil"/>
            </w:tcBorders>
          </w:tcPr>
          <w:p w:rsidR="0021115C" w:rsidRDefault="0021115C" w:rsidP="0021115C">
            <w:pPr>
              <w:jc w:val="right"/>
            </w:pPr>
            <w:r>
              <w:t>779,113</w:t>
            </w:r>
          </w:p>
        </w:tc>
      </w:tr>
      <w:tr w:rsidR="0021115C" w:rsidTr="0021115C">
        <w:tc>
          <w:tcPr>
            <w:tcW w:w="4788" w:type="dxa"/>
            <w:tcBorders>
              <w:top w:val="nil"/>
              <w:bottom w:val="nil"/>
              <w:right w:val="nil"/>
            </w:tcBorders>
          </w:tcPr>
          <w:p w:rsidR="0021115C" w:rsidRDefault="0021115C" w:rsidP="0021115C">
            <w:r>
              <w:t>Property Tax and Customer Notice Expense</w:t>
            </w:r>
          </w:p>
        </w:tc>
        <w:tc>
          <w:tcPr>
            <w:tcW w:w="4788" w:type="dxa"/>
            <w:tcBorders>
              <w:top w:val="nil"/>
              <w:left w:val="nil"/>
              <w:bottom w:val="nil"/>
            </w:tcBorders>
          </w:tcPr>
          <w:p w:rsidR="0021115C" w:rsidRPr="0021115C" w:rsidRDefault="0021115C" w:rsidP="0021115C">
            <w:pPr>
              <w:jc w:val="right"/>
              <w:rPr>
                <w:u w:val="single"/>
              </w:rPr>
            </w:pPr>
            <w:r w:rsidRPr="0021115C">
              <w:rPr>
                <w:u w:val="single"/>
              </w:rPr>
              <w:t>684,144</w:t>
            </w:r>
          </w:p>
        </w:tc>
      </w:tr>
      <w:tr w:rsidR="0021115C" w:rsidTr="0021115C">
        <w:tc>
          <w:tcPr>
            <w:tcW w:w="4788" w:type="dxa"/>
            <w:tcBorders>
              <w:top w:val="nil"/>
              <w:bottom w:val="nil"/>
              <w:right w:val="nil"/>
            </w:tcBorders>
          </w:tcPr>
          <w:p w:rsidR="0021115C" w:rsidRDefault="0021115C" w:rsidP="00ED4BB5">
            <w:r>
              <w:t>2021 Revenue Requirement</w:t>
            </w:r>
          </w:p>
        </w:tc>
        <w:tc>
          <w:tcPr>
            <w:tcW w:w="4788" w:type="dxa"/>
            <w:tcBorders>
              <w:top w:val="nil"/>
              <w:left w:val="nil"/>
              <w:bottom w:val="nil"/>
            </w:tcBorders>
          </w:tcPr>
          <w:p w:rsidR="0021115C" w:rsidRDefault="0021115C" w:rsidP="0021115C">
            <w:pPr>
              <w:jc w:val="right"/>
            </w:pPr>
            <w:r>
              <w:t>$3,843,929</w:t>
            </w:r>
          </w:p>
        </w:tc>
      </w:tr>
      <w:tr w:rsidR="0021115C" w:rsidTr="0021115C">
        <w:tc>
          <w:tcPr>
            <w:tcW w:w="4788" w:type="dxa"/>
            <w:tcBorders>
              <w:top w:val="nil"/>
              <w:bottom w:val="nil"/>
              <w:right w:val="nil"/>
            </w:tcBorders>
          </w:tcPr>
          <w:p w:rsidR="0021115C" w:rsidRDefault="0021115C" w:rsidP="0021115C">
            <w:r>
              <w:t>Plus 2020 Under-recovery</w:t>
            </w:r>
          </w:p>
        </w:tc>
        <w:tc>
          <w:tcPr>
            <w:tcW w:w="4788" w:type="dxa"/>
            <w:tcBorders>
              <w:top w:val="nil"/>
              <w:left w:val="nil"/>
              <w:bottom w:val="nil"/>
            </w:tcBorders>
          </w:tcPr>
          <w:p w:rsidR="0021115C" w:rsidRPr="0021115C" w:rsidRDefault="0021115C" w:rsidP="0021115C">
            <w:pPr>
              <w:jc w:val="right"/>
              <w:rPr>
                <w:u w:val="single"/>
              </w:rPr>
            </w:pPr>
            <w:r w:rsidRPr="0021115C">
              <w:rPr>
                <w:u w:val="single"/>
              </w:rPr>
              <w:t>294,754</w:t>
            </w:r>
          </w:p>
        </w:tc>
      </w:tr>
      <w:tr w:rsidR="0021115C" w:rsidTr="0021115C">
        <w:tc>
          <w:tcPr>
            <w:tcW w:w="4788" w:type="dxa"/>
            <w:tcBorders>
              <w:top w:val="nil"/>
              <w:right w:val="nil"/>
            </w:tcBorders>
          </w:tcPr>
          <w:p w:rsidR="0021115C" w:rsidRDefault="0021115C" w:rsidP="0021115C">
            <w:r>
              <w:t xml:space="preserve">2021 Total Revenue Requirement </w:t>
            </w:r>
          </w:p>
        </w:tc>
        <w:tc>
          <w:tcPr>
            <w:tcW w:w="4788" w:type="dxa"/>
            <w:tcBorders>
              <w:top w:val="nil"/>
              <w:left w:val="nil"/>
            </w:tcBorders>
          </w:tcPr>
          <w:p w:rsidR="0021115C" w:rsidRDefault="0021115C" w:rsidP="0021115C">
            <w:pPr>
              <w:jc w:val="right"/>
            </w:pPr>
            <w:r>
              <w:t>$4,138,683</w:t>
            </w:r>
          </w:p>
        </w:tc>
      </w:tr>
    </w:tbl>
    <w:p w:rsidR="00ED4BB5" w:rsidRDefault="0021115C" w:rsidP="00ED4BB5">
      <w:pPr>
        <w:pStyle w:val="TableSource"/>
      </w:pPr>
      <w:r>
        <w:t>Source: Schedule C-2, page 10 of 18 in petition (Docket No. 20200207-GU)</w:t>
      </w:r>
      <w:r w:rsidR="006806D2">
        <w:t>.</w:t>
      </w:r>
    </w:p>
    <w:p w:rsidR="00BB572C" w:rsidRDefault="00BB572C" w:rsidP="00BB572C">
      <w:pPr>
        <w:pStyle w:val="First-LevelSubheading"/>
      </w:pPr>
      <w:r>
        <w:t>Fort Meade’s True-ups by Year</w:t>
      </w:r>
    </w:p>
    <w:p w:rsidR="00C014C0" w:rsidRDefault="00DD7C0D" w:rsidP="00EF3F79">
      <w:pPr>
        <w:pStyle w:val="BodyText"/>
      </w:pPr>
      <w:r w:rsidRPr="00DD7C0D">
        <w:t xml:space="preserve">Fort Meade started its replacement program in 2016 and first implemented GRIP surcharges in January 2017. Unlike FPUC and Chesapeake, only bare steel services (and no mains) require replacement in Fort Meade. Fort Meade’s replacement program was </w:t>
      </w:r>
      <w:r w:rsidR="00C014C0">
        <w:t>completed in 2019.</w:t>
      </w:r>
    </w:p>
    <w:p w:rsidR="00BB572C" w:rsidRDefault="00BB572C" w:rsidP="00BB572C">
      <w:pPr>
        <w:pStyle w:val="Second-LevelSubheading"/>
      </w:pPr>
      <w:r>
        <w:t>Final True-up for 2019</w:t>
      </w:r>
    </w:p>
    <w:p w:rsidR="00BB572C" w:rsidRDefault="00C014C0" w:rsidP="00EF3F79">
      <w:pPr>
        <w:pStyle w:val="BodyText"/>
      </w:pPr>
      <w:r w:rsidRPr="00C014C0">
        <w:t>Fort Meade stated that</w:t>
      </w:r>
      <w:r>
        <w:t xml:space="preserve"> the revenues collected for 2019 were $29,923</w:t>
      </w:r>
      <w:r w:rsidRPr="00C014C0">
        <w:t xml:space="preserve">, compared to </w:t>
      </w:r>
      <w:r>
        <w:t>a revenue requirement of $24,087, resulting in an over</w:t>
      </w:r>
      <w:r w:rsidRPr="00C014C0">
        <w:t>-reco</w:t>
      </w:r>
      <w:r>
        <w:t>very of $5,836</w:t>
      </w:r>
      <w:r w:rsidR="009262C4">
        <w:t>. Adding the 2018 under</w:t>
      </w:r>
      <w:r>
        <w:t>-</w:t>
      </w:r>
      <w:r w:rsidR="009262C4">
        <w:t>recovery of $3,693</w:t>
      </w:r>
      <w:r>
        <w:t>, the 2019</w:t>
      </w:r>
      <w:r w:rsidR="009262C4">
        <w:t xml:space="preserve"> over-recovery of $5,836, and $29</w:t>
      </w:r>
      <w:r w:rsidRPr="00C014C0">
        <w:t xml:space="preserve"> for interest associated with any over- and </w:t>
      </w:r>
      <w:r>
        <w:t>under-recoveries, the final 2019</w:t>
      </w:r>
      <w:r w:rsidR="00EF57BE">
        <w:t xml:space="preserve"> over-recovery is $2,113</w:t>
      </w:r>
      <w:r w:rsidRPr="00C014C0">
        <w:t>.</w:t>
      </w:r>
    </w:p>
    <w:p w:rsidR="00BB572C" w:rsidRDefault="00BB572C" w:rsidP="00BB572C">
      <w:pPr>
        <w:pStyle w:val="Second-LevelSubheading"/>
      </w:pPr>
      <w:r>
        <w:t>Actual/Estimated 2020 True-up</w:t>
      </w:r>
    </w:p>
    <w:p w:rsidR="00EF57BE" w:rsidRDefault="009262C4" w:rsidP="00EF3F79">
      <w:pPr>
        <w:pStyle w:val="BodyText"/>
      </w:pPr>
      <w:r w:rsidRPr="009262C4">
        <w:t>Fort Meade provided actual GRIP revenu</w:t>
      </w:r>
      <w:r>
        <w:t>es for January through July 2020</w:t>
      </w:r>
      <w:r w:rsidRPr="009262C4">
        <w:t xml:space="preserve"> and estimated revenues </w:t>
      </w:r>
      <w:r>
        <w:t>for August through December 2020 totaling $29,315</w:t>
      </w:r>
      <w:r w:rsidRPr="009262C4">
        <w:t>, compared to an actual/estimate</w:t>
      </w:r>
      <w:r>
        <w:t>d revenue requirement of $25,474</w:t>
      </w:r>
      <w:r w:rsidRPr="009262C4">
        <w:t>,</w:t>
      </w:r>
      <w:r>
        <w:t xml:space="preserve"> resulting in an over-recovery of $</w:t>
      </w:r>
      <w:r w:rsidR="00EF57BE">
        <w:t>3,841. Adding the 2019 ov</w:t>
      </w:r>
      <w:r w:rsidRPr="009262C4">
        <w:t>er</w:t>
      </w:r>
      <w:r>
        <w:t>-</w:t>
      </w:r>
      <w:r w:rsidR="00EF57BE">
        <w:t>recovery of $2,113, the 2020 over-recovery of $3,841, and interest of $33</w:t>
      </w:r>
      <w:r w:rsidRPr="009262C4">
        <w:t xml:space="preserve"> associated with any over- and under-reco</w:t>
      </w:r>
      <w:r w:rsidR="00EF57BE">
        <w:t>veries, the resulting total 2020</w:t>
      </w:r>
      <w:r w:rsidRPr="009262C4">
        <w:t xml:space="preserve"> true-u</w:t>
      </w:r>
      <w:r w:rsidR="00EF57BE">
        <w:t>p is an over-recovery of $5,987</w:t>
      </w:r>
      <w:r w:rsidRPr="009262C4">
        <w:t>.</w:t>
      </w:r>
    </w:p>
    <w:p w:rsidR="00BB572C" w:rsidRDefault="00BB572C" w:rsidP="00BB572C">
      <w:pPr>
        <w:pStyle w:val="Second-LevelSubheading"/>
      </w:pPr>
      <w:r>
        <w:t>Projected 2021 Costs</w:t>
      </w:r>
    </w:p>
    <w:p w:rsidR="00BB572C" w:rsidRDefault="00EF57BE" w:rsidP="00EF3F79">
      <w:pPr>
        <w:pStyle w:val="BodyText"/>
      </w:pPr>
      <w:r w:rsidRPr="00EF57BE">
        <w:t>Fort Meade projects capital expenditures of $0 for the replacement of cast iron/b</w:t>
      </w:r>
      <w:r>
        <w:t>are steel infrastructure in 2021</w:t>
      </w:r>
      <w:r w:rsidRPr="00EF57BE">
        <w:t>, as the repl</w:t>
      </w:r>
      <w:r>
        <w:t>acement program was</w:t>
      </w:r>
      <w:r w:rsidRPr="00EF57BE">
        <w:t xml:space="preserve"> comple</w:t>
      </w:r>
      <w:r>
        <w:t>ted in 2019. Therefore, the 2021</w:t>
      </w:r>
      <w:r w:rsidRPr="00EF57BE">
        <w:t xml:space="preserve"> GRIP factors are designed to</w:t>
      </w:r>
      <w:r>
        <w:t xml:space="preserve"> only recover the remaining 2020 over-recovery of $5,987</w:t>
      </w:r>
      <w:r w:rsidRPr="00EF57BE">
        <w:t xml:space="preserve"> and the revenue requirement of </w:t>
      </w:r>
      <w:r>
        <w:t>$25,474 associated with the 2020</w:t>
      </w:r>
      <w:r w:rsidRPr="00EF57BE">
        <w:t xml:space="preserve"> year-end to</w:t>
      </w:r>
      <w:r>
        <w:t>tal investment ($25,474 - $5,987 = $19,</w:t>
      </w:r>
      <w:r w:rsidR="0083563E">
        <w:t>487</w:t>
      </w:r>
      <w:r w:rsidRPr="00EF57BE">
        <w:t>).</w:t>
      </w:r>
    </w:p>
    <w:p w:rsidR="00BB572C" w:rsidRDefault="00BB572C" w:rsidP="00BB572C">
      <w:pPr>
        <w:pStyle w:val="First-LevelSubheading"/>
      </w:pPr>
      <w:r>
        <w:t>Proposed Surcharges for FPUC, Chesapeake, and Fort Meade</w:t>
      </w:r>
    </w:p>
    <w:p w:rsidR="0083563E" w:rsidRDefault="0083563E" w:rsidP="00EF3F79">
      <w:pPr>
        <w:pStyle w:val="BodyText"/>
      </w:pPr>
      <w:r w:rsidRPr="0083563E">
        <w:t xml:space="preserve">As established in the 2012 order approving </w:t>
      </w:r>
      <w:r>
        <w:t>the GRIP program, the total 2021</w:t>
      </w:r>
      <w:r w:rsidRPr="0083563E">
        <w:t xml:space="preserve"> revenue requirement is allocated to the rate classes using the same methodology used for the allocation of mains and services in the cost of service study used in the utilities’ most recent rate case. The respective percent</w:t>
      </w:r>
      <w:r>
        <w:t>ages were multiplied by the 2021</w:t>
      </w:r>
      <w:r w:rsidRPr="0083563E">
        <w:t xml:space="preserve"> revenue requirements and divided by each rate class’ projected </w:t>
      </w:r>
      <w:proofErr w:type="spellStart"/>
      <w:r w:rsidRPr="0083563E">
        <w:t>therm</w:t>
      </w:r>
      <w:proofErr w:type="spellEnd"/>
      <w:r w:rsidRPr="0083563E">
        <w:t xml:space="preserve"> sales to provide the GRIP surcharge for each rate class.</w:t>
      </w:r>
    </w:p>
    <w:p w:rsidR="0083563E" w:rsidRDefault="0083563E" w:rsidP="00EF3F79">
      <w:pPr>
        <w:pStyle w:val="BodyText"/>
      </w:pPr>
      <w:r>
        <w:lastRenderedPageBreak/>
        <w:t>The proposed 2021</w:t>
      </w:r>
      <w:r w:rsidRPr="0083563E">
        <w:t xml:space="preserve"> GRIP surcharge for FPUC’s residential customers on the Residential S</w:t>
      </w:r>
      <w:r>
        <w:t>ervice (RS) schedule is $0.22417</w:t>
      </w:r>
      <w:r w:rsidRPr="0083563E">
        <w:t xml:space="preserve"> per </w:t>
      </w:r>
      <w:proofErr w:type="spellStart"/>
      <w:r w:rsidRPr="0083563E">
        <w:t>therm</w:t>
      </w:r>
      <w:proofErr w:type="spellEnd"/>
      <w:r w:rsidRPr="0083563E">
        <w:t xml:space="preserve"> (compared to t</w:t>
      </w:r>
      <w:r>
        <w:t>he current surcharge of $0.22312</w:t>
      </w:r>
      <w:r w:rsidRPr="0083563E">
        <w:t xml:space="preserve"> per </w:t>
      </w:r>
      <w:proofErr w:type="spellStart"/>
      <w:r w:rsidRPr="0083563E">
        <w:t>therm</w:t>
      </w:r>
      <w:proofErr w:type="spellEnd"/>
      <w:r w:rsidRPr="0083563E">
        <w:t xml:space="preserve">). </w:t>
      </w:r>
      <w:r>
        <w:t>The monthly bill impact is $4.48</w:t>
      </w:r>
      <w:r w:rsidRPr="0083563E">
        <w:t xml:space="preserve"> for a residential customer using 20 </w:t>
      </w:r>
      <w:proofErr w:type="spellStart"/>
      <w:r w:rsidRPr="0083563E">
        <w:t>therms</w:t>
      </w:r>
      <w:proofErr w:type="spellEnd"/>
      <w:r w:rsidRPr="0083563E">
        <w:t xml:space="preserve"> per month. The proposed FPUC tariff page is shown in Attachment B. </w:t>
      </w:r>
    </w:p>
    <w:p w:rsidR="0083563E" w:rsidRDefault="0083563E" w:rsidP="00EF3F79">
      <w:pPr>
        <w:pStyle w:val="BodyText"/>
      </w:pPr>
      <w:r>
        <w:t>The proposed 2021</w:t>
      </w:r>
      <w:r w:rsidRPr="0083563E">
        <w:t xml:space="preserve"> GRIP surcharge for Chesapeake’s residential customers o</w:t>
      </w:r>
      <w:r>
        <w:t>n the FTS-1 schedule is $0.11567</w:t>
      </w:r>
      <w:r w:rsidRPr="0083563E">
        <w:t xml:space="preserve"> per </w:t>
      </w:r>
      <w:proofErr w:type="spellStart"/>
      <w:r w:rsidRPr="0083563E">
        <w:t>therm</w:t>
      </w:r>
      <w:proofErr w:type="spellEnd"/>
      <w:r w:rsidRPr="0083563E">
        <w:t xml:space="preserve"> (compared to t</w:t>
      </w:r>
      <w:r>
        <w:t>he current surcharge of $0.10585</w:t>
      </w:r>
      <w:r w:rsidRPr="0083563E">
        <w:t xml:space="preserve">). </w:t>
      </w:r>
      <w:r>
        <w:t>The monthly bill impact is $2.31</w:t>
      </w:r>
      <w:r w:rsidRPr="0083563E">
        <w:t xml:space="preserve"> for a residential customer using 20 </w:t>
      </w:r>
      <w:proofErr w:type="spellStart"/>
      <w:r w:rsidRPr="0083563E">
        <w:t>therms</w:t>
      </w:r>
      <w:proofErr w:type="spellEnd"/>
      <w:r w:rsidRPr="0083563E">
        <w:t xml:space="preserve"> per month. The proposed Chesapeake tariff pages are contained in Attachment C. </w:t>
      </w:r>
    </w:p>
    <w:p w:rsidR="00BB572C" w:rsidRDefault="0083563E" w:rsidP="00EF3F79">
      <w:pPr>
        <w:pStyle w:val="BodyText"/>
      </w:pPr>
      <w:r>
        <w:t>The proposed 2021</w:t>
      </w:r>
      <w:r w:rsidRPr="0083563E">
        <w:t xml:space="preserve"> GRIP surcharge for Fort Meade’s residential customer</w:t>
      </w:r>
      <w:r>
        <w:t>s on the RS schedule is $0.16325</w:t>
      </w:r>
      <w:r w:rsidRPr="0083563E">
        <w:t xml:space="preserve"> per </w:t>
      </w:r>
      <w:proofErr w:type="spellStart"/>
      <w:r w:rsidRPr="0083563E">
        <w:t>therm</w:t>
      </w:r>
      <w:proofErr w:type="spellEnd"/>
      <w:r w:rsidRPr="0083563E">
        <w:t xml:space="preserve"> (compared to t</w:t>
      </w:r>
      <w:r>
        <w:t>he current surcharge of $0.24865</w:t>
      </w:r>
      <w:r w:rsidRPr="0083563E">
        <w:t>). T</w:t>
      </w:r>
      <w:r>
        <w:t xml:space="preserve">he monthly bill impact is $3.27 </w:t>
      </w:r>
      <w:r w:rsidRPr="0083563E">
        <w:t xml:space="preserve">for a residential customer using 20 </w:t>
      </w:r>
      <w:proofErr w:type="spellStart"/>
      <w:r w:rsidRPr="0083563E">
        <w:t>therms</w:t>
      </w:r>
      <w:proofErr w:type="spellEnd"/>
      <w:r w:rsidRPr="0083563E">
        <w:t xml:space="preserve"> per month. The proposed Fort Meade tariff page is shown in Attachment D.</w:t>
      </w:r>
    </w:p>
    <w:p w:rsidR="00BB572C" w:rsidRDefault="00BB572C" w:rsidP="00BB572C">
      <w:pPr>
        <w:pStyle w:val="First-LevelSubheading"/>
      </w:pPr>
      <w:r>
        <w:t>Conclusion</w:t>
      </w:r>
    </w:p>
    <w:p w:rsidR="0083563E" w:rsidRPr="0083563E" w:rsidRDefault="0083563E" w:rsidP="00EF3F79">
      <w:pPr>
        <w:pStyle w:val="BodyText"/>
      </w:pPr>
      <w:r w:rsidRPr="0083563E">
        <w:t>Staff beli</w:t>
      </w:r>
      <w:r>
        <w:t>eves the calculation of the 2021</w:t>
      </w:r>
      <w:r w:rsidRPr="0083563E">
        <w:t xml:space="preserve"> GRIP surcharge revenue requirement and the proposed GRIP surcharges for FPUC, Chesapeake, and Fort Meade are reasonable and accurate. Staff recommends approval of FPUC’s, Chesapeake’s, and Fort Meade’s proposed GRIP surcharges for the peri</w:t>
      </w:r>
      <w:r>
        <w:t>od January through December 2021</w:t>
      </w:r>
      <w:r w:rsidRPr="0083563E">
        <w:t>.</w:t>
      </w:r>
    </w:p>
    <w:p w:rsidR="00EA6AEB" w:rsidRDefault="00EA6AEB">
      <w:pPr>
        <w:pStyle w:val="IssueHeading"/>
        <w:rPr>
          <w:vanish/>
          <w:specVanish/>
        </w:rPr>
      </w:pPr>
      <w:r w:rsidRPr="004C3641">
        <w:rPr>
          <w:b w:val="0"/>
          <w:i w:val="0"/>
        </w:rPr>
        <w:br w:type="page"/>
      </w:r>
      <w:r w:rsidRPr="004C3641">
        <w:lastRenderedPageBreak/>
        <w:t xml:space="preserve">Issue </w:t>
      </w:r>
      <w:r w:rsidR="00D8735A">
        <w:rPr>
          <w:noProof/>
        </w:rPr>
        <w:fldChar w:fldCharType="begin"/>
      </w:r>
      <w:r w:rsidR="00D8735A">
        <w:rPr>
          <w:noProof/>
        </w:rPr>
        <w:instrText xml:space="preserve"> SEQ Issue \* MERGEFORMAT </w:instrText>
      </w:r>
      <w:r w:rsidR="00D8735A">
        <w:rPr>
          <w:noProof/>
        </w:rPr>
        <w:fldChar w:fldCharType="separate"/>
      </w:r>
      <w:r w:rsidR="00EF756D">
        <w:rPr>
          <w:noProof/>
        </w:rPr>
        <w:t>2</w:t>
      </w:r>
      <w:r w:rsidR="00D8735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F756D">
        <w:rPr>
          <w:noProof/>
        </w:rPr>
        <w:instrText>2</w:instrText>
      </w:r>
      <w:r>
        <w:fldChar w:fldCharType="end"/>
      </w:r>
      <w:r>
        <w:tab/>
        <w:instrText xml:space="preserve">(Ward)" \l 1 </w:instrText>
      </w:r>
      <w:r>
        <w:fldChar w:fldCharType="end"/>
      </w:r>
      <w:r>
        <w:t> </w:t>
      </w:r>
    </w:p>
    <w:p w:rsidR="00EA6AEB" w:rsidRDefault="00EA6AEB">
      <w:pPr>
        <w:pStyle w:val="BodyText"/>
      </w:pPr>
      <w:r>
        <w:t> Should this docket be closed?</w:t>
      </w:r>
    </w:p>
    <w:p w:rsidR="00EA6AEB" w:rsidRPr="004C3641" w:rsidRDefault="00EA6AEB">
      <w:pPr>
        <w:pStyle w:val="IssueSubsectionHeading"/>
        <w:rPr>
          <w:vanish/>
          <w:specVanish/>
        </w:rPr>
      </w:pPr>
      <w:r w:rsidRPr="004C3641">
        <w:t>Recommendation: </w:t>
      </w:r>
    </w:p>
    <w:p w:rsidR="00EA6AEB" w:rsidRDefault="00EA6AEB">
      <w:pPr>
        <w:pStyle w:val="BodyText"/>
      </w:pPr>
      <w:r>
        <w:t> </w:t>
      </w:r>
      <w:r w:rsidR="0083563E" w:rsidRPr="0083563E">
        <w:t>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r w:rsidR="0083563E">
        <w:t xml:space="preserve"> (Osborn</w:t>
      </w:r>
      <w:r w:rsidR="00EF29F3">
        <w:t>, Crawford</w:t>
      </w:r>
      <w:r w:rsidR="0083563E">
        <w:t>)</w:t>
      </w:r>
    </w:p>
    <w:p w:rsidR="00EA6AEB" w:rsidRPr="004C3641" w:rsidRDefault="00EA6AEB">
      <w:pPr>
        <w:pStyle w:val="IssueSubsectionHeading"/>
        <w:rPr>
          <w:vanish/>
          <w:specVanish/>
        </w:rPr>
      </w:pPr>
      <w:r w:rsidRPr="004C3641">
        <w:t>Staff Analysis: </w:t>
      </w:r>
    </w:p>
    <w:p w:rsidR="00EA6AEB" w:rsidRDefault="0083563E">
      <w:pPr>
        <w:pStyle w:val="BodyText"/>
      </w:pPr>
      <w:r>
        <w:t> </w:t>
      </w:r>
      <w:r w:rsidRPr="0083563E">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967397" w:rsidRDefault="00967397" w:rsidP="0021115C">
      <w:pPr>
        <w:sectPr w:rsidR="00967397" w:rsidSect="0068481F">
          <w:pgSz w:w="12240" w:h="15840" w:code="1"/>
          <w:pgMar w:top="1584" w:right="1440" w:bottom="1440" w:left="1440" w:header="720" w:footer="720" w:gutter="0"/>
          <w:cols w:space="720"/>
          <w:formProt w:val="0"/>
          <w:docGrid w:linePitch="360"/>
        </w:sectPr>
      </w:pPr>
    </w:p>
    <w:p w:rsidR="00206F4B" w:rsidRDefault="00EF756D" w:rsidP="009F0D67">
      <w:r w:rsidRPr="00EF756D">
        <w:rPr>
          <w:noProof/>
        </w:rPr>
        <w:lastRenderedPageBreak/>
        <w:drawing>
          <wp:inline distT="0" distB="0" distL="0" distR="0">
            <wp:extent cx="5943600" cy="7686066"/>
            <wp:effectExtent l="0" t="0" r="0" b="0"/>
            <wp:docPr id="3" name="Picture 3" descr="C:\Users\AMICK\AppData\Local\Microsoft\Windows\INetCache\Content.Outlook\ITN5OZ49\20200207 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CK\AppData\Local\Microsoft\Windows\INetCache\Content.Outlook\ITN5OZ49\20200207 Attachment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6066"/>
                    </a:xfrm>
                    <a:prstGeom prst="rect">
                      <a:avLst/>
                    </a:prstGeom>
                    <a:noFill/>
                    <a:ln>
                      <a:noFill/>
                    </a:ln>
                  </pic:spPr>
                </pic:pic>
              </a:graphicData>
            </a:graphic>
          </wp:inline>
        </w:drawing>
      </w:r>
    </w:p>
    <w:p w:rsidR="00967397" w:rsidRPr="00206F4B" w:rsidRDefault="00206F4B" w:rsidP="009F0D67">
      <w:pPr>
        <w:sectPr w:rsidR="00967397" w:rsidRPr="00206F4B" w:rsidSect="0068481F">
          <w:headerReference w:type="default" r:id="rId15"/>
          <w:pgSz w:w="12240" w:h="15840" w:code="1"/>
          <w:pgMar w:top="1584" w:right="1440" w:bottom="1440" w:left="1440" w:header="720" w:footer="720" w:gutter="0"/>
          <w:cols w:space="720"/>
          <w:formProt w:val="0"/>
          <w:docGrid w:linePitch="360"/>
        </w:sectPr>
      </w:pPr>
      <w:r>
        <w:br w:type="page"/>
      </w:r>
    </w:p>
    <w:p w:rsidR="00967397" w:rsidRDefault="00E505C4" w:rsidP="0021115C">
      <w:pPr>
        <w:sectPr w:rsidR="00967397" w:rsidSect="0068481F">
          <w:head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B 0207-G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67397" w:rsidRDefault="005354E9" w:rsidP="0021115C">
      <w:pPr>
        <w:sectPr w:rsidR="00967397" w:rsidSect="0068481F">
          <w:head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18"/>
            <wp:effectExtent l="0" t="0" r="0" b="5080"/>
            <wp:docPr id="6" name="Picture 6" descr="G:\tariff pics\FPUC grip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pics\FPUC grip_Page_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06484" w:rsidRDefault="00E505C4" w:rsidP="0021115C">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D 0207-G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667" w:rsidRDefault="00C64667">
      <w:r>
        <w:separator/>
      </w:r>
    </w:p>
  </w:endnote>
  <w:endnote w:type="continuationSeparator" w:id="0">
    <w:p w:rsidR="00C64667" w:rsidRDefault="00C6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84257">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667" w:rsidRDefault="00C64667">
      <w:r>
        <w:separator/>
      </w:r>
    </w:p>
  </w:footnote>
  <w:footnote w:type="continuationSeparator" w:id="0">
    <w:p w:rsidR="00C64667" w:rsidRDefault="00C64667">
      <w:r>
        <w:continuationSeparator/>
      </w:r>
    </w:p>
  </w:footnote>
  <w:footnote w:id="1">
    <w:p w:rsidR="002F54ED" w:rsidRDefault="002F54ED">
      <w:pPr>
        <w:pStyle w:val="FootnoteText"/>
      </w:pPr>
      <w:r>
        <w:rPr>
          <w:rStyle w:val="FootnoteReference"/>
        </w:rPr>
        <w:footnoteRef/>
      </w:r>
      <w:r>
        <w:t xml:space="preserve"> </w:t>
      </w:r>
      <w:r w:rsidRPr="002F54ED">
        <w:t xml:space="preserve">Order No. PSC-12-0490-TRF-GU, issued September 24, 2012, in Docket No. </w:t>
      </w:r>
      <w:r w:rsidR="006014E0">
        <w:t>20</w:t>
      </w:r>
      <w:r w:rsidRPr="002F54ED">
        <w:t xml:space="preserve">120036-GU, </w:t>
      </w:r>
      <w:r w:rsidRPr="002F54ED">
        <w:rPr>
          <w:i/>
        </w:rPr>
        <w:t>In re: Joint petition for approval of Gas Reliability Infrastructure Program (GRIP) by Florida Public Utilities Company and the Florida Division of Chesapeake Utilities Corporation.</w:t>
      </w:r>
    </w:p>
  </w:footnote>
  <w:footnote w:id="2">
    <w:p w:rsidR="006014E0" w:rsidRDefault="006014E0">
      <w:pPr>
        <w:pStyle w:val="FootnoteText"/>
      </w:pPr>
      <w:r>
        <w:rPr>
          <w:rStyle w:val="FootnoteReference"/>
        </w:rPr>
        <w:footnoteRef/>
      </w:r>
      <w:r>
        <w:t xml:space="preserve"> </w:t>
      </w:r>
      <w:r w:rsidRPr="006014E0">
        <w:t xml:space="preserve">Order No. PSC-15-0578-TRF-GU, issued December 21, 2015, in Docket No. </w:t>
      </w:r>
      <w:r>
        <w:t>20</w:t>
      </w:r>
      <w:r w:rsidRPr="006014E0">
        <w:t xml:space="preserve">150191-GU, </w:t>
      </w:r>
      <w:r w:rsidRPr="006014E0">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r>
        <w:rPr>
          <w:i/>
        </w:rPr>
        <w:t>.</w:t>
      </w:r>
    </w:p>
  </w:footnote>
  <w:footnote w:id="3">
    <w:p w:rsidR="006014E0" w:rsidRDefault="006014E0">
      <w:pPr>
        <w:pStyle w:val="FootnoteText"/>
      </w:pPr>
      <w:r>
        <w:rPr>
          <w:rStyle w:val="FootnoteReference"/>
        </w:rPr>
        <w:footnoteRef/>
      </w:r>
      <w:r>
        <w:t xml:space="preserve"> Order No. PSC-2019-0502-TRF-GU, issued November 25, 2019, in Docket No. 20190173-GU, </w:t>
      </w:r>
      <w:r w:rsidRPr="006014E0">
        <w:rPr>
          <w:i/>
        </w:rPr>
        <w:t>In re: Joint petition for approval of GRIP cost recovery factors, by Florida Public Utilities Company, Florida Public Utilities Company-Fort Meade, and Florida Division of Chesapeake Utilities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EA6AEB"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20200207-GU</w:t>
    </w:r>
    <w:bookmarkEnd w:id="15"/>
  </w:p>
  <w:p w:rsidR="00BC402E" w:rsidRDefault="00BC402E">
    <w:pPr>
      <w:pStyle w:val="Header"/>
    </w:pPr>
    <w:r>
      <w:t xml:space="preserve">Date: </w:t>
    </w:r>
    <w:fldSimple w:instr=" REF FilingDate ">
      <w:r w:rsidR="00EF756D">
        <w:t>November 17, 2020</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F756D">
      <w:t>Docket No.</w:t>
    </w:r>
    <w:r>
      <w:fldChar w:fldCharType="end"/>
    </w:r>
    <w:r>
      <w:t xml:space="preserve"> </w:t>
    </w:r>
    <w:r>
      <w:fldChar w:fldCharType="begin"/>
    </w:r>
    <w:r>
      <w:instrText xml:space="preserve"> REF DocketList</w:instrText>
    </w:r>
    <w:r>
      <w:fldChar w:fldCharType="separate"/>
    </w:r>
    <w:r w:rsidR="00EF756D">
      <w:t>20200207-GU</w:t>
    </w:r>
    <w:r>
      <w:fldChar w:fldCharType="end"/>
    </w:r>
    <w:r w:rsidR="00967397">
      <w:tab/>
      <w:t>Is</w:t>
    </w:r>
    <w:r w:rsidR="0021115C">
      <w:t>su</w:t>
    </w:r>
    <w:r>
      <w:t xml:space="preserve">e </w:t>
    </w:r>
    <w:r w:rsidR="00F86DD4">
      <w:rPr>
        <w:noProof/>
      </w:rPr>
      <w:fldChar w:fldCharType="begin"/>
    </w:r>
    <w:r w:rsidR="00F86DD4">
      <w:rPr>
        <w:noProof/>
      </w:rPr>
      <w:instrText xml:space="preserve"> Seq Issue \c \* Arabic </w:instrText>
    </w:r>
    <w:r w:rsidR="00F86DD4">
      <w:rPr>
        <w:noProof/>
      </w:rPr>
      <w:fldChar w:fldCharType="separate"/>
    </w:r>
    <w:r w:rsidR="00A84257">
      <w:rPr>
        <w:noProof/>
      </w:rPr>
      <w:t>2</w:t>
    </w:r>
    <w:r w:rsidR="00F86DD4">
      <w:rPr>
        <w:noProof/>
      </w:rPr>
      <w:fldChar w:fldCharType="end"/>
    </w:r>
  </w:p>
  <w:p w:rsidR="00BC402E" w:rsidRDefault="00BC402E">
    <w:pPr>
      <w:pStyle w:val="Header"/>
    </w:pPr>
    <w:r>
      <w:t xml:space="preserve">Date: </w:t>
    </w:r>
    <w:fldSimple w:instr=" REF FilingDate ">
      <w:r w:rsidR="00EF756D">
        <w:t>November 17, 2020</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7" w:rsidRDefault="00967397" w:rsidP="00220732">
    <w:pPr>
      <w:pStyle w:val="Header"/>
      <w:tabs>
        <w:tab w:val="clear" w:pos="4320"/>
        <w:tab w:val="clear" w:pos="8640"/>
        <w:tab w:val="right" w:pos="9360"/>
      </w:tabs>
    </w:pPr>
    <w:r>
      <w:fldChar w:fldCharType="begin"/>
    </w:r>
    <w:r>
      <w:instrText xml:space="preserve"> REF DocketLabel</w:instrText>
    </w:r>
    <w:r>
      <w:fldChar w:fldCharType="separate"/>
    </w:r>
    <w:r w:rsidR="00EF756D">
      <w:t>Docket No.</w:t>
    </w:r>
    <w:r>
      <w:fldChar w:fldCharType="end"/>
    </w:r>
    <w:r>
      <w:t xml:space="preserve"> </w:t>
    </w:r>
    <w:r>
      <w:fldChar w:fldCharType="begin"/>
    </w:r>
    <w:r>
      <w:instrText xml:space="preserve"> REF DocketList</w:instrText>
    </w:r>
    <w:r>
      <w:fldChar w:fldCharType="separate"/>
    </w:r>
    <w:r w:rsidR="00EF756D">
      <w:t>20200207-GU</w:t>
    </w:r>
    <w:r>
      <w:fldChar w:fldCharType="end"/>
    </w:r>
    <w:r>
      <w:tab/>
      <w:t>Attachment A</w:t>
    </w:r>
  </w:p>
  <w:p w:rsidR="00967397" w:rsidRDefault="00967397">
    <w:pPr>
      <w:pStyle w:val="Header"/>
    </w:pPr>
    <w:r>
      <w:t xml:space="preserve">Date: </w:t>
    </w:r>
    <w:fldSimple w:instr=" REF FilingDate ">
      <w:r w:rsidR="00EF756D">
        <w:t>November 17, 2020</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7" w:rsidRDefault="00967397" w:rsidP="00220732">
    <w:pPr>
      <w:pStyle w:val="Header"/>
      <w:tabs>
        <w:tab w:val="clear" w:pos="4320"/>
        <w:tab w:val="clear" w:pos="8640"/>
        <w:tab w:val="right" w:pos="9360"/>
      </w:tabs>
    </w:pPr>
    <w:r>
      <w:fldChar w:fldCharType="begin"/>
    </w:r>
    <w:r>
      <w:instrText xml:space="preserve"> REF DocketLabel</w:instrText>
    </w:r>
    <w:r>
      <w:fldChar w:fldCharType="separate"/>
    </w:r>
    <w:r w:rsidR="00EF756D">
      <w:t>Docket No.</w:t>
    </w:r>
    <w:r>
      <w:fldChar w:fldCharType="end"/>
    </w:r>
    <w:r>
      <w:t xml:space="preserve"> </w:t>
    </w:r>
    <w:r>
      <w:fldChar w:fldCharType="begin"/>
    </w:r>
    <w:r>
      <w:instrText xml:space="preserve"> REF DocketList</w:instrText>
    </w:r>
    <w:r>
      <w:fldChar w:fldCharType="separate"/>
    </w:r>
    <w:r w:rsidR="00EF756D">
      <w:t>20200207-GU</w:t>
    </w:r>
    <w:r>
      <w:fldChar w:fldCharType="end"/>
    </w:r>
    <w:r>
      <w:tab/>
      <w:t>Attachment B</w:t>
    </w:r>
  </w:p>
  <w:p w:rsidR="00967397" w:rsidRDefault="00967397">
    <w:pPr>
      <w:pStyle w:val="Header"/>
    </w:pPr>
    <w:r>
      <w:t xml:space="preserve">Date: </w:t>
    </w:r>
    <w:fldSimple w:instr=" REF FilingDate ">
      <w:r w:rsidR="00EF756D">
        <w:t>November 17, 2020</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7" w:rsidRDefault="00967397" w:rsidP="00220732">
    <w:pPr>
      <w:pStyle w:val="Header"/>
      <w:tabs>
        <w:tab w:val="clear" w:pos="4320"/>
        <w:tab w:val="clear" w:pos="8640"/>
        <w:tab w:val="right" w:pos="9360"/>
      </w:tabs>
    </w:pPr>
    <w:r>
      <w:fldChar w:fldCharType="begin"/>
    </w:r>
    <w:r>
      <w:instrText xml:space="preserve"> REF DocketLabel</w:instrText>
    </w:r>
    <w:r>
      <w:fldChar w:fldCharType="separate"/>
    </w:r>
    <w:r w:rsidR="00EF756D">
      <w:t>Docket No.</w:t>
    </w:r>
    <w:r>
      <w:fldChar w:fldCharType="end"/>
    </w:r>
    <w:r>
      <w:t xml:space="preserve"> </w:t>
    </w:r>
    <w:r>
      <w:fldChar w:fldCharType="begin"/>
    </w:r>
    <w:r>
      <w:instrText xml:space="preserve"> REF DocketList</w:instrText>
    </w:r>
    <w:r>
      <w:fldChar w:fldCharType="separate"/>
    </w:r>
    <w:r w:rsidR="00EF756D">
      <w:t>20200207-GU</w:t>
    </w:r>
    <w:r>
      <w:fldChar w:fldCharType="end"/>
    </w:r>
    <w:r>
      <w:tab/>
      <w:t>Attachment C</w:t>
    </w:r>
  </w:p>
  <w:p w:rsidR="00967397" w:rsidRDefault="00967397">
    <w:pPr>
      <w:pStyle w:val="Header"/>
    </w:pPr>
    <w:r>
      <w:t xml:space="preserve">Date: </w:t>
    </w:r>
    <w:fldSimple w:instr=" REF FilingDate ">
      <w:r w:rsidR="00EF756D">
        <w:t>November 17, 2020</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7" w:rsidRDefault="00967397" w:rsidP="00220732">
    <w:pPr>
      <w:pStyle w:val="Header"/>
      <w:tabs>
        <w:tab w:val="clear" w:pos="4320"/>
        <w:tab w:val="clear" w:pos="8640"/>
        <w:tab w:val="right" w:pos="9360"/>
      </w:tabs>
    </w:pPr>
    <w:r>
      <w:fldChar w:fldCharType="begin"/>
    </w:r>
    <w:r>
      <w:instrText xml:space="preserve"> REF DocketLabel</w:instrText>
    </w:r>
    <w:r>
      <w:fldChar w:fldCharType="separate"/>
    </w:r>
    <w:r w:rsidR="00EF756D">
      <w:t>Docket No.</w:t>
    </w:r>
    <w:r>
      <w:fldChar w:fldCharType="end"/>
    </w:r>
    <w:r>
      <w:t xml:space="preserve"> </w:t>
    </w:r>
    <w:r>
      <w:fldChar w:fldCharType="begin"/>
    </w:r>
    <w:r>
      <w:instrText xml:space="preserve"> REF DocketList</w:instrText>
    </w:r>
    <w:r>
      <w:fldChar w:fldCharType="separate"/>
    </w:r>
    <w:r w:rsidR="00EF756D">
      <w:t>20200207-GU</w:t>
    </w:r>
    <w:r>
      <w:fldChar w:fldCharType="end"/>
    </w:r>
    <w:r>
      <w:tab/>
      <w:t>Attachment D</w:t>
    </w:r>
  </w:p>
  <w:p w:rsidR="00967397" w:rsidRDefault="00967397">
    <w:pPr>
      <w:pStyle w:val="Header"/>
    </w:pPr>
    <w:r>
      <w:t xml:space="preserve">Date: </w:t>
    </w:r>
    <w:fldSimple w:instr=" REF FilingDate ">
      <w:r w:rsidR="00EF756D">
        <w:t>November 17, 2020</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A6AEB"/>
    <w:rsid w:val="000043D5"/>
    <w:rsid w:val="00006170"/>
    <w:rsid w:val="00010E37"/>
    <w:rsid w:val="000172DA"/>
    <w:rsid w:val="000247C5"/>
    <w:rsid w:val="000277C2"/>
    <w:rsid w:val="00035B48"/>
    <w:rsid w:val="00036CE2"/>
    <w:rsid w:val="000437FE"/>
    <w:rsid w:val="000513BE"/>
    <w:rsid w:val="00065A06"/>
    <w:rsid w:val="000666F3"/>
    <w:rsid w:val="00070DCB"/>
    <w:rsid w:val="00072854"/>
    <w:rsid w:val="00072CCA"/>
    <w:rsid w:val="00073120"/>
    <w:rsid w:val="000764D0"/>
    <w:rsid w:val="000828D3"/>
    <w:rsid w:val="000A2B57"/>
    <w:rsid w:val="000A418B"/>
    <w:rsid w:val="000C115E"/>
    <w:rsid w:val="000C4431"/>
    <w:rsid w:val="000D1C06"/>
    <w:rsid w:val="000D4319"/>
    <w:rsid w:val="000F374A"/>
    <w:rsid w:val="001076AF"/>
    <w:rsid w:val="00117C8C"/>
    <w:rsid w:val="00124C38"/>
    <w:rsid w:val="00124E2E"/>
    <w:rsid w:val="00125ED4"/>
    <w:rsid w:val="001305E9"/>
    <w:rsid w:val="001307AF"/>
    <w:rsid w:val="00135687"/>
    <w:rsid w:val="001434A9"/>
    <w:rsid w:val="0015506E"/>
    <w:rsid w:val="00163031"/>
    <w:rsid w:val="00170967"/>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06F4B"/>
    <w:rsid w:val="0021115C"/>
    <w:rsid w:val="00212B17"/>
    <w:rsid w:val="002163B6"/>
    <w:rsid w:val="00220732"/>
    <w:rsid w:val="00221D32"/>
    <w:rsid w:val="00222A77"/>
    <w:rsid w:val="00225C3F"/>
    <w:rsid w:val="00263D44"/>
    <w:rsid w:val="002702AD"/>
    <w:rsid w:val="00292D82"/>
    <w:rsid w:val="002963CB"/>
    <w:rsid w:val="002A2449"/>
    <w:rsid w:val="002B4A01"/>
    <w:rsid w:val="002B5EFA"/>
    <w:rsid w:val="002D226D"/>
    <w:rsid w:val="002F54ED"/>
    <w:rsid w:val="002F6030"/>
    <w:rsid w:val="003037E1"/>
    <w:rsid w:val="00307E51"/>
    <w:rsid w:val="003103EC"/>
    <w:rsid w:val="003144EF"/>
    <w:rsid w:val="00322F74"/>
    <w:rsid w:val="00340073"/>
    <w:rsid w:val="003632FD"/>
    <w:rsid w:val="00372805"/>
    <w:rsid w:val="00373180"/>
    <w:rsid w:val="00375AB9"/>
    <w:rsid w:val="00376B10"/>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30E8"/>
    <w:rsid w:val="004426B8"/>
    <w:rsid w:val="00444432"/>
    <w:rsid w:val="00471860"/>
    <w:rsid w:val="00477026"/>
    <w:rsid w:val="00483778"/>
    <w:rsid w:val="004A744D"/>
    <w:rsid w:val="004B60BD"/>
    <w:rsid w:val="004B73A7"/>
    <w:rsid w:val="004C3150"/>
    <w:rsid w:val="004C3641"/>
    <w:rsid w:val="004C4390"/>
    <w:rsid w:val="004C4AF7"/>
    <w:rsid w:val="004D2881"/>
    <w:rsid w:val="004D385F"/>
    <w:rsid w:val="004D5B39"/>
    <w:rsid w:val="004E330D"/>
    <w:rsid w:val="004E5147"/>
    <w:rsid w:val="004E69B5"/>
    <w:rsid w:val="004F5C43"/>
    <w:rsid w:val="0050652D"/>
    <w:rsid w:val="00506C03"/>
    <w:rsid w:val="0051093E"/>
    <w:rsid w:val="00511A11"/>
    <w:rsid w:val="0051217C"/>
    <w:rsid w:val="00516496"/>
    <w:rsid w:val="00523B11"/>
    <w:rsid w:val="0052572A"/>
    <w:rsid w:val="00532DFB"/>
    <w:rsid w:val="005354E9"/>
    <w:rsid w:val="00543CB3"/>
    <w:rsid w:val="005442E4"/>
    <w:rsid w:val="0055529B"/>
    <w:rsid w:val="00560FF0"/>
    <w:rsid w:val="005614BD"/>
    <w:rsid w:val="0056300D"/>
    <w:rsid w:val="0057154F"/>
    <w:rsid w:val="00580F69"/>
    <w:rsid w:val="00581CA3"/>
    <w:rsid w:val="00587A44"/>
    <w:rsid w:val="00597730"/>
    <w:rsid w:val="005977EC"/>
    <w:rsid w:val="00597DE7"/>
    <w:rsid w:val="005A168A"/>
    <w:rsid w:val="005A4AA2"/>
    <w:rsid w:val="005B34B6"/>
    <w:rsid w:val="005B42B1"/>
    <w:rsid w:val="005B6C8F"/>
    <w:rsid w:val="005B6EC3"/>
    <w:rsid w:val="005D0F74"/>
    <w:rsid w:val="005D2E7D"/>
    <w:rsid w:val="005D4A8F"/>
    <w:rsid w:val="005D561B"/>
    <w:rsid w:val="005D5ECF"/>
    <w:rsid w:val="005F468D"/>
    <w:rsid w:val="005F69A3"/>
    <w:rsid w:val="006014E0"/>
    <w:rsid w:val="00604CC7"/>
    <w:rsid w:val="00615423"/>
    <w:rsid w:val="006165B2"/>
    <w:rsid w:val="00617276"/>
    <w:rsid w:val="006241BF"/>
    <w:rsid w:val="0062527B"/>
    <w:rsid w:val="00625D97"/>
    <w:rsid w:val="00625F1C"/>
    <w:rsid w:val="006279E1"/>
    <w:rsid w:val="00630CEB"/>
    <w:rsid w:val="00632264"/>
    <w:rsid w:val="006470BC"/>
    <w:rsid w:val="006554D3"/>
    <w:rsid w:val="00667036"/>
    <w:rsid w:val="00672874"/>
    <w:rsid w:val="00673BDB"/>
    <w:rsid w:val="00674341"/>
    <w:rsid w:val="006771B8"/>
    <w:rsid w:val="006806D2"/>
    <w:rsid w:val="006843B6"/>
    <w:rsid w:val="0068481F"/>
    <w:rsid w:val="00696F5D"/>
    <w:rsid w:val="00697249"/>
    <w:rsid w:val="006A1F5A"/>
    <w:rsid w:val="006B3947"/>
    <w:rsid w:val="006B4293"/>
    <w:rsid w:val="006B624F"/>
    <w:rsid w:val="006C0C95"/>
    <w:rsid w:val="006C31E3"/>
    <w:rsid w:val="006D18D3"/>
    <w:rsid w:val="006E08CB"/>
    <w:rsid w:val="006E3E65"/>
    <w:rsid w:val="006E598D"/>
    <w:rsid w:val="0070437D"/>
    <w:rsid w:val="00704CF1"/>
    <w:rsid w:val="00705B04"/>
    <w:rsid w:val="00724992"/>
    <w:rsid w:val="00734820"/>
    <w:rsid w:val="007349DC"/>
    <w:rsid w:val="0074365E"/>
    <w:rsid w:val="00744B55"/>
    <w:rsid w:val="00745DF4"/>
    <w:rsid w:val="00745FCA"/>
    <w:rsid w:val="007515FD"/>
    <w:rsid w:val="00756E12"/>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69F4"/>
    <w:rsid w:val="00832DDC"/>
    <w:rsid w:val="0083563E"/>
    <w:rsid w:val="00850BAC"/>
    <w:rsid w:val="00854A3E"/>
    <w:rsid w:val="00855D08"/>
    <w:rsid w:val="00874344"/>
    <w:rsid w:val="00882155"/>
    <w:rsid w:val="0088233B"/>
    <w:rsid w:val="0088599E"/>
    <w:rsid w:val="00886C37"/>
    <w:rsid w:val="00892D99"/>
    <w:rsid w:val="00893315"/>
    <w:rsid w:val="008B5A3F"/>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463A"/>
    <w:rsid w:val="009262C4"/>
    <w:rsid w:val="009271A7"/>
    <w:rsid w:val="00933A75"/>
    <w:rsid w:val="0093658B"/>
    <w:rsid w:val="009429FF"/>
    <w:rsid w:val="00945BD6"/>
    <w:rsid w:val="009479FB"/>
    <w:rsid w:val="00951C45"/>
    <w:rsid w:val="009656F2"/>
    <w:rsid w:val="00966A08"/>
    <w:rsid w:val="00967397"/>
    <w:rsid w:val="00971207"/>
    <w:rsid w:val="00975CB4"/>
    <w:rsid w:val="009863B0"/>
    <w:rsid w:val="00987DE1"/>
    <w:rsid w:val="00990571"/>
    <w:rsid w:val="0099673A"/>
    <w:rsid w:val="00996A87"/>
    <w:rsid w:val="009A3330"/>
    <w:rsid w:val="009A7C96"/>
    <w:rsid w:val="009C3DB9"/>
    <w:rsid w:val="009D46E5"/>
    <w:rsid w:val="009D568A"/>
    <w:rsid w:val="009F04EC"/>
    <w:rsid w:val="009F0D67"/>
    <w:rsid w:val="009F2A7C"/>
    <w:rsid w:val="009F3B36"/>
    <w:rsid w:val="00A019B9"/>
    <w:rsid w:val="00A05F26"/>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56FB6"/>
    <w:rsid w:val="00A675AC"/>
    <w:rsid w:val="00A7581F"/>
    <w:rsid w:val="00A84257"/>
    <w:rsid w:val="00A92FB1"/>
    <w:rsid w:val="00A95A0C"/>
    <w:rsid w:val="00AA2765"/>
    <w:rsid w:val="00AA77B5"/>
    <w:rsid w:val="00AB6C5D"/>
    <w:rsid w:val="00AC3401"/>
    <w:rsid w:val="00AC51A7"/>
    <w:rsid w:val="00AC5854"/>
    <w:rsid w:val="00AD444B"/>
    <w:rsid w:val="00AD5614"/>
    <w:rsid w:val="00AD6C78"/>
    <w:rsid w:val="00AE2EAB"/>
    <w:rsid w:val="00AE394A"/>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0365"/>
    <w:rsid w:val="00B516ED"/>
    <w:rsid w:val="00B57A6A"/>
    <w:rsid w:val="00B760F1"/>
    <w:rsid w:val="00B7669E"/>
    <w:rsid w:val="00B77DA1"/>
    <w:rsid w:val="00B822A0"/>
    <w:rsid w:val="00B858AE"/>
    <w:rsid w:val="00B85964"/>
    <w:rsid w:val="00B865D1"/>
    <w:rsid w:val="00B96250"/>
    <w:rsid w:val="00BA0D55"/>
    <w:rsid w:val="00BA37B3"/>
    <w:rsid w:val="00BA4CC6"/>
    <w:rsid w:val="00BB3493"/>
    <w:rsid w:val="00BB572C"/>
    <w:rsid w:val="00BB7468"/>
    <w:rsid w:val="00BC188A"/>
    <w:rsid w:val="00BC402E"/>
    <w:rsid w:val="00BD0F48"/>
    <w:rsid w:val="00BD3652"/>
    <w:rsid w:val="00BE6DDB"/>
    <w:rsid w:val="00BF5010"/>
    <w:rsid w:val="00C014C0"/>
    <w:rsid w:val="00C03D5F"/>
    <w:rsid w:val="00C13791"/>
    <w:rsid w:val="00C31BB3"/>
    <w:rsid w:val="00C36977"/>
    <w:rsid w:val="00C467DA"/>
    <w:rsid w:val="00C477D9"/>
    <w:rsid w:val="00C60BA3"/>
    <w:rsid w:val="00C623F7"/>
    <w:rsid w:val="00C62A81"/>
    <w:rsid w:val="00C6466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099"/>
    <w:rsid w:val="00CF5D94"/>
    <w:rsid w:val="00CF7E0F"/>
    <w:rsid w:val="00D034D7"/>
    <w:rsid w:val="00D04BE4"/>
    <w:rsid w:val="00D06FC7"/>
    <w:rsid w:val="00D12565"/>
    <w:rsid w:val="00D14127"/>
    <w:rsid w:val="00D47BC9"/>
    <w:rsid w:val="00D56428"/>
    <w:rsid w:val="00D60B16"/>
    <w:rsid w:val="00D60F02"/>
    <w:rsid w:val="00D66E49"/>
    <w:rsid w:val="00D70D71"/>
    <w:rsid w:val="00D7209A"/>
    <w:rsid w:val="00D72F74"/>
    <w:rsid w:val="00D81563"/>
    <w:rsid w:val="00D85907"/>
    <w:rsid w:val="00D8735A"/>
    <w:rsid w:val="00D9073E"/>
    <w:rsid w:val="00D9221D"/>
    <w:rsid w:val="00D958DF"/>
    <w:rsid w:val="00D96DA1"/>
    <w:rsid w:val="00DA51E7"/>
    <w:rsid w:val="00DB0260"/>
    <w:rsid w:val="00DB1C78"/>
    <w:rsid w:val="00DB7D96"/>
    <w:rsid w:val="00DC23FE"/>
    <w:rsid w:val="00DC59E6"/>
    <w:rsid w:val="00DD150B"/>
    <w:rsid w:val="00DD5025"/>
    <w:rsid w:val="00DD7C0D"/>
    <w:rsid w:val="00DF1510"/>
    <w:rsid w:val="00DF22CB"/>
    <w:rsid w:val="00E02F1F"/>
    <w:rsid w:val="00E06484"/>
    <w:rsid w:val="00E20A7D"/>
    <w:rsid w:val="00E275D8"/>
    <w:rsid w:val="00E30F6A"/>
    <w:rsid w:val="00E3117C"/>
    <w:rsid w:val="00E375CA"/>
    <w:rsid w:val="00E505C4"/>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6AEB"/>
    <w:rsid w:val="00EA7C3C"/>
    <w:rsid w:val="00EB2DB3"/>
    <w:rsid w:val="00EC3FBB"/>
    <w:rsid w:val="00EC6B7A"/>
    <w:rsid w:val="00ED2952"/>
    <w:rsid w:val="00ED3A87"/>
    <w:rsid w:val="00ED4BB5"/>
    <w:rsid w:val="00ED5B67"/>
    <w:rsid w:val="00ED7547"/>
    <w:rsid w:val="00EF264C"/>
    <w:rsid w:val="00EF29F3"/>
    <w:rsid w:val="00EF3F79"/>
    <w:rsid w:val="00EF3FEE"/>
    <w:rsid w:val="00EF57BE"/>
    <w:rsid w:val="00EF756D"/>
    <w:rsid w:val="00F04B59"/>
    <w:rsid w:val="00F11741"/>
    <w:rsid w:val="00F12B1C"/>
    <w:rsid w:val="00F13CF8"/>
    <w:rsid w:val="00F15855"/>
    <w:rsid w:val="00F17994"/>
    <w:rsid w:val="00F200B2"/>
    <w:rsid w:val="00F227DC"/>
    <w:rsid w:val="00F32978"/>
    <w:rsid w:val="00F45CB2"/>
    <w:rsid w:val="00F54119"/>
    <w:rsid w:val="00F544C0"/>
    <w:rsid w:val="00F55332"/>
    <w:rsid w:val="00F6504A"/>
    <w:rsid w:val="00F65519"/>
    <w:rsid w:val="00F713C0"/>
    <w:rsid w:val="00F75DDC"/>
    <w:rsid w:val="00F7792F"/>
    <w:rsid w:val="00F842AA"/>
    <w:rsid w:val="00F8476F"/>
    <w:rsid w:val="00F853E1"/>
    <w:rsid w:val="00F85604"/>
    <w:rsid w:val="00F86DD4"/>
    <w:rsid w:val="00F94B7A"/>
    <w:rsid w:val="00FA17AC"/>
    <w:rsid w:val="00FA32DE"/>
    <w:rsid w:val="00FA3382"/>
    <w:rsid w:val="00FA59CD"/>
    <w:rsid w:val="00FB1740"/>
    <w:rsid w:val="00FC5469"/>
    <w:rsid w:val="00FC6D7D"/>
    <w:rsid w:val="00FD16B0"/>
    <w:rsid w:val="00FD4FED"/>
    <w:rsid w:val="00FE0577"/>
    <w:rsid w:val="00FE4D4E"/>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A5DF111-5BE9-4E8D-8F21-8E5050DE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F54ED"/>
    <w:rPr>
      <w:vertAlign w:val="superscript"/>
    </w:rPr>
  </w:style>
  <w:style w:type="character" w:styleId="CommentReference">
    <w:name w:val="annotation reference"/>
    <w:basedOn w:val="DefaultParagraphFont"/>
    <w:semiHidden/>
    <w:unhideWhenUsed/>
    <w:rsid w:val="00D7209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45B6-ADD5-4336-82C6-294D6D4C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11</Pages>
  <Words>1762</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Andrea Mick</cp:lastModifiedBy>
  <cp:revision>2</cp:revision>
  <cp:lastPrinted>2020-10-29T19:32:00Z</cp:lastPrinted>
  <dcterms:created xsi:type="dcterms:W3CDTF">2020-11-17T14:34:00Z</dcterms:created>
  <dcterms:modified xsi:type="dcterms:W3CDTF">2020-11-17T14:34:00Z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20200207-GU</vt:lpwstr>
  </property>
  <property fmtid="{D5CDD505-2E9C-101B-9397-08002B2CF9AE}" pid="3" name="MasterDocument">
    <vt:bool>false</vt:bool>
  </property>
</Properties>
</file>