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14:anchorId="1B043D4B" wp14:editId="0CB0253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0D7EA5">
            <w:pPr>
              <w:pStyle w:val="MemoHeading"/>
            </w:pPr>
            <w:bookmarkStart w:id="1" w:name="FilingDate"/>
            <w:r>
              <w:t>November 17</w:t>
            </w:r>
            <w:r w:rsidR="00AA652A">
              <w:t>,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A652A" w:rsidRDefault="00AA652A">
            <w:pPr>
              <w:pStyle w:val="MemoHeading"/>
            </w:pPr>
            <w:bookmarkStart w:id="2" w:name="From"/>
            <w:r>
              <w:t>Division of Economics (Kunkler, Smith II)</w:t>
            </w:r>
          </w:p>
          <w:p w:rsidR="007C0528" w:rsidRDefault="00AA652A">
            <w:pPr>
              <w:pStyle w:val="MemoHeading"/>
            </w:pPr>
            <w:r>
              <w:t>Office of the General Counsel (Stiller,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A652A">
            <w:pPr>
              <w:pStyle w:val="MemoHeadingRe"/>
            </w:pPr>
            <w:bookmarkStart w:id="3" w:name="Re"/>
            <w:r>
              <w:t xml:space="preserve">Docket No. 20200191-GU – Petition for approval of amortization rate for </w:t>
            </w:r>
            <w:proofErr w:type="spellStart"/>
            <w:r>
              <w:t>Starnik</w:t>
            </w:r>
            <w:proofErr w:type="spellEnd"/>
            <w:r>
              <w:t xml:space="preserve"> customer information system and other software accounting adjustments, by Florida City Gas.</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A652A">
            <w:pPr>
              <w:pStyle w:val="MemoHeading"/>
            </w:pPr>
            <w:bookmarkStart w:id="4" w:name="AgendaDate"/>
            <w:r>
              <w:t>12/01/20</w:t>
            </w:r>
            <w:bookmarkEnd w:id="4"/>
            <w:r w:rsidR="007C0528">
              <w:t xml:space="preserve"> – </w:t>
            </w:r>
            <w:bookmarkStart w:id="5" w:name="PermittedStatus"/>
            <w:r>
              <w:t>Regular Agenda –</w:t>
            </w:r>
            <w:r w:rsidR="00CD567F">
              <w:t xml:space="preserve"> Proposed Agency Action -- </w:t>
            </w:r>
            <w:r>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A652A">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A652A">
            <w:pPr>
              <w:pStyle w:val="MemoHeading"/>
            </w:pPr>
            <w:bookmarkStart w:id="7" w:name="PrehearingOfficer"/>
            <w:r>
              <w:t>Fay</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A652A">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A652A">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EB67D1" w:rsidRDefault="002736A1" w:rsidP="00EB67D1">
      <w:pPr>
        <w:pStyle w:val="Default"/>
        <w:jc w:val="both"/>
      </w:pPr>
      <w:r w:rsidRPr="0020534A">
        <w:t xml:space="preserve">On August 6, 2020, Florida City Gas (FCG or Company) filed a request for approval of </w:t>
      </w:r>
      <w:proofErr w:type="gramStart"/>
      <w:r w:rsidRPr="0020534A">
        <w:t>amortization</w:t>
      </w:r>
      <w:proofErr w:type="gramEnd"/>
      <w:r w:rsidRPr="0020534A">
        <w:t xml:space="preserve"> rate for </w:t>
      </w:r>
      <w:proofErr w:type="spellStart"/>
      <w:r w:rsidRPr="0020534A">
        <w:t>Starnik</w:t>
      </w:r>
      <w:proofErr w:type="spellEnd"/>
      <w:r w:rsidRPr="0020534A">
        <w:t xml:space="preserve"> customer information system </w:t>
      </w:r>
      <w:r w:rsidR="006D4EEF" w:rsidRPr="002C6496">
        <w:t>(CIS)</w:t>
      </w:r>
      <w:r w:rsidR="006D4EEF">
        <w:t xml:space="preserve"> </w:t>
      </w:r>
      <w:r w:rsidRPr="0020534A">
        <w:t xml:space="preserve">and other software accounting adjustments (Petition). The Company’s request is </w:t>
      </w:r>
      <w:r>
        <w:rPr>
          <w:sz w:val="23"/>
          <w:szCs w:val="23"/>
        </w:rPr>
        <w:t>in accordance with Section 366.115, Florida Statutes (F.S.)</w:t>
      </w:r>
      <w:r w:rsidR="002545DE">
        <w:rPr>
          <w:sz w:val="23"/>
          <w:szCs w:val="23"/>
        </w:rPr>
        <w:t>,</w:t>
      </w:r>
      <w:r>
        <w:rPr>
          <w:sz w:val="23"/>
          <w:szCs w:val="23"/>
        </w:rPr>
        <w:t xml:space="preserve"> and Rules 25-7.045(2)(a) and 25-7.045(3)(b), </w:t>
      </w:r>
      <w:r w:rsidRPr="0020534A">
        <w:t>Florida Administrati</w:t>
      </w:r>
      <w:r>
        <w:t>ve Code (F.A.C.), which require</w:t>
      </w:r>
      <w:r w:rsidRPr="0020534A">
        <w:t xml:space="preserve"> that:</w:t>
      </w:r>
      <w:r>
        <w:t xml:space="preserve"> (</w:t>
      </w:r>
      <w:proofErr w:type="spellStart"/>
      <w:r>
        <w:t>i</w:t>
      </w:r>
      <w:proofErr w:type="spellEnd"/>
      <w:r>
        <w:t>)</w:t>
      </w:r>
      <w:r w:rsidRPr="0020534A">
        <w:t xml:space="preserve"> </w:t>
      </w:r>
      <w:r>
        <w:t>“</w:t>
      </w:r>
      <w:r>
        <w:rPr>
          <w:noProof/>
        </w:rPr>
        <w:t>[n]</w:t>
      </w:r>
      <w:r w:rsidRPr="00396856">
        <w:rPr>
          <w:noProof/>
        </w:rPr>
        <w:t>o utility shall change any existing depreciation rate or initiate any new depreciation rate wi</w:t>
      </w:r>
      <w:r>
        <w:rPr>
          <w:noProof/>
        </w:rPr>
        <w:t>thout prior Commission approval,” and</w:t>
      </w:r>
      <w:r>
        <w:t xml:space="preserve"> (ii)</w:t>
      </w:r>
      <w:r w:rsidR="002545DE">
        <w:t xml:space="preserve"> </w:t>
      </w:r>
      <w:r w:rsidRPr="0020534A">
        <w:t>“[u]</w:t>
      </w:r>
      <w:proofErr w:type="spellStart"/>
      <w:r w:rsidRPr="0020534A">
        <w:t>pon</w:t>
      </w:r>
      <w:proofErr w:type="spellEnd"/>
      <w:r w:rsidRPr="0020534A">
        <w:t xml:space="preserve"> establishing a new account or subaccount classification, each utility shall request Commission approval of a depreciation rate for the new plant category.”</w:t>
      </w:r>
    </w:p>
    <w:p w:rsidR="002736A1" w:rsidRPr="00396856" w:rsidRDefault="002736A1" w:rsidP="002736A1">
      <w:pPr>
        <w:widowControl w:val="0"/>
        <w:tabs>
          <w:tab w:val="left" w:pos="360"/>
        </w:tabs>
        <w:overflowPunct w:val="0"/>
        <w:autoSpaceDE w:val="0"/>
        <w:autoSpaceDN w:val="0"/>
        <w:adjustRightInd w:val="0"/>
        <w:spacing w:line="260" w:lineRule="atLeast"/>
        <w:ind w:firstLine="360"/>
        <w:jc w:val="both"/>
        <w:textAlignment w:val="baseline"/>
        <w:rPr>
          <w:noProof/>
          <w:color w:val="000000"/>
          <w:sz w:val="20"/>
          <w:szCs w:val="20"/>
        </w:rPr>
      </w:pPr>
    </w:p>
    <w:p w:rsidR="002736A1" w:rsidRPr="0020534A" w:rsidRDefault="002736A1" w:rsidP="002736A1">
      <w:pPr>
        <w:pStyle w:val="BodyText"/>
      </w:pPr>
      <w:r w:rsidRPr="0020534A">
        <w:t xml:space="preserve">Pursuant to Rule </w:t>
      </w:r>
      <w:r w:rsidRPr="00396856">
        <w:t>25-7.045(3)(a),</w:t>
      </w:r>
      <w:r w:rsidRPr="0020534A">
        <w:t xml:space="preserve"> F.A.C., </w:t>
      </w:r>
      <w:r>
        <w:t xml:space="preserve">gas </w:t>
      </w:r>
      <w:r w:rsidRPr="0020534A">
        <w:t xml:space="preserve">utilities are required to maintain depreciation rates and accumulated depreciation reserves in accounts or subaccounts in accordance with the </w:t>
      </w:r>
      <w:r w:rsidRPr="0020534A">
        <w:lastRenderedPageBreak/>
        <w:t>Uniform System of Accounts for Public Utilities and Licensees, as found in the Code of Federal Regulations, which is incorporated by reference in R</w:t>
      </w:r>
      <w:r w:rsidRPr="00396856">
        <w:t>ule 25-7.045(1),</w:t>
      </w:r>
      <w:r w:rsidRPr="0020534A">
        <w:t xml:space="preserve"> F.A.C.</w:t>
      </w:r>
      <w:r w:rsidRPr="0020534A">
        <w:rPr>
          <w:vertAlign w:val="superscript"/>
        </w:rPr>
        <w:footnoteReference w:id="1"/>
      </w:r>
      <w:r w:rsidRPr="0020534A">
        <w:t xml:space="preserve">  </w:t>
      </w:r>
    </w:p>
    <w:p w:rsidR="002736A1" w:rsidRDefault="002736A1" w:rsidP="002736A1">
      <w:pPr>
        <w:pStyle w:val="Default"/>
        <w:jc w:val="both"/>
      </w:pPr>
      <w:r w:rsidRPr="0020534A">
        <w:t>In its Petition, FCG explains that their current billing system, referred to as the Oracle Utilities Customer Care &amp; Billings (CC&amp;B) system, has been in service since April 2006</w:t>
      </w:r>
      <w:r w:rsidR="002545DE">
        <w:t>,</w:t>
      </w:r>
      <w:r w:rsidRPr="0020534A">
        <w:t xml:space="preserve"> when FCG was owned by </w:t>
      </w:r>
      <w:proofErr w:type="spellStart"/>
      <w:r w:rsidRPr="0020534A">
        <w:t>Nicor</w:t>
      </w:r>
      <w:proofErr w:type="spellEnd"/>
      <w:r w:rsidRPr="0020534A">
        <w:t xml:space="preserve"> Gas. FCG further explains that prior to June 2020, the Company was contracting with Southern Company for the use of CC&amp;B, and therefore had no direct control over modifying or improving the system to meet FCG’s specific needs.</w:t>
      </w:r>
      <w:r>
        <w:t xml:space="preserve"> </w:t>
      </w:r>
      <w:r w:rsidRPr="0020534A">
        <w:t xml:space="preserve">In June 2020, FCG replaced CC&amp;B with </w:t>
      </w:r>
      <w:proofErr w:type="spellStart"/>
      <w:r w:rsidRPr="0020534A">
        <w:t>Starnik</w:t>
      </w:r>
      <w:proofErr w:type="spellEnd"/>
      <w:r w:rsidRPr="0020534A">
        <w:t xml:space="preserve"> CIS. The net asset value on FCG’s books for CC&amp;B is $0.</w:t>
      </w:r>
      <w:r>
        <w:rPr>
          <w:rStyle w:val="FootnoteReference"/>
        </w:rPr>
        <w:footnoteReference w:id="2"/>
      </w:r>
      <w:r w:rsidRPr="0020534A">
        <w:t xml:space="preserve"> </w:t>
      </w:r>
    </w:p>
    <w:p w:rsidR="002736A1" w:rsidRDefault="002736A1" w:rsidP="002736A1">
      <w:pPr>
        <w:pStyle w:val="Default"/>
        <w:jc w:val="both"/>
      </w:pPr>
    </w:p>
    <w:p w:rsidR="002736A1" w:rsidRDefault="002736A1" w:rsidP="002736A1">
      <w:pPr>
        <w:pStyle w:val="Default"/>
        <w:jc w:val="both"/>
        <w:rPr>
          <w:sz w:val="23"/>
          <w:szCs w:val="23"/>
        </w:rPr>
      </w:pPr>
      <w:r>
        <w:rPr>
          <w:sz w:val="23"/>
          <w:szCs w:val="23"/>
        </w:rPr>
        <w:t xml:space="preserve">According to FCG, the new </w:t>
      </w:r>
      <w:proofErr w:type="spellStart"/>
      <w:r>
        <w:rPr>
          <w:sz w:val="23"/>
          <w:szCs w:val="23"/>
        </w:rPr>
        <w:t>Starnik</w:t>
      </w:r>
      <w:proofErr w:type="spellEnd"/>
      <w:r>
        <w:rPr>
          <w:sz w:val="23"/>
          <w:szCs w:val="23"/>
        </w:rPr>
        <w:t xml:space="preserve"> CIS software will increase customer information system functionalities, including providing an integrated, state-of-the-art billing system and customer platform that will enhance FCG customers’ digital experience.</w:t>
      </w:r>
      <w:r>
        <w:rPr>
          <w:rStyle w:val="FootnoteReference"/>
          <w:sz w:val="23"/>
          <w:szCs w:val="23"/>
        </w:rPr>
        <w:footnoteReference w:id="3"/>
      </w:r>
      <w:r>
        <w:rPr>
          <w:sz w:val="23"/>
          <w:szCs w:val="23"/>
        </w:rPr>
        <w:t xml:space="preserve"> FCG further states that the </w:t>
      </w:r>
      <w:proofErr w:type="spellStart"/>
      <w:r>
        <w:rPr>
          <w:sz w:val="23"/>
          <w:szCs w:val="23"/>
        </w:rPr>
        <w:t>Starnik</w:t>
      </w:r>
      <w:proofErr w:type="spellEnd"/>
      <w:r>
        <w:rPr>
          <w:sz w:val="23"/>
          <w:szCs w:val="23"/>
        </w:rPr>
        <w:t xml:space="preserve"> CIS will tie into FCG’s field operations software to offer the Company increased customer support capabilities.</w:t>
      </w:r>
      <w:r>
        <w:rPr>
          <w:rStyle w:val="FootnoteReference"/>
          <w:sz w:val="23"/>
          <w:szCs w:val="23"/>
        </w:rPr>
        <w:footnoteReference w:id="4"/>
      </w:r>
    </w:p>
    <w:p w:rsidR="00EC415D" w:rsidRDefault="00EC415D" w:rsidP="002736A1">
      <w:pPr>
        <w:pStyle w:val="Default"/>
        <w:jc w:val="both"/>
      </w:pPr>
    </w:p>
    <w:p w:rsidR="002C6496" w:rsidRDefault="002C6496" w:rsidP="002736A1">
      <w:pPr>
        <w:pStyle w:val="Default"/>
        <w:jc w:val="both"/>
      </w:pPr>
      <w:r w:rsidRPr="00F90FFA">
        <w:t xml:space="preserve">In addition to </w:t>
      </w:r>
      <w:proofErr w:type="spellStart"/>
      <w:r w:rsidRPr="00F90FFA">
        <w:t>Starnik</w:t>
      </w:r>
      <w:proofErr w:type="spellEnd"/>
      <w:r w:rsidRPr="00F90FFA">
        <w:t xml:space="preserve"> CIS, FCG is also requesting approval of other software accounting adjustments. These o</w:t>
      </w:r>
      <w:r w:rsidR="00F90FFA" w:rsidRPr="00F90FFA">
        <w:t xml:space="preserve">ther adjustments are related to </w:t>
      </w:r>
      <w:r w:rsidRPr="00F90FFA">
        <w:t xml:space="preserve">traditional </w:t>
      </w:r>
      <w:r w:rsidR="00736EDF" w:rsidRPr="00F90FFA">
        <w:t xml:space="preserve">capitalized </w:t>
      </w:r>
      <w:r w:rsidRPr="00F90FFA">
        <w:t>software and future Software-as-a-Service (SaaS) arrangements.</w:t>
      </w:r>
    </w:p>
    <w:p w:rsidR="00374D55" w:rsidRPr="0020534A" w:rsidRDefault="00374D55" w:rsidP="002736A1">
      <w:pPr>
        <w:pStyle w:val="Default"/>
        <w:jc w:val="both"/>
      </w:pPr>
    </w:p>
    <w:p w:rsidR="002736A1" w:rsidRPr="0020534A" w:rsidRDefault="002736A1" w:rsidP="002736A1">
      <w:pPr>
        <w:pStyle w:val="BodyText"/>
      </w:pPr>
      <w:r w:rsidRPr="0020534A">
        <w:t>FCG’s current depreciation rates were established when the Commission approved the Stipulation and Settlement (2018 Settlement) entered into between the Company and the Office of Public Counsel to resolve the Company’s last rate case and depreciation study.</w:t>
      </w:r>
      <w:r w:rsidRPr="0020534A">
        <w:rPr>
          <w:rStyle w:val="FootnoteReference"/>
        </w:rPr>
        <w:footnoteReference w:id="5"/>
      </w:r>
    </w:p>
    <w:p w:rsidR="002736A1" w:rsidRPr="0020534A" w:rsidRDefault="002736A1" w:rsidP="002736A1">
      <w:pPr>
        <w:pStyle w:val="BodyText"/>
      </w:pPr>
      <w:r>
        <w:t>Staff is</w:t>
      </w:r>
      <w:r w:rsidRPr="0020534A">
        <w:t xml:space="preserve"> not aware of any public comments or concerns regarding this matter. </w:t>
      </w:r>
    </w:p>
    <w:p w:rsidR="002736A1" w:rsidRPr="0020534A" w:rsidRDefault="002736A1" w:rsidP="002736A1">
      <w:pPr>
        <w:pStyle w:val="BodyText"/>
      </w:pPr>
      <w:r w:rsidRPr="0020534A">
        <w:t>The Commission has jurisdiction in this matter pursuant to Sections 366.04, 366.05, and 366.06, F.S.</w:t>
      </w: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p>
    <w:p w:rsidR="007C0528" w:rsidRPr="00C0460A" w:rsidRDefault="007C0528">
      <w:pPr>
        <w:pStyle w:val="RecommendationMajorSectionHeading"/>
        <w:rPr>
          <w:strike/>
        </w:rPr>
      </w:pPr>
      <w:bookmarkStart w:id="16" w:name="DiscussionOfIssues"/>
      <w:r>
        <w:lastRenderedPageBreak/>
        <w:t>Discussion of Issues</w:t>
      </w:r>
    </w:p>
    <w:bookmarkEnd w:id="16"/>
    <w:p w:rsidR="00AA652A" w:rsidRPr="00C0460A" w:rsidRDefault="00AA652A">
      <w:pPr>
        <w:pStyle w:val="IssueHeading"/>
        <w:rPr>
          <w:vanish/>
          <w:specVanish/>
        </w:rPr>
      </w:pPr>
      <w:r w:rsidRPr="00C0460A">
        <w:t xml:space="preserve">Issue </w:t>
      </w:r>
      <w:fldSimple w:instr=" SEQ Issue \* MERGEFORMAT ">
        <w:r w:rsidR="00941E4E">
          <w:rPr>
            <w:noProof/>
          </w:rPr>
          <w:t>1</w:t>
        </w:r>
      </w:fldSimple>
      <w:r w:rsidRPr="00C0460A">
        <w:t>:</w:t>
      </w:r>
      <w:r w:rsidRPr="00C0460A">
        <w:fldChar w:fldCharType="begin"/>
      </w:r>
      <w:r w:rsidRPr="00C0460A">
        <w:instrText xml:space="preserve"> TC "</w:instrText>
      </w:r>
      <w:r w:rsidRPr="00C0460A">
        <w:fldChar w:fldCharType="begin"/>
      </w:r>
      <w:r w:rsidRPr="00C0460A">
        <w:instrText xml:space="preserve"> SEQ issue \c </w:instrText>
      </w:r>
      <w:r w:rsidRPr="00C0460A">
        <w:fldChar w:fldCharType="separate"/>
      </w:r>
      <w:r w:rsidR="00941E4E">
        <w:rPr>
          <w:noProof/>
        </w:rPr>
        <w:instrText>1</w:instrText>
      </w:r>
      <w:r w:rsidRPr="00C0460A">
        <w:fldChar w:fldCharType="end"/>
      </w:r>
      <w:r w:rsidRPr="00C0460A">
        <w:tab/>
        <w:instrText xml:space="preserve">(Kunkler)" \l 1 </w:instrText>
      </w:r>
      <w:r w:rsidRPr="00C0460A">
        <w:fldChar w:fldCharType="end"/>
      </w:r>
      <w:r w:rsidRPr="00C0460A">
        <w:t> </w:t>
      </w:r>
    </w:p>
    <w:p w:rsidR="00AA652A" w:rsidRDefault="00AA652A">
      <w:pPr>
        <w:pStyle w:val="BodyText"/>
      </w:pPr>
      <w:r w:rsidRPr="00C0460A">
        <w:t> </w:t>
      </w:r>
      <w:r w:rsidR="00043578" w:rsidRPr="00C0460A">
        <w:t>Should the Commission approve FCG’s request to establis</w:t>
      </w:r>
      <w:r w:rsidR="002736A1" w:rsidRPr="00C0460A">
        <w:t xml:space="preserve">h new </w:t>
      </w:r>
      <w:r w:rsidR="002C6496" w:rsidRPr="00C0460A">
        <w:t>subaccount</w:t>
      </w:r>
      <w:r w:rsidR="002736A1" w:rsidRPr="00C0460A">
        <w:t xml:space="preserve">s within FERC </w:t>
      </w:r>
      <w:r w:rsidR="008F6CB7" w:rsidRPr="00C0460A">
        <w:t>a</w:t>
      </w:r>
      <w:r w:rsidR="00043578" w:rsidRPr="00C0460A">
        <w:t>ccount 303 – Miscellaneous Intangible</w:t>
      </w:r>
      <w:r w:rsidR="00043578" w:rsidRPr="004A2F8F">
        <w:t xml:space="preserve"> Plant</w:t>
      </w:r>
      <w:r w:rsidR="00043578">
        <w:t xml:space="preserve"> for its </w:t>
      </w:r>
      <w:proofErr w:type="spellStart"/>
      <w:r w:rsidR="00043578">
        <w:t>Starnik</w:t>
      </w:r>
      <w:proofErr w:type="spellEnd"/>
      <w:r w:rsidR="00043578">
        <w:t xml:space="preserve"> CIS software </w:t>
      </w:r>
      <w:r w:rsidR="00043578" w:rsidRPr="002C6496">
        <w:t xml:space="preserve">and traditional </w:t>
      </w:r>
      <w:r w:rsidR="00736EDF" w:rsidRPr="00F90FFA">
        <w:t>capitalized</w:t>
      </w:r>
      <w:r w:rsidR="00736EDF">
        <w:t xml:space="preserve"> </w:t>
      </w:r>
      <w:r w:rsidR="00043578" w:rsidRPr="002C6496">
        <w:t>software arrangements,</w:t>
      </w:r>
      <w:r w:rsidR="00043578">
        <w:t xml:space="preserve"> and, if so, what are the appropriate corresponding depreciation rat</w:t>
      </w:r>
      <w:r w:rsidR="00043578" w:rsidRPr="002C6496">
        <w:t>es?</w:t>
      </w:r>
    </w:p>
    <w:p w:rsidR="00AA652A" w:rsidRPr="004C3641" w:rsidRDefault="00AA652A">
      <w:pPr>
        <w:pStyle w:val="IssueSubsectionHeading"/>
        <w:rPr>
          <w:vanish/>
          <w:specVanish/>
        </w:rPr>
      </w:pPr>
      <w:r w:rsidRPr="004C3641">
        <w:t>Recommendation: </w:t>
      </w:r>
    </w:p>
    <w:p w:rsidR="002736A1" w:rsidRPr="004C3641" w:rsidRDefault="00AA652A" w:rsidP="002736A1">
      <w:pPr>
        <w:pStyle w:val="IssueSubsectionHeading"/>
        <w:rPr>
          <w:vanish/>
          <w:specVanish/>
        </w:rPr>
      </w:pPr>
      <w:r>
        <w:t> </w:t>
      </w:r>
      <w:r w:rsidR="002736A1" w:rsidRPr="004C3641">
        <w:t> </w:t>
      </w:r>
    </w:p>
    <w:p w:rsidR="00AA652A" w:rsidRPr="00A74C3E" w:rsidRDefault="002736A1" w:rsidP="003109A0">
      <w:pPr>
        <w:pStyle w:val="BodyText"/>
        <w:rPr>
          <w:sz w:val="23"/>
          <w:szCs w:val="23"/>
        </w:rPr>
      </w:pPr>
      <w:r>
        <w:t> </w:t>
      </w:r>
      <w:r>
        <w:rPr>
          <w:sz w:val="23"/>
          <w:szCs w:val="23"/>
        </w:rPr>
        <w:t xml:space="preserve">Yes, new </w:t>
      </w:r>
      <w:r w:rsidR="002C6496">
        <w:rPr>
          <w:sz w:val="23"/>
          <w:szCs w:val="23"/>
        </w:rPr>
        <w:t>subaccount</w:t>
      </w:r>
      <w:r>
        <w:rPr>
          <w:sz w:val="23"/>
          <w:szCs w:val="23"/>
        </w:rPr>
        <w:t xml:space="preserve">s within FERC </w:t>
      </w:r>
      <w:r w:rsidR="008F6CB7">
        <w:rPr>
          <w:sz w:val="23"/>
          <w:szCs w:val="23"/>
        </w:rPr>
        <w:t>a</w:t>
      </w:r>
      <w:r>
        <w:rPr>
          <w:sz w:val="23"/>
          <w:szCs w:val="23"/>
        </w:rPr>
        <w:t xml:space="preserve">ccount 303 </w:t>
      </w:r>
      <w:r>
        <w:t>– Miscellaneous Intangible Plant</w:t>
      </w:r>
      <w:r>
        <w:rPr>
          <w:sz w:val="23"/>
          <w:szCs w:val="23"/>
        </w:rPr>
        <w:t xml:space="preserve"> and annual depreciation rates applicable to FCG’s new </w:t>
      </w:r>
      <w:proofErr w:type="spellStart"/>
      <w:r>
        <w:rPr>
          <w:sz w:val="23"/>
          <w:szCs w:val="23"/>
        </w:rPr>
        <w:t>Starnik</w:t>
      </w:r>
      <w:proofErr w:type="spellEnd"/>
      <w:r>
        <w:rPr>
          <w:sz w:val="23"/>
          <w:szCs w:val="23"/>
        </w:rPr>
        <w:t xml:space="preserve"> CIS software and </w:t>
      </w:r>
      <w:r w:rsidRPr="00F90FFA">
        <w:rPr>
          <w:sz w:val="23"/>
          <w:szCs w:val="23"/>
        </w:rPr>
        <w:t>tradition</w:t>
      </w:r>
      <w:r w:rsidR="002545DE">
        <w:rPr>
          <w:sz w:val="23"/>
          <w:szCs w:val="23"/>
        </w:rPr>
        <w:t>al</w:t>
      </w:r>
      <w:r w:rsidRPr="00F90FFA">
        <w:rPr>
          <w:sz w:val="23"/>
          <w:szCs w:val="23"/>
        </w:rPr>
        <w:t xml:space="preserve"> software arrangements should be approved.</w:t>
      </w:r>
      <w:r w:rsidR="00F90FFA" w:rsidRPr="00F90FFA">
        <w:rPr>
          <w:sz w:val="23"/>
          <w:szCs w:val="23"/>
        </w:rPr>
        <w:t xml:space="preserve"> </w:t>
      </w:r>
      <w:r w:rsidR="00976FCD" w:rsidRPr="00F90FFA">
        <w:rPr>
          <w:sz w:val="23"/>
          <w:szCs w:val="23"/>
        </w:rPr>
        <w:t xml:space="preserve">The Commission should </w:t>
      </w:r>
      <w:r w:rsidR="00EA7660" w:rsidRPr="00F90FFA">
        <w:rPr>
          <w:sz w:val="23"/>
          <w:szCs w:val="23"/>
        </w:rPr>
        <w:t>approv</w:t>
      </w:r>
      <w:r w:rsidR="00976FCD" w:rsidRPr="00F90FFA">
        <w:rPr>
          <w:sz w:val="23"/>
          <w:szCs w:val="23"/>
        </w:rPr>
        <w:t>e</w:t>
      </w:r>
      <w:r w:rsidR="00EA7660" w:rsidRPr="00F90FFA">
        <w:rPr>
          <w:sz w:val="23"/>
          <w:szCs w:val="23"/>
        </w:rPr>
        <w:t xml:space="preserve"> </w:t>
      </w:r>
      <w:r w:rsidR="00976FCD" w:rsidRPr="00F90FFA">
        <w:rPr>
          <w:sz w:val="23"/>
          <w:szCs w:val="23"/>
        </w:rPr>
        <w:t xml:space="preserve">the establishment </w:t>
      </w:r>
      <w:r w:rsidR="00EA7660" w:rsidRPr="00F90FFA">
        <w:rPr>
          <w:sz w:val="23"/>
          <w:szCs w:val="23"/>
        </w:rPr>
        <w:t>of</w:t>
      </w:r>
      <w:r w:rsidR="00EA7660" w:rsidRPr="00F90FFA">
        <w:t xml:space="preserve"> subaccount </w:t>
      </w:r>
      <w:r w:rsidR="004D4E97" w:rsidRPr="00F90FFA">
        <w:t>303.20 – Software as a Service – 20 years</w:t>
      </w:r>
      <w:r w:rsidR="009F217C" w:rsidRPr="00F90FFA">
        <w:t>,</w:t>
      </w:r>
      <w:r w:rsidR="004D4E97" w:rsidRPr="00F90FFA">
        <w:t xml:space="preserve"> </w:t>
      </w:r>
      <w:r w:rsidR="00EA7660" w:rsidRPr="00F90FFA">
        <w:t xml:space="preserve">for </w:t>
      </w:r>
      <w:r w:rsidR="00CD567F">
        <w:t>the</w:t>
      </w:r>
      <w:r w:rsidR="004D4E97" w:rsidRPr="00F90FFA">
        <w:t xml:space="preserve"> </w:t>
      </w:r>
      <w:proofErr w:type="spellStart"/>
      <w:r w:rsidR="00EA7660" w:rsidRPr="00F90FFA">
        <w:t>Starnik</w:t>
      </w:r>
      <w:proofErr w:type="spellEnd"/>
      <w:r w:rsidR="00EA7660" w:rsidRPr="00F90FFA">
        <w:t xml:space="preserve"> CIS</w:t>
      </w:r>
      <w:r w:rsidR="004D4E97" w:rsidRPr="00F90FFA">
        <w:t xml:space="preserve"> software. </w:t>
      </w:r>
      <w:r w:rsidR="00736EDF" w:rsidRPr="00F90FFA">
        <w:t xml:space="preserve">The appropriate annual depreciation rate for this subaccount is 5 percent. </w:t>
      </w:r>
      <w:r w:rsidR="00976FCD" w:rsidRPr="00F90FFA">
        <w:t xml:space="preserve">The Commission should </w:t>
      </w:r>
      <w:r w:rsidR="00C0460A" w:rsidRPr="00F90FFA">
        <w:t xml:space="preserve">also </w:t>
      </w:r>
      <w:r w:rsidR="004D4E97" w:rsidRPr="00F90FFA">
        <w:t>approv</w:t>
      </w:r>
      <w:r w:rsidR="00C0460A" w:rsidRPr="00F90FFA">
        <w:t>e</w:t>
      </w:r>
      <w:r w:rsidR="00F90FFA" w:rsidRPr="00F90FFA">
        <w:t xml:space="preserve"> </w:t>
      </w:r>
      <w:r w:rsidR="00C0460A" w:rsidRPr="00F90FFA">
        <w:t xml:space="preserve">the establishment </w:t>
      </w:r>
      <w:r w:rsidR="009F217C" w:rsidRPr="00F90FFA">
        <w:t xml:space="preserve">of </w:t>
      </w:r>
      <w:r w:rsidR="004425DD">
        <w:t xml:space="preserve">two </w:t>
      </w:r>
      <w:r w:rsidR="004D4E97" w:rsidRPr="00F90FFA">
        <w:t>subaccounts for</w:t>
      </w:r>
      <w:r w:rsidR="00EA7660" w:rsidRPr="00F90FFA">
        <w:t xml:space="preserve"> traditional</w:t>
      </w:r>
      <w:r w:rsidR="009F217C" w:rsidRPr="00F90FFA">
        <w:t xml:space="preserve"> capitalized</w:t>
      </w:r>
      <w:r w:rsidR="00EA7660" w:rsidRPr="00F90FFA">
        <w:t xml:space="preserve"> software arrangements</w:t>
      </w:r>
      <w:r w:rsidR="009F217C" w:rsidRPr="00F90FFA">
        <w:t>,</w:t>
      </w:r>
      <w:r w:rsidR="00EA7660" w:rsidRPr="00F90FFA">
        <w:t xml:space="preserve"> </w:t>
      </w:r>
      <w:r w:rsidR="009F217C" w:rsidRPr="00F90FFA">
        <w:t>sub</w:t>
      </w:r>
      <w:r w:rsidR="00EA7660" w:rsidRPr="00F90FFA">
        <w:t>account 303.01 - Software Non-Enterprise</w:t>
      </w:r>
      <w:r w:rsidR="009F217C" w:rsidRPr="00F90FFA">
        <w:t>,</w:t>
      </w:r>
      <w:r w:rsidR="00EA7660" w:rsidRPr="00F90FFA">
        <w:t xml:space="preserve"> and </w:t>
      </w:r>
      <w:r w:rsidR="009F217C" w:rsidRPr="00F90FFA">
        <w:t>sub</w:t>
      </w:r>
      <w:r w:rsidR="00EA7660" w:rsidRPr="00F90FFA">
        <w:t>account 303.02 - Computer Software.</w:t>
      </w:r>
      <w:r w:rsidR="00F90FFA" w:rsidRPr="00F90FFA">
        <w:rPr>
          <w:sz w:val="23"/>
          <w:szCs w:val="23"/>
        </w:rPr>
        <w:t xml:space="preserve"> </w:t>
      </w:r>
      <w:r w:rsidR="008F6CB7" w:rsidRPr="00F90FFA">
        <w:rPr>
          <w:sz w:val="23"/>
          <w:szCs w:val="23"/>
        </w:rPr>
        <w:t xml:space="preserve">The appropriate annual depreciation rates for traditional capitalized software </w:t>
      </w:r>
      <w:r w:rsidR="0066122C" w:rsidRPr="00F90FFA">
        <w:rPr>
          <w:sz w:val="23"/>
          <w:szCs w:val="23"/>
        </w:rPr>
        <w:t xml:space="preserve">for subaccounts 303.01 and 303.02 </w:t>
      </w:r>
      <w:r w:rsidR="00F90FFA" w:rsidRPr="00F90FFA">
        <w:rPr>
          <w:sz w:val="23"/>
          <w:szCs w:val="23"/>
        </w:rPr>
        <w:t xml:space="preserve">are </w:t>
      </w:r>
      <w:r w:rsidR="008F6CB7" w:rsidRPr="00F90FFA">
        <w:rPr>
          <w:sz w:val="23"/>
          <w:szCs w:val="23"/>
        </w:rPr>
        <w:t>10 percent and</w:t>
      </w:r>
      <w:r w:rsidR="009D1EC6" w:rsidRPr="00F90FFA">
        <w:rPr>
          <w:sz w:val="23"/>
          <w:szCs w:val="23"/>
        </w:rPr>
        <w:t xml:space="preserve"> </w:t>
      </w:r>
      <w:r w:rsidR="008F6CB7" w:rsidRPr="00F90FFA">
        <w:rPr>
          <w:sz w:val="23"/>
          <w:szCs w:val="23"/>
        </w:rPr>
        <w:t>8.3 percent</w:t>
      </w:r>
      <w:r w:rsidR="0066122C" w:rsidRPr="00F90FFA">
        <w:rPr>
          <w:sz w:val="23"/>
          <w:szCs w:val="23"/>
        </w:rPr>
        <w:t>, respectively</w:t>
      </w:r>
      <w:r w:rsidR="008F6CB7" w:rsidRPr="00F90FFA">
        <w:rPr>
          <w:sz w:val="23"/>
          <w:szCs w:val="23"/>
        </w:rPr>
        <w:t>.</w:t>
      </w:r>
      <w:r w:rsidR="00C0460A" w:rsidRPr="00F90FFA">
        <w:rPr>
          <w:sz w:val="23"/>
          <w:szCs w:val="23"/>
        </w:rPr>
        <w:t xml:space="preserve"> </w:t>
      </w:r>
      <w:r w:rsidR="00585F51" w:rsidRPr="00F90FFA">
        <w:rPr>
          <w:sz w:val="23"/>
          <w:szCs w:val="23"/>
        </w:rPr>
        <w:t xml:space="preserve"> As proposed by FCG, the Company should </w:t>
      </w:r>
      <w:r w:rsidR="00C0460A" w:rsidRPr="00F90FFA">
        <w:rPr>
          <w:sz w:val="23"/>
          <w:szCs w:val="23"/>
        </w:rPr>
        <w:t xml:space="preserve">transfer all plant balances </w:t>
      </w:r>
      <w:r w:rsidR="004425DD">
        <w:rPr>
          <w:sz w:val="23"/>
          <w:szCs w:val="23"/>
        </w:rPr>
        <w:t xml:space="preserve">to </w:t>
      </w:r>
      <w:r w:rsidR="00C0460A" w:rsidRPr="00F90FFA">
        <w:rPr>
          <w:sz w:val="23"/>
          <w:szCs w:val="23"/>
        </w:rPr>
        <w:t xml:space="preserve">and record all future acquisition amounts of </w:t>
      </w:r>
      <w:proofErr w:type="spellStart"/>
      <w:r w:rsidR="00C0460A" w:rsidRPr="00F90FFA">
        <w:rPr>
          <w:sz w:val="23"/>
          <w:szCs w:val="23"/>
        </w:rPr>
        <w:t>Starnik</w:t>
      </w:r>
      <w:proofErr w:type="spellEnd"/>
      <w:r w:rsidR="00C0460A" w:rsidRPr="00F90FFA">
        <w:rPr>
          <w:sz w:val="23"/>
          <w:szCs w:val="23"/>
        </w:rPr>
        <w:t xml:space="preserve"> CIS software and trad</w:t>
      </w:r>
      <w:r w:rsidR="004425DD">
        <w:rPr>
          <w:sz w:val="23"/>
          <w:szCs w:val="23"/>
        </w:rPr>
        <w:t>itional software arrangements in</w:t>
      </w:r>
      <w:r w:rsidR="00C0460A" w:rsidRPr="00F90FFA">
        <w:rPr>
          <w:sz w:val="23"/>
          <w:szCs w:val="23"/>
        </w:rPr>
        <w:t xml:space="preserve"> these proposed </w:t>
      </w:r>
      <w:r w:rsidR="00585F51" w:rsidRPr="00F90FFA">
        <w:rPr>
          <w:sz w:val="23"/>
          <w:szCs w:val="23"/>
        </w:rPr>
        <w:t>sub</w:t>
      </w:r>
      <w:r w:rsidR="00C0460A" w:rsidRPr="00F90FFA">
        <w:rPr>
          <w:sz w:val="23"/>
          <w:szCs w:val="23"/>
        </w:rPr>
        <w:t>accounts.</w:t>
      </w:r>
      <w:r w:rsidR="00EA7660" w:rsidRPr="00F90FFA">
        <w:rPr>
          <w:sz w:val="23"/>
          <w:szCs w:val="23"/>
        </w:rPr>
        <w:t xml:space="preserve"> </w:t>
      </w:r>
      <w:r w:rsidR="00AA652A" w:rsidRPr="00F90FFA">
        <w:t>(Kunkler)</w:t>
      </w:r>
    </w:p>
    <w:p w:rsidR="00AA652A" w:rsidRPr="004C3641" w:rsidRDefault="00AA652A" w:rsidP="003109A0">
      <w:pPr>
        <w:pStyle w:val="IssueSubsectionHeading"/>
        <w:rPr>
          <w:vanish/>
          <w:specVanish/>
        </w:rPr>
      </w:pPr>
      <w:r w:rsidRPr="004C3641">
        <w:t>Staff Analysis: </w:t>
      </w:r>
    </w:p>
    <w:p w:rsidR="006D4EEF" w:rsidRDefault="00AA652A" w:rsidP="003109A0">
      <w:pPr>
        <w:autoSpaceDE w:val="0"/>
        <w:autoSpaceDN w:val="0"/>
        <w:adjustRightInd w:val="0"/>
        <w:jc w:val="both"/>
      </w:pPr>
      <w:r>
        <w:t> </w:t>
      </w:r>
    </w:p>
    <w:p w:rsidR="009F217C" w:rsidRDefault="009F217C" w:rsidP="003109A0">
      <w:pPr>
        <w:autoSpaceDE w:val="0"/>
        <w:autoSpaceDN w:val="0"/>
        <w:adjustRightInd w:val="0"/>
        <w:jc w:val="both"/>
      </w:pPr>
    </w:p>
    <w:p w:rsidR="006D4EEF" w:rsidRPr="006D4EEF" w:rsidRDefault="006D4EEF" w:rsidP="003109A0">
      <w:pPr>
        <w:autoSpaceDE w:val="0"/>
        <w:autoSpaceDN w:val="0"/>
        <w:adjustRightInd w:val="0"/>
        <w:jc w:val="both"/>
        <w:rPr>
          <w:u w:val="single"/>
        </w:rPr>
      </w:pPr>
      <w:proofErr w:type="spellStart"/>
      <w:r w:rsidRPr="009F217C">
        <w:rPr>
          <w:rFonts w:ascii="Arial" w:hAnsi="Arial" w:cs="Arial"/>
          <w:b/>
          <w:bCs/>
          <w:iCs/>
          <w:szCs w:val="28"/>
        </w:rPr>
        <w:t>Starnik</w:t>
      </w:r>
      <w:proofErr w:type="spellEnd"/>
      <w:r w:rsidRPr="009F217C">
        <w:rPr>
          <w:rFonts w:ascii="Arial" w:hAnsi="Arial" w:cs="Arial"/>
          <w:b/>
          <w:bCs/>
          <w:iCs/>
          <w:szCs w:val="28"/>
        </w:rPr>
        <w:t xml:space="preserve"> CIS</w:t>
      </w:r>
    </w:p>
    <w:p w:rsidR="002736A1" w:rsidRPr="0020534A" w:rsidRDefault="002736A1" w:rsidP="003109A0">
      <w:pPr>
        <w:autoSpaceDE w:val="0"/>
        <w:autoSpaceDN w:val="0"/>
        <w:adjustRightInd w:val="0"/>
        <w:jc w:val="both"/>
      </w:pPr>
      <w:r w:rsidRPr="0020534A">
        <w:t xml:space="preserve">FCG states that </w:t>
      </w:r>
      <w:proofErr w:type="spellStart"/>
      <w:r w:rsidRPr="0020534A">
        <w:t>Starnik</w:t>
      </w:r>
      <w:proofErr w:type="spellEnd"/>
      <w:r w:rsidRPr="0020534A">
        <w:t xml:space="preserve"> CIS is a cloud-based </w:t>
      </w:r>
      <w:r w:rsidR="004425DD">
        <w:t xml:space="preserve">SaaS </w:t>
      </w:r>
      <w:r w:rsidRPr="0020534A">
        <w:t>system that offers an all-in-one, real</w:t>
      </w:r>
      <w:r w:rsidR="0048438F">
        <w:t>-</w:t>
      </w:r>
      <w:r w:rsidRPr="0020534A">
        <w:t>time solution for managing the business processes of: (1) receiving gas consumption measurement data; (2) accurately billing; and (3) ensuring consistent collection of revenues for services rendered to customers.</w:t>
      </w:r>
      <w:r w:rsidRPr="0020534A">
        <w:rPr>
          <w:rStyle w:val="FootnoteReference"/>
        </w:rPr>
        <w:footnoteReference w:id="6"/>
      </w:r>
      <w:r w:rsidRPr="0020534A">
        <w:t xml:space="preserve"> According to the Company, the </w:t>
      </w:r>
      <w:proofErr w:type="spellStart"/>
      <w:r w:rsidRPr="0020534A">
        <w:t>Starnik</w:t>
      </w:r>
      <w:proofErr w:type="spellEnd"/>
      <w:r w:rsidRPr="0020534A">
        <w:t xml:space="preserve"> CIS software enhances FCG’s ability to effectively manage and accurately bill all customer segments, including residential, commercial, industrial, and transportation service providers (TSP), within a single system.</w:t>
      </w:r>
      <w:r w:rsidRPr="0020534A">
        <w:rPr>
          <w:rStyle w:val="FootnoteReference"/>
        </w:rPr>
        <w:footnoteReference w:id="7"/>
      </w:r>
      <w:r w:rsidRPr="0020534A">
        <w:t xml:space="preserve"> The total capital cost associated with </w:t>
      </w:r>
      <w:proofErr w:type="spellStart"/>
      <w:r w:rsidRPr="0020534A">
        <w:t>Starnik</w:t>
      </w:r>
      <w:proofErr w:type="spellEnd"/>
      <w:r w:rsidRPr="0020534A">
        <w:t xml:space="preserve"> software is $5.2 million as of August 2020.</w:t>
      </w:r>
      <w:r w:rsidRPr="0020534A">
        <w:rPr>
          <w:rStyle w:val="FootnoteReference"/>
        </w:rPr>
        <w:footnoteReference w:id="8"/>
      </w:r>
    </w:p>
    <w:p w:rsidR="002736A1" w:rsidRPr="0020534A" w:rsidRDefault="002736A1" w:rsidP="003109A0">
      <w:pPr>
        <w:autoSpaceDE w:val="0"/>
        <w:autoSpaceDN w:val="0"/>
        <w:adjustRightInd w:val="0"/>
        <w:jc w:val="both"/>
      </w:pPr>
    </w:p>
    <w:p w:rsidR="002736A1" w:rsidRPr="00D526AD" w:rsidRDefault="002736A1" w:rsidP="003109A0">
      <w:pPr>
        <w:autoSpaceDE w:val="0"/>
        <w:autoSpaceDN w:val="0"/>
        <w:adjustRightInd w:val="0"/>
        <w:jc w:val="both"/>
      </w:pPr>
      <w:r w:rsidRPr="00B31398">
        <w:t>FCG stated that th</w:t>
      </w:r>
      <w:r w:rsidRPr="0020534A">
        <w:t xml:space="preserve">e </w:t>
      </w:r>
      <w:proofErr w:type="spellStart"/>
      <w:r w:rsidRPr="0020534A">
        <w:t>Starnik</w:t>
      </w:r>
      <w:proofErr w:type="spellEnd"/>
      <w:r w:rsidRPr="0020534A">
        <w:t xml:space="preserve"> CIS sof</w:t>
      </w:r>
      <w:r w:rsidR="008F6CB7">
        <w:t xml:space="preserve">tware is currently recorded in </w:t>
      </w:r>
      <w:r w:rsidR="00B31398">
        <w:t>sub</w:t>
      </w:r>
      <w:r w:rsidR="008F6CB7">
        <w:t>a</w:t>
      </w:r>
      <w:r w:rsidRPr="0020534A">
        <w:t>ccount 391.11, Computer Software.</w:t>
      </w:r>
      <w:r w:rsidRPr="0020534A">
        <w:rPr>
          <w:rStyle w:val="FootnoteReference"/>
        </w:rPr>
        <w:footnoteReference w:id="9"/>
      </w:r>
      <w:r w:rsidRPr="0020534A">
        <w:t xml:space="preserve"> This account has an approved amortization period of 12 years. The Company is </w:t>
      </w:r>
      <w:r w:rsidRPr="003109A0">
        <w:t xml:space="preserve">requesting authorization to establish a new </w:t>
      </w:r>
      <w:r w:rsidR="002C6496" w:rsidRPr="003109A0">
        <w:t>subaccount</w:t>
      </w:r>
      <w:r w:rsidRPr="003109A0">
        <w:t xml:space="preserve"> specifically for the </w:t>
      </w:r>
      <w:proofErr w:type="spellStart"/>
      <w:r w:rsidRPr="003109A0">
        <w:t>St</w:t>
      </w:r>
      <w:r w:rsidR="008F6CB7" w:rsidRPr="003109A0">
        <w:t>arnik</w:t>
      </w:r>
      <w:proofErr w:type="spellEnd"/>
      <w:r w:rsidR="008F6CB7" w:rsidRPr="003109A0">
        <w:t xml:space="preserve"> CIS software within FERC a</w:t>
      </w:r>
      <w:r w:rsidRPr="003109A0">
        <w:t>ccount 303, Miscellaneous Intangible Plant. If approved by the Commission, the Company will transfer th</w:t>
      </w:r>
      <w:r w:rsidR="008F6CB7" w:rsidRPr="003109A0">
        <w:t>e balance of $5.2 million from a</w:t>
      </w:r>
      <w:r w:rsidRPr="003109A0">
        <w:t xml:space="preserve">ccount 391.11 to the newly established </w:t>
      </w:r>
      <w:r w:rsidR="00334E38" w:rsidRPr="003109A0">
        <w:t>subaccount 303.20</w:t>
      </w:r>
      <w:r w:rsidR="00B31398" w:rsidRPr="003109A0">
        <w:t xml:space="preserve"> - Software as a Service.</w:t>
      </w:r>
      <w:r w:rsidR="006D4EEF" w:rsidRPr="003109A0">
        <w:t xml:space="preserve"> </w:t>
      </w:r>
      <w:r w:rsidR="009F217C" w:rsidRPr="003109A0">
        <w:t>T</w:t>
      </w:r>
      <w:r w:rsidR="006D4EEF" w:rsidRPr="003109A0">
        <w:t xml:space="preserve">he Company indicates that it is proposing to transfer </w:t>
      </w:r>
      <w:r w:rsidR="00CE0920" w:rsidRPr="003109A0">
        <w:t>the recording of these assets from General Plant accounts to I</w:t>
      </w:r>
      <w:r w:rsidR="006460B0" w:rsidRPr="003109A0">
        <w:t>ntangible Plant accounts to provide</w:t>
      </w:r>
      <w:r w:rsidR="004D23D9">
        <w:t xml:space="preserve"> </w:t>
      </w:r>
      <w:r w:rsidR="003109A0" w:rsidRPr="003109A0">
        <w:t>consistency</w:t>
      </w:r>
      <w:r w:rsidR="006460B0" w:rsidRPr="003109A0">
        <w:t xml:space="preserve"> with how its parent </w:t>
      </w:r>
      <w:r w:rsidR="003109A0" w:rsidRPr="003109A0">
        <w:t xml:space="preserve">company, Florida Power </w:t>
      </w:r>
      <w:r w:rsidR="006A5189">
        <w:t>&amp;</w:t>
      </w:r>
      <w:r w:rsidR="003109A0" w:rsidRPr="003109A0">
        <w:t xml:space="preserve"> Light</w:t>
      </w:r>
      <w:r w:rsidR="006A5189">
        <w:t xml:space="preserve"> Company (FPL)</w:t>
      </w:r>
      <w:r w:rsidR="006460B0" w:rsidRPr="003109A0">
        <w:t>, records its capitalized software</w:t>
      </w:r>
      <w:r w:rsidR="003109A0" w:rsidRPr="003109A0">
        <w:t xml:space="preserve"> </w:t>
      </w:r>
      <w:r w:rsidR="00D526AD" w:rsidRPr="003109A0">
        <w:t>for both traditional and SaaS</w:t>
      </w:r>
      <w:r w:rsidR="003109A0" w:rsidRPr="003109A0">
        <w:t xml:space="preserve"> arrangements</w:t>
      </w:r>
      <w:r w:rsidR="00D526AD" w:rsidRPr="003109A0">
        <w:t>.</w:t>
      </w:r>
      <w:r w:rsidR="0066122C" w:rsidRPr="003109A0">
        <w:rPr>
          <w:rStyle w:val="FootnoteReference"/>
        </w:rPr>
        <w:footnoteReference w:id="10"/>
      </w:r>
    </w:p>
    <w:p w:rsidR="00A74C3E" w:rsidRPr="0020534A" w:rsidRDefault="00A74C3E" w:rsidP="003109A0">
      <w:pPr>
        <w:autoSpaceDE w:val="0"/>
        <w:autoSpaceDN w:val="0"/>
        <w:adjustRightInd w:val="0"/>
        <w:jc w:val="both"/>
      </w:pPr>
    </w:p>
    <w:p w:rsidR="002736A1" w:rsidRPr="0020534A" w:rsidRDefault="002736A1" w:rsidP="003109A0">
      <w:pPr>
        <w:autoSpaceDE w:val="0"/>
        <w:autoSpaceDN w:val="0"/>
        <w:adjustRightInd w:val="0"/>
        <w:jc w:val="both"/>
      </w:pPr>
      <w:r w:rsidRPr="0020534A">
        <w:lastRenderedPageBreak/>
        <w:t xml:space="preserve">The Company also is requesting an amortization period </w:t>
      </w:r>
      <w:r w:rsidR="0066122C">
        <w:t>of 20 years f</w:t>
      </w:r>
      <w:r w:rsidRPr="0020534A">
        <w:t xml:space="preserve">or this </w:t>
      </w:r>
      <w:proofErr w:type="spellStart"/>
      <w:r w:rsidRPr="0020534A">
        <w:t>Starnik</w:t>
      </w:r>
      <w:proofErr w:type="spellEnd"/>
      <w:r w:rsidRPr="0020534A">
        <w:t xml:space="preserve"> CIS-specific </w:t>
      </w:r>
      <w:r w:rsidR="002C6496">
        <w:t>subaccount</w:t>
      </w:r>
      <w:r w:rsidR="001C79AA">
        <w:t xml:space="preserve"> with an annual depreciation rate of 5 percent</w:t>
      </w:r>
      <w:r w:rsidRPr="0020534A">
        <w:t>.</w:t>
      </w:r>
      <w:r w:rsidR="001C79AA">
        <w:t xml:space="preserve"> A z</w:t>
      </w:r>
      <w:r w:rsidR="001C79AA" w:rsidRPr="0020534A">
        <w:t xml:space="preserve">ero percent net salvage </w:t>
      </w:r>
      <w:r w:rsidR="001C79AA" w:rsidRPr="001C79AA">
        <w:t xml:space="preserve">value </w:t>
      </w:r>
      <w:r w:rsidR="001C79AA" w:rsidRPr="0020534A">
        <w:t>(NS</w:t>
      </w:r>
      <w:r w:rsidR="001C79AA">
        <w:t>V</w:t>
      </w:r>
      <w:r w:rsidR="001C79AA" w:rsidRPr="0020534A">
        <w:t>)</w:t>
      </w:r>
      <w:r w:rsidR="001C79AA">
        <w:t xml:space="preserve"> </w:t>
      </w:r>
      <w:r w:rsidR="001C79AA" w:rsidRPr="007270BB">
        <w:t xml:space="preserve">is </w:t>
      </w:r>
      <w:r w:rsidR="002C1B8B" w:rsidRPr="007270BB">
        <w:t>associated with these assets</w:t>
      </w:r>
      <w:r w:rsidRPr="007270BB">
        <w:t>.</w:t>
      </w:r>
      <w:r w:rsidRPr="0020534A">
        <w:rPr>
          <w:rStyle w:val="FootnoteReference"/>
        </w:rPr>
        <w:footnoteReference w:id="11"/>
      </w:r>
      <w:r w:rsidRPr="0020534A">
        <w:t xml:space="preserve"> The Company makes clear in its petition that the proposed 20-year</w:t>
      </w:r>
      <w:r w:rsidR="008928C8">
        <w:t xml:space="preserve"> average service life</w:t>
      </w:r>
      <w:r w:rsidRPr="0020534A">
        <w:t xml:space="preserve"> </w:t>
      </w:r>
      <w:r w:rsidR="008928C8">
        <w:t>(</w:t>
      </w:r>
      <w:r w:rsidRPr="0020534A">
        <w:t>ASL</w:t>
      </w:r>
      <w:r w:rsidR="008928C8">
        <w:t>)</w:t>
      </w:r>
      <w:r w:rsidRPr="0020534A">
        <w:t xml:space="preserve"> or amortization period is for accounting purposes only and will have no impact on consumer base rates during the current settlement term, approved in Order No. PSC-2018-0190-FOF-GU.</w:t>
      </w:r>
      <w:r w:rsidRPr="0020534A">
        <w:rPr>
          <w:rStyle w:val="FootnoteReference"/>
        </w:rPr>
        <w:footnoteReference w:id="12"/>
      </w:r>
    </w:p>
    <w:p w:rsidR="002736A1" w:rsidRPr="0020534A" w:rsidRDefault="002736A1" w:rsidP="002736A1">
      <w:pPr>
        <w:autoSpaceDE w:val="0"/>
        <w:autoSpaceDN w:val="0"/>
        <w:adjustRightInd w:val="0"/>
        <w:jc w:val="both"/>
      </w:pPr>
    </w:p>
    <w:p w:rsidR="002736A1" w:rsidRPr="0020534A" w:rsidRDefault="002736A1" w:rsidP="002736A1">
      <w:pPr>
        <w:pStyle w:val="BodyText"/>
      </w:pPr>
      <w:r w:rsidRPr="0020534A">
        <w:t xml:space="preserve">To support the Company’s proposed 20-year ASL for </w:t>
      </w:r>
      <w:proofErr w:type="spellStart"/>
      <w:r w:rsidRPr="0020534A">
        <w:t>Starnik</w:t>
      </w:r>
      <w:proofErr w:type="spellEnd"/>
      <w:r w:rsidRPr="0020534A">
        <w:t xml:space="preserve"> CIS, FCG referenced Docket </w:t>
      </w:r>
      <w:r w:rsidR="00F33529" w:rsidRPr="00B31398">
        <w:t>No.</w:t>
      </w:r>
      <w:r w:rsidR="00F33529">
        <w:t xml:space="preserve"> </w:t>
      </w:r>
      <w:r w:rsidRPr="0020534A">
        <w:t>20120015-EI,</w:t>
      </w:r>
      <w:r w:rsidRPr="0020534A">
        <w:rPr>
          <w:rStyle w:val="FootnoteReference"/>
        </w:rPr>
        <w:footnoteReference w:id="13"/>
      </w:r>
      <w:r w:rsidRPr="0020534A">
        <w:t xml:space="preserve"> in which FPL requested to extend the depreciable life of its newly implemented general ledger accounting system, SAP,</w:t>
      </w:r>
      <w:r w:rsidRPr="0020534A">
        <w:rPr>
          <w:rStyle w:val="FootnoteReference"/>
        </w:rPr>
        <w:footnoteReference w:id="14"/>
      </w:r>
      <w:r w:rsidRPr="0020534A">
        <w:t xml:space="preserve"> from five to 20 years, in or</w:t>
      </w:r>
      <w:r w:rsidRPr="00B31398">
        <w:t>der to more closely align with the period in which customers would experience the benefit of the system.</w:t>
      </w:r>
      <w:r w:rsidRPr="00B31398">
        <w:rPr>
          <w:rStyle w:val="FootnoteReference"/>
        </w:rPr>
        <w:footnoteReference w:id="15"/>
      </w:r>
      <w:r w:rsidRPr="00B31398">
        <w:t xml:space="preserve"> The Commission approved a settlement in that docket which, although not precedential, recognized a depreciable life of 20 years for the SAP system.</w:t>
      </w:r>
      <w:r w:rsidRPr="00B31398">
        <w:rPr>
          <w:rStyle w:val="FootnoteReference"/>
        </w:rPr>
        <w:footnoteReference w:id="16"/>
      </w:r>
      <w:r w:rsidRPr="00B31398">
        <w:t xml:space="preserve"> FCG also referenced Docket </w:t>
      </w:r>
      <w:r w:rsidR="00F33529" w:rsidRPr="00B31398">
        <w:t xml:space="preserve">No. </w:t>
      </w:r>
      <w:r w:rsidRPr="00B31398">
        <w:t>20200059-EI,</w:t>
      </w:r>
      <w:r w:rsidRPr="00B31398">
        <w:rPr>
          <w:rStyle w:val="FootnoteReference"/>
        </w:rPr>
        <w:footnoteReference w:id="17"/>
      </w:r>
      <w:r w:rsidRPr="00B31398">
        <w:t xml:space="preserve"> in which Gulf Power Company sought to extend the depreciable life of its newly implemente</w:t>
      </w:r>
      <w:r w:rsidRPr="0020534A">
        <w:t>d Customer Account Management System, CAMS, from seven to 20 years. The Commission approved Gulf’s amortization rate for CAMS in Order No. PSC-2020-0210-PAA-EI, issued June 25, 2020.</w:t>
      </w:r>
      <w:r w:rsidRPr="0020534A">
        <w:rPr>
          <w:rStyle w:val="FootnoteReference"/>
        </w:rPr>
        <w:footnoteReference w:id="18"/>
      </w:r>
    </w:p>
    <w:p w:rsidR="002736A1" w:rsidRDefault="00B31398" w:rsidP="002736A1">
      <w:pPr>
        <w:pStyle w:val="Default"/>
        <w:jc w:val="both"/>
      </w:pPr>
      <w:r>
        <w:t>FCG states th</w:t>
      </w:r>
      <w:r w:rsidRPr="00B31398">
        <w:t>at</w:t>
      </w:r>
      <w:r w:rsidR="00F33529" w:rsidRPr="00B31398">
        <w:t xml:space="preserve"> its requested</w:t>
      </w:r>
      <w:r w:rsidRPr="00B31398">
        <w:t xml:space="preserve"> extension of</w:t>
      </w:r>
      <w:r w:rsidR="002736A1" w:rsidRPr="00B31398">
        <w:t xml:space="preserve"> </w:t>
      </w:r>
      <w:r w:rsidR="00F33529" w:rsidRPr="00B31398">
        <w:t xml:space="preserve">the </w:t>
      </w:r>
      <w:proofErr w:type="spellStart"/>
      <w:r w:rsidR="00F33529" w:rsidRPr="00B31398">
        <w:t>Starnik</w:t>
      </w:r>
      <w:proofErr w:type="spellEnd"/>
      <w:r w:rsidR="00F33529" w:rsidRPr="00B31398">
        <w:t xml:space="preserve"> CIS</w:t>
      </w:r>
      <w:r w:rsidR="00F33529">
        <w:t xml:space="preserve"> </w:t>
      </w:r>
      <w:r w:rsidR="002736A1">
        <w:t>amortization period will serve to better align</w:t>
      </w:r>
      <w:r w:rsidR="002736A1" w:rsidRPr="0020534A">
        <w:t xml:space="preserve"> the costs of </w:t>
      </w:r>
      <w:proofErr w:type="spellStart"/>
      <w:r w:rsidR="002736A1" w:rsidRPr="0020534A">
        <w:t>Starnik</w:t>
      </w:r>
      <w:proofErr w:type="spellEnd"/>
      <w:r w:rsidR="002736A1" w:rsidRPr="0020534A">
        <w:t xml:space="preserve"> CIS to the expected useful life of the software. The </w:t>
      </w:r>
      <w:r w:rsidR="002736A1">
        <w:t>Company further explains</w:t>
      </w:r>
      <w:r w:rsidR="002736A1" w:rsidRPr="0020534A">
        <w:t xml:space="preserve"> that extending the amortization period will have the added benefit of decreasing the revenue requirement associated with </w:t>
      </w:r>
      <w:proofErr w:type="spellStart"/>
      <w:r w:rsidR="002736A1" w:rsidRPr="0020534A">
        <w:t>Starnik</w:t>
      </w:r>
      <w:proofErr w:type="spellEnd"/>
      <w:r w:rsidR="002736A1" w:rsidRPr="0020534A">
        <w:t xml:space="preserve"> CIS when the Company’s base rates are next set.</w:t>
      </w:r>
      <w:r w:rsidR="002736A1" w:rsidRPr="0020534A">
        <w:rPr>
          <w:rStyle w:val="FootnoteReference"/>
        </w:rPr>
        <w:footnoteReference w:id="19"/>
      </w:r>
    </w:p>
    <w:p w:rsidR="002736A1" w:rsidRDefault="002736A1" w:rsidP="002736A1">
      <w:pPr>
        <w:pStyle w:val="Default"/>
        <w:jc w:val="both"/>
      </w:pPr>
    </w:p>
    <w:p w:rsidR="00B31398" w:rsidRDefault="002736A1" w:rsidP="00DC1DD5">
      <w:pPr>
        <w:pStyle w:val="Default"/>
        <w:jc w:val="both"/>
      </w:pPr>
      <w:r w:rsidRPr="0020534A">
        <w:t>Given the circumstances presented by FCG, staff agrees that a 20-year life is a</w:t>
      </w:r>
      <w:r>
        <w:t xml:space="preserve"> more</w:t>
      </w:r>
      <w:r w:rsidRPr="0020534A">
        <w:t xml:space="preserve"> accurate reflection of the expected service life of the </w:t>
      </w:r>
      <w:proofErr w:type="spellStart"/>
      <w:r w:rsidRPr="0020534A">
        <w:t>Starnik</w:t>
      </w:r>
      <w:proofErr w:type="spellEnd"/>
      <w:r w:rsidRPr="0020534A">
        <w:t xml:space="preserve"> CIS system, and will result in a more </w:t>
      </w:r>
      <w:r w:rsidRPr="00684BEE">
        <w:t>appropriate</w:t>
      </w:r>
      <w:r>
        <w:t xml:space="preserve"> </w:t>
      </w:r>
      <w:r w:rsidRPr="0020534A">
        <w:t>depreciation expense.</w:t>
      </w:r>
      <w:r>
        <w:t xml:space="preserve"> </w:t>
      </w:r>
      <w:r w:rsidR="00192B3C" w:rsidRPr="00F90FFA">
        <w:t>Staff also agrees with FCG’s proposed zero NSV</w:t>
      </w:r>
      <w:r w:rsidR="004425DD">
        <w:t>. W</w:t>
      </w:r>
      <w:r w:rsidR="00536B24" w:rsidRPr="00F90FFA">
        <w:t>ith these parameters, a</w:t>
      </w:r>
      <w:r w:rsidR="009C14EB">
        <w:t xml:space="preserve"> 5 percent depreciation rate appears </w:t>
      </w:r>
      <w:r w:rsidR="00536B24" w:rsidRPr="00F90FFA">
        <w:t>reasonable</w:t>
      </w:r>
      <w:r w:rsidR="00192B3C" w:rsidRPr="00F90FFA">
        <w:t xml:space="preserve">. </w:t>
      </w:r>
      <w:r w:rsidRPr="00F90FFA">
        <w:t>S</w:t>
      </w:r>
      <w:r w:rsidR="008F6CB7" w:rsidRPr="00F90FFA">
        <w:t xml:space="preserve">taff </w:t>
      </w:r>
      <w:r w:rsidR="00192B3C" w:rsidRPr="00F90FFA">
        <w:t xml:space="preserve">believes </w:t>
      </w:r>
      <w:r w:rsidR="008F6CB7" w:rsidRPr="00F90FFA">
        <w:t xml:space="preserve">that </w:t>
      </w:r>
      <w:r w:rsidR="00192B3C" w:rsidRPr="00F90FFA">
        <w:t xml:space="preserve">FCG’s request to establish </w:t>
      </w:r>
      <w:r w:rsidR="0056085C">
        <w:t xml:space="preserve">the </w:t>
      </w:r>
      <w:r w:rsidR="00E609F8" w:rsidRPr="00F90FFA">
        <w:t xml:space="preserve">subaccount 303.20 – Software as a Service </w:t>
      </w:r>
      <w:r w:rsidR="002545DE">
        <w:t>a</w:t>
      </w:r>
      <w:r w:rsidR="00E609F8" w:rsidRPr="00F90FFA">
        <w:t xml:space="preserve">s the </w:t>
      </w:r>
      <w:r w:rsidR="00B31398" w:rsidRPr="00F90FFA">
        <w:t>subaccount for this asset</w:t>
      </w:r>
      <w:r w:rsidR="00192B3C" w:rsidRPr="00F90FFA">
        <w:t xml:space="preserve"> is appropriate</w:t>
      </w:r>
      <w:r w:rsidR="00B31398" w:rsidRPr="00F90FFA">
        <w:t>.</w:t>
      </w:r>
    </w:p>
    <w:p w:rsidR="008928C8" w:rsidRDefault="008928C8" w:rsidP="00DC1DD5">
      <w:pPr>
        <w:pStyle w:val="Default"/>
        <w:jc w:val="both"/>
      </w:pPr>
    </w:p>
    <w:p w:rsidR="00B31398" w:rsidRDefault="00B31398" w:rsidP="00DC1DD5">
      <w:pPr>
        <w:pStyle w:val="Default"/>
        <w:jc w:val="both"/>
        <w:rPr>
          <w:strike/>
          <w:highlight w:val="green"/>
        </w:rPr>
      </w:pPr>
    </w:p>
    <w:p w:rsidR="00B31398" w:rsidRPr="007A5A31" w:rsidRDefault="006D4EEF" w:rsidP="009F217C">
      <w:pPr>
        <w:autoSpaceDE w:val="0"/>
        <w:autoSpaceDN w:val="0"/>
        <w:adjustRightInd w:val="0"/>
        <w:jc w:val="both"/>
        <w:rPr>
          <w:highlight w:val="cyan"/>
        </w:rPr>
      </w:pPr>
      <w:r w:rsidRPr="009F217C">
        <w:rPr>
          <w:rFonts w:ascii="Arial" w:hAnsi="Arial" w:cs="Arial"/>
          <w:b/>
          <w:bCs/>
          <w:iCs/>
          <w:szCs w:val="28"/>
        </w:rPr>
        <w:lastRenderedPageBreak/>
        <w:t>Traditional Software</w:t>
      </w:r>
    </w:p>
    <w:p w:rsidR="00F268CF" w:rsidRDefault="00A50F99" w:rsidP="004425DD">
      <w:pPr>
        <w:autoSpaceDE w:val="0"/>
        <w:autoSpaceDN w:val="0"/>
        <w:adjustRightInd w:val="0"/>
        <w:jc w:val="both"/>
      </w:pPr>
      <w:r w:rsidRPr="00F90FFA">
        <w:t xml:space="preserve">FCG states that traditional software is software that has been developed or obtained for internal use, </w:t>
      </w:r>
      <w:r w:rsidR="004425DD">
        <w:t>where</w:t>
      </w:r>
      <w:r w:rsidRPr="00F90FFA">
        <w:t xml:space="preserve">as </w:t>
      </w:r>
      <w:r w:rsidR="004425DD">
        <w:t>SaaS arrangements involve cloud computing arrangements</w:t>
      </w:r>
      <w:r w:rsidR="00C92611">
        <w:t>.</w:t>
      </w:r>
      <w:r w:rsidR="00CD567F">
        <w:rPr>
          <w:rStyle w:val="FootnoteReference"/>
        </w:rPr>
        <w:footnoteReference w:id="20"/>
      </w:r>
      <w:r w:rsidR="00CD567F">
        <w:t xml:space="preserve"> </w:t>
      </w:r>
      <w:r w:rsidR="00017F18" w:rsidRPr="00F90FFA">
        <w:t>FCG is currently recording traditional software arrangements in subaccount 391.10 – Software Non-Enterprise</w:t>
      </w:r>
      <w:r w:rsidRPr="00F90FFA">
        <w:t xml:space="preserve"> </w:t>
      </w:r>
      <w:r w:rsidR="00017F18" w:rsidRPr="00F90FFA">
        <w:t>and subaccount 391.11 – Computer Software</w:t>
      </w:r>
      <w:r w:rsidRPr="00F90FFA">
        <w:t>.</w:t>
      </w:r>
      <w:r w:rsidR="00B26191" w:rsidRPr="00F90FFA">
        <w:t xml:space="preserve"> </w:t>
      </w:r>
    </w:p>
    <w:p w:rsidR="00F268CF" w:rsidRDefault="00F268CF" w:rsidP="004425DD">
      <w:pPr>
        <w:autoSpaceDE w:val="0"/>
        <w:autoSpaceDN w:val="0"/>
        <w:adjustRightInd w:val="0"/>
        <w:jc w:val="both"/>
      </w:pPr>
    </w:p>
    <w:p w:rsidR="006D4EEF" w:rsidRPr="004425DD" w:rsidRDefault="00B26191" w:rsidP="004425DD">
      <w:pPr>
        <w:autoSpaceDE w:val="0"/>
        <w:autoSpaceDN w:val="0"/>
        <w:adjustRightInd w:val="0"/>
        <w:jc w:val="both"/>
      </w:pPr>
      <w:r w:rsidRPr="00F90FFA">
        <w:t>Subaccount 391.10 currently has a</w:t>
      </w:r>
      <w:r w:rsidR="007A5A31" w:rsidRPr="00F90FFA">
        <w:t xml:space="preserve"> de</w:t>
      </w:r>
      <w:r w:rsidR="004425DD">
        <w:t>preciation rate of 10 percent, while s</w:t>
      </w:r>
      <w:r w:rsidR="007A5A31" w:rsidRPr="00F90FFA">
        <w:t xml:space="preserve">ubaccount 391.11 currently has a </w:t>
      </w:r>
      <w:r w:rsidR="004924A4" w:rsidRPr="00F90FFA">
        <w:t xml:space="preserve">depreciation rate of 8.3 percent. The Company is requesting to transfer the remaining balances for these </w:t>
      </w:r>
      <w:r w:rsidR="0066122C" w:rsidRPr="00F90FFA">
        <w:t xml:space="preserve">traditional software </w:t>
      </w:r>
      <w:r w:rsidR="004924A4" w:rsidRPr="00F90FFA">
        <w:t>assets to new</w:t>
      </w:r>
      <w:r w:rsidR="0066122C" w:rsidRPr="00F90FFA">
        <w:t>ly established</w:t>
      </w:r>
      <w:r w:rsidR="004924A4" w:rsidRPr="00F90FFA">
        <w:t xml:space="preserve"> subaccounts 303.01</w:t>
      </w:r>
      <w:r w:rsidR="008450F5" w:rsidRPr="00F90FFA">
        <w:t xml:space="preserve"> – Software Non-Enterprise</w:t>
      </w:r>
      <w:r w:rsidR="004924A4" w:rsidRPr="00F90FFA">
        <w:t xml:space="preserve"> and </w:t>
      </w:r>
      <w:r w:rsidR="008450F5" w:rsidRPr="00F90FFA">
        <w:t xml:space="preserve">subaccount </w:t>
      </w:r>
      <w:r w:rsidR="004924A4" w:rsidRPr="00F90FFA">
        <w:t>303.02</w:t>
      </w:r>
      <w:r w:rsidR="001F097A" w:rsidRPr="00F90FFA">
        <w:t xml:space="preserve"> </w:t>
      </w:r>
      <w:r w:rsidR="008450F5" w:rsidRPr="00F90FFA">
        <w:t xml:space="preserve">– Computer Software </w:t>
      </w:r>
      <w:r w:rsidR="001F097A" w:rsidRPr="00F90FFA">
        <w:t>(see Issue 2)</w:t>
      </w:r>
      <w:r w:rsidR="0066122C" w:rsidRPr="00F90FFA">
        <w:t>.  The Company is also</w:t>
      </w:r>
      <w:r w:rsidR="00F90FFA" w:rsidRPr="00F90FFA">
        <w:t xml:space="preserve"> </w:t>
      </w:r>
      <w:r w:rsidR="00585F51" w:rsidRPr="00F90FFA">
        <w:t>requesting</w:t>
      </w:r>
      <w:r w:rsidR="0066122C" w:rsidRPr="00F90FFA">
        <w:t xml:space="preserve"> to use these </w:t>
      </w:r>
      <w:r w:rsidR="00E31EDF" w:rsidRPr="00F90FFA">
        <w:t xml:space="preserve">proposed </w:t>
      </w:r>
      <w:r w:rsidR="0066122C" w:rsidRPr="00F90FFA">
        <w:t>subaccounts for</w:t>
      </w:r>
      <w:r w:rsidR="004924A4" w:rsidRPr="00F90FFA">
        <w:t xml:space="preserve"> all similar </w:t>
      </w:r>
      <w:r w:rsidR="004924A4" w:rsidRPr="004425DD">
        <w:t xml:space="preserve">acquisitions in the future, </w:t>
      </w:r>
      <w:r w:rsidR="007D7DC0" w:rsidRPr="004425DD">
        <w:t>with no change to</w:t>
      </w:r>
      <w:r w:rsidR="004924A4" w:rsidRPr="004425DD">
        <w:t xml:space="preserve"> depreciation rates. FCG explains that the reason for this proposed transfer is to</w:t>
      </w:r>
      <w:r w:rsidR="004425DD" w:rsidRPr="004425DD">
        <w:t xml:space="preserve"> </w:t>
      </w:r>
      <w:r w:rsidR="00271498">
        <w:t>allow the Company</w:t>
      </w:r>
      <w:r w:rsidR="004425DD" w:rsidRPr="004425DD">
        <w:t xml:space="preserve"> to separately identify tr</w:t>
      </w:r>
      <w:r w:rsidR="004425DD">
        <w:t xml:space="preserve">aditional capitalized software, </w:t>
      </w:r>
      <w:r w:rsidR="004425DD" w:rsidRPr="004425DD">
        <w:t>which is maintained on the Company's internal servers</w:t>
      </w:r>
      <w:r w:rsidR="009C14EB">
        <w:t>,</w:t>
      </w:r>
      <w:r w:rsidR="004425DD" w:rsidRPr="004425DD">
        <w:t xml:space="preserve"> and u</w:t>
      </w:r>
      <w:r w:rsidR="004425DD">
        <w:t xml:space="preserve">se a depreciation rate based on </w:t>
      </w:r>
      <w:r w:rsidR="004425DD" w:rsidRPr="004425DD">
        <w:t xml:space="preserve">the anticipated useful life of the software, from SaaS arrangements, which </w:t>
      </w:r>
      <w:r w:rsidR="004425DD">
        <w:t xml:space="preserve">are maintained on </w:t>
      </w:r>
      <w:r w:rsidR="004425DD" w:rsidRPr="004425DD">
        <w:t>a vendo</w:t>
      </w:r>
      <w:r w:rsidR="004425DD">
        <w:t>r's servers ("Cloud Computing")</w:t>
      </w:r>
      <w:r w:rsidR="004924A4" w:rsidRPr="004425DD">
        <w:t>.</w:t>
      </w:r>
      <w:r w:rsidR="00271498">
        <w:rPr>
          <w:rStyle w:val="FootnoteReference"/>
        </w:rPr>
        <w:footnoteReference w:id="21"/>
      </w:r>
      <w:r w:rsidR="004924A4" w:rsidRPr="004425DD">
        <w:t xml:space="preserve"> </w:t>
      </w:r>
      <w:r w:rsidR="008450F5" w:rsidRPr="004425DD">
        <w:t>Staff belie</w:t>
      </w:r>
      <w:r w:rsidR="008450F5" w:rsidRPr="00F90FFA">
        <w:t xml:space="preserve">ves FCG’s proposal </w:t>
      </w:r>
      <w:r w:rsidR="00E31EDF" w:rsidRPr="00F90FFA">
        <w:t>as relates to the establishment of the proposed subaccounts for traditional capitalized software at the proposed depreciation rates is reasonable.</w:t>
      </w:r>
      <w:r w:rsidR="001C79AA" w:rsidRPr="004924A4">
        <w:rPr>
          <w:highlight w:val="cyan"/>
        </w:rPr>
        <w:t xml:space="preserve"> </w:t>
      </w:r>
    </w:p>
    <w:p w:rsidR="002736A1" w:rsidRDefault="002736A1" w:rsidP="002736A1">
      <w:pPr>
        <w:pStyle w:val="Default"/>
        <w:jc w:val="both"/>
      </w:pPr>
    </w:p>
    <w:p w:rsidR="00EB67D1" w:rsidRPr="0020534A" w:rsidRDefault="00EB67D1" w:rsidP="002736A1">
      <w:pPr>
        <w:pStyle w:val="Default"/>
        <w:jc w:val="both"/>
      </w:pPr>
      <w:r w:rsidRPr="009F217C">
        <w:rPr>
          <w:rFonts w:ascii="Arial" w:hAnsi="Arial" w:cs="Arial"/>
          <w:b/>
          <w:bCs/>
          <w:iCs/>
          <w:color w:val="auto"/>
          <w:szCs w:val="28"/>
        </w:rPr>
        <w:t>Conclusion</w:t>
      </w:r>
    </w:p>
    <w:p w:rsidR="006A5189" w:rsidRPr="0028749C" w:rsidRDefault="002736A1" w:rsidP="00B725FA">
      <w:pPr>
        <w:pStyle w:val="BodyText"/>
        <w:rPr>
          <w:strike/>
          <w:sz w:val="23"/>
          <w:szCs w:val="23"/>
        </w:rPr>
      </w:pPr>
      <w:r w:rsidRPr="001C79AA">
        <w:t xml:space="preserve">For the reasons outlined in this analysis staff recommends </w:t>
      </w:r>
      <w:r w:rsidR="00592833" w:rsidRPr="001C79AA">
        <w:t xml:space="preserve">approval of </w:t>
      </w:r>
      <w:r w:rsidR="00F00C56" w:rsidRPr="001C79AA">
        <w:t>FCG’s proposal</w:t>
      </w:r>
      <w:r w:rsidR="003111CF" w:rsidRPr="001C79AA">
        <w:t xml:space="preserve"> to establish </w:t>
      </w:r>
      <w:r w:rsidR="00F00C56" w:rsidRPr="001C79AA">
        <w:t xml:space="preserve">new subaccount 303.20 – Software as a Service, for purposes of recording </w:t>
      </w:r>
      <w:proofErr w:type="spellStart"/>
      <w:r w:rsidR="00F00C56" w:rsidRPr="001C79AA">
        <w:t>Starnik</w:t>
      </w:r>
      <w:proofErr w:type="spellEnd"/>
      <w:r w:rsidR="00F00C56" w:rsidRPr="001C79AA">
        <w:t xml:space="preserve"> CIS assets at </w:t>
      </w:r>
      <w:r w:rsidRPr="001C79AA">
        <w:t>an annua</w:t>
      </w:r>
      <w:r w:rsidR="001C79AA" w:rsidRPr="001C79AA">
        <w:t xml:space="preserve">l depreciation rate of 5 percent. </w:t>
      </w:r>
      <w:r w:rsidR="0047062D" w:rsidRPr="001C79AA">
        <w:t>Staff also recommends that</w:t>
      </w:r>
      <w:r w:rsidR="00B725FA" w:rsidRPr="001C79AA">
        <w:t xml:space="preserve"> the</w:t>
      </w:r>
      <w:r w:rsidR="0028749C" w:rsidRPr="001C79AA">
        <w:t xml:space="preserve"> Commission approve </w:t>
      </w:r>
      <w:r w:rsidR="00C93526" w:rsidRPr="001C79AA">
        <w:t xml:space="preserve">FCG’s </w:t>
      </w:r>
      <w:r w:rsidR="00EB67D1" w:rsidRPr="001C79AA">
        <w:t>proposed</w:t>
      </w:r>
      <w:r w:rsidR="00C92611">
        <w:t xml:space="preserve"> subaccounts, 303.01</w:t>
      </w:r>
      <w:r w:rsidR="00585F51" w:rsidRPr="001C79AA">
        <w:t xml:space="preserve"> </w:t>
      </w:r>
      <w:r w:rsidR="0028749C" w:rsidRPr="001C79AA">
        <w:t>-</w:t>
      </w:r>
      <w:r w:rsidR="00585F51" w:rsidRPr="001C79AA">
        <w:t xml:space="preserve"> </w:t>
      </w:r>
      <w:r w:rsidR="0028749C" w:rsidRPr="001C79AA">
        <w:t>Software Non-Enterprise and 303.02</w:t>
      </w:r>
      <w:r w:rsidR="001C79AA" w:rsidRPr="001C79AA">
        <w:t xml:space="preserve"> –</w:t>
      </w:r>
      <w:r w:rsidR="00585F51" w:rsidRPr="001C79AA">
        <w:t xml:space="preserve"> </w:t>
      </w:r>
      <w:r w:rsidR="0028749C" w:rsidRPr="001C79AA">
        <w:t>Computer Software</w:t>
      </w:r>
      <w:r w:rsidR="00EB67D1" w:rsidRPr="001C79AA">
        <w:t>, established to allow the in-</w:t>
      </w:r>
      <w:r w:rsidR="0028749C" w:rsidRPr="001C79AA">
        <w:t xml:space="preserve">transfer of </w:t>
      </w:r>
      <w:r w:rsidR="001225C1" w:rsidRPr="001C79AA">
        <w:t xml:space="preserve">the balances of </w:t>
      </w:r>
      <w:r w:rsidR="0028749C" w:rsidRPr="001C79AA">
        <w:t>traditional software assets currently recorded in subaccounts 391.10 and 391.11, respectively</w:t>
      </w:r>
      <w:r w:rsidR="00EB67D1" w:rsidRPr="001C79AA">
        <w:t xml:space="preserve">.  </w:t>
      </w:r>
      <w:r w:rsidR="00C93526" w:rsidRPr="001C79AA">
        <w:t>Staff recommends that these new subaccounts</w:t>
      </w:r>
      <w:r w:rsidR="00C92611">
        <w:t>, 303.01</w:t>
      </w:r>
      <w:r w:rsidR="007D7DC0" w:rsidRPr="001C79AA">
        <w:t xml:space="preserve"> and 303.02,</w:t>
      </w:r>
      <w:r w:rsidR="00C93526" w:rsidRPr="001C79AA">
        <w:t xml:space="preserve"> feature </w:t>
      </w:r>
      <w:r w:rsidR="0028749C" w:rsidRPr="001C79AA">
        <w:t>the same depreciation rates of 10 percent and 8.3 percent</w:t>
      </w:r>
      <w:r w:rsidR="00C93526" w:rsidRPr="001C79AA">
        <w:t xml:space="preserve"> as the current subaccounts, respectively</w:t>
      </w:r>
      <w:r w:rsidR="0028749C" w:rsidRPr="001C79AA">
        <w:t xml:space="preserve">. In addition, staff recommends that </w:t>
      </w:r>
      <w:r w:rsidR="00C5540B" w:rsidRPr="001C79AA">
        <w:t xml:space="preserve">FCG record </w:t>
      </w:r>
      <w:r w:rsidR="0028749C" w:rsidRPr="001C79AA">
        <w:t>all going-forward acquisitions of like assets to these new subaccounts.</w:t>
      </w:r>
    </w:p>
    <w:p w:rsidR="00AA652A" w:rsidRDefault="00AA652A" w:rsidP="002736A1">
      <w:pPr>
        <w:pStyle w:val="BodyText"/>
      </w:pPr>
    </w:p>
    <w:p w:rsidR="00AA652A" w:rsidRDefault="00AA652A" w:rsidP="00760423">
      <w:pPr>
        <w:pStyle w:val="IssueHeading"/>
      </w:pPr>
      <w:r w:rsidRPr="004C3641">
        <w:rPr>
          <w:b w:val="0"/>
          <w:i w:val="0"/>
        </w:rPr>
        <w:br w:type="page"/>
      </w:r>
    </w:p>
    <w:p w:rsidR="00760423" w:rsidRDefault="00760423" w:rsidP="00760423">
      <w:pPr>
        <w:pStyle w:val="IssueHeading"/>
        <w:rPr>
          <w:vanish/>
          <w:specVanish/>
        </w:rPr>
      </w:pPr>
      <w:r w:rsidRPr="004C3641">
        <w:lastRenderedPageBreak/>
        <w:t xml:space="preserve">Issue </w:t>
      </w:r>
      <w:fldSimple w:instr=" SEQ Issue \* MERGEFORMAT ">
        <w:r w:rsidR="00941E4E">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941E4E">
        <w:rPr>
          <w:noProof/>
        </w:rPr>
        <w:instrText>2</w:instrText>
      </w:r>
      <w:r>
        <w:fldChar w:fldCharType="end"/>
      </w:r>
      <w:r>
        <w:tab/>
        <w:instrText xml:space="preserve">(Smith II)" \l 1 </w:instrText>
      </w:r>
      <w:r>
        <w:fldChar w:fldCharType="end"/>
      </w:r>
      <w:r>
        <w:t> </w:t>
      </w:r>
    </w:p>
    <w:p w:rsidR="00760423" w:rsidRDefault="00760423" w:rsidP="00760423">
      <w:pPr>
        <w:pStyle w:val="BodyText"/>
      </w:pPr>
      <w:r>
        <w:t> If the Commission approves staff’s recommendation in Issue 1, should any accounting entries or adjustments be authorized, and if so, what should be the effective date?</w:t>
      </w:r>
    </w:p>
    <w:p w:rsidR="00760423" w:rsidRPr="004C3641" w:rsidRDefault="00760423" w:rsidP="00760423">
      <w:pPr>
        <w:pStyle w:val="IssueSubsectionHeading"/>
        <w:rPr>
          <w:vanish/>
          <w:specVanish/>
        </w:rPr>
      </w:pPr>
      <w:r w:rsidRPr="004C3641">
        <w:t>Recommendation: </w:t>
      </w:r>
    </w:p>
    <w:p w:rsidR="00760423" w:rsidRDefault="00760423" w:rsidP="00760423">
      <w:pPr>
        <w:pStyle w:val="BodyText"/>
      </w:pPr>
      <w:r>
        <w:t> If the Commission approves staff</w:t>
      </w:r>
      <w:r w:rsidR="002545DE">
        <w:t>’s</w:t>
      </w:r>
      <w:r>
        <w:t xml:space="preserve"> recommendation </w:t>
      </w:r>
      <w:r w:rsidR="002545DE">
        <w:t>i</w:t>
      </w:r>
      <w:r>
        <w:t xml:space="preserve">n Issue 1, staff recommends the Commission authorize accounting entries to reflect the new amortization rate, but the implementation date of the adjustments should be </w:t>
      </w:r>
      <w:r w:rsidR="00186068">
        <w:t>on the date of the issuance of a final Commission Order in this docket</w:t>
      </w:r>
      <w:r>
        <w:t>, rather than August 1, 2020</w:t>
      </w:r>
      <w:r w:rsidR="002545DE">
        <w:t>,</w:t>
      </w:r>
      <w:r>
        <w:t xml:space="preserve"> as proposed by FCG. (Smith II)</w:t>
      </w:r>
    </w:p>
    <w:p w:rsidR="00760423" w:rsidRPr="004C3641" w:rsidRDefault="00760423" w:rsidP="00760423">
      <w:pPr>
        <w:pStyle w:val="IssueSubsectionHeading"/>
        <w:rPr>
          <w:vanish/>
          <w:specVanish/>
        </w:rPr>
      </w:pPr>
      <w:r w:rsidRPr="004C3641">
        <w:t>Staff Analysis: </w:t>
      </w:r>
    </w:p>
    <w:p w:rsidR="00760423" w:rsidRDefault="00760423" w:rsidP="00760423">
      <w:pPr>
        <w:pStyle w:val="BodyText"/>
      </w:pPr>
      <w:r>
        <w:t xml:space="preserve"> FCG filed its Petition on August 6, 2020. FCG explained in a response to staff’s data request that it </w:t>
      </w:r>
      <w:r w:rsidRPr="001B09D0">
        <w:t xml:space="preserve">placed $5.2 million related to </w:t>
      </w:r>
      <w:proofErr w:type="spellStart"/>
      <w:r w:rsidRPr="001B09D0">
        <w:t>Starnik</w:t>
      </w:r>
      <w:proofErr w:type="spellEnd"/>
      <w:r w:rsidRPr="001B09D0">
        <w:t xml:space="preserve"> CIS software into Account 391.11</w:t>
      </w:r>
      <w:r w:rsidR="002545DE">
        <w:t xml:space="preserve"> -</w:t>
      </w:r>
      <w:r w:rsidRPr="001B09D0">
        <w:t xml:space="preserve"> Computer Software in June 2020.</w:t>
      </w:r>
      <w:r w:rsidRPr="001B09D0">
        <w:rPr>
          <w:rStyle w:val="FootnoteReference"/>
          <w:rFonts w:eastAsiaTheme="majorEastAsia"/>
        </w:rPr>
        <w:footnoteReference w:id="22"/>
      </w:r>
      <w:r>
        <w:t xml:space="preserve"> FCG further explained that it began recording amortization expense related to the </w:t>
      </w:r>
      <w:proofErr w:type="spellStart"/>
      <w:r>
        <w:t>Starnik</w:t>
      </w:r>
      <w:proofErr w:type="spellEnd"/>
      <w:r>
        <w:t xml:space="preserve"> system that same month at the currently approved 12-year rate.</w:t>
      </w:r>
      <w:r>
        <w:rPr>
          <w:rStyle w:val="FootnoteReference"/>
          <w:rFonts w:eastAsiaTheme="majorEastAsia"/>
        </w:rPr>
        <w:footnoteReference w:id="23"/>
      </w:r>
      <w:r>
        <w:t xml:space="preserve"> </w:t>
      </w:r>
    </w:p>
    <w:p w:rsidR="00760423" w:rsidRPr="00271498" w:rsidRDefault="00760423" w:rsidP="00760423">
      <w:pPr>
        <w:pStyle w:val="BodyText"/>
      </w:pPr>
      <w:r w:rsidRPr="00953537">
        <w:t xml:space="preserve">FCG explained that if the Commission approves its request, the Company would transfer $5.2 million related to the </w:t>
      </w:r>
      <w:proofErr w:type="spellStart"/>
      <w:r w:rsidRPr="00953537">
        <w:t>Starnik</w:t>
      </w:r>
      <w:proofErr w:type="spellEnd"/>
      <w:r w:rsidRPr="00953537">
        <w:t xml:space="preserve"> CIS from Account 391.11 to the requested subaccount within Account 303.</w:t>
      </w:r>
      <w:r w:rsidRPr="00953537">
        <w:rPr>
          <w:rStyle w:val="FootnoteReference"/>
        </w:rPr>
        <w:footnoteReference w:id="24"/>
      </w:r>
      <w:r w:rsidRPr="00953537">
        <w:t xml:space="preserve"> Additionally, FCG stated that it will true-up, and then transfer, the accumulated amortization associated with the </w:t>
      </w:r>
      <w:proofErr w:type="spellStart"/>
      <w:r w:rsidRPr="00953537">
        <w:t>Starnik</w:t>
      </w:r>
      <w:proofErr w:type="spellEnd"/>
      <w:r w:rsidRPr="00953537">
        <w:t xml:space="preserve"> software from Account 111 – Accumulated provision for amortization of electric plant to Account 404 – Amortization of limited-term electric plant.</w:t>
      </w:r>
      <w:r w:rsidRPr="00953537">
        <w:rPr>
          <w:rStyle w:val="FootnoteReference"/>
        </w:rPr>
        <w:footnoteReference w:id="25"/>
      </w:r>
      <w:r w:rsidRPr="00953537">
        <w:t xml:space="preserve"> FCG explained that it would record amortization expense for June and July at the currently approved 12-year rate.</w:t>
      </w:r>
      <w:r w:rsidRPr="00953537">
        <w:rPr>
          <w:rStyle w:val="FootnoteReference"/>
        </w:rPr>
        <w:footnoteReference w:id="26"/>
      </w:r>
      <w:r w:rsidRPr="00953537">
        <w:t xml:space="preserve"> The Company further clarified that, with Commission approval, it would begin using the new 20-year rate in August.</w:t>
      </w:r>
      <w:r w:rsidRPr="00953537">
        <w:rPr>
          <w:rStyle w:val="FootnoteReference"/>
        </w:rPr>
        <w:footnoteReference w:id="27"/>
      </w:r>
      <w:r w:rsidRPr="00953537">
        <w:t xml:space="preserve"> This would reduce depreciation expense from $35,600 per month to</w:t>
      </w:r>
      <w:r w:rsidR="00271498" w:rsidRPr="00953537">
        <w:t xml:space="preserve"> </w:t>
      </w:r>
      <w:r w:rsidRPr="00953537">
        <w:t>$21,500. As discussed in Issue 1, any remaining balances related to traditional software also would be transferred from Accounts 391.10 and 391.11 to Account 303.01 (10-year amortization rate) or Account 303.02 (12-year amortization rate), as appropriate.</w:t>
      </w:r>
    </w:p>
    <w:p w:rsidR="00760423" w:rsidRPr="00684BEE" w:rsidRDefault="00760423" w:rsidP="00760423">
      <w:pPr>
        <w:pStyle w:val="BodyText"/>
      </w:pPr>
      <w:r w:rsidRPr="00271498">
        <w:t xml:space="preserve">Staff agrees with FCG’s general approach to the accounting adjustments. However, staff disagrees with FCG’s proposal to implement the new rate on August 1, 2020. Staff believes that the amortization expense for the </w:t>
      </w:r>
      <w:proofErr w:type="spellStart"/>
      <w:r w:rsidRPr="00271498">
        <w:t>Starnik</w:t>
      </w:r>
      <w:proofErr w:type="spellEnd"/>
      <w:r w:rsidRPr="00271498">
        <w:t xml:space="preserve"> CIS software should be recorded using th</w:t>
      </w:r>
      <w:r>
        <w:t>e new 20</w:t>
      </w:r>
      <w:r w:rsidR="002545DE">
        <w:t>-</w:t>
      </w:r>
      <w:r>
        <w:t xml:space="preserve">year life depreciation rate (5 percent per annum) </w:t>
      </w:r>
      <w:r w:rsidR="00953537">
        <w:t xml:space="preserve">beginning </w:t>
      </w:r>
      <w:r w:rsidR="00186068" w:rsidRPr="00953537">
        <w:t>on</w:t>
      </w:r>
      <w:r w:rsidR="00186068">
        <w:t xml:space="preserve"> the date of the </w:t>
      </w:r>
      <w:r w:rsidR="00387817">
        <w:t>issuance of a final Commission o</w:t>
      </w:r>
      <w:r w:rsidR="00186068">
        <w:t xml:space="preserve">rder in this docket. </w:t>
      </w:r>
      <w:r w:rsidRPr="00684BEE">
        <w:t>This is in accordance with Rule 25-7.045(2</w:t>
      </w:r>
      <w:proofErr w:type="gramStart"/>
      <w:r w:rsidRPr="00684BEE">
        <w:t>)(</w:t>
      </w:r>
      <w:proofErr w:type="gramEnd"/>
      <w:r w:rsidRPr="00684BEE">
        <w:t>a)</w:t>
      </w:r>
      <w:r w:rsidR="002545DE">
        <w:t>, F.A.C.,</w:t>
      </w:r>
      <w:r w:rsidRPr="00684BEE">
        <w:t xml:space="preserve"> which states that no utility may initiate a new depreciation rate without </w:t>
      </w:r>
      <w:r w:rsidR="00387817">
        <w:t xml:space="preserve">prior </w:t>
      </w:r>
      <w:r w:rsidRPr="00684BEE">
        <w:t>Commission approval.</w:t>
      </w:r>
      <w:r>
        <w:t xml:space="preserve"> </w:t>
      </w:r>
      <w:r w:rsidR="00C92611">
        <w:t>As such, a</w:t>
      </w:r>
      <w:r w:rsidRPr="00684BEE">
        <w:t xml:space="preserve">mortization expense recorded from the in-service date through </w:t>
      </w:r>
      <w:r w:rsidR="00387817">
        <w:t>the date of a final Commission o</w:t>
      </w:r>
      <w:r w:rsidR="00186068">
        <w:t>rder</w:t>
      </w:r>
      <w:r w:rsidRPr="00684BEE">
        <w:t xml:space="preserve"> </w:t>
      </w:r>
      <w:r>
        <w:t>w</w:t>
      </w:r>
      <w:r w:rsidRPr="00684BEE">
        <w:t>ould be accrued at the existing 12-year amortization rate</w:t>
      </w:r>
      <w:r>
        <w:t xml:space="preserve"> (8.3 percent per annum)</w:t>
      </w:r>
      <w:r w:rsidRPr="00684BEE">
        <w:t>, after which</w:t>
      </w:r>
      <w:r>
        <w:t xml:space="preserve"> </w:t>
      </w:r>
      <w:r w:rsidRPr="00684BEE">
        <w:t>the accrual would be recorded at the requested 20-year rate</w:t>
      </w:r>
      <w:r>
        <w:t xml:space="preserve"> (5.0 percent per annum)</w:t>
      </w:r>
      <w:r w:rsidRPr="00684BEE">
        <w:t>.</w:t>
      </w:r>
    </w:p>
    <w:p w:rsidR="00760423" w:rsidRDefault="00760423" w:rsidP="00760423">
      <w:pPr>
        <w:pStyle w:val="BodyText"/>
      </w:pPr>
      <w:r w:rsidRPr="00684BEE">
        <w:t>Staff recommends the Commission authorize FCG to make the appropriate accounting adjustments, as outlined above, reflecting the requested 20-year amortiz</w:t>
      </w:r>
      <w:r w:rsidR="00186068">
        <w:t>ation rate beginning on the date of the issuance of a final Commission Order in this docket</w:t>
      </w:r>
    </w:p>
    <w:p w:rsidR="00760423" w:rsidRDefault="00760423" w:rsidP="00760423">
      <w:pPr>
        <w:pStyle w:val="IssueHeading"/>
        <w:rPr>
          <w:vanish/>
          <w:specVanish/>
        </w:rPr>
      </w:pPr>
      <w:r w:rsidRPr="004C3641">
        <w:rPr>
          <w:b w:val="0"/>
          <w:i w:val="0"/>
        </w:rPr>
        <w:br w:type="page"/>
      </w:r>
      <w:r w:rsidRPr="004C3641">
        <w:lastRenderedPageBreak/>
        <w:t xml:space="preserve">Issue </w:t>
      </w:r>
      <w:fldSimple w:instr=" SEQ Issue \* MERGEFORMAT ">
        <w:r w:rsidR="00941E4E">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sidR="00941E4E">
        <w:rPr>
          <w:noProof/>
        </w:rPr>
        <w:instrText>3</w:instrText>
      </w:r>
      <w:r>
        <w:fldChar w:fldCharType="end"/>
      </w:r>
      <w:r>
        <w:tab/>
        <w:instrText xml:space="preserve">(Smith II)" \l 1 </w:instrText>
      </w:r>
      <w:r>
        <w:fldChar w:fldCharType="end"/>
      </w:r>
      <w:r>
        <w:t> </w:t>
      </w:r>
    </w:p>
    <w:p w:rsidR="00760423" w:rsidRDefault="00760423" w:rsidP="00760423">
      <w:pPr>
        <w:pStyle w:val="BodyText"/>
      </w:pPr>
      <w:r>
        <w:t> Should the Commission approve FCG’s request to establish new sub-accounts within FERC Account 303 – Miscellaneous Intangible Plant for its future SaaS arrangements, and, if so, what are the appropriate corresponding depreciation rates?</w:t>
      </w:r>
    </w:p>
    <w:p w:rsidR="00760423" w:rsidRPr="004C3641" w:rsidRDefault="00760423" w:rsidP="00760423">
      <w:pPr>
        <w:pStyle w:val="IssueSubsectionHeading"/>
        <w:rPr>
          <w:vanish/>
          <w:specVanish/>
        </w:rPr>
      </w:pPr>
      <w:r w:rsidRPr="004C3641">
        <w:t>Recommendation: </w:t>
      </w:r>
    </w:p>
    <w:p w:rsidR="00760423" w:rsidRDefault="00760423" w:rsidP="00760423">
      <w:pPr>
        <w:pStyle w:val="BodyText"/>
      </w:pPr>
      <w:r>
        <w:t> No. The Commission should deny FCG’s request to establish new sub-accounts within FERC Account 303 – Miscellaneous Intangible Plant for its future SaaS software arrangements. (Smith II)</w:t>
      </w:r>
    </w:p>
    <w:p w:rsidR="00760423" w:rsidRPr="004C3641" w:rsidRDefault="00760423" w:rsidP="00760423">
      <w:pPr>
        <w:pStyle w:val="IssueSubsectionHeading"/>
        <w:rPr>
          <w:vanish/>
          <w:specVanish/>
        </w:rPr>
      </w:pPr>
      <w:r w:rsidRPr="004C3641">
        <w:t>Staff Analysis: </w:t>
      </w:r>
    </w:p>
    <w:p w:rsidR="00760423" w:rsidRDefault="00760423" w:rsidP="00760423">
      <w:pPr>
        <w:pStyle w:val="IssueSubsectionHeading"/>
        <w:rPr>
          <w:rFonts w:ascii="Times New Roman" w:hAnsi="Times New Roman" w:cs="Times New Roman"/>
          <w:b w:val="0"/>
          <w:bCs w:val="0"/>
          <w:i w:val="0"/>
          <w:iCs w:val="0"/>
          <w:strike/>
          <w:szCs w:val="24"/>
        </w:rPr>
      </w:pPr>
      <w:r>
        <w:t> </w:t>
      </w:r>
      <w:r>
        <w:rPr>
          <w:rFonts w:ascii="Times New Roman" w:hAnsi="Times New Roman" w:cs="Times New Roman"/>
          <w:b w:val="0"/>
          <w:bCs w:val="0"/>
          <w:i w:val="0"/>
          <w:iCs w:val="0"/>
          <w:szCs w:val="24"/>
        </w:rPr>
        <w:t>The Com</w:t>
      </w:r>
      <w:r w:rsidRPr="00883172">
        <w:rPr>
          <w:rFonts w:ascii="Times New Roman" w:hAnsi="Times New Roman" w:cs="Times New Roman"/>
          <w:b w:val="0"/>
          <w:bCs w:val="0"/>
          <w:i w:val="0"/>
          <w:iCs w:val="0"/>
          <w:szCs w:val="24"/>
        </w:rPr>
        <w:t xml:space="preserve">pany requested </w:t>
      </w:r>
      <w:r w:rsidR="00585F51" w:rsidRPr="00883172">
        <w:rPr>
          <w:rFonts w:ascii="Times New Roman" w:hAnsi="Times New Roman" w:cs="Times New Roman"/>
          <w:b w:val="0"/>
          <w:bCs w:val="0"/>
          <w:i w:val="0"/>
          <w:iCs w:val="0"/>
          <w:szCs w:val="24"/>
        </w:rPr>
        <w:t xml:space="preserve">Commission approval of the </w:t>
      </w:r>
      <w:r w:rsidRPr="00883172">
        <w:rPr>
          <w:rFonts w:ascii="Times New Roman" w:hAnsi="Times New Roman" w:cs="Times New Roman"/>
          <w:b w:val="0"/>
          <w:bCs w:val="0"/>
          <w:i w:val="0"/>
          <w:iCs w:val="0"/>
          <w:szCs w:val="24"/>
        </w:rPr>
        <w:t>establish</w:t>
      </w:r>
      <w:r w:rsidR="00883172">
        <w:rPr>
          <w:rFonts w:ascii="Times New Roman" w:hAnsi="Times New Roman" w:cs="Times New Roman"/>
          <w:b w:val="0"/>
          <w:bCs w:val="0"/>
          <w:i w:val="0"/>
          <w:iCs w:val="0"/>
          <w:szCs w:val="24"/>
        </w:rPr>
        <w:t>ment of</w:t>
      </w:r>
      <w:r w:rsidRPr="00883172">
        <w:rPr>
          <w:rFonts w:ascii="Times New Roman" w:hAnsi="Times New Roman" w:cs="Times New Roman"/>
          <w:b w:val="0"/>
          <w:bCs w:val="0"/>
          <w:i w:val="0"/>
          <w:iCs w:val="0"/>
          <w:szCs w:val="24"/>
        </w:rPr>
        <w:t xml:space="preserve"> various 303 subaccounts for future SaaS arrangements</w:t>
      </w:r>
      <w:r w:rsidR="00883172" w:rsidRPr="00883172">
        <w:rPr>
          <w:rFonts w:ascii="Times New Roman" w:hAnsi="Times New Roman" w:cs="Times New Roman"/>
          <w:b w:val="0"/>
          <w:bCs w:val="0"/>
          <w:i w:val="0"/>
          <w:iCs w:val="0"/>
          <w:szCs w:val="24"/>
        </w:rPr>
        <w:t xml:space="preserve"> to reflect </w:t>
      </w:r>
      <w:r w:rsidRPr="00883172">
        <w:rPr>
          <w:rFonts w:ascii="Times New Roman" w:hAnsi="Times New Roman" w:cs="Times New Roman"/>
          <w:b w:val="0"/>
          <w:bCs w:val="0"/>
          <w:i w:val="0"/>
          <w:iCs w:val="0"/>
          <w:szCs w:val="24"/>
        </w:rPr>
        <w:t>different service li</w:t>
      </w:r>
      <w:r w:rsidR="00883172" w:rsidRPr="00883172">
        <w:rPr>
          <w:rFonts w:ascii="Times New Roman" w:hAnsi="Times New Roman" w:cs="Times New Roman"/>
          <w:b w:val="0"/>
          <w:bCs w:val="0"/>
          <w:i w:val="0"/>
          <w:iCs w:val="0"/>
          <w:szCs w:val="24"/>
        </w:rPr>
        <w:t>ves</w:t>
      </w:r>
      <w:r w:rsidRPr="00883172">
        <w:rPr>
          <w:rFonts w:ascii="Times New Roman" w:hAnsi="Times New Roman" w:cs="Times New Roman"/>
          <w:b w:val="0"/>
          <w:bCs w:val="0"/>
          <w:i w:val="0"/>
          <w:iCs w:val="0"/>
          <w:szCs w:val="24"/>
        </w:rPr>
        <w:t xml:space="preserve">. The proposed amortization rates for these accounts mirror </w:t>
      </w:r>
      <w:r w:rsidR="002C1B8B" w:rsidRPr="007270BB">
        <w:rPr>
          <w:rFonts w:ascii="Times New Roman" w:hAnsi="Times New Roman" w:cs="Times New Roman"/>
          <w:b w:val="0"/>
          <w:bCs w:val="0"/>
          <w:i w:val="0"/>
          <w:iCs w:val="0"/>
          <w:szCs w:val="24"/>
        </w:rPr>
        <w:t>FCG’s</w:t>
      </w:r>
      <w:r w:rsidRPr="007270BB">
        <w:rPr>
          <w:rFonts w:ascii="Times New Roman" w:hAnsi="Times New Roman" w:cs="Times New Roman"/>
          <w:b w:val="0"/>
          <w:bCs w:val="0"/>
          <w:i w:val="0"/>
          <w:iCs w:val="0"/>
          <w:szCs w:val="24"/>
        </w:rPr>
        <w:t xml:space="preserve"> </w:t>
      </w:r>
      <w:proofErr w:type="spellStart"/>
      <w:r w:rsidRPr="007270BB">
        <w:rPr>
          <w:rFonts w:ascii="Times New Roman" w:hAnsi="Times New Roman" w:cs="Times New Roman"/>
          <w:b w:val="0"/>
          <w:bCs w:val="0"/>
          <w:i w:val="0"/>
          <w:iCs w:val="0"/>
          <w:szCs w:val="24"/>
        </w:rPr>
        <w:t>Starnik</w:t>
      </w:r>
      <w:proofErr w:type="spellEnd"/>
      <w:r w:rsidRPr="007270BB">
        <w:rPr>
          <w:rFonts w:ascii="Times New Roman" w:hAnsi="Times New Roman" w:cs="Times New Roman"/>
          <w:b w:val="0"/>
          <w:bCs w:val="0"/>
          <w:i w:val="0"/>
          <w:iCs w:val="0"/>
          <w:szCs w:val="24"/>
        </w:rPr>
        <w:t xml:space="preserve"> </w:t>
      </w:r>
      <w:r w:rsidR="002C1B8B" w:rsidRPr="007270BB">
        <w:rPr>
          <w:rFonts w:ascii="Times New Roman" w:hAnsi="Times New Roman" w:cs="Times New Roman"/>
          <w:b w:val="0"/>
          <w:bCs w:val="0"/>
          <w:i w:val="0"/>
          <w:iCs w:val="0"/>
          <w:szCs w:val="24"/>
        </w:rPr>
        <w:t>CIS software</w:t>
      </w:r>
      <w:r w:rsidR="002C1B8B">
        <w:rPr>
          <w:rFonts w:ascii="Times New Roman" w:hAnsi="Times New Roman" w:cs="Times New Roman"/>
          <w:b w:val="0"/>
          <w:bCs w:val="0"/>
          <w:i w:val="0"/>
          <w:iCs w:val="0"/>
          <w:szCs w:val="24"/>
        </w:rPr>
        <w:t xml:space="preserve"> </w:t>
      </w:r>
      <w:r w:rsidRPr="00883172">
        <w:rPr>
          <w:rFonts w:ascii="Times New Roman" w:hAnsi="Times New Roman" w:cs="Times New Roman"/>
          <w:b w:val="0"/>
          <w:bCs w:val="0"/>
          <w:i w:val="0"/>
          <w:iCs w:val="0"/>
          <w:szCs w:val="24"/>
        </w:rPr>
        <w:t>request by matching the amortization rate to the specific terms of the service contract and the Company’s assessment of how long the software will be utilize</w:t>
      </w:r>
      <w:r w:rsidR="00192B3C" w:rsidRPr="00883172">
        <w:rPr>
          <w:rFonts w:ascii="Times New Roman" w:hAnsi="Times New Roman" w:cs="Times New Roman"/>
          <w:b w:val="0"/>
          <w:bCs w:val="0"/>
          <w:i w:val="0"/>
          <w:iCs w:val="0"/>
          <w:szCs w:val="24"/>
        </w:rPr>
        <w:t>d</w:t>
      </w:r>
      <w:r w:rsidRPr="00883172">
        <w:rPr>
          <w:rFonts w:ascii="Times New Roman" w:hAnsi="Times New Roman" w:cs="Times New Roman"/>
          <w:b w:val="0"/>
          <w:bCs w:val="0"/>
          <w:i w:val="0"/>
          <w:iCs w:val="0"/>
          <w:szCs w:val="24"/>
        </w:rPr>
        <w:t>.</w:t>
      </w:r>
      <w:r w:rsidRPr="001225C1">
        <w:rPr>
          <w:rFonts w:ascii="Times New Roman" w:hAnsi="Times New Roman" w:cs="Times New Roman"/>
          <w:b w:val="0"/>
          <w:bCs w:val="0"/>
          <w:i w:val="0"/>
          <w:iCs w:val="0"/>
          <w:strike/>
          <w:szCs w:val="24"/>
        </w:rPr>
        <w:t xml:space="preserve"> </w:t>
      </w:r>
    </w:p>
    <w:p w:rsidR="00760423" w:rsidRPr="00883172" w:rsidRDefault="00760423" w:rsidP="00760423">
      <w:pPr>
        <w:pStyle w:val="BodyText"/>
      </w:pPr>
      <w:r w:rsidRPr="00883172">
        <w:t>The requested subaccounts and corresponding amortization rates are:</w:t>
      </w:r>
    </w:p>
    <w:p w:rsidR="00760423" w:rsidRPr="00883172" w:rsidRDefault="00760423" w:rsidP="00760423">
      <w:pPr>
        <w:pStyle w:val="BodyText"/>
        <w:contextualSpacing/>
      </w:pPr>
      <w:r w:rsidRPr="00883172">
        <w:t>Account 303.10 Software as a Service – 2 years</w:t>
      </w:r>
    </w:p>
    <w:p w:rsidR="00760423" w:rsidRPr="00883172" w:rsidRDefault="00760423" w:rsidP="00760423">
      <w:pPr>
        <w:pStyle w:val="BodyText"/>
        <w:contextualSpacing/>
      </w:pPr>
      <w:r w:rsidRPr="00883172">
        <w:t>Account 303.11 Software as a Service – 3 years</w:t>
      </w:r>
    </w:p>
    <w:p w:rsidR="00760423" w:rsidRPr="00883172" w:rsidRDefault="00760423" w:rsidP="00760423">
      <w:pPr>
        <w:pStyle w:val="BodyText"/>
        <w:contextualSpacing/>
      </w:pPr>
      <w:r w:rsidRPr="00883172">
        <w:t>Account 303.12 Software as a Service – 4 years</w:t>
      </w:r>
    </w:p>
    <w:p w:rsidR="00760423" w:rsidRPr="00883172" w:rsidRDefault="00760423" w:rsidP="00760423">
      <w:pPr>
        <w:pStyle w:val="BodyText"/>
        <w:contextualSpacing/>
      </w:pPr>
      <w:r w:rsidRPr="00883172">
        <w:t>Account 303.13 Software as a Service – 5 years</w:t>
      </w:r>
    </w:p>
    <w:p w:rsidR="00760423" w:rsidRPr="00883172" w:rsidRDefault="00760423" w:rsidP="00760423">
      <w:pPr>
        <w:pStyle w:val="BodyText"/>
        <w:contextualSpacing/>
      </w:pPr>
      <w:r w:rsidRPr="00883172">
        <w:t>Account 303.14 Software as a Service – 6 years</w:t>
      </w:r>
    </w:p>
    <w:p w:rsidR="00760423" w:rsidRPr="00883172" w:rsidRDefault="00760423" w:rsidP="00760423">
      <w:pPr>
        <w:pStyle w:val="BodyText"/>
        <w:contextualSpacing/>
      </w:pPr>
      <w:r w:rsidRPr="00883172">
        <w:t>Account 303.15 Software as a Service – 7 years</w:t>
      </w:r>
    </w:p>
    <w:p w:rsidR="00760423" w:rsidRPr="00883172" w:rsidRDefault="00760423" w:rsidP="00760423">
      <w:pPr>
        <w:pStyle w:val="BodyText"/>
        <w:contextualSpacing/>
      </w:pPr>
      <w:r w:rsidRPr="00883172">
        <w:t>Account 303.16 Software as a Service – 8 years</w:t>
      </w:r>
    </w:p>
    <w:p w:rsidR="00760423" w:rsidRPr="00883172" w:rsidRDefault="00760423" w:rsidP="00760423">
      <w:pPr>
        <w:pStyle w:val="BodyText"/>
        <w:contextualSpacing/>
      </w:pPr>
      <w:r w:rsidRPr="00883172">
        <w:t>Account 303.17 Software as a Service – 9 years</w:t>
      </w:r>
    </w:p>
    <w:p w:rsidR="00760423" w:rsidRPr="00883172" w:rsidRDefault="00760423" w:rsidP="00760423">
      <w:pPr>
        <w:pStyle w:val="BodyText"/>
        <w:contextualSpacing/>
      </w:pPr>
      <w:r w:rsidRPr="00883172">
        <w:t>Account 303.18 Software as a Service – 10 years</w:t>
      </w:r>
    </w:p>
    <w:p w:rsidR="00760423" w:rsidRDefault="00760423" w:rsidP="00760423">
      <w:pPr>
        <w:pStyle w:val="BodyText"/>
      </w:pPr>
      <w:r w:rsidRPr="00883172">
        <w:t>Account 303.19 Software as a Service – 15 years</w:t>
      </w:r>
      <w:r w:rsidRPr="00883172">
        <w:rPr>
          <w:rStyle w:val="FootnoteReference"/>
        </w:rPr>
        <w:footnoteReference w:id="28"/>
      </w:r>
    </w:p>
    <w:p w:rsidR="00760423" w:rsidRDefault="00760423" w:rsidP="00760423">
      <w:pPr>
        <w:pStyle w:val="BodyText"/>
      </w:pPr>
      <w:r>
        <w:t xml:space="preserve">FCG stated that it </w:t>
      </w:r>
      <w:r w:rsidR="007D7DC0">
        <w:t xml:space="preserve">currently </w:t>
      </w:r>
      <w:r>
        <w:t>does not have any plant balances to transfer into these subaccounts.</w:t>
      </w:r>
      <w:r>
        <w:rPr>
          <w:rStyle w:val="FootnoteReference"/>
        </w:rPr>
        <w:footnoteReference w:id="29"/>
      </w:r>
      <w:r>
        <w:t xml:space="preserve"> Nor does the Company have any current or pending SaaS arrangements </w:t>
      </w:r>
      <w:r w:rsidR="007D7DC0">
        <w:t xml:space="preserve">that </w:t>
      </w:r>
      <w:r>
        <w:t xml:space="preserve">it plans to capitalize </w:t>
      </w:r>
      <w:r w:rsidR="007D7DC0">
        <w:t xml:space="preserve">and record </w:t>
      </w:r>
      <w:r>
        <w:t>to any of these subaccounts.</w:t>
      </w:r>
      <w:r>
        <w:rPr>
          <w:rStyle w:val="FootnoteReference"/>
        </w:rPr>
        <w:footnoteReference w:id="30"/>
      </w:r>
      <w:r>
        <w:t xml:space="preserve"> Given the fact that </w:t>
      </w:r>
      <w:r w:rsidR="007D7DC0">
        <w:t>there are no</w:t>
      </w:r>
      <w:r>
        <w:t xml:space="preserve"> assets </w:t>
      </w:r>
      <w:r w:rsidR="0069196D">
        <w:t xml:space="preserve">in place to evaluate or </w:t>
      </w:r>
      <w:r>
        <w:t xml:space="preserve">analyze in order to recommend </w:t>
      </w:r>
      <w:r w:rsidR="0069196D">
        <w:t xml:space="preserve">appropriate </w:t>
      </w:r>
      <w:r>
        <w:t xml:space="preserve">amortization rates or </w:t>
      </w:r>
      <w:r w:rsidR="00192B3C">
        <w:t>net salvage value</w:t>
      </w:r>
      <w:r w:rsidR="006A5189">
        <w:t>s</w:t>
      </w:r>
      <w:r>
        <w:t xml:space="preserve">, staff believes FCG’s request to establish these subaccounts is premature. </w:t>
      </w:r>
      <w:r w:rsidR="0069196D">
        <w:t>Therefore, s</w:t>
      </w:r>
      <w:r w:rsidR="008527B5">
        <w:t xml:space="preserve">taff recommends </w:t>
      </w:r>
      <w:r w:rsidRPr="008331DA">
        <w:t>the Company’s request to establish specific SaaS subaccounts 303.10 through 303.</w:t>
      </w:r>
      <w:r w:rsidR="0069196D">
        <w:t>19</w:t>
      </w:r>
      <w:r w:rsidRPr="008331DA">
        <w:t xml:space="preserve"> should be denied</w:t>
      </w:r>
      <w:r w:rsidR="0069196D">
        <w:t xml:space="preserve"> at this time</w:t>
      </w:r>
      <w:r w:rsidRPr="008331DA">
        <w:t>.</w:t>
      </w:r>
    </w:p>
    <w:p w:rsidR="00760423" w:rsidRDefault="00760423" w:rsidP="00760423">
      <w:pPr>
        <w:pStyle w:val="IssueHeading"/>
        <w:rPr>
          <w:vanish/>
          <w:specVanish/>
        </w:rPr>
      </w:pPr>
      <w:r w:rsidRPr="004C3641">
        <w:rPr>
          <w:b w:val="0"/>
          <w:i w:val="0"/>
        </w:rPr>
        <w:br w:type="page"/>
      </w:r>
      <w:r w:rsidRPr="004C3641">
        <w:lastRenderedPageBreak/>
        <w:t xml:space="preserve">Issue </w:t>
      </w:r>
      <w:fldSimple w:instr=" SEQ Issue \* MERGEFORMAT ">
        <w:r w:rsidR="00941E4E">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sidR="00941E4E">
        <w:rPr>
          <w:noProof/>
        </w:rPr>
        <w:instrText>4</w:instrText>
      </w:r>
      <w:r>
        <w:fldChar w:fldCharType="end"/>
      </w:r>
      <w:r>
        <w:tab/>
        <w:instrText xml:space="preserve">(Stiller)" \l 1 </w:instrText>
      </w:r>
      <w:r>
        <w:fldChar w:fldCharType="end"/>
      </w:r>
      <w:r>
        <w:t> </w:t>
      </w:r>
    </w:p>
    <w:p w:rsidR="00760423" w:rsidRDefault="00760423" w:rsidP="00760423">
      <w:pPr>
        <w:pStyle w:val="BodyText"/>
      </w:pPr>
      <w:r>
        <w:t> Should this docket be closed?</w:t>
      </w:r>
    </w:p>
    <w:p w:rsidR="00760423" w:rsidRPr="004C3641" w:rsidRDefault="00760423" w:rsidP="00760423">
      <w:pPr>
        <w:pStyle w:val="IssueSubsectionHeading"/>
        <w:rPr>
          <w:vanish/>
          <w:specVanish/>
        </w:rPr>
      </w:pPr>
      <w:r w:rsidRPr="004C3641">
        <w:t>Recommendation: </w:t>
      </w:r>
    </w:p>
    <w:p w:rsidR="00760423" w:rsidRDefault="00760423" w:rsidP="00760423">
      <w:pPr>
        <w:pStyle w:val="BodyText"/>
      </w:pPr>
      <w:r>
        <w:t> I</w:t>
      </w:r>
      <w:r w:rsidRPr="002816D7">
        <w:t xml:space="preserve">f no </w:t>
      </w:r>
      <w:r>
        <w:t xml:space="preserve">protest to this proposed agency action is filed by a substantially affected </w:t>
      </w:r>
      <w:r w:rsidRPr="002816D7">
        <w:t>perso</w:t>
      </w:r>
      <w:r>
        <w:t>n</w:t>
      </w:r>
      <w:r w:rsidRPr="002816D7">
        <w:t xml:space="preserve"> within 21 days of the issuance of the order,</w:t>
      </w:r>
      <w:r>
        <w:t xml:space="preserve"> </w:t>
      </w:r>
      <w:r w:rsidRPr="002816D7">
        <w:t>a</w:t>
      </w:r>
      <w:r>
        <w:t xml:space="preserve"> consummating order should be </w:t>
      </w:r>
      <w:r w:rsidRPr="002816D7">
        <w:t>issue</w:t>
      </w:r>
      <w:r>
        <w:t>d</w:t>
      </w:r>
      <w:r w:rsidRPr="007927F4">
        <w:t xml:space="preserve"> and th</w:t>
      </w:r>
      <w:r>
        <w:t>e</w:t>
      </w:r>
      <w:r w:rsidRPr="002816D7">
        <w:t xml:space="preserve"> docket </w:t>
      </w:r>
      <w:r>
        <w:t>should be closed. (Stiller)</w:t>
      </w:r>
    </w:p>
    <w:p w:rsidR="00760423" w:rsidRPr="004C3641" w:rsidRDefault="00760423" w:rsidP="00760423">
      <w:pPr>
        <w:pStyle w:val="IssueSubsectionHeading"/>
        <w:rPr>
          <w:vanish/>
          <w:specVanish/>
        </w:rPr>
      </w:pPr>
      <w:r w:rsidRPr="004C3641">
        <w:t>Staff Analysis: </w:t>
      </w:r>
    </w:p>
    <w:p w:rsidR="00760423" w:rsidRDefault="00760423" w:rsidP="00760423">
      <w:pPr>
        <w:pStyle w:val="BodyText"/>
      </w:pPr>
      <w:r>
        <w:t> I</w:t>
      </w:r>
      <w:r w:rsidRPr="002816D7">
        <w:t xml:space="preserve">f no </w:t>
      </w:r>
      <w:r>
        <w:t xml:space="preserve">protest to this proposed agency action is filed by a substantially affected </w:t>
      </w:r>
      <w:r w:rsidRPr="002816D7">
        <w:t>perso</w:t>
      </w:r>
      <w:r>
        <w:t>n</w:t>
      </w:r>
      <w:r w:rsidRPr="002816D7">
        <w:t xml:space="preserve"> within 21 days of the issuance of the order,</w:t>
      </w:r>
      <w:r>
        <w:t xml:space="preserve"> </w:t>
      </w:r>
      <w:r w:rsidRPr="002816D7">
        <w:t>a</w:t>
      </w:r>
      <w:r>
        <w:t xml:space="preserve"> consummating order should be </w:t>
      </w:r>
      <w:r w:rsidRPr="002816D7">
        <w:t>issue</w:t>
      </w:r>
      <w:r>
        <w:t>d</w:t>
      </w:r>
      <w:r w:rsidRPr="007927F4">
        <w:t xml:space="preserve"> and </w:t>
      </w:r>
      <w:r w:rsidRPr="002816D7">
        <w:t>th</w:t>
      </w:r>
      <w:r>
        <w:t>e</w:t>
      </w:r>
      <w:r w:rsidRPr="002816D7">
        <w:t xml:space="preserve"> docket </w:t>
      </w:r>
      <w:r>
        <w:t>should be closed.</w:t>
      </w:r>
    </w:p>
    <w:p w:rsidR="00760423" w:rsidRDefault="00760423" w:rsidP="00760423">
      <w:pPr>
        <w:pStyle w:val="BodyText"/>
      </w:pP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2CC" w:rsidRDefault="00EB52CC">
      <w:r>
        <w:separator/>
      </w:r>
    </w:p>
  </w:endnote>
  <w:endnote w:type="continuationSeparator" w:id="0">
    <w:p w:rsidR="00EB52CC" w:rsidRDefault="00EB5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32F61">
      <w:rPr>
        <w:rStyle w:val="PageNumber"/>
        <w:noProof/>
      </w:rPr>
      <w:t>8</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2CC" w:rsidRDefault="00EB52CC">
      <w:r>
        <w:separator/>
      </w:r>
    </w:p>
  </w:footnote>
  <w:footnote w:type="continuationSeparator" w:id="0">
    <w:p w:rsidR="00EB52CC" w:rsidRDefault="00EB52CC">
      <w:r>
        <w:continuationSeparator/>
      </w:r>
    </w:p>
  </w:footnote>
  <w:footnote w:id="1">
    <w:p w:rsidR="002736A1" w:rsidRDefault="002736A1" w:rsidP="002736A1">
      <w:pPr>
        <w:pStyle w:val="FootnoteText"/>
      </w:pPr>
      <w:r>
        <w:rPr>
          <w:rStyle w:val="FootnoteReference"/>
        </w:rPr>
        <w:footnoteRef/>
      </w:r>
      <w:r>
        <w:rPr>
          <w:color w:val="000000"/>
        </w:rPr>
        <w:t xml:space="preserve">Code of Federal Regulations, Title 18, Subchapter C, Part 101, for Major Utilities, as revised </w:t>
      </w:r>
      <w:r>
        <w:t>April 1, 2013.</w:t>
      </w:r>
    </w:p>
  </w:footnote>
  <w:footnote w:id="2">
    <w:p w:rsidR="002736A1" w:rsidRDefault="002736A1" w:rsidP="002736A1">
      <w:pPr>
        <w:pStyle w:val="FootnoteText"/>
      </w:pPr>
      <w:r>
        <w:rPr>
          <w:rStyle w:val="FootnoteReference"/>
        </w:rPr>
        <w:footnoteRef/>
      </w:r>
      <w:r w:rsidRPr="00396856">
        <w:t xml:space="preserve">Document No. 04264-2020, Petition for Approval of Amortization Rate for </w:t>
      </w:r>
      <w:proofErr w:type="spellStart"/>
      <w:r w:rsidRPr="00396856">
        <w:t>Starnik</w:t>
      </w:r>
      <w:proofErr w:type="spellEnd"/>
      <w:r w:rsidRPr="00396856">
        <w:t xml:space="preserve"> </w:t>
      </w:r>
      <w:proofErr w:type="gramStart"/>
      <w:r w:rsidRPr="00396856">
        <w:t>Customer  Information</w:t>
      </w:r>
      <w:proofErr w:type="gramEnd"/>
      <w:r w:rsidRPr="00396856">
        <w:t xml:space="preserve"> System and Other Software Accounting Adjustments by Florida City Gas</w:t>
      </w:r>
      <w:r>
        <w:t>, pg. 3</w:t>
      </w:r>
      <w:r w:rsidRPr="00396856">
        <w:t>.</w:t>
      </w:r>
    </w:p>
  </w:footnote>
  <w:footnote w:id="3">
    <w:p w:rsidR="002736A1" w:rsidRDefault="002736A1" w:rsidP="002736A1">
      <w:pPr>
        <w:pStyle w:val="FootnoteText"/>
      </w:pPr>
      <w:r>
        <w:rPr>
          <w:rStyle w:val="FootnoteReference"/>
        </w:rPr>
        <w:footnoteRef/>
      </w:r>
      <w:r w:rsidRPr="009C14EB">
        <w:rPr>
          <w:i/>
        </w:rPr>
        <w:t>Id</w:t>
      </w:r>
      <w:r>
        <w:t>.</w:t>
      </w:r>
      <w:r w:rsidRPr="00396856">
        <w:t xml:space="preserve">  </w:t>
      </w:r>
    </w:p>
  </w:footnote>
  <w:footnote w:id="4">
    <w:p w:rsidR="002736A1" w:rsidRDefault="002736A1" w:rsidP="002736A1">
      <w:pPr>
        <w:pStyle w:val="FootnoteText"/>
      </w:pPr>
      <w:r>
        <w:rPr>
          <w:rStyle w:val="FootnoteReference"/>
        </w:rPr>
        <w:footnoteRef/>
      </w:r>
      <w:r w:rsidRPr="009C14EB">
        <w:rPr>
          <w:i/>
        </w:rPr>
        <w:t>Id</w:t>
      </w:r>
      <w:r>
        <w:t>.</w:t>
      </w:r>
    </w:p>
  </w:footnote>
  <w:footnote w:id="5">
    <w:p w:rsidR="002736A1" w:rsidRPr="00A46379" w:rsidRDefault="002736A1" w:rsidP="002736A1">
      <w:pPr>
        <w:pStyle w:val="BodyText"/>
        <w:rPr>
          <w:i/>
          <w:sz w:val="20"/>
          <w:szCs w:val="20"/>
        </w:rPr>
      </w:pPr>
      <w:r>
        <w:rPr>
          <w:rStyle w:val="FootnoteReference"/>
        </w:rPr>
        <w:footnoteRef/>
      </w:r>
      <w:r w:rsidRPr="00A216CD">
        <w:rPr>
          <w:sz w:val="20"/>
          <w:szCs w:val="20"/>
        </w:rPr>
        <w:t>Order No. PSC-2018-0190-FOF-GU, issued</w:t>
      </w:r>
      <w:r w:rsidR="009C14EB">
        <w:rPr>
          <w:sz w:val="20"/>
          <w:szCs w:val="20"/>
        </w:rPr>
        <w:t xml:space="preserve"> on April 20, 2018, </w:t>
      </w:r>
      <w:r w:rsidRPr="00A216CD">
        <w:rPr>
          <w:sz w:val="20"/>
          <w:szCs w:val="20"/>
        </w:rPr>
        <w:t>in Docket No.</w:t>
      </w:r>
      <w:r w:rsidR="009C14EB">
        <w:rPr>
          <w:sz w:val="20"/>
          <w:szCs w:val="20"/>
        </w:rPr>
        <w:t xml:space="preserve"> 20170179-GU</w:t>
      </w:r>
      <w:proofErr w:type="gramStart"/>
      <w:r w:rsidR="009C14EB">
        <w:rPr>
          <w:sz w:val="20"/>
          <w:szCs w:val="20"/>
        </w:rPr>
        <w:t xml:space="preserve">, </w:t>
      </w:r>
      <w:r w:rsidRPr="00A46379">
        <w:rPr>
          <w:i/>
          <w:sz w:val="20"/>
          <w:szCs w:val="20"/>
        </w:rPr>
        <w:t xml:space="preserve"> In</w:t>
      </w:r>
      <w:proofErr w:type="gramEnd"/>
      <w:r w:rsidRPr="00A46379">
        <w:rPr>
          <w:i/>
          <w:sz w:val="20"/>
          <w:szCs w:val="20"/>
        </w:rPr>
        <w:t xml:space="preserve"> re: Petition fo</w:t>
      </w:r>
      <w:r>
        <w:rPr>
          <w:i/>
          <w:sz w:val="20"/>
          <w:szCs w:val="20"/>
        </w:rPr>
        <w:t xml:space="preserve">r rate increase by Florida City </w:t>
      </w:r>
      <w:r w:rsidRPr="00A46379">
        <w:rPr>
          <w:i/>
          <w:sz w:val="20"/>
          <w:szCs w:val="20"/>
        </w:rPr>
        <w:t>Gas.</w:t>
      </w:r>
    </w:p>
    <w:p w:rsidR="002736A1" w:rsidRDefault="002736A1" w:rsidP="002736A1">
      <w:pPr>
        <w:pStyle w:val="FootnoteText"/>
      </w:pPr>
    </w:p>
  </w:footnote>
  <w:footnote w:id="6">
    <w:p w:rsidR="002736A1" w:rsidRDefault="002736A1" w:rsidP="002736A1">
      <w:pPr>
        <w:pStyle w:val="FootnoteText"/>
      </w:pPr>
      <w:r>
        <w:rPr>
          <w:rStyle w:val="FootnoteReference"/>
        </w:rPr>
        <w:footnoteRef/>
      </w:r>
      <w:r>
        <w:t xml:space="preserve">Document No. 09485-2020, Florida City Gas’s response to Staff's First Data Request, No. 3.  </w:t>
      </w:r>
    </w:p>
  </w:footnote>
  <w:footnote w:id="7">
    <w:p w:rsidR="002736A1" w:rsidRDefault="002736A1" w:rsidP="002736A1">
      <w:pPr>
        <w:pStyle w:val="FootnoteText"/>
      </w:pPr>
      <w:r>
        <w:rPr>
          <w:rStyle w:val="FootnoteReference"/>
        </w:rPr>
        <w:footnoteRef/>
      </w:r>
      <w:r w:rsidR="00B60802" w:rsidRPr="00B60802">
        <w:rPr>
          <w:i/>
        </w:rPr>
        <w:t>Id</w:t>
      </w:r>
      <w:r>
        <w:t>.</w:t>
      </w:r>
    </w:p>
  </w:footnote>
  <w:footnote w:id="8">
    <w:p w:rsidR="002736A1" w:rsidRDefault="002736A1" w:rsidP="002736A1">
      <w:pPr>
        <w:pStyle w:val="FootnoteText"/>
      </w:pPr>
      <w:r>
        <w:rPr>
          <w:rStyle w:val="FootnoteReference"/>
        </w:rPr>
        <w:footnoteRef/>
      </w:r>
      <w:r>
        <w:t>Document No. 09485-2020, Florida City Gas’s response to Staff's First Data Request, No. 2.</w:t>
      </w:r>
    </w:p>
  </w:footnote>
  <w:footnote w:id="9">
    <w:p w:rsidR="002736A1" w:rsidRDefault="002736A1" w:rsidP="002736A1">
      <w:pPr>
        <w:pStyle w:val="FootnoteText"/>
      </w:pPr>
      <w:r>
        <w:rPr>
          <w:rStyle w:val="FootnoteReference"/>
        </w:rPr>
        <w:footnoteRef/>
      </w:r>
      <w:r>
        <w:t>Document No. 09485-2020, Florida City Gas’s response to Staff's First Data Request, No. 1.</w:t>
      </w:r>
    </w:p>
  </w:footnote>
  <w:footnote w:id="10">
    <w:p w:rsidR="0066122C" w:rsidRDefault="0066122C">
      <w:pPr>
        <w:pStyle w:val="FootnoteText"/>
      </w:pPr>
      <w:r>
        <w:rPr>
          <w:rStyle w:val="FootnoteReference"/>
        </w:rPr>
        <w:footnoteRef/>
      </w:r>
      <w:r w:rsidR="00D526AD">
        <w:t>Document No. 11994-2020, Florida City Gas’s response to Staff's Third Data Request, No. 7</w:t>
      </w:r>
      <w:r w:rsidR="003109A0">
        <w:t>a</w:t>
      </w:r>
      <w:r w:rsidR="00D526AD">
        <w:t>.</w:t>
      </w:r>
    </w:p>
  </w:footnote>
  <w:footnote w:id="11">
    <w:p w:rsidR="002736A1" w:rsidRDefault="002736A1" w:rsidP="002736A1">
      <w:pPr>
        <w:pStyle w:val="FootnoteText"/>
      </w:pPr>
      <w:r>
        <w:rPr>
          <w:rStyle w:val="FootnoteReference"/>
        </w:rPr>
        <w:footnoteRef/>
      </w:r>
      <w:r>
        <w:t>Rules 25-6.0436(1</w:t>
      </w:r>
      <w:proofErr w:type="gramStart"/>
      <w:r>
        <w:t>)(</w:t>
      </w:r>
      <w:proofErr w:type="gramEnd"/>
      <w:r>
        <w:t>e) and 25-6.0436(1)(m), F.A.C., specify the Commission’s depreciation rate formulae and methodologies.</w:t>
      </w:r>
    </w:p>
  </w:footnote>
  <w:footnote w:id="12">
    <w:p w:rsidR="002736A1" w:rsidRDefault="002736A1" w:rsidP="002736A1">
      <w:pPr>
        <w:pStyle w:val="FootnoteText"/>
      </w:pPr>
      <w:r>
        <w:rPr>
          <w:rStyle w:val="FootnoteReference"/>
        </w:rPr>
        <w:footnoteRef/>
      </w:r>
      <w:r w:rsidRPr="00A216CD">
        <w:t>Order No. PSC-2018-0190-FOF-GU, issued</w:t>
      </w:r>
      <w:r w:rsidR="009C14EB">
        <w:t xml:space="preserve"> on April 20, 2018,</w:t>
      </w:r>
      <w:r w:rsidRPr="00A216CD">
        <w:t xml:space="preserve"> in Docket No.</w:t>
      </w:r>
      <w:r>
        <w:t xml:space="preserve"> 20170179-GU</w:t>
      </w:r>
      <w:proofErr w:type="gramStart"/>
      <w:r>
        <w:t xml:space="preserve">, </w:t>
      </w:r>
      <w:r w:rsidRPr="00A46379">
        <w:rPr>
          <w:i/>
        </w:rPr>
        <w:t xml:space="preserve"> In</w:t>
      </w:r>
      <w:proofErr w:type="gramEnd"/>
      <w:r w:rsidRPr="00A46379">
        <w:rPr>
          <w:i/>
        </w:rPr>
        <w:t xml:space="preserve"> re: Petition fo</w:t>
      </w:r>
      <w:r>
        <w:rPr>
          <w:i/>
        </w:rPr>
        <w:t xml:space="preserve">r rate increase by Florida City </w:t>
      </w:r>
      <w:r w:rsidRPr="00A46379">
        <w:rPr>
          <w:i/>
        </w:rPr>
        <w:t>Gas.</w:t>
      </w:r>
    </w:p>
  </w:footnote>
  <w:footnote w:id="13">
    <w:p w:rsidR="002736A1" w:rsidRDefault="002736A1" w:rsidP="002736A1">
      <w:pPr>
        <w:pStyle w:val="FootnoteText"/>
      </w:pPr>
      <w:r>
        <w:rPr>
          <w:rStyle w:val="FootnoteReference"/>
        </w:rPr>
        <w:footnoteRef/>
      </w:r>
      <w:r>
        <w:t xml:space="preserve">Document No. 04264-2020, Petition for Approval of Amortization Rate for </w:t>
      </w:r>
      <w:proofErr w:type="spellStart"/>
      <w:r>
        <w:t>Starnik</w:t>
      </w:r>
      <w:proofErr w:type="spellEnd"/>
      <w:r>
        <w:t xml:space="preserve"> </w:t>
      </w:r>
      <w:proofErr w:type="gramStart"/>
      <w:r>
        <w:t>Customer  Information</w:t>
      </w:r>
      <w:proofErr w:type="gramEnd"/>
      <w:r>
        <w:t xml:space="preserve"> System and Other Software Accounting Adjustments by Florida City Gas, pg. 4.  </w:t>
      </w:r>
    </w:p>
  </w:footnote>
  <w:footnote w:id="14">
    <w:p w:rsidR="002736A1" w:rsidRDefault="002736A1" w:rsidP="002736A1">
      <w:pPr>
        <w:pStyle w:val="FootnoteText"/>
      </w:pPr>
      <w:r>
        <w:rPr>
          <w:rStyle w:val="FootnoteReference"/>
        </w:rPr>
        <w:footnoteRef/>
      </w:r>
      <w:r>
        <w:t xml:space="preserve">SAP general ledger accounting system is produced by the enterprise software company of the same name, SAP  </w:t>
      </w:r>
    </w:p>
  </w:footnote>
  <w:footnote w:id="15">
    <w:p w:rsidR="002736A1" w:rsidRDefault="002736A1" w:rsidP="002736A1">
      <w:pPr>
        <w:pStyle w:val="FootnoteText"/>
      </w:pPr>
      <w:r>
        <w:rPr>
          <w:rStyle w:val="FootnoteReference"/>
        </w:rPr>
        <w:footnoteRef/>
      </w:r>
      <w:r>
        <w:t xml:space="preserve">Document No. 01616-2012, in Docket No. 20120015-EI, </w:t>
      </w:r>
      <w:r>
        <w:rPr>
          <w:color w:val="2D2D2D"/>
        </w:rPr>
        <w:t xml:space="preserve">Direct testimony of Kim </w:t>
      </w:r>
      <w:proofErr w:type="spellStart"/>
      <w:r>
        <w:rPr>
          <w:color w:val="2D2D2D"/>
        </w:rPr>
        <w:t>Ousdahl</w:t>
      </w:r>
      <w:proofErr w:type="spellEnd"/>
      <w:r>
        <w:rPr>
          <w:color w:val="2D2D2D"/>
        </w:rPr>
        <w:t xml:space="preserve"> and </w:t>
      </w:r>
      <w:proofErr w:type="spellStart"/>
      <w:r>
        <w:rPr>
          <w:color w:val="2D2D2D"/>
        </w:rPr>
        <w:t>Exhs</w:t>
      </w:r>
      <w:proofErr w:type="spellEnd"/>
      <w:r>
        <w:rPr>
          <w:color w:val="2D2D2D"/>
        </w:rPr>
        <w:t>. KO-1 through KO-13</w:t>
      </w:r>
      <w:r>
        <w:t xml:space="preserve">, Pg. 14.  </w:t>
      </w:r>
    </w:p>
  </w:footnote>
  <w:footnote w:id="16">
    <w:p w:rsidR="002736A1" w:rsidRDefault="002736A1" w:rsidP="002736A1">
      <w:pPr>
        <w:pStyle w:val="FootnoteText"/>
      </w:pPr>
      <w:r>
        <w:rPr>
          <w:rStyle w:val="FootnoteReference"/>
        </w:rPr>
        <w:footnoteRef/>
      </w:r>
      <w:r>
        <w:t xml:space="preserve">Order No. PSC-2013-0023-S-EI, issued January 14, 2013, in Docket No. 20120015-EI, </w:t>
      </w:r>
      <w:r>
        <w:rPr>
          <w:i/>
          <w:iCs/>
        </w:rPr>
        <w:t xml:space="preserve">In re: Petition for increase in rates by Florida Power &amp; Light Company, </w:t>
      </w:r>
      <w:r w:rsidRPr="007270BB">
        <w:rPr>
          <w:iCs/>
        </w:rPr>
        <w:t>p. 21</w:t>
      </w:r>
      <w:r>
        <w:rPr>
          <w:i/>
          <w:iCs/>
        </w:rPr>
        <w:t xml:space="preserve">. </w:t>
      </w:r>
      <w:r>
        <w:t xml:space="preserve"> </w:t>
      </w:r>
    </w:p>
  </w:footnote>
  <w:footnote w:id="17">
    <w:p w:rsidR="002736A1" w:rsidRDefault="002736A1" w:rsidP="002736A1">
      <w:pPr>
        <w:pStyle w:val="FootnoteText"/>
      </w:pPr>
      <w:r>
        <w:rPr>
          <w:rStyle w:val="FootnoteReference"/>
        </w:rPr>
        <w:footnoteRef/>
      </w:r>
      <w:r>
        <w:t xml:space="preserve">Document No. 04264-2020, Petition for Approval of Amortization Rate for </w:t>
      </w:r>
      <w:proofErr w:type="spellStart"/>
      <w:r>
        <w:t>Starnik</w:t>
      </w:r>
      <w:proofErr w:type="spellEnd"/>
      <w:r>
        <w:t xml:space="preserve"> </w:t>
      </w:r>
      <w:proofErr w:type="gramStart"/>
      <w:r>
        <w:t>Customer  Information</w:t>
      </w:r>
      <w:proofErr w:type="gramEnd"/>
      <w:r>
        <w:t xml:space="preserve"> System and Other Software Accounting Adjustments by Florida City Gas, pg. 5.</w:t>
      </w:r>
    </w:p>
  </w:footnote>
  <w:footnote w:id="18">
    <w:p w:rsidR="002736A1" w:rsidRPr="003900A3" w:rsidRDefault="002736A1" w:rsidP="002736A1">
      <w:pPr>
        <w:pStyle w:val="OrderBody"/>
        <w:tabs>
          <w:tab w:val="center" w:pos="4320"/>
          <w:tab w:val="right" w:pos="8640"/>
        </w:tabs>
        <w:rPr>
          <w:i/>
          <w:sz w:val="20"/>
          <w:szCs w:val="20"/>
        </w:rPr>
      </w:pPr>
      <w:r>
        <w:rPr>
          <w:rStyle w:val="FootnoteReference"/>
        </w:rPr>
        <w:footnoteRef/>
      </w:r>
      <w:r>
        <w:rPr>
          <w:sz w:val="20"/>
          <w:szCs w:val="20"/>
        </w:rPr>
        <w:t xml:space="preserve">Order </w:t>
      </w:r>
      <w:r w:rsidRPr="004F3B23">
        <w:rPr>
          <w:sz w:val="20"/>
          <w:szCs w:val="20"/>
        </w:rPr>
        <w:t>No. PSC-2020-0210-PAA-EI, issued June 25, 2020, in Docket No. 20200059-EI</w:t>
      </w:r>
      <w:proofErr w:type="gramStart"/>
      <w:r w:rsidRPr="004F3B23">
        <w:rPr>
          <w:sz w:val="20"/>
          <w:szCs w:val="20"/>
        </w:rPr>
        <w:t>,</w:t>
      </w:r>
      <w:r w:rsidRPr="004F3B23">
        <w:rPr>
          <w:i/>
          <w:iCs/>
          <w:sz w:val="20"/>
          <w:szCs w:val="20"/>
        </w:rPr>
        <w:t xml:space="preserve"> </w:t>
      </w:r>
      <w:r w:rsidRPr="004F3B23">
        <w:rPr>
          <w:sz w:val="20"/>
          <w:szCs w:val="20"/>
        </w:rPr>
        <w:t xml:space="preserve"> </w:t>
      </w:r>
      <w:r w:rsidRPr="004F3B23">
        <w:rPr>
          <w:i/>
          <w:sz w:val="20"/>
          <w:szCs w:val="20"/>
        </w:rPr>
        <w:t>In</w:t>
      </w:r>
      <w:proofErr w:type="gramEnd"/>
      <w:r w:rsidRPr="004F3B23">
        <w:rPr>
          <w:i/>
          <w:sz w:val="20"/>
          <w:szCs w:val="20"/>
        </w:rPr>
        <w:t xml:space="preserve"> re: </w:t>
      </w:r>
      <w:bookmarkStart w:id="17" w:name="SSInRe"/>
      <w:bookmarkEnd w:id="17"/>
      <w:r w:rsidRPr="004F3B23">
        <w:rPr>
          <w:i/>
          <w:sz w:val="20"/>
          <w:szCs w:val="20"/>
        </w:rPr>
        <w:t>Petition for approval of amortization rate for customer account management system, by Gulf Power Company.</w:t>
      </w:r>
    </w:p>
  </w:footnote>
  <w:footnote w:id="19">
    <w:p w:rsidR="002736A1" w:rsidRDefault="002736A1" w:rsidP="002736A1">
      <w:pPr>
        <w:pStyle w:val="FootnoteText"/>
      </w:pPr>
      <w:r>
        <w:rPr>
          <w:rStyle w:val="FootnoteReference"/>
        </w:rPr>
        <w:footnoteRef/>
      </w:r>
      <w:r w:rsidR="00CD567F" w:rsidRPr="00396856">
        <w:t xml:space="preserve">Document No. 04264-2020, Petition for Approval of Amortization Rate for </w:t>
      </w:r>
      <w:proofErr w:type="spellStart"/>
      <w:r w:rsidR="00CD567F" w:rsidRPr="00396856">
        <w:t>Starnik</w:t>
      </w:r>
      <w:proofErr w:type="spellEnd"/>
      <w:r w:rsidR="00CD567F" w:rsidRPr="00396856">
        <w:t xml:space="preserve"> </w:t>
      </w:r>
      <w:proofErr w:type="gramStart"/>
      <w:r w:rsidR="00CD567F" w:rsidRPr="00396856">
        <w:t>Customer  Information</w:t>
      </w:r>
      <w:proofErr w:type="gramEnd"/>
      <w:r w:rsidR="00CD567F" w:rsidRPr="00396856">
        <w:t xml:space="preserve"> System and Other Software Accounting Adjustments by Florida City Gas</w:t>
      </w:r>
      <w:r w:rsidR="00CD567F">
        <w:t>, pg. 4.</w:t>
      </w:r>
    </w:p>
  </w:footnote>
  <w:footnote w:id="20">
    <w:p w:rsidR="00CD567F" w:rsidRDefault="00CD567F">
      <w:pPr>
        <w:pStyle w:val="FootnoteText"/>
      </w:pPr>
      <w:r>
        <w:rPr>
          <w:rStyle w:val="FootnoteReference"/>
        </w:rPr>
        <w:footnoteRef/>
      </w:r>
      <w:r>
        <w:t>Document No. 11994-2020, Florida City Gas’s response to Staff's Third Data Request, No. 7a.</w:t>
      </w:r>
    </w:p>
  </w:footnote>
  <w:footnote w:id="21">
    <w:p w:rsidR="00271498" w:rsidRDefault="00271498">
      <w:pPr>
        <w:pStyle w:val="FootnoteText"/>
      </w:pPr>
      <w:r>
        <w:rPr>
          <w:rStyle w:val="FootnoteReference"/>
        </w:rPr>
        <w:footnoteRef/>
      </w:r>
      <w:r w:rsidR="008527B5" w:rsidRPr="008527B5">
        <w:rPr>
          <w:i/>
        </w:rPr>
        <w:t>Id</w:t>
      </w:r>
      <w:r>
        <w:t>.</w:t>
      </w:r>
    </w:p>
  </w:footnote>
  <w:footnote w:id="22">
    <w:p w:rsidR="00760423" w:rsidRPr="001B09D0" w:rsidRDefault="00760423" w:rsidP="00760423">
      <w:pPr>
        <w:pStyle w:val="FootnoteText"/>
      </w:pPr>
      <w:r w:rsidRPr="001B09D0">
        <w:rPr>
          <w:rStyle w:val="FootnoteReference"/>
          <w:rFonts w:eastAsiaTheme="majorEastAsia"/>
        </w:rPr>
        <w:footnoteRef/>
      </w:r>
      <w:r w:rsidRPr="001B09D0">
        <w:t>Document No. 09485-2020, FCG’s Responses to Staff’s First Data Request, No. 1.</w:t>
      </w:r>
    </w:p>
  </w:footnote>
  <w:footnote w:id="23">
    <w:p w:rsidR="00760423" w:rsidRDefault="00760423" w:rsidP="00760423">
      <w:pPr>
        <w:pStyle w:val="FootnoteText"/>
      </w:pPr>
      <w:r>
        <w:rPr>
          <w:rStyle w:val="FootnoteReference"/>
          <w:rFonts w:eastAsiaTheme="majorEastAsia"/>
        </w:rPr>
        <w:footnoteRef/>
      </w:r>
      <w:r w:rsidR="009C14EB" w:rsidRPr="009C14EB">
        <w:rPr>
          <w:i/>
        </w:rPr>
        <w:t>Id</w:t>
      </w:r>
      <w:r>
        <w:t>.</w:t>
      </w:r>
    </w:p>
  </w:footnote>
  <w:footnote w:id="24">
    <w:p w:rsidR="00760423" w:rsidRPr="001B09D0" w:rsidRDefault="00760423" w:rsidP="00760423">
      <w:pPr>
        <w:pStyle w:val="FootnoteText"/>
      </w:pPr>
      <w:r w:rsidRPr="001B09D0">
        <w:rPr>
          <w:rStyle w:val="FootnoteReference"/>
        </w:rPr>
        <w:footnoteRef/>
      </w:r>
      <w:r w:rsidRPr="009C14EB">
        <w:rPr>
          <w:i/>
        </w:rPr>
        <w:t>Id</w:t>
      </w:r>
      <w:r w:rsidRPr="001B09D0">
        <w:t xml:space="preserve">. </w:t>
      </w:r>
    </w:p>
  </w:footnote>
  <w:footnote w:id="25">
    <w:p w:rsidR="00760423" w:rsidRPr="001B09D0" w:rsidRDefault="00760423" w:rsidP="00760423">
      <w:pPr>
        <w:pStyle w:val="FootnoteText"/>
      </w:pPr>
      <w:r w:rsidRPr="001B09D0">
        <w:rPr>
          <w:rStyle w:val="FootnoteReference"/>
        </w:rPr>
        <w:footnoteRef/>
      </w:r>
      <w:r w:rsidRPr="009C14EB">
        <w:rPr>
          <w:i/>
        </w:rPr>
        <w:t>Id</w:t>
      </w:r>
      <w:r w:rsidRPr="001B09D0">
        <w:t xml:space="preserve">. </w:t>
      </w:r>
    </w:p>
  </w:footnote>
  <w:footnote w:id="26">
    <w:p w:rsidR="00760423" w:rsidRDefault="00760423" w:rsidP="00760423">
      <w:pPr>
        <w:pStyle w:val="FootnoteText"/>
      </w:pPr>
      <w:r w:rsidRPr="001B09D0">
        <w:rPr>
          <w:rStyle w:val="FootnoteReference"/>
        </w:rPr>
        <w:footnoteRef/>
      </w:r>
      <w:r w:rsidRPr="001B09D0">
        <w:t>Document</w:t>
      </w:r>
      <w:r>
        <w:t xml:space="preserve"> No. </w:t>
      </w:r>
      <w:r w:rsidRPr="001B09D0">
        <w:t>11481-2020,</w:t>
      </w:r>
      <w:r>
        <w:t xml:space="preserve"> FCG’s Responses to Staff’s Second Data Request, No. 1.</w:t>
      </w:r>
    </w:p>
  </w:footnote>
  <w:footnote w:id="27">
    <w:p w:rsidR="00760423" w:rsidRDefault="00760423" w:rsidP="00760423">
      <w:pPr>
        <w:pStyle w:val="FootnoteText"/>
      </w:pPr>
      <w:r>
        <w:rPr>
          <w:rStyle w:val="FootnoteReference"/>
        </w:rPr>
        <w:footnoteRef/>
      </w:r>
      <w:r w:rsidRPr="009C14EB">
        <w:rPr>
          <w:i/>
        </w:rPr>
        <w:t>Id</w:t>
      </w:r>
      <w:r>
        <w:t xml:space="preserve">. </w:t>
      </w:r>
    </w:p>
  </w:footnote>
  <w:footnote w:id="28">
    <w:p w:rsidR="00760423" w:rsidRDefault="00760423" w:rsidP="00760423">
      <w:pPr>
        <w:pStyle w:val="FootnoteText"/>
      </w:pPr>
      <w:r>
        <w:rPr>
          <w:rStyle w:val="FootnoteReference"/>
        </w:rPr>
        <w:footnoteRef/>
      </w:r>
      <w:r w:rsidRPr="001B09D0">
        <w:t>Document No. 09485-2020, FCG’s Responses to S</w:t>
      </w:r>
      <w:r>
        <w:t>taff’s First Data Request, No. 4</w:t>
      </w:r>
      <w:r w:rsidRPr="001B09D0">
        <w:t>.</w:t>
      </w:r>
    </w:p>
  </w:footnote>
  <w:footnote w:id="29">
    <w:p w:rsidR="00760423" w:rsidRDefault="00760423" w:rsidP="00760423">
      <w:pPr>
        <w:pStyle w:val="FootnoteText"/>
      </w:pPr>
      <w:r>
        <w:rPr>
          <w:rStyle w:val="FootnoteReference"/>
        </w:rPr>
        <w:footnoteRef/>
      </w:r>
      <w:r w:rsidR="008527B5" w:rsidRPr="008527B5">
        <w:rPr>
          <w:i/>
        </w:rPr>
        <w:t>Id</w:t>
      </w:r>
      <w:r>
        <w:t>.</w:t>
      </w:r>
    </w:p>
  </w:footnote>
  <w:footnote w:id="30">
    <w:p w:rsidR="00760423" w:rsidRDefault="00760423" w:rsidP="00760423">
      <w:pPr>
        <w:pStyle w:val="FootnoteText"/>
      </w:pPr>
      <w:r w:rsidRPr="00271498">
        <w:rPr>
          <w:rStyle w:val="FootnoteReference"/>
        </w:rPr>
        <w:footnoteRef/>
      </w:r>
      <w:r w:rsidRPr="00271498">
        <w:t xml:space="preserve">Document No. </w:t>
      </w:r>
      <w:r w:rsidR="00C92611" w:rsidRPr="00271498">
        <w:t>11994</w:t>
      </w:r>
      <w:r w:rsidRPr="00271498">
        <w:t>-2020, FCG’s Responses to Staff’s Third Data Request, No.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AA652A"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20200191-GU</w:t>
    </w:r>
    <w:bookmarkEnd w:id="15"/>
  </w:p>
  <w:p w:rsidR="00BC402E" w:rsidRDefault="00BC402E">
    <w:pPr>
      <w:pStyle w:val="Header"/>
    </w:pPr>
    <w:r>
      <w:t xml:space="preserve">Date: </w:t>
    </w:r>
    <w:r w:rsidR="005A3A39">
      <w:fldChar w:fldCharType="begin"/>
    </w:r>
    <w:r w:rsidR="005A3A39">
      <w:instrText xml:space="preserve"> REF FilingDate </w:instrText>
    </w:r>
    <w:r w:rsidR="005A3A39">
      <w:fldChar w:fldCharType="separate"/>
    </w:r>
    <w:r w:rsidR="00941E4E">
      <w:t>November 17, 2020</w:t>
    </w:r>
    <w:r w:rsidR="005A3A39">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941E4E">
      <w:t>Docket No.</w:t>
    </w:r>
    <w:r>
      <w:fldChar w:fldCharType="end"/>
    </w:r>
    <w:r>
      <w:t xml:space="preserve"> </w:t>
    </w:r>
    <w:r>
      <w:fldChar w:fldCharType="begin"/>
    </w:r>
    <w:r>
      <w:instrText xml:space="preserve"> REF DocketList</w:instrText>
    </w:r>
    <w:r>
      <w:fldChar w:fldCharType="separate"/>
    </w:r>
    <w:r w:rsidR="00941E4E">
      <w:t>20200191-GU</w:t>
    </w:r>
    <w:r>
      <w:fldChar w:fldCharType="end"/>
    </w:r>
    <w:r>
      <w:tab/>
      <w:t xml:space="preserve">Issue </w:t>
    </w:r>
    <w:r w:rsidR="005A3A39">
      <w:fldChar w:fldCharType="begin"/>
    </w:r>
    <w:r w:rsidR="005A3A39">
      <w:instrText xml:space="preserve"> Seq Issue \c \* Arabic </w:instrText>
    </w:r>
    <w:r w:rsidR="005A3A39">
      <w:fldChar w:fldCharType="separate"/>
    </w:r>
    <w:r w:rsidR="00832F61">
      <w:rPr>
        <w:noProof/>
      </w:rPr>
      <w:t>4</w:t>
    </w:r>
    <w:r w:rsidR="005A3A39">
      <w:rPr>
        <w:noProof/>
      </w:rPr>
      <w:fldChar w:fldCharType="end"/>
    </w:r>
  </w:p>
  <w:p w:rsidR="00BC402E" w:rsidRDefault="00BC402E">
    <w:pPr>
      <w:pStyle w:val="Header"/>
    </w:pPr>
    <w:r>
      <w:t xml:space="preserve">Date: </w:t>
    </w:r>
    <w:r w:rsidR="005A3A39">
      <w:fldChar w:fldCharType="begin"/>
    </w:r>
    <w:r w:rsidR="005A3A39">
      <w:instrText xml:space="preserve"> REF FilingDate </w:instrText>
    </w:r>
    <w:r w:rsidR="005A3A39">
      <w:fldChar w:fldCharType="separate"/>
    </w:r>
    <w:r w:rsidR="00941E4E">
      <w:t>November 17, 2020</w:t>
    </w:r>
    <w:r w:rsidR="005A3A39">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A652A"/>
    <w:rsid w:val="000043D5"/>
    <w:rsid w:val="00006170"/>
    <w:rsid w:val="00010E37"/>
    <w:rsid w:val="000172DA"/>
    <w:rsid w:val="00017F18"/>
    <w:rsid w:val="000247C5"/>
    <w:rsid w:val="000277C2"/>
    <w:rsid w:val="00035B48"/>
    <w:rsid w:val="00036CE2"/>
    <w:rsid w:val="00043578"/>
    <w:rsid w:val="000437FE"/>
    <w:rsid w:val="000513BE"/>
    <w:rsid w:val="00065A06"/>
    <w:rsid w:val="000666F3"/>
    <w:rsid w:val="00070DCB"/>
    <w:rsid w:val="00072CCA"/>
    <w:rsid w:val="00073120"/>
    <w:rsid w:val="000764D0"/>
    <w:rsid w:val="000828D3"/>
    <w:rsid w:val="00083964"/>
    <w:rsid w:val="000A09A6"/>
    <w:rsid w:val="000A2B57"/>
    <w:rsid w:val="000A418B"/>
    <w:rsid w:val="000A51D4"/>
    <w:rsid w:val="000C4431"/>
    <w:rsid w:val="000D1C06"/>
    <w:rsid w:val="000D22C3"/>
    <w:rsid w:val="000D4319"/>
    <w:rsid w:val="000D7EA5"/>
    <w:rsid w:val="000F374A"/>
    <w:rsid w:val="001076AF"/>
    <w:rsid w:val="00117C8C"/>
    <w:rsid w:val="001225C1"/>
    <w:rsid w:val="00124C38"/>
    <w:rsid w:val="00124E2E"/>
    <w:rsid w:val="00125ED4"/>
    <w:rsid w:val="001305E9"/>
    <w:rsid w:val="001307AF"/>
    <w:rsid w:val="00135687"/>
    <w:rsid w:val="0015506E"/>
    <w:rsid w:val="00163031"/>
    <w:rsid w:val="00171A90"/>
    <w:rsid w:val="00180254"/>
    <w:rsid w:val="0018462A"/>
    <w:rsid w:val="00186068"/>
    <w:rsid w:val="00191E1F"/>
    <w:rsid w:val="00192943"/>
    <w:rsid w:val="00192B3C"/>
    <w:rsid w:val="001A7406"/>
    <w:rsid w:val="001B4FEE"/>
    <w:rsid w:val="001B51C5"/>
    <w:rsid w:val="001B6F3F"/>
    <w:rsid w:val="001C52B5"/>
    <w:rsid w:val="001C79AA"/>
    <w:rsid w:val="001D0D3E"/>
    <w:rsid w:val="001F097A"/>
    <w:rsid w:val="001F2245"/>
    <w:rsid w:val="001F2C63"/>
    <w:rsid w:val="001F48C7"/>
    <w:rsid w:val="001F6DA1"/>
    <w:rsid w:val="002044E6"/>
    <w:rsid w:val="00205C82"/>
    <w:rsid w:val="00205DC2"/>
    <w:rsid w:val="00212B17"/>
    <w:rsid w:val="002163B6"/>
    <w:rsid w:val="00220732"/>
    <w:rsid w:val="00221D32"/>
    <w:rsid w:val="00225C3F"/>
    <w:rsid w:val="002545DE"/>
    <w:rsid w:val="00261C0F"/>
    <w:rsid w:val="00263D44"/>
    <w:rsid w:val="002702AD"/>
    <w:rsid w:val="00271498"/>
    <w:rsid w:val="002736A1"/>
    <w:rsid w:val="0028749C"/>
    <w:rsid w:val="00292D82"/>
    <w:rsid w:val="002963CB"/>
    <w:rsid w:val="002B4A01"/>
    <w:rsid w:val="002C1B8B"/>
    <w:rsid w:val="002C6496"/>
    <w:rsid w:val="002D226D"/>
    <w:rsid w:val="002F6030"/>
    <w:rsid w:val="003037E1"/>
    <w:rsid w:val="0030588D"/>
    <w:rsid w:val="00307E51"/>
    <w:rsid w:val="003103EC"/>
    <w:rsid w:val="003109A0"/>
    <w:rsid w:val="003111CF"/>
    <w:rsid w:val="003144EF"/>
    <w:rsid w:val="00322F74"/>
    <w:rsid w:val="00334E38"/>
    <w:rsid w:val="00340073"/>
    <w:rsid w:val="003632FD"/>
    <w:rsid w:val="00372805"/>
    <w:rsid w:val="00373180"/>
    <w:rsid w:val="00374D55"/>
    <w:rsid w:val="00375AB9"/>
    <w:rsid w:val="003821A0"/>
    <w:rsid w:val="00385B04"/>
    <w:rsid w:val="003864CF"/>
    <w:rsid w:val="00387817"/>
    <w:rsid w:val="003948AE"/>
    <w:rsid w:val="003A22A6"/>
    <w:rsid w:val="003A5494"/>
    <w:rsid w:val="003B2510"/>
    <w:rsid w:val="003C2CC4"/>
    <w:rsid w:val="003C3710"/>
    <w:rsid w:val="003D79C5"/>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5DD"/>
    <w:rsid w:val="004426B8"/>
    <w:rsid w:val="00444432"/>
    <w:rsid w:val="0047062D"/>
    <w:rsid w:val="00471860"/>
    <w:rsid w:val="00477026"/>
    <w:rsid w:val="0048438F"/>
    <w:rsid w:val="004924A4"/>
    <w:rsid w:val="004A2F8F"/>
    <w:rsid w:val="004A744D"/>
    <w:rsid w:val="004B60BD"/>
    <w:rsid w:val="004C3150"/>
    <w:rsid w:val="004C3641"/>
    <w:rsid w:val="004C4390"/>
    <w:rsid w:val="004C4AF7"/>
    <w:rsid w:val="004D23D9"/>
    <w:rsid w:val="004D2881"/>
    <w:rsid w:val="004D385F"/>
    <w:rsid w:val="004D4E97"/>
    <w:rsid w:val="004D5B39"/>
    <w:rsid w:val="004E330D"/>
    <w:rsid w:val="004E5147"/>
    <w:rsid w:val="004E69B5"/>
    <w:rsid w:val="004F5C43"/>
    <w:rsid w:val="004F7D51"/>
    <w:rsid w:val="0050652D"/>
    <w:rsid w:val="0050683E"/>
    <w:rsid w:val="00506C03"/>
    <w:rsid w:val="00511A11"/>
    <w:rsid w:val="00512F0F"/>
    <w:rsid w:val="00516496"/>
    <w:rsid w:val="00523B11"/>
    <w:rsid w:val="0052454F"/>
    <w:rsid w:val="0052572A"/>
    <w:rsid w:val="00532DFB"/>
    <w:rsid w:val="00536B24"/>
    <w:rsid w:val="00543CB3"/>
    <w:rsid w:val="005442E4"/>
    <w:rsid w:val="0055529B"/>
    <w:rsid w:val="0056085C"/>
    <w:rsid w:val="00560FF0"/>
    <w:rsid w:val="005614BD"/>
    <w:rsid w:val="0057154F"/>
    <w:rsid w:val="00580F69"/>
    <w:rsid w:val="00581CA3"/>
    <w:rsid w:val="00585F51"/>
    <w:rsid w:val="00587A44"/>
    <w:rsid w:val="00592833"/>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60B0"/>
    <w:rsid w:val="006470BC"/>
    <w:rsid w:val="006554D3"/>
    <w:rsid w:val="00655D1D"/>
    <w:rsid w:val="0066122C"/>
    <w:rsid w:val="00667036"/>
    <w:rsid w:val="00673BDB"/>
    <w:rsid w:val="00674341"/>
    <w:rsid w:val="006771B8"/>
    <w:rsid w:val="006843B6"/>
    <w:rsid w:val="0068481F"/>
    <w:rsid w:val="0069196D"/>
    <w:rsid w:val="00696F5D"/>
    <w:rsid w:val="00697249"/>
    <w:rsid w:val="006A5189"/>
    <w:rsid w:val="006B3947"/>
    <w:rsid w:val="006B4293"/>
    <w:rsid w:val="006B624F"/>
    <w:rsid w:val="006C0C95"/>
    <w:rsid w:val="006C31E3"/>
    <w:rsid w:val="006D18D3"/>
    <w:rsid w:val="006D4EEF"/>
    <w:rsid w:val="006E08CB"/>
    <w:rsid w:val="006E598D"/>
    <w:rsid w:val="006F3E6F"/>
    <w:rsid w:val="0070437D"/>
    <w:rsid w:val="00704CF1"/>
    <w:rsid w:val="00705B04"/>
    <w:rsid w:val="00724992"/>
    <w:rsid w:val="007270BB"/>
    <w:rsid w:val="00734820"/>
    <w:rsid w:val="007349DC"/>
    <w:rsid w:val="00736EDF"/>
    <w:rsid w:val="0074365E"/>
    <w:rsid w:val="00744B55"/>
    <w:rsid w:val="007515FD"/>
    <w:rsid w:val="00760423"/>
    <w:rsid w:val="00760D80"/>
    <w:rsid w:val="00780C09"/>
    <w:rsid w:val="00780DDF"/>
    <w:rsid w:val="007834E9"/>
    <w:rsid w:val="00787DBC"/>
    <w:rsid w:val="0079019A"/>
    <w:rsid w:val="00792935"/>
    <w:rsid w:val="007A04A1"/>
    <w:rsid w:val="007A1840"/>
    <w:rsid w:val="007A44C2"/>
    <w:rsid w:val="007A5A31"/>
    <w:rsid w:val="007C0528"/>
    <w:rsid w:val="007C3D38"/>
    <w:rsid w:val="007D0F35"/>
    <w:rsid w:val="007D3582"/>
    <w:rsid w:val="007D4FEB"/>
    <w:rsid w:val="007D6146"/>
    <w:rsid w:val="007D7DC0"/>
    <w:rsid w:val="007E0CE7"/>
    <w:rsid w:val="007F1193"/>
    <w:rsid w:val="007F417F"/>
    <w:rsid w:val="007F7644"/>
    <w:rsid w:val="008042BD"/>
    <w:rsid w:val="0081368B"/>
    <w:rsid w:val="00816624"/>
    <w:rsid w:val="00822427"/>
    <w:rsid w:val="00822562"/>
    <w:rsid w:val="00823663"/>
    <w:rsid w:val="00832DDC"/>
    <w:rsid w:val="00832F61"/>
    <w:rsid w:val="008450F5"/>
    <w:rsid w:val="00850BAC"/>
    <w:rsid w:val="008527B5"/>
    <w:rsid w:val="00854A3E"/>
    <w:rsid w:val="00855D08"/>
    <w:rsid w:val="00867E75"/>
    <w:rsid w:val="00874344"/>
    <w:rsid w:val="008751CB"/>
    <w:rsid w:val="00882155"/>
    <w:rsid w:val="0088233B"/>
    <w:rsid w:val="00883172"/>
    <w:rsid w:val="00884312"/>
    <w:rsid w:val="0088599E"/>
    <w:rsid w:val="00886C37"/>
    <w:rsid w:val="008928C8"/>
    <w:rsid w:val="00892D99"/>
    <w:rsid w:val="00893315"/>
    <w:rsid w:val="008B62AE"/>
    <w:rsid w:val="008C04B5"/>
    <w:rsid w:val="008C14FA"/>
    <w:rsid w:val="008C7B0B"/>
    <w:rsid w:val="008D4057"/>
    <w:rsid w:val="008E1F19"/>
    <w:rsid w:val="008E6722"/>
    <w:rsid w:val="008F2262"/>
    <w:rsid w:val="008F4D2B"/>
    <w:rsid w:val="008F6CB7"/>
    <w:rsid w:val="008F7736"/>
    <w:rsid w:val="0090019E"/>
    <w:rsid w:val="00901086"/>
    <w:rsid w:val="00901C8A"/>
    <w:rsid w:val="00905886"/>
    <w:rsid w:val="009070D6"/>
    <w:rsid w:val="009076C6"/>
    <w:rsid w:val="0091019E"/>
    <w:rsid w:val="009106F1"/>
    <w:rsid w:val="00911961"/>
    <w:rsid w:val="00912404"/>
    <w:rsid w:val="009145D6"/>
    <w:rsid w:val="00920E64"/>
    <w:rsid w:val="00922002"/>
    <w:rsid w:val="00924020"/>
    <w:rsid w:val="009271A7"/>
    <w:rsid w:val="0093658B"/>
    <w:rsid w:val="00941E4E"/>
    <w:rsid w:val="009429FF"/>
    <w:rsid w:val="00945BD6"/>
    <w:rsid w:val="0094735A"/>
    <w:rsid w:val="009479FB"/>
    <w:rsid w:val="00951C45"/>
    <w:rsid w:val="00953537"/>
    <w:rsid w:val="009656F2"/>
    <w:rsid w:val="00966A08"/>
    <w:rsid w:val="00971207"/>
    <w:rsid w:val="00975CB4"/>
    <w:rsid w:val="00976FCD"/>
    <w:rsid w:val="009863B0"/>
    <w:rsid w:val="00987DE1"/>
    <w:rsid w:val="00990571"/>
    <w:rsid w:val="0099673A"/>
    <w:rsid w:val="009A3330"/>
    <w:rsid w:val="009A7C96"/>
    <w:rsid w:val="009C14EB"/>
    <w:rsid w:val="009C3DB9"/>
    <w:rsid w:val="009D1EC6"/>
    <w:rsid w:val="009D46E5"/>
    <w:rsid w:val="009D568A"/>
    <w:rsid w:val="009F04EC"/>
    <w:rsid w:val="009F217C"/>
    <w:rsid w:val="009F2A7C"/>
    <w:rsid w:val="009F3B36"/>
    <w:rsid w:val="00A019B9"/>
    <w:rsid w:val="00A07DD3"/>
    <w:rsid w:val="00A10FD6"/>
    <w:rsid w:val="00A12508"/>
    <w:rsid w:val="00A1282B"/>
    <w:rsid w:val="00A13A27"/>
    <w:rsid w:val="00A175B6"/>
    <w:rsid w:val="00A21835"/>
    <w:rsid w:val="00A2374B"/>
    <w:rsid w:val="00A27D6E"/>
    <w:rsid w:val="00A328EC"/>
    <w:rsid w:val="00A33A51"/>
    <w:rsid w:val="00A41CA6"/>
    <w:rsid w:val="00A47927"/>
    <w:rsid w:val="00A47FFC"/>
    <w:rsid w:val="00A50F99"/>
    <w:rsid w:val="00A5442F"/>
    <w:rsid w:val="00A54FF9"/>
    <w:rsid w:val="00A56765"/>
    <w:rsid w:val="00A675AC"/>
    <w:rsid w:val="00A74C3E"/>
    <w:rsid w:val="00A7581F"/>
    <w:rsid w:val="00A92FB1"/>
    <w:rsid w:val="00A95A0C"/>
    <w:rsid w:val="00AA2765"/>
    <w:rsid w:val="00AA652A"/>
    <w:rsid w:val="00AA77B5"/>
    <w:rsid w:val="00AB6C5D"/>
    <w:rsid w:val="00AC3401"/>
    <w:rsid w:val="00AC51A7"/>
    <w:rsid w:val="00AD444B"/>
    <w:rsid w:val="00AD5614"/>
    <w:rsid w:val="00AD6C78"/>
    <w:rsid w:val="00AE2EAB"/>
    <w:rsid w:val="00AF5F89"/>
    <w:rsid w:val="00AF73CB"/>
    <w:rsid w:val="00B002D6"/>
    <w:rsid w:val="00B0259A"/>
    <w:rsid w:val="00B03379"/>
    <w:rsid w:val="00B05B51"/>
    <w:rsid w:val="00B06BD4"/>
    <w:rsid w:val="00B14E5A"/>
    <w:rsid w:val="00B15370"/>
    <w:rsid w:val="00B16DA4"/>
    <w:rsid w:val="00B17BEB"/>
    <w:rsid w:val="00B21A3C"/>
    <w:rsid w:val="00B223C0"/>
    <w:rsid w:val="00B234ED"/>
    <w:rsid w:val="00B249B2"/>
    <w:rsid w:val="00B25CA3"/>
    <w:rsid w:val="00B26191"/>
    <w:rsid w:val="00B2765A"/>
    <w:rsid w:val="00B3109A"/>
    <w:rsid w:val="00B31398"/>
    <w:rsid w:val="00B516ED"/>
    <w:rsid w:val="00B57A6A"/>
    <w:rsid w:val="00B60802"/>
    <w:rsid w:val="00B725FA"/>
    <w:rsid w:val="00B760F1"/>
    <w:rsid w:val="00B7669E"/>
    <w:rsid w:val="00B76BD5"/>
    <w:rsid w:val="00B77DA1"/>
    <w:rsid w:val="00B822A0"/>
    <w:rsid w:val="00B858AE"/>
    <w:rsid w:val="00B85964"/>
    <w:rsid w:val="00B96250"/>
    <w:rsid w:val="00BA0D55"/>
    <w:rsid w:val="00BA37B3"/>
    <w:rsid w:val="00BA4CC6"/>
    <w:rsid w:val="00BB3493"/>
    <w:rsid w:val="00BB7468"/>
    <w:rsid w:val="00BC188A"/>
    <w:rsid w:val="00BC402E"/>
    <w:rsid w:val="00BD0F48"/>
    <w:rsid w:val="00BD3B8E"/>
    <w:rsid w:val="00BE6B3D"/>
    <w:rsid w:val="00BE6DDB"/>
    <w:rsid w:val="00BF5010"/>
    <w:rsid w:val="00C03D5F"/>
    <w:rsid w:val="00C0460A"/>
    <w:rsid w:val="00C13791"/>
    <w:rsid w:val="00C31BB3"/>
    <w:rsid w:val="00C36977"/>
    <w:rsid w:val="00C467DA"/>
    <w:rsid w:val="00C477D9"/>
    <w:rsid w:val="00C5540B"/>
    <w:rsid w:val="00C60BA3"/>
    <w:rsid w:val="00C623F7"/>
    <w:rsid w:val="00C62A81"/>
    <w:rsid w:val="00C75BC5"/>
    <w:rsid w:val="00C81670"/>
    <w:rsid w:val="00C81773"/>
    <w:rsid w:val="00C82861"/>
    <w:rsid w:val="00C86896"/>
    <w:rsid w:val="00C907A8"/>
    <w:rsid w:val="00C92611"/>
    <w:rsid w:val="00C93211"/>
    <w:rsid w:val="00C93526"/>
    <w:rsid w:val="00C942EC"/>
    <w:rsid w:val="00C96047"/>
    <w:rsid w:val="00C979D0"/>
    <w:rsid w:val="00CA0818"/>
    <w:rsid w:val="00CA15C8"/>
    <w:rsid w:val="00CA2C8F"/>
    <w:rsid w:val="00CA30DA"/>
    <w:rsid w:val="00CA3A24"/>
    <w:rsid w:val="00CB1777"/>
    <w:rsid w:val="00CB33E9"/>
    <w:rsid w:val="00CC10A9"/>
    <w:rsid w:val="00CD567F"/>
    <w:rsid w:val="00CE0920"/>
    <w:rsid w:val="00CE2BF8"/>
    <w:rsid w:val="00CE484E"/>
    <w:rsid w:val="00CE656F"/>
    <w:rsid w:val="00CF0DA8"/>
    <w:rsid w:val="00CF2E25"/>
    <w:rsid w:val="00CF334D"/>
    <w:rsid w:val="00CF4453"/>
    <w:rsid w:val="00CF5D94"/>
    <w:rsid w:val="00CF7E0F"/>
    <w:rsid w:val="00D034D7"/>
    <w:rsid w:val="00D04BE4"/>
    <w:rsid w:val="00D06FC7"/>
    <w:rsid w:val="00D12565"/>
    <w:rsid w:val="00D14127"/>
    <w:rsid w:val="00D365A8"/>
    <w:rsid w:val="00D526AD"/>
    <w:rsid w:val="00D55B55"/>
    <w:rsid w:val="00D60B16"/>
    <w:rsid w:val="00D60F02"/>
    <w:rsid w:val="00D66E49"/>
    <w:rsid w:val="00D70D71"/>
    <w:rsid w:val="00D72F74"/>
    <w:rsid w:val="00D76F84"/>
    <w:rsid w:val="00D81563"/>
    <w:rsid w:val="00D85907"/>
    <w:rsid w:val="00D9073E"/>
    <w:rsid w:val="00D9221D"/>
    <w:rsid w:val="00D958DF"/>
    <w:rsid w:val="00D96DA1"/>
    <w:rsid w:val="00DA51E7"/>
    <w:rsid w:val="00DB0260"/>
    <w:rsid w:val="00DB1C78"/>
    <w:rsid w:val="00DB7D96"/>
    <w:rsid w:val="00DC1DD5"/>
    <w:rsid w:val="00DC23FE"/>
    <w:rsid w:val="00DC59E6"/>
    <w:rsid w:val="00DD150B"/>
    <w:rsid w:val="00DD5025"/>
    <w:rsid w:val="00DF1510"/>
    <w:rsid w:val="00E02F1F"/>
    <w:rsid w:val="00E06484"/>
    <w:rsid w:val="00E20A7D"/>
    <w:rsid w:val="00E275D8"/>
    <w:rsid w:val="00E30F6A"/>
    <w:rsid w:val="00E3117C"/>
    <w:rsid w:val="00E31EDF"/>
    <w:rsid w:val="00E375CA"/>
    <w:rsid w:val="00E5364F"/>
    <w:rsid w:val="00E567E8"/>
    <w:rsid w:val="00E609F8"/>
    <w:rsid w:val="00E64679"/>
    <w:rsid w:val="00E65EBC"/>
    <w:rsid w:val="00E677FE"/>
    <w:rsid w:val="00E73432"/>
    <w:rsid w:val="00E77B0C"/>
    <w:rsid w:val="00E77FB8"/>
    <w:rsid w:val="00E838B0"/>
    <w:rsid w:val="00E86A7C"/>
    <w:rsid w:val="00E878E1"/>
    <w:rsid w:val="00E87F2C"/>
    <w:rsid w:val="00E95278"/>
    <w:rsid w:val="00EA2273"/>
    <w:rsid w:val="00EA7660"/>
    <w:rsid w:val="00EA7C3C"/>
    <w:rsid w:val="00EB2DB3"/>
    <w:rsid w:val="00EB52CC"/>
    <w:rsid w:val="00EB67D1"/>
    <w:rsid w:val="00EC3FBB"/>
    <w:rsid w:val="00EC415D"/>
    <w:rsid w:val="00EC6B7A"/>
    <w:rsid w:val="00ED3A87"/>
    <w:rsid w:val="00ED5B67"/>
    <w:rsid w:val="00EF264C"/>
    <w:rsid w:val="00EF3FEE"/>
    <w:rsid w:val="00F00C56"/>
    <w:rsid w:val="00F04B59"/>
    <w:rsid w:val="00F11741"/>
    <w:rsid w:val="00F12B1C"/>
    <w:rsid w:val="00F13CF8"/>
    <w:rsid w:val="00F15855"/>
    <w:rsid w:val="00F200B2"/>
    <w:rsid w:val="00F227DC"/>
    <w:rsid w:val="00F268CF"/>
    <w:rsid w:val="00F32978"/>
    <w:rsid w:val="00F33529"/>
    <w:rsid w:val="00F45CB2"/>
    <w:rsid w:val="00F544C0"/>
    <w:rsid w:val="00F55332"/>
    <w:rsid w:val="00F6504A"/>
    <w:rsid w:val="00F65519"/>
    <w:rsid w:val="00F713C0"/>
    <w:rsid w:val="00F75DDC"/>
    <w:rsid w:val="00F7792F"/>
    <w:rsid w:val="00F842AA"/>
    <w:rsid w:val="00F8476F"/>
    <w:rsid w:val="00F853E1"/>
    <w:rsid w:val="00F85604"/>
    <w:rsid w:val="00F90FFA"/>
    <w:rsid w:val="00F94B7A"/>
    <w:rsid w:val="00FA17AC"/>
    <w:rsid w:val="00FA32DE"/>
    <w:rsid w:val="00FA3382"/>
    <w:rsid w:val="00FA59CD"/>
    <w:rsid w:val="00FB1740"/>
    <w:rsid w:val="00FC5469"/>
    <w:rsid w:val="00FC6D7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3506E8F-B348-431E-816A-509A619D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AA652A"/>
  </w:style>
  <w:style w:type="character" w:styleId="FootnoteReference">
    <w:name w:val="footnote reference"/>
    <w:basedOn w:val="DefaultParagraphFont"/>
    <w:uiPriority w:val="99"/>
    <w:unhideWhenUsed/>
    <w:rsid w:val="0052454F"/>
    <w:rPr>
      <w:vertAlign w:val="superscript"/>
    </w:rPr>
  </w:style>
  <w:style w:type="character" w:styleId="CommentReference">
    <w:name w:val="annotation reference"/>
    <w:basedOn w:val="DefaultParagraphFont"/>
    <w:semiHidden/>
    <w:unhideWhenUsed/>
    <w:rsid w:val="0052454F"/>
    <w:rPr>
      <w:sz w:val="16"/>
      <w:szCs w:val="16"/>
    </w:rPr>
  </w:style>
  <w:style w:type="paragraph" w:customStyle="1" w:styleId="Default">
    <w:name w:val="Default"/>
    <w:rsid w:val="002736A1"/>
    <w:pPr>
      <w:autoSpaceDE w:val="0"/>
      <w:autoSpaceDN w:val="0"/>
      <w:adjustRightInd w:val="0"/>
    </w:pPr>
    <w:rPr>
      <w:color w:val="000000"/>
      <w:sz w:val="24"/>
      <w:szCs w:val="24"/>
    </w:rPr>
  </w:style>
  <w:style w:type="paragraph" w:customStyle="1" w:styleId="OrderBody">
    <w:name w:val="Order Body"/>
    <w:basedOn w:val="Normal"/>
    <w:link w:val="OrderBodyChar"/>
    <w:rsid w:val="002736A1"/>
    <w:pPr>
      <w:jc w:val="both"/>
    </w:pPr>
  </w:style>
  <w:style w:type="character" w:customStyle="1" w:styleId="OrderBodyChar">
    <w:name w:val="Order Body Char"/>
    <w:link w:val="OrderBody"/>
    <w:rsid w:val="002736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A68BB-35A3-4B8D-89B6-B5247304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8</Pages>
  <Words>2384</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Lee Smith</dc:creator>
  <cp:lastModifiedBy>Andrea Mick</cp:lastModifiedBy>
  <cp:revision>2</cp:revision>
  <cp:lastPrinted>2004-01-27T20:32:00Z</cp:lastPrinted>
  <dcterms:created xsi:type="dcterms:W3CDTF">2020-11-17T14:43:00Z</dcterms:created>
  <dcterms:modified xsi:type="dcterms:W3CDTF">2020-11-17T14:43:00Z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20200191-GU</vt:lpwstr>
  </property>
  <property fmtid="{D5CDD505-2E9C-101B-9397-08002B2CF9AE}" pid="3" name="MasterDocument">
    <vt:bool>false</vt:bool>
  </property>
</Properties>
</file>