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60633D" w:rsidRPr="0060633D" w:rsidP="0060633D">
      <w:pPr>
        <w:pStyle w:val="NormalWeb"/>
        <w:rPr>
          <w:rFonts w:ascii="Arial" w:hAnsi="Arial" w:cs="Arial"/>
          <w:b/>
          <w:sz w:val="20"/>
          <w:szCs w:val="20"/>
          <w:u w:val="single"/>
        </w:rPr>
      </w:pPr>
      <w:bookmarkStart w:id="0" w:name="_GoBack"/>
      <w:bookmarkEnd w:id="0"/>
      <w:r w:rsidRPr="0060633D">
        <w:rPr>
          <w:rFonts w:ascii="Arial" w:hAnsi="Arial" w:cs="Arial"/>
          <w:b/>
          <w:sz w:val="20"/>
          <w:szCs w:val="20"/>
          <w:u w:val="single"/>
        </w:rPr>
        <w:t>Asset Retirement Policy</w:t>
      </w:r>
    </w:p>
    <w:p w:rsidR="0060633D" w:rsidP="0060633D">
      <w:pPr>
        <w:pStyle w:val="NormalWeb"/>
        <w:rPr>
          <w:rFonts w:ascii="Arial" w:hAnsi="Arial" w:cs="Arial"/>
          <w:sz w:val="20"/>
          <w:szCs w:val="20"/>
        </w:rPr>
      </w:pPr>
      <w:r>
        <w:rPr>
          <w:rFonts w:ascii="Arial" w:hAnsi="Arial" w:cs="Arial"/>
          <w:sz w:val="20"/>
          <w:szCs w:val="20"/>
        </w:rPr>
        <w:t xml:space="preserve">Fixed Asset disposals occur as assets are replaced, scrapped or sold. </w:t>
      </w:r>
    </w:p>
    <w:p w:rsidR="0060633D" w:rsidRPr="0060633D" w:rsidP="0060633D">
      <w:pPr>
        <w:pStyle w:val="NormalWeb"/>
        <w:rPr>
          <w:rFonts w:ascii="Arial" w:hAnsi="Arial" w:cs="Arial"/>
          <w:b/>
          <w:sz w:val="20"/>
          <w:szCs w:val="20"/>
          <w:u w:val="single"/>
        </w:rPr>
      </w:pPr>
      <w:r>
        <w:rPr>
          <w:rFonts w:ascii="Arial" w:hAnsi="Arial" w:cs="Arial"/>
          <w:b/>
          <w:sz w:val="20"/>
          <w:szCs w:val="20"/>
          <w:u w:val="single"/>
        </w:rPr>
        <w:t xml:space="preserve">Asset </w:t>
      </w:r>
      <w:r w:rsidRPr="0060633D">
        <w:rPr>
          <w:rFonts w:ascii="Arial" w:hAnsi="Arial" w:cs="Arial"/>
          <w:b/>
          <w:sz w:val="20"/>
          <w:szCs w:val="20"/>
          <w:u w:val="single"/>
        </w:rPr>
        <w:t>Replacements</w:t>
      </w:r>
      <w:r>
        <w:rPr>
          <w:rFonts w:ascii="Arial" w:hAnsi="Arial" w:cs="Arial"/>
          <w:b/>
          <w:sz w:val="20"/>
          <w:szCs w:val="20"/>
          <w:u w:val="single"/>
        </w:rPr>
        <w:t xml:space="preserve"> </w:t>
      </w:r>
    </w:p>
    <w:p w:rsidR="0060633D" w:rsidP="0060633D">
      <w:pPr>
        <w:pStyle w:val="NormalWeb"/>
        <w:rPr>
          <w:rFonts w:ascii="Arial" w:hAnsi="Arial" w:cs="Arial"/>
          <w:sz w:val="20"/>
          <w:szCs w:val="20"/>
        </w:rPr>
      </w:pPr>
      <w:r>
        <w:rPr>
          <w:rFonts w:ascii="Arial" w:hAnsi="Arial" w:cs="Arial"/>
          <w:sz w:val="20"/>
          <w:szCs w:val="20"/>
        </w:rPr>
        <w:t xml:space="preserve">Each time a purchase order is issued, </w:t>
      </w:r>
      <w:r w:rsidR="00DA3FCF">
        <w:rPr>
          <w:rFonts w:ascii="Arial" w:hAnsi="Arial" w:cs="Arial"/>
          <w:sz w:val="20"/>
          <w:szCs w:val="20"/>
        </w:rPr>
        <w:t xml:space="preserve">Utilities Inc’s </w:t>
      </w:r>
      <w:r>
        <w:rPr>
          <w:rFonts w:ascii="Arial" w:hAnsi="Arial" w:cs="Arial"/>
          <w:sz w:val="20"/>
          <w:szCs w:val="20"/>
        </w:rPr>
        <w:t>accounting system</w:t>
      </w:r>
      <w:r w:rsidR="00230616">
        <w:rPr>
          <w:rFonts w:ascii="Arial" w:hAnsi="Arial" w:cs="Arial"/>
          <w:sz w:val="20"/>
          <w:szCs w:val="20"/>
        </w:rPr>
        <w:t>, JD Edwards</w:t>
      </w:r>
      <w:r>
        <w:rPr>
          <w:rFonts w:ascii="Arial" w:hAnsi="Arial" w:cs="Arial"/>
          <w:sz w:val="20"/>
          <w:szCs w:val="20"/>
        </w:rPr>
        <w:t xml:space="preserve"> </w:t>
      </w:r>
      <w:r w:rsidR="00DA3FCF">
        <w:rPr>
          <w:rFonts w:ascii="Arial" w:hAnsi="Arial" w:cs="Arial"/>
          <w:sz w:val="20"/>
          <w:szCs w:val="20"/>
        </w:rPr>
        <w:t>(JDE)</w:t>
      </w:r>
      <w:r w:rsidR="00230616">
        <w:rPr>
          <w:rFonts w:ascii="Arial" w:hAnsi="Arial" w:cs="Arial"/>
          <w:sz w:val="20"/>
          <w:szCs w:val="20"/>
        </w:rPr>
        <w:t>,</w:t>
      </w:r>
      <w:r w:rsidR="00DA3FCF">
        <w:rPr>
          <w:rFonts w:ascii="Arial" w:hAnsi="Arial" w:cs="Arial"/>
          <w:sz w:val="20"/>
          <w:szCs w:val="20"/>
        </w:rPr>
        <w:t xml:space="preserve"> </w:t>
      </w:r>
      <w:r>
        <w:rPr>
          <w:rFonts w:ascii="Arial" w:hAnsi="Arial" w:cs="Arial"/>
          <w:sz w:val="20"/>
          <w:szCs w:val="20"/>
        </w:rPr>
        <w:t xml:space="preserve">requires that it be established whether an asset would be retired as the result of the purchase.  </w:t>
      </w:r>
      <w:r w:rsidR="00DA3FCF">
        <w:rPr>
          <w:rFonts w:ascii="Arial" w:hAnsi="Arial" w:cs="Arial"/>
          <w:sz w:val="20"/>
          <w:szCs w:val="20"/>
        </w:rPr>
        <w:t>The PO creator must mark Y or N in the ‘Replacement?’ field before the PO can be finalized.  If</w:t>
      </w:r>
      <w:r w:rsidR="00230616">
        <w:rPr>
          <w:rFonts w:ascii="Arial" w:hAnsi="Arial" w:cs="Arial"/>
          <w:sz w:val="20"/>
          <w:szCs w:val="20"/>
        </w:rPr>
        <w:t xml:space="preserve"> the</w:t>
      </w:r>
      <w:r w:rsidR="00DA3FCF">
        <w:rPr>
          <w:rFonts w:ascii="Arial" w:hAnsi="Arial" w:cs="Arial"/>
          <w:sz w:val="20"/>
          <w:szCs w:val="20"/>
        </w:rPr>
        <w:t xml:space="preserve"> purchase is flagged as a replacement, the system will require</w:t>
      </w:r>
      <w:r>
        <w:rPr>
          <w:rFonts w:ascii="Arial" w:hAnsi="Arial" w:cs="Arial"/>
          <w:sz w:val="20"/>
          <w:szCs w:val="20"/>
        </w:rPr>
        <w:t xml:space="preserve"> the information needed to make the retirement calculation</w:t>
      </w:r>
      <w:r w:rsidR="00FB5A2E">
        <w:rPr>
          <w:rFonts w:ascii="Arial" w:hAnsi="Arial" w:cs="Arial"/>
          <w:sz w:val="20"/>
          <w:szCs w:val="20"/>
        </w:rPr>
        <w:t xml:space="preserve"> (geographic region, asset account type, year of purchase of asset being retired)</w:t>
      </w:r>
      <w:r w:rsidR="00DA3FCF">
        <w:rPr>
          <w:rFonts w:ascii="Arial" w:hAnsi="Arial" w:cs="Arial"/>
          <w:sz w:val="20"/>
          <w:szCs w:val="20"/>
        </w:rPr>
        <w:t>.</w:t>
      </w:r>
    </w:p>
    <w:p w:rsidR="00DA3FCF" w:rsidP="00DA3FCF">
      <w:pPr>
        <w:pStyle w:val="NormalWeb"/>
        <w:rPr>
          <w:rFonts w:ascii="Arial" w:hAnsi="Arial" w:cs="Arial"/>
          <w:sz w:val="20"/>
          <w:szCs w:val="20"/>
        </w:rPr>
      </w:pPr>
      <w:r>
        <w:rPr>
          <w:rFonts w:ascii="Arial" w:hAnsi="Arial" w:cs="Arial"/>
          <w:sz w:val="20"/>
          <w:szCs w:val="20"/>
        </w:rPr>
        <w:t xml:space="preserve">Due to the nature of utility companies we follow the </w:t>
      </w:r>
      <w:r w:rsidR="00230616">
        <w:rPr>
          <w:rFonts w:ascii="Arial" w:hAnsi="Arial" w:cs="Arial"/>
          <w:sz w:val="20"/>
          <w:szCs w:val="20"/>
        </w:rPr>
        <w:t>group</w:t>
      </w:r>
      <w:r>
        <w:rPr>
          <w:rFonts w:ascii="Arial" w:hAnsi="Arial" w:cs="Arial"/>
          <w:sz w:val="20"/>
          <w:szCs w:val="20"/>
        </w:rPr>
        <w:t xml:space="preserve"> </w:t>
      </w:r>
      <w:r w:rsidR="00230616">
        <w:rPr>
          <w:rFonts w:ascii="Arial" w:hAnsi="Arial" w:cs="Arial"/>
          <w:sz w:val="20"/>
          <w:szCs w:val="20"/>
        </w:rPr>
        <w:t>d</w:t>
      </w:r>
      <w:r>
        <w:rPr>
          <w:rFonts w:ascii="Arial" w:hAnsi="Arial" w:cs="Arial"/>
          <w:sz w:val="20"/>
          <w:szCs w:val="20"/>
        </w:rPr>
        <w:t>epreciation method rather than a single unit depreciation approach. Under this approach no gain or loss on retirement is recorded. The practice of not recognizing gain or loss is justified because some assets will be retired before the average service life and others after the average life.</w:t>
      </w:r>
    </w:p>
    <w:p w:rsidR="005B652A" w:rsidP="005B652A">
      <w:pPr>
        <w:pStyle w:val="NormalWeb"/>
        <w:rPr>
          <w:rFonts w:ascii="Arial" w:hAnsi="Arial" w:cs="Arial"/>
          <w:sz w:val="20"/>
          <w:szCs w:val="20"/>
        </w:rPr>
      </w:pPr>
      <w:r>
        <w:rPr>
          <w:rFonts w:ascii="Arial" w:hAnsi="Arial" w:cs="Arial"/>
          <w:sz w:val="20"/>
          <w:szCs w:val="20"/>
        </w:rPr>
        <w:t xml:space="preserve">The estimation of the proper cost amount to be retired is determined by indexing the cost of the addition based on the estimated date when the asset retired was placed in service. We use the Handy Whitman Index that is commonly used by the water utility industry for retirement purposes and accepted by our </w:t>
      </w:r>
      <w:r>
        <w:rPr>
          <w:rFonts w:ascii="Arial" w:hAnsi="Arial" w:cs="Arial"/>
          <w:sz w:val="20"/>
          <w:szCs w:val="20"/>
        </w:rPr>
        <w:t>auditors and regulators.</w:t>
      </w:r>
    </w:p>
    <w:tbl>
      <w:tblPr>
        <w:tblW w:w="8740" w:type="dxa"/>
        <w:tblInd w:w="93" w:type="dxa"/>
        <w:tblLook w:val="04A0"/>
      </w:tblPr>
      <w:tblGrid>
        <w:gridCol w:w="2414"/>
        <w:gridCol w:w="326"/>
        <w:gridCol w:w="2015"/>
        <w:gridCol w:w="520"/>
        <w:gridCol w:w="3620"/>
      </w:tblGrid>
      <w:tr w:rsidTr="005B652A">
        <w:tblPrEx>
          <w:tblW w:w="8740" w:type="dxa"/>
          <w:tblInd w:w="93" w:type="dxa"/>
          <w:tblLook w:val="04A0"/>
        </w:tblPrEx>
        <w:trPr>
          <w:trHeight w:val="300"/>
        </w:trPr>
        <w:tc>
          <w:tcPr>
            <w:tcW w:w="4600" w:type="dxa"/>
            <w:gridSpan w:val="3"/>
            <w:tcBorders>
              <w:top w:val="nil"/>
              <w:left w:val="nil"/>
              <w:bottom w:val="nil"/>
              <w:right w:val="nil"/>
            </w:tcBorders>
            <w:shd w:val="clear" w:color="auto" w:fill="auto"/>
            <w:noWrap/>
            <w:vAlign w:val="bottom"/>
            <w:hideMark/>
          </w:tcPr>
          <w:p w:rsidR="005B652A" w:rsidRPr="005B652A" w:rsidP="005B652A">
            <w:pPr>
              <w:spacing w:after="0" w:line="240" w:lineRule="auto"/>
              <w:rPr>
                <w:rFonts w:ascii="Calibri" w:eastAsia="Times New Roman" w:hAnsi="Calibri" w:cs="Times New Roman"/>
                <w:color w:val="000000"/>
              </w:rPr>
            </w:pPr>
            <w:r w:rsidRPr="005B652A">
              <w:rPr>
                <w:rFonts w:ascii="Calibri" w:eastAsia="Times New Roman" w:hAnsi="Calibri" w:cs="Times New Roman"/>
                <w:color w:val="000000"/>
              </w:rPr>
              <w:t>Handy Whitman Retirement Calculation:</w:t>
            </w:r>
          </w:p>
        </w:tc>
        <w:tc>
          <w:tcPr>
            <w:tcW w:w="520" w:type="dxa"/>
            <w:tcBorders>
              <w:top w:val="nil"/>
              <w:left w:val="nil"/>
              <w:bottom w:val="nil"/>
              <w:right w:val="nil"/>
            </w:tcBorders>
            <w:shd w:val="clear" w:color="auto" w:fill="auto"/>
            <w:noWrap/>
            <w:vAlign w:val="bottom"/>
            <w:hideMark/>
          </w:tcPr>
          <w:p w:rsidR="005B652A" w:rsidRPr="005B652A" w:rsidP="005B652A">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5B652A" w:rsidRPr="005B652A" w:rsidP="005B652A">
            <w:pPr>
              <w:spacing w:after="0" w:line="240" w:lineRule="auto"/>
              <w:rPr>
                <w:rFonts w:ascii="Calibri" w:eastAsia="Times New Roman" w:hAnsi="Calibri" w:cs="Times New Roman"/>
                <w:color w:val="000000"/>
              </w:rPr>
            </w:pPr>
          </w:p>
        </w:tc>
      </w:tr>
      <w:tr w:rsidTr="005B652A">
        <w:tblPrEx>
          <w:tblW w:w="8740" w:type="dxa"/>
          <w:tblInd w:w="93" w:type="dxa"/>
          <w:tblLook w:val="04A0"/>
        </w:tblPrEx>
        <w:trPr>
          <w:trHeight w:val="300"/>
        </w:trPr>
        <w:tc>
          <w:tcPr>
            <w:tcW w:w="2414" w:type="dxa"/>
            <w:tcBorders>
              <w:top w:val="nil"/>
              <w:left w:val="nil"/>
              <w:bottom w:val="nil"/>
              <w:right w:val="nil"/>
            </w:tcBorders>
            <w:shd w:val="clear" w:color="auto" w:fill="auto"/>
            <w:noWrap/>
            <w:vAlign w:val="bottom"/>
            <w:hideMark/>
          </w:tcPr>
          <w:p w:rsidR="005B652A" w:rsidRPr="005B652A" w:rsidP="005B652A">
            <w:pPr>
              <w:spacing w:after="0" w:line="240" w:lineRule="auto"/>
              <w:rPr>
                <w:rFonts w:ascii="Calibri" w:eastAsia="Times New Roman" w:hAnsi="Calibri" w:cs="Times New Roman"/>
                <w:color w:val="000000"/>
              </w:rPr>
            </w:pPr>
          </w:p>
        </w:tc>
        <w:tc>
          <w:tcPr>
            <w:tcW w:w="171" w:type="dxa"/>
            <w:tcBorders>
              <w:top w:val="nil"/>
              <w:left w:val="nil"/>
              <w:bottom w:val="nil"/>
              <w:right w:val="nil"/>
            </w:tcBorders>
            <w:shd w:val="clear" w:color="auto" w:fill="auto"/>
            <w:noWrap/>
            <w:vAlign w:val="bottom"/>
            <w:hideMark/>
          </w:tcPr>
          <w:p w:rsidR="005B652A" w:rsidRPr="005B652A" w:rsidP="005B652A">
            <w:pPr>
              <w:spacing w:after="0" w:line="240" w:lineRule="auto"/>
              <w:rPr>
                <w:rFonts w:ascii="Calibri" w:eastAsia="Times New Roman" w:hAnsi="Calibri" w:cs="Times New Roman"/>
                <w:color w:val="000000"/>
              </w:rPr>
            </w:pPr>
          </w:p>
        </w:tc>
        <w:tc>
          <w:tcPr>
            <w:tcW w:w="2015" w:type="dxa"/>
            <w:tcBorders>
              <w:top w:val="nil"/>
              <w:left w:val="nil"/>
              <w:bottom w:val="nil"/>
              <w:right w:val="nil"/>
            </w:tcBorders>
            <w:shd w:val="clear" w:color="auto" w:fill="auto"/>
            <w:noWrap/>
            <w:vAlign w:val="bottom"/>
            <w:hideMark/>
          </w:tcPr>
          <w:p w:rsidR="005B652A" w:rsidRPr="005B652A" w:rsidP="005B652A">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5B652A" w:rsidRPr="005B652A" w:rsidP="005B652A">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5B652A" w:rsidRPr="005B652A" w:rsidP="005B652A">
            <w:pPr>
              <w:spacing w:after="0" w:line="240" w:lineRule="auto"/>
              <w:rPr>
                <w:rFonts w:ascii="Calibri" w:eastAsia="Times New Roman" w:hAnsi="Calibri" w:cs="Times New Roman"/>
                <w:color w:val="000000"/>
              </w:rPr>
            </w:pPr>
          </w:p>
        </w:tc>
      </w:tr>
      <w:tr w:rsidTr="005B652A">
        <w:tblPrEx>
          <w:tblW w:w="8740" w:type="dxa"/>
          <w:tblInd w:w="93" w:type="dxa"/>
          <w:tblLook w:val="04A0"/>
        </w:tblPrEx>
        <w:trPr>
          <w:trHeight w:val="315"/>
        </w:trPr>
        <w:tc>
          <w:tcPr>
            <w:tcW w:w="2414" w:type="dxa"/>
            <w:vMerge w:val="restart"/>
            <w:tcBorders>
              <w:top w:val="nil"/>
              <w:left w:val="nil"/>
              <w:bottom w:val="nil"/>
              <w:right w:val="nil"/>
            </w:tcBorders>
            <w:shd w:val="clear" w:color="auto" w:fill="auto"/>
            <w:noWrap/>
            <w:vAlign w:val="center"/>
            <w:hideMark/>
          </w:tcPr>
          <w:p w:rsidR="005B652A" w:rsidRPr="005B652A" w:rsidP="005B652A">
            <w:pPr>
              <w:spacing w:after="0" w:line="240" w:lineRule="auto"/>
              <w:jc w:val="center"/>
              <w:rPr>
                <w:rFonts w:ascii="Calibri" w:eastAsia="Times New Roman" w:hAnsi="Calibri" w:cs="Times New Roman"/>
                <w:color w:val="000000"/>
              </w:rPr>
            </w:pPr>
            <w:r w:rsidRPr="005B652A">
              <w:rPr>
                <w:rFonts w:ascii="Calibri" w:eastAsia="Times New Roman" w:hAnsi="Calibri" w:cs="Times New Roman"/>
                <w:color w:val="000000"/>
              </w:rPr>
              <w:t>Amount to be Retired</w:t>
            </w:r>
          </w:p>
        </w:tc>
        <w:tc>
          <w:tcPr>
            <w:tcW w:w="171" w:type="dxa"/>
            <w:vMerge w:val="restart"/>
            <w:tcBorders>
              <w:top w:val="nil"/>
              <w:left w:val="nil"/>
              <w:bottom w:val="nil"/>
              <w:right w:val="nil"/>
            </w:tcBorders>
            <w:shd w:val="clear" w:color="auto" w:fill="auto"/>
            <w:noWrap/>
            <w:vAlign w:val="center"/>
            <w:hideMark/>
          </w:tcPr>
          <w:p w:rsidR="005B652A" w:rsidRPr="005B652A" w:rsidP="005B652A">
            <w:pPr>
              <w:spacing w:after="0" w:line="240" w:lineRule="auto"/>
              <w:jc w:val="center"/>
              <w:rPr>
                <w:rFonts w:ascii="Calibri" w:eastAsia="Times New Roman" w:hAnsi="Calibri" w:cs="Times New Roman"/>
                <w:color w:val="000000"/>
              </w:rPr>
            </w:pPr>
            <w:r w:rsidRPr="005B652A">
              <w:rPr>
                <w:rFonts w:ascii="Calibri" w:eastAsia="Times New Roman" w:hAnsi="Calibri" w:cs="Times New Roman"/>
                <w:color w:val="000000"/>
              </w:rPr>
              <w:t>=</w:t>
            </w:r>
          </w:p>
        </w:tc>
        <w:tc>
          <w:tcPr>
            <w:tcW w:w="2015" w:type="dxa"/>
            <w:vMerge w:val="restart"/>
            <w:tcBorders>
              <w:top w:val="nil"/>
              <w:left w:val="nil"/>
              <w:bottom w:val="nil"/>
              <w:right w:val="nil"/>
            </w:tcBorders>
            <w:shd w:val="clear" w:color="auto" w:fill="auto"/>
            <w:noWrap/>
            <w:vAlign w:val="center"/>
            <w:hideMark/>
          </w:tcPr>
          <w:p w:rsidR="005B652A" w:rsidRPr="005B652A" w:rsidP="005B652A">
            <w:pPr>
              <w:spacing w:after="0" w:line="240" w:lineRule="auto"/>
              <w:jc w:val="center"/>
              <w:rPr>
                <w:rFonts w:ascii="Calibri" w:eastAsia="Times New Roman" w:hAnsi="Calibri" w:cs="Times New Roman"/>
                <w:color w:val="000000"/>
              </w:rPr>
            </w:pPr>
            <w:r w:rsidRPr="005B652A">
              <w:rPr>
                <w:rFonts w:ascii="Calibri" w:eastAsia="Times New Roman" w:hAnsi="Calibri" w:cs="Times New Roman"/>
                <w:color w:val="000000"/>
              </w:rPr>
              <w:t>Cost of New Asset</w:t>
            </w:r>
          </w:p>
        </w:tc>
        <w:tc>
          <w:tcPr>
            <w:tcW w:w="520" w:type="dxa"/>
            <w:vMerge w:val="restart"/>
            <w:tcBorders>
              <w:top w:val="nil"/>
              <w:left w:val="nil"/>
              <w:bottom w:val="nil"/>
              <w:right w:val="nil"/>
            </w:tcBorders>
            <w:shd w:val="clear" w:color="auto" w:fill="auto"/>
            <w:noWrap/>
            <w:vAlign w:val="center"/>
            <w:hideMark/>
          </w:tcPr>
          <w:p w:rsidR="005B652A" w:rsidRPr="005B652A" w:rsidP="005B652A">
            <w:pPr>
              <w:spacing w:after="0" w:line="240" w:lineRule="auto"/>
              <w:jc w:val="center"/>
              <w:rPr>
                <w:rFonts w:ascii="Calibri" w:eastAsia="Times New Roman" w:hAnsi="Calibri" w:cs="Times New Roman"/>
                <w:color w:val="000000"/>
              </w:rPr>
            </w:pPr>
            <w:r w:rsidRPr="005B652A">
              <w:rPr>
                <w:rFonts w:ascii="Calibri" w:eastAsia="Times New Roman" w:hAnsi="Calibri" w:cs="Times New Roman"/>
                <w:color w:val="000000"/>
              </w:rPr>
              <w:t>*</w:t>
            </w:r>
          </w:p>
        </w:tc>
        <w:tc>
          <w:tcPr>
            <w:tcW w:w="3620" w:type="dxa"/>
            <w:tcBorders>
              <w:top w:val="nil"/>
              <w:left w:val="nil"/>
              <w:bottom w:val="single" w:sz="12" w:space="0" w:color="auto"/>
              <w:right w:val="nil"/>
            </w:tcBorders>
            <w:shd w:val="clear" w:color="auto" w:fill="auto"/>
            <w:noWrap/>
            <w:vAlign w:val="bottom"/>
            <w:hideMark/>
          </w:tcPr>
          <w:p w:rsidR="005B652A" w:rsidRPr="005B652A" w:rsidP="005B652A">
            <w:pPr>
              <w:spacing w:after="0" w:line="240" w:lineRule="auto"/>
              <w:jc w:val="center"/>
              <w:rPr>
                <w:rFonts w:ascii="Calibri" w:eastAsia="Times New Roman" w:hAnsi="Calibri" w:cs="Times New Roman"/>
                <w:color w:val="000000"/>
              </w:rPr>
            </w:pPr>
            <w:r w:rsidRPr="005B652A">
              <w:rPr>
                <w:rFonts w:ascii="Calibri" w:eastAsia="Times New Roman" w:hAnsi="Calibri" w:cs="Times New Roman"/>
                <w:color w:val="000000"/>
              </w:rPr>
              <w:t>Cost Index Number Base Year</w:t>
            </w:r>
          </w:p>
        </w:tc>
      </w:tr>
      <w:tr w:rsidTr="005B652A">
        <w:tblPrEx>
          <w:tblW w:w="8740" w:type="dxa"/>
          <w:tblInd w:w="93" w:type="dxa"/>
          <w:tblLook w:val="04A0"/>
        </w:tblPrEx>
        <w:trPr>
          <w:trHeight w:val="315"/>
        </w:trPr>
        <w:tc>
          <w:tcPr>
            <w:tcW w:w="2414" w:type="dxa"/>
            <w:vMerge/>
            <w:tcBorders>
              <w:top w:val="nil"/>
              <w:left w:val="nil"/>
              <w:bottom w:val="nil"/>
              <w:right w:val="nil"/>
            </w:tcBorders>
            <w:vAlign w:val="center"/>
            <w:hideMark/>
          </w:tcPr>
          <w:p w:rsidR="005B652A" w:rsidRPr="005B652A" w:rsidP="005B652A">
            <w:pPr>
              <w:spacing w:after="0" w:line="240" w:lineRule="auto"/>
              <w:rPr>
                <w:rFonts w:ascii="Calibri" w:eastAsia="Times New Roman" w:hAnsi="Calibri" w:cs="Times New Roman"/>
                <w:color w:val="000000"/>
              </w:rPr>
            </w:pPr>
          </w:p>
        </w:tc>
        <w:tc>
          <w:tcPr>
            <w:tcW w:w="171" w:type="dxa"/>
            <w:vMerge/>
            <w:tcBorders>
              <w:top w:val="nil"/>
              <w:left w:val="nil"/>
              <w:bottom w:val="nil"/>
              <w:right w:val="nil"/>
            </w:tcBorders>
            <w:vAlign w:val="center"/>
            <w:hideMark/>
          </w:tcPr>
          <w:p w:rsidR="005B652A" w:rsidRPr="005B652A" w:rsidP="005B652A">
            <w:pPr>
              <w:spacing w:after="0" w:line="240" w:lineRule="auto"/>
              <w:rPr>
                <w:rFonts w:ascii="Calibri" w:eastAsia="Times New Roman" w:hAnsi="Calibri" w:cs="Times New Roman"/>
                <w:color w:val="000000"/>
              </w:rPr>
            </w:pPr>
          </w:p>
        </w:tc>
        <w:tc>
          <w:tcPr>
            <w:tcW w:w="2015" w:type="dxa"/>
            <w:vMerge/>
            <w:tcBorders>
              <w:top w:val="nil"/>
              <w:left w:val="nil"/>
              <w:bottom w:val="nil"/>
              <w:right w:val="nil"/>
            </w:tcBorders>
            <w:vAlign w:val="center"/>
            <w:hideMark/>
          </w:tcPr>
          <w:p w:rsidR="005B652A" w:rsidRPr="005B652A" w:rsidP="005B652A">
            <w:pPr>
              <w:spacing w:after="0" w:line="240" w:lineRule="auto"/>
              <w:rPr>
                <w:rFonts w:ascii="Calibri" w:eastAsia="Times New Roman" w:hAnsi="Calibri" w:cs="Times New Roman"/>
                <w:color w:val="000000"/>
              </w:rPr>
            </w:pPr>
          </w:p>
        </w:tc>
        <w:tc>
          <w:tcPr>
            <w:tcW w:w="520" w:type="dxa"/>
            <w:vMerge/>
            <w:tcBorders>
              <w:top w:val="nil"/>
              <w:left w:val="nil"/>
              <w:bottom w:val="nil"/>
              <w:right w:val="nil"/>
            </w:tcBorders>
            <w:vAlign w:val="center"/>
            <w:hideMark/>
          </w:tcPr>
          <w:p w:rsidR="005B652A" w:rsidRPr="005B652A" w:rsidP="005B652A">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5B652A" w:rsidRPr="005B652A" w:rsidP="00505716">
            <w:pPr>
              <w:spacing w:after="0" w:line="240" w:lineRule="auto"/>
              <w:jc w:val="center"/>
              <w:rPr>
                <w:rFonts w:ascii="Calibri" w:eastAsia="Times New Roman" w:hAnsi="Calibri" w:cs="Times New Roman"/>
                <w:color w:val="000000"/>
              </w:rPr>
            </w:pPr>
            <w:r w:rsidRPr="005B652A">
              <w:rPr>
                <w:rFonts w:ascii="Calibri" w:eastAsia="Times New Roman" w:hAnsi="Calibri" w:cs="Times New Roman"/>
                <w:color w:val="000000"/>
              </w:rPr>
              <w:t xml:space="preserve">Cost Index Number </w:t>
            </w:r>
            <w:r w:rsidR="00505716">
              <w:rPr>
                <w:rFonts w:ascii="Calibri" w:eastAsia="Times New Roman" w:hAnsi="Calibri" w:cs="Times New Roman"/>
                <w:color w:val="000000"/>
              </w:rPr>
              <w:t>Current</w:t>
            </w:r>
            <w:r w:rsidRPr="005B652A">
              <w:rPr>
                <w:rFonts w:ascii="Calibri" w:eastAsia="Times New Roman" w:hAnsi="Calibri" w:cs="Times New Roman"/>
                <w:color w:val="000000"/>
              </w:rPr>
              <w:t xml:space="preserve"> Year</w:t>
            </w:r>
          </w:p>
        </w:tc>
      </w:tr>
    </w:tbl>
    <w:p w:rsidR="00B21408" w:rsidP="005B652A">
      <w:pPr>
        <w:pStyle w:val="NormalWeb"/>
        <w:rPr>
          <w:rFonts w:ascii="Arial" w:hAnsi="Arial" w:cs="Arial"/>
          <w:sz w:val="20"/>
          <w:szCs w:val="20"/>
        </w:rPr>
      </w:pPr>
      <w:r>
        <w:rPr>
          <w:rFonts w:ascii="Arial" w:hAnsi="Arial" w:cs="Arial"/>
          <w:sz w:val="20"/>
          <w:szCs w:val="20"/>
        </w:rPr>
        <w:t>At the end of each month, the JDE retirement module is run and retirement entries are calculated based on the information provided by the purchase orders</w:t>
      </w:r>
      <w:r>
        <w:rPr>
          <w:rFonts w:ascii="Arial" w:hAnsi="Arial" w:cs="Arial"/>
          <w:sz w:val="20"/>
          <w:szCs w:val="20"/>
        </w:rPr>
        <w:t>.  Entries are created to credit the cost account and debit the accum for each particular asset group and the entry is marked with the PO number for future reference.  The retirement module will only process entries for POs which have been paid, verifying the purchase</w:t>
      </w:r>
      <w:r w:rsidR="00505716">
        <w:rPr>
          <w:rFonts w:ascii="Arial" w:hAnsi="Arial" w:cs="Arial"/>
          <w:sz w:val="20"/>
          <w:szCs w:val="20"/>
        </w:rPr>
        <w:t xml:space="preserve"> has been made and new purchase</w:t>
      </w:r>
      <w:r>
        <w:rPr>
          <w:rFonts w:ascii="Arial" w:hAnsi="Arial" w:cs="Arial"/>
          <w:sz w:val="20"/>
          <w:szCs w:val="20"/>
        </w:rPr>
        <w:t xml:space="preserve"> costs are final.</w:t>
      </w:r>
    </w:p>
    <w:p w:rsidR="00B21408" w:rsidP="0060633D">
      <w:pPr>
        <w:pStyle w:val="NormalWeb"/>
        <w:rPr>
          <w:rFonts w:ascii="Arial" w:hAnsi="Arial" w:cs="Arial"/>
          <w:sz w:val="20"/>
          <w:szCs w:val="20"/>
        </w:rPr>
      </w:pPr>
      <w:r>
        <w:rPr>
          <w:rFonts w:ascii="Arial" w:hAnsi="Arial" w:cs="Arial"/>
          <w:sz w:val="20"/>
          <w:szCs w:val="20"/>
        </w:rPr>
        <w:t>On occasion a retirement entry will be calculated</w:t>
      </w:r>
      <w:r w:rsidR="00A455CC">
        <w:rPr>
          <w:rFonts w:ascii="Arial" w:hAnsi="Arial" w:cs="Arial"/>
          <w:sz w:val="20"/>
          <w:szCs w:val="20"/>
        </w:rPr>
        <w:t xml:space="preserve"> for an amount that exceeds that asset’s group current net book valu</w:t>
      </w:r>
      <w:r w:rsidR="00FB5A2E">
        <w:rPr>
          <w:rFonts w:ascii="Arial" w:hAnsi="Arial" w:cs="Arial"/>
          <w:sz w:val="20"/>
          <w:szCs w:val="20"/>
        </w:rPr>
        <w:t xml:space="preserve">e.  When this </w:t>
      </w:r>
      <w:r w:rsidR="00505716">
        <w:rPr>
          <w:rFonts w:ascii="Arial" w:hAnsi="Arial" w:cs="Arial"/>
          <w:sz w:val="20"/>
          <w:szCs w:val="20"/>
        </w:rPr>
        <w:t>occurs</w:t>
      </w:r>
      <w:r w:rsidR="00FB5A2E">
        <w:rPr>
          <w:rFonts w:ascii="Arial" w:hAnsi="Arial" w:cs="Arial"/>
          <w:sz w:val="20"/>
          <w:szCs w:val="20"/>
        </w:rPr>
        <w:t xml:space="preserve"> a manual</w:t>
      </w:r>
      <w:r w:rsidR="00A455CC">
        <w:rPr>
          <w:rFonts w:ascii="Arial" w:hAnsi="Arial" w:cs="Arial"/>
          <w:sz w:val="20"/>
          <w:szCs w:val="20"/>
        </w:rPr>
        <w:t xml:space="preserve"> JE is created and posted to the asset account that held the original cost.  This scenario occurs primarily in a handful of asset accounts where original costs were recorded in a related but alternate account.  For example, a</w:t>
      </w:r>
      <w:r w:rsidR="00FB5A2E">
        <w:rPr>
          <w:rFonts w:ascii="Arial" w:hAnsi="Arial" w:cs="Arial"/>
          <w:sz w:val="20"/>
          <w:szCs w:val="20"/>
        </w:rPr>
        <w:t xml:space="preserve"> new</w:t>
      </w:r>
      <w:r w:rsidR="00A455CC">
        <w:rPr>
          <w:rFonts w:ascii="Arial" w:hAnsi="Arial" w:cs="Arial"/>
          <w:sz w:val="20"/>
          <w:szCs w:val="20"/>
        </w:rPr>
        <w:t xml:space="preserve"> purchase made in account 1300 – </w:t>
      </w:r>
      <w:r w:rsidR="00FB5A2E">
        <w:rPr>
          <w:rFonts w:ascii="Arial" w:hAnsi="Arial" w:cs="Arial"/>
          <w:sz w:val="20"/>
          <w:szCs w:val="20"/>
        </w:rPr>
        <w:t>“</w:t>
      </w:r>
      <w:r w:rsidR="00A455CC">
        <w:rPr>
          <w:rFonts w:ascii="Arial" w:hAnsi="Arial" w:cs="Arial"/>
          <w:sz w:val="20"/>
          <w:szCs w:val="20"/>
        </w:rPr>
        <w:t>Struct/Improv Treat Plant</w:t>
      </w:r>
      <w:r w:rsidR="00FB5A2E">
        <w:rPr>
          <w:rFonts w:ascii="Arial" w:hAnsi="Arial" w:cs="Arial"/>
          <w:sz w:val="20"/>
          <w:szCs w:val="20"/>
        </w:rPr>
        <w:t xml:space="preserve">” </w:t>
      </w:r>
      <w:r w:rsidR="00A455CC">
        <w:rPr>
          <w:rFonts w:ascii="Arial" w:hAnsi="Arial" w:cs="Arial"/>
          <w:sz w:val="20"/>
          <w:szCs w:val="20"/>
        </w:rPr>
        <w:t>is flag</w:t>
      </w:r>
      <w:r w:rsidR="00FB5A2E">
        <w:rPr>
          <w:rFonts w:ascii="Arial" w:hAnsi="Arial" w:cs="Arial"/>
          <w:sz w:val="20"/>
          <w:szCs w:val="20"/>
        </w:rPr>
        <w:t>ged as a replacement purchase; h</w:t>
      </w:r>
      <w:r w:rsidR="00A455CC">
        <w:rPr>
          <w:rFonts w:ascii="Arial" w:hAnsi="Arial" w:cs="Arial"/>
          <w:sz w:val="20"/>
          <w:szCs w:val="20"/>
        </w:rPr>
        <w:t>owever,</w:t>
      </w:r>
      <w:r w:rsidR="00FB5A2E">
        <w:rPr>
          <w:rFonts w:ascii="Arial" w:hAnsi="Arial" w:cs="Arial"/>
          <w:sz w:val="20"/>
          <w:szCs w:val="20"/>
        </w:rPr>
        <w:t xml:space="preserve"> the retirement amount of this </w:t>
      </w:r>
      <w:r w:rsidR="00A455CC">
        <w:rPr>
          <w:rFonts w:ascii="Arial" w:hAnsi="Arial" w:cs="Arial"/>
          <w:sz w:val="20"/>
          <w:szCs w:val="20"/>
        </w:rPr>
        <w:t xml:space="preserve">transaction exceeds the prior balance of that asset group.  A manual JE is then calculated to retire this amount from account 1315 – </w:t>
      </w:r>
      <w:r w:rsidR="00FB5A2E">
        <w:rPr>
          <w:rFonts w:ascii="Arial" w:hAnsi="Arial" w:cs="Arial"/>
          <w:sz w:val="20"/>
          <w:szCs w:val="20"/>
        </w:rPr>
        <w:t>“</w:t>
      </w:r>
      <w:r w:rsidR="00A455CC">
        <w:rPr>
          <w:rFonts w:ascii="Arial" w:hAnsi="Arial" w:cs="Arial"/>
          <w:sz w:val="20"/>
          <w:szCs w:val="20"/>
        </w:rPr>
        <w:t xml:space="preserve">Struct/Improv Gen </w:t>
      </w:r>
      <w:r w:rsidR="00A455CC">
        <w:rPr>
          <w:rFonts w:ascii="Arial" w:hAnsi="Arial" w:cs="Arial"/>
          <w:sz w:val="20"/>
          <w:szCs w:val="20"/>
        </w:rPr>
        <w:t>Plt</w:t>
      </w:r>
      <w:r w:rsidR="00FB5A2E">
        <w:rPr>
          <w:rFonts w:ascii="Arial" w:hAnsi="Arial" w:cs="Arial"/>
          <w:sz w:val="20"/>
          <w:szCs w:val="20"/>
        </w:rPr>
        <w:t>”</w:t>
      </w:r>
      <w:r w:rsidR="00A455CC">
        <w:rPr>
          <w:rFonts w:ascii="Arial" w:hAnsi="Arial" w:cs="Arial"/>
          <w:sz w:val="20"/>
          <w:szCs w:val="20"/>
        </w:rPr>
        <w:t xml:space="preserve"> which was used historically and is where the original asset cost resides.</w:t>
      </w:r>
    </w:p>
    <w:p w:rsidR="00230616" w:rsidP="0060633D">
      <w:pPr>
        <w:pStyle w:val="NormalWeb"/>
        <w:rPr>
          <w:rFonts w:ascii="Arial" w:hAnsi="Arial" w:cs="Arial"/>
          <w:sz w:val="20"/>
          <w:szCs w:val="20"/>
        </w:rPr>
      </w:pPr>
    </w:p>
    <w:p w:rsidR="00230616">
      <w:pPr>
        <w:rPr>
          <w:rFonts w:ascii="Arial" w:hAnsi="Arial" w:cs="Arial"/>
          <w:sz w:val="20"/>
          <w:szCs w:val="20"/>
        </w:rPr>
      </w:pPr>
      <w:r>
        <w:rPr>
          <w:rFonts w:ascii="Arial" w:hAnsi="Arial" w:cs="Arial"/>
          <w:sz w:val="20"/>
          <w:szCs w:val="20"/>
        </w:rPr>
        <w:br w:type="page"/>
      </w:r>
    </w:p>
    <w:p w:rsidR="00E94AD3" w:rsidP="0060633D">
      <w:pPr>
        <w:pStyle w:val="NormalWeb"/>
        <w:rPr>
          <w:rFonts w:ascii="Arial" w:hAnsi="Arial" w:cs="Arial"/>
          <w:sz w:val="20"/>
          <w:szCs w:val="20"/>
        </w:rPr>
      </w:pPr>
      <w:r>
        <w:rPr>
          <w:rFonts w:ascii="Arial" w:hAnsi="Arial" w:cs="Arial"/>
          <w:sz w:val="20"/>
          <w:szCs w:val="20"/>
        </w:rPr>
        <w:t>PO requires “Replacement?” field to be completed before PO can be processed:</w:t>
      </w:r>
      <w:r w:rsidR="00DA3FCF">
        <w:rPr>
          <w:rFonts w:ascii="Arial" w:hAnsi="Arial" w:cs="Arial"/>
          <w:noProof/>
          <w:sz w:val="20"/>
          <w:szCs w:val="20"/>
        </w:rPr>
        <w:drawing>
          <wp:inline distT="0" distB="0" distL="0" distR="0">
            <wp:extent cx="5943600" cy="37044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14559" name="Picture 1"/>
                    <pic:cNvPicPr>
                      <a:picLocks noChangeAspect="1" noChangeArrowheads="1"/>
                    </pic:cNvPicPr>
                  </pic:nvPicPr>
                  <pic:blipFill>
                    <a:blip xmlns:r="http://schemas.openxmlformats.org/officeDocument/2006/relationships" r:embed="rId4" cstate="print"/>
                    <a:stretch>
                      <a:fillRect/>
                    </a:stretch>
                  </pic:blipFill>
                  <pic:spPr bwMode="auto">
                    <a:xfrm>
                      <a:off x="0" y="0"/>
                      <a:ext cx="5943600" cy="3704460"/>
                    </a:xfrm>
                    <a:prstGeom prst="rect">
                      <a:avLst/>
                    </a:prstGeom>
                    <a:noFill/>
                    <a:ln w="9525">
                      <a:noFill/>
                      <a:miter lim="800000"/>
                      <a:headEnd/>
                      <a:tailEnd/>
                    </a:ln>
                  </pic:spPr>
                </pic:pic>
              </a:graphicData>
            </a:graphic>
          </wp:inline>
        </w:drawing>
      </w:r>
    </w:p>
    <w:p w:rsidR="00DA3FCF" w:rsidP="0060633D">
      <w:pPr>
        <w:pStyle w:val="NormalWeb"/>
        <w:rPr>
          <w:rFonts w:ascii="Arial" w:hAnsi="Arial" w:cs="Arial"/>
          <w:sz w:val="20"/>
          <w:szCs w:val="20"/>
        </w:rPr>
      </w:pPr>
      <w:r>
        <w:rPr>
          <w:rFonts w:ascii="Arial" w:hAnsi="Arial" w:cs="Arial"/>
          <w:sz w:val="20"/>
          <w:szCs w:val="20"/>
        </w:rPr>
        <w:t>When the PO is flagged as a Replacement, the retirement form appears requiring</w:t>
      </w:r>
      <w:r w:rsidR="00FB5A2E">
        <w:rPr>
          <w:rFonts w:ascii="Arial" w:hAnsi="Arial" w:cs="Arial"/>
          <w:sz w:val="20"/>
          <w:szCs w:val="20"/>
        </w:rPr>
        <w:t xml:space="preserve"> geographic location, asset type and</w:t>
      </w:r>
      <w:r>
        <w:rPr>
          <w:rFonts w:ascii="Arial" w:hAnsi="Arial" w:cs="Arial"/>
          <w:sz w:val="20"/>
          <w:szCs w:val="20"/>
        </w:rPr>
        <w:t xml:space="preserve"> date of</w:t>
      </w:r>
      <w:r w:rsidR="00FB5A2E">
        <w:rPr>
          <w:rFonts w:ascii="Arial" w:hAnsi="Arial" w:cs="Arial"/>
          <w:sz w:val="20"/>
          <w:szCs w:val="20"/>
        </w:rPr>
        <w:t xml:space="preserve"> purchase of</w:t>
      </w:r>
      <w:r>
        <w:rPr>
          <w:rFonts w:ascii="Arial" w:hAnsi="Arial" w:cs="Arial"/>
          <w:sz w:val="20"/>
          <w:szCs w:val="20"/>
        </w:rPr>
        <w:t xml:space="preserve"> t</w:t>
      </w:r>
      <w:r w:rsidR="00FB5A2E">
        <w:rPr>
          <w:rFonts w:ascii="Arial" w:hAnsi="Arial" w:cs="Arial"/>
          <w:sz w:val="20"/>
          <w:szCs w:val="20"/>
        </w:rPr>
        <w:t>he asset being replaced/retired.  These three items are required to</w:t>
      </w:r>
      <w:r w:rsidR="00E94AD3">
        <w:rPr>
          <w:rFonts w:ascii="Arial" w:hAnsi="Arial" w:cs="Arial"/>
          <w:sz w:val="20"/>
          <w:szCs w:val="20"/>
        </w:rPr>
        <w:t xml:space="preserve"> </w:t>
      </w:r>
      <w:r w:rsidR="00FB5A2E">
        <w:rPr>
          <w:rFonts w:ascii="Arial" w:hAnsi="Arial" w:cs="Arial"/>
          <w:sz w:val="20"/>
          <w:szCs w:val="20"/>
        </w:rPr>
        <w:t>perform</w:t>
      </w:r>
      <w:r w:rsidR="005B652A">
        <w:rPr>
          <w:rFonts w:ascii="Arial" w:hAnsi="Arial" w:cs="Arial"/>
          <w:sz w:val="20"/>
          <w:szCs w:val="20"/>
        </w:rPr>
        <w:t xml:space="preserve"> the Handy Whitman Retirem</w:t>
      </w:r>
      <w:r w:rsidR="00FB5A2E">
        <w:rPr>
          <w:rFonts w:ascii="Arial" w:hAnsi="Arial" w:cs="Arial"/>
          <w:sz w:val="20"/>
          <w:szCs w:val="20"/>
        </w:rPr>
        <w:t>ent Calculation</w:t>
      </w:r>
      <w:r w:rsidR="005B652A">
        <w:rPr>
          <w:rFonts w:ascii="Arial" w:hAnsi="Arial" w:cs="Arial"/>
          <w:sz w:val="20"/>
          <w:szCs w:val="20"/>
        </w:rPr>
        <w:t>:</w:t>
      </w:r>
      <w:r>
        <w:rPr>
          <w:rFonts w:ascii="Arial" w:hAnsi="Arial" w:cs="Arial"/>
          <w:noProof/>
          <w:sz w:val="20"/>
          <w:szCs w:val="20"/>
        </w:rPr>
        <w:drawing>
          <wp:inline distT="0" distB="0" distL="0" distR="0">
            <wp:extent cx="5943600" cy="37044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36900" name="Picture 4"/>
                    <pic:cNvPicPr>
                      <a:picLocks noChangeAspect="1" noChangeArrowheads="1"/>
                    </pic:cNvPicPr>
                  </pic:nvPicPr>
                  <pic:blipFill>
                    <a:blip xmlns:r="http://schemas.openxmlformats.org/officeDocument/2006/relationships" r:embed="rId5" cstate="print"/>
                    <a:stretch>
                      <a:fillRect/>
                    </a:stretch>
                  </pic:blipFill>
                  <pic:spPr bwMode="auto">
                    <a:xfrm>
                      <a:off x="0" y="0"/>
                      <a:ext cx="5943600" cy="3704460"/>
                    </a:xfrm>
                    <a:prstGeom prst="rect">
                      <a:avLst/>
                    </a:prstGeom>
                    <a:noFill/>
                    <a:ln w="9525">
                      <a:noFill/>
                      <a:miter lim="800000"/>
                      <a:headEnd/>
                      <a:tailEnd/>
                    </a:ln>
                  </pic:spPr>
                </pic:pic>
              </a:graphicData>
            </a:graphic>
          </wp:inline>
        </w:drawing>
      </w:r>
    </w:p>
    <w:p w:rsidR="00505716">
      <w:pPr>
        <w:rPr>
          <w:rFonts w:ascii="Arial" w:hAnsi="Arial" w:cs="Arial"/>
          <w:sz w:val="20"/>
          <w:szCs w:val="20"/>
        </w:rPr>
      </w:pPr>
      <w:r>
        <w:rPr>
          <w:rFonts w:ascii="Arial" w:hAnsi="Arial" w:cs="Arial"/>
          <w:sz w:val="20"/>
          <w:szCs w:val="20"/>
        </w:rPr>
        <w:t xml:space="preserve">Capital Projects </w:t>
      </w:r>
    </w:p>
    <w:p w:rsidR="00E94AD3" w:rsidP="00A30102">
      <w:pPr>
        <w:rPr>
          <w:rFonts w:ascii="Arial" w:hAnsi="Arial" w:cs="Arial"/>
          <w:sz w:val="20"/>
          <w:szCs w:val="20"/>
        </w:rPr>
      </w:pPr>
      <w:r>
        <w:rPr>
          <w:rFonts w:ascii="Arial" w:hAnsi="Arial" w:cs="Arial"/>
          <w:sz w:val="20"/>
          <w:szCs w:val="20"/>
        </w:rPr>
        <w:t>When a purchase is expected to exceed $ 50,000 or last longer than 30 days, a capital project code is created to track the costs related to th</w:t>
      </w:r>
      <w:r w:rsidR="00A30102">
        <w:rPr>
          <w:rFonts w:ascii="Arial" w:hAnsi="Arial" w:cs="Arial"/>
          <w:sz w:val="20"/>
          <w:szCs w:val="20"/>
        </w:rPr>
        <w:t>at</w:t>
      </w:r>
      <w:r>
        <w:rPr>
          <w:rFonts w:ascii="Arial" w:hAnsi="Arial" w:cs="Arial"/>
          <w:sz w:val="20"/>
          <w:szCs w:val="20"/>
        </w:rPr>
        <w:t xml:space="preserve"> effort.  When the project is completed and placed in service the project manager/ owner works with accounting to determine which asset accounts have been affected and if any assets were retired as a result of the project.  If the project has caused assets to be disposed, a retirement form is completed.  </w:t>
      </w:r>
      <w:r>
        <w:rPr>
          <w:rFonts w:ascii="Arial" w:hAnsi="Arial" w:cs="Arial"/>
          <w:sz w:val="20"/>
          <w:szCs w:val="20"/>
        </w:rPr>
        <w:t>A variation of the</w:t>
      </w:r>
      <w:r>
        <w:rPr>
          <w:rFonts w:ascii="Arial" w:hAnsi="Arial" w:cs="Arial"/>
          <w:sz w:val="20"/>
          <w:szCs w:val="20"/>
        </w:rPr>
        <w:t xml:space="preserve"> Handy Whitman retirement calculation is manually performed based on </w:t>
      </w:r>
      <w:r w:rsidR="00A30102">
        <w:rPr>
          <w:rFonts w:ascii="Arial" w:hAnsi="Arial" w:cs="Arial"/>
          <w:sz w:val="20"/>
          <w:szCs w:val="20"/>
        </w:rPr>
        <w:t>the information provided by the project manager.</w:t>
      </w:r>
      <w:r>
        <w:rPr>
          <w:rFonts w:ascii="Arial" w:hAnsi="Arial" w:cs="Arial"/>
          <w:sz w:val="20"/>
          <w:szCs w:val="20"/>
        </w:rPr>
        <w:t xml:space="preserve"> The retirement formula used for capital projects is as follows:</w:t>
      </w:r>
    </w:p>
    <w:tbl>
      <w:tblPr>
        <w:tblpPr w:leftFromText="180" w:rightFromText="180" w:vertAnchor="text" w:tblpY="1"/>
        <w:tblOverlap w:val="never"/>
        <w:tblW w:w="8205" w:type="dxa"/>
        <w:tblLook w:val="04A0"/>
      </w:tblPr>
      <w:tblGrid>
        <w:gridCol w:w="2069"/>
        <w:gridCol w:w="326"/>
        <w:gridCol w:w="1550"/>
        <w:gridCol w:w="1477"/>
        <w:gridCol w:w="2783"/>
      </w:tblGrid>
      <w:tr w:rsidTr="00E94AD3">
        <w:tblPrEx>
          <w:tblW w:w="8205" w:type="dxa"/>
          <w:tblLook w:val="04A0"/>
        </w:tblPrEx>
        <w:trPr>
          <w:trHeight w:val="340"/>
        </w:trPr>
        <w:tc>
          <w:tcPr>
            <w:tcW w:w="2069" w:type="dxa"/>
            <w:vMerge w:val="restart"/>
            <w:tcBorders>
              <w:top w:val="nil"/>
              <w:left w:val="nil"/>
              <w:bottom w:val="nil"/>
              <w:right w:val="nil"/>
            </w:tcBorders>
            <w:shd w:val="clear" w:color="auto" w:fill="auto"/>
            <w:noWrap/>
            <w:vAlign w:val="center"/>
            <w:hideMark/>
          </w:tcPr>
          <w:p w:rsidR="00E94AD3" w:rsidRPr="00E94AD3" w:rsidP="00E94AD3">
            <w:pPr>
              <w:spacing w:after="0" w:line="240" w:lineRule="auto"/>
              <w:jc w:val="center"/>
              <w:rPr>
                <w:rFonts w:ascii="Calibri" w:eastAsia="Times New Roman" w:hAnsi="Calibri" w:cs="Times New Roman"/>
                <w:color w:val="000000"/>
              </w:rPr>
            </w:pPr>
            <w:r w:rsidRPr="00E94AD3">
              <w:rPr>
                <w:rFonts w:ascii="Calibri" w:eastAsia="Times New Roman" w:hAnsi="Calibri" w:cs="Times New Roman"/>
                <w:color w:val="000000"/>
              </w:rPr>
              <w:t>Amount to be Retired</w:t>
            </w:r>
          </w:p>
        </w:tc>
        <w:tc>
          <w:tcPr>
            <w:tcW w:w="326" w:type="dxa"/>
            <w:vMerge w:val="restart"/>
            <w:tcBorders>
              <w:top w:val="nil"/>
              <w:left w:val="nil"/>
              <w:bottom w:val="nil"/>
              <w:right w:val="nil"/>
            </w:tcBorders>
            <w:shd w:val="clear" w:color="auto" w:fill="auto"/>
            <w:noWrap/>
            <w:vAlign w:val="center"/>
            <w:hideMark/>
          </w:tcPr>
          <w:p w:rsidR="00E94AD3" w:rsidRPr="00E94AD3" w:rsidP="00E94AD3">
            <w:pPr>
              <w:spacing w:after="0" w:line="240" w:lineRule="auto"/>
              <w:rPr>
                <w:rFonts w:ascii="Calibri" w:eastAsia="Times New Roman" w:hAnsi="Calibri" w:cs="Times New Roman"/>
                <w:color w:val="000000"/>
              </w:rPr>
            </w:pPr>
            <w:r w:rsidRPr="00E94AD3">
              <w:rPr>
                <w:rFonts w:ascii="Calibri" w:eastAsia="Times New Roman" w:hAnsi="Calibri" w:cs="Times New Roman"/>
                <w:color w:val="000000"/>
              </w:rPr>
              <w:t>=</w:t>
            </w:r>
          </w:p>
        </w:tc>
        <w:tc>
          <w:tcPr>
            <w:tcW w:w="1550" w:type="dxa"/>
            <w:vMerge w:val="restart"/>
            <w:tcBorders>
              <w:top w:val="nil"/>
              <w:left w:val="nil"/>
              <w:bottom w:val="nil"/>
              <w:right w:val="nil"/>
            </w:tcBorders>
            <w:shd w:val="clear" w:color="auto" w:fill="auto"/>
            <w:noWrap/>
            <w:vAlign w:val="center"/>
            <w:hideMark/>
          </w:tcPr>
          <w:p w:rsidR="00E94AD3" w:rsidRPr="00E94AD3" w:rsidP="00E94AD3">
            <w:pPr>
              <w:spacing w:after="0" w:line="240" w:lineRule="auto"/>
              <w:rPr>
                <w:rFonts w:ascii="Calibri" w:eastAsia="Times New Roman" w:hAnsi="Calibri" w:cs="Times New Roman"/>
                <w:color w:val="000000"/>
              </w:rPr>
            </w:pPr>
            <w:r w:rsidRPr="00E94AD3">
              <w:rPr>
                <w:rFonts w:ascii="Calibri" w:eastAsia="Times New Roman" w:hAnsi="Calibri" w:cs="Times New Roman"/>
                <w:color w:val="000000"/>
              </w:rPr>
              <w:t>Cost of Old Asset</w:t>
            </w:r>
          </w:p>
        </w:tc>
        <w:tc>
          <w:tcPr>
            <w:tcW w:w="1477" w:type="dxa"/>
            <w:vMerge w:val="restart"/>
            <w:tcBorders>
              <w:top w:val="nil"/>
              <w:left w:val="nil"/>
              <w:bottom w:val="nil"/>
              <w:right w:val="nil"/>
            </w:tcBorders>
            <w:shd w:val="clear" w:color="auto" w:fill="auto"/>
            <w:noWrap/>
            <w:vAlign w:val="center"/>
            <w:hideMark/>
          </w:tcPr>
          <w:p w:rsidR="00E94AD3" w:rsidRPr="00E94AD3" w:rsidP="00E94AD3">
            <w:pPr>
              <w:pStyle w:val="ListParagraph"/>
              <w:numPr>
                <w:ilvl w:val="0"/>
                <w:numId w:val="1"/>
              </w:numPr>
              <w:spacing w:after="0" w:line="240" w:lineRule="auto"/>
              <w:jc w:val="center"/>
              <w:rPr>
                <w:rFonts w:ascii="Calibri" w:eastAsia="Times New Roman" w:hAnsi="Calibri" w:cs="Times New Roman"/>
                <w:color w:val="000000"/>
              </w:rPr>
            </w:pPr>
            <w:r w:rsidRPr="00E94AD3">
              <w:rPr>
                <w:rFonts w:ascii="Calibri" w:eastAsia="Times New Roman" w:hAnsi="Calibri" w:cs="Times New Roman"/>
                <w:color w:val="000000"/>
              </w:rPr>
              <w:t>(  1  -</w:t>
            </w:r>
          </w:p>
        </w:tc>
        <w:tc>
          <w:tcPr>
            <w:tcW w:w="2783" w:type="dxa"/>
            <w:tcBorders>
              <w:top w:val="nil"/>
              <w:left w:val="nil"/>
              <w:bottom w:val="single" w:sz="12" w:space="0" w:color="auto"/>
              <w:right w:val="nil"/>
            </w:tcBorders>
            <w:shd w:val="clear" w:color="auto" w:fill="auto"/>
            <w:noWrap/>
            <w:vAlign w:val="bottom"/>
            <w:hideMark/>
          </w:tcPr>
          <w:p w:rsidR="00E94AD3" w:rsidRPr="00E94AD3" w:rsidP="00E94AD3">
            <w:pPr>
              <w:spacing w:after="0" w:line="240" w:lineRule="auto"/>
              <w:jc w:val="center"/>
              <w:rPr>
                <w:rFonts w:ascii="Calibri" w:eastAsia="Times New Roman" w:hAnsi="Calibri" w:cs="Times New Roman"/>
                <w:color w:val="000000"/>
              </w:rPr>
            </w:pPr>
            <w:r w:rsidRPr="00E94AD3">
              <w:rPr>
                <w:rFonts w:ascii="Calibri" w:eastAsia="Times New Roman" w:hAnsi="Calibri" w:cs="Times New Roman"/>
                <w:color w:val="000000"/>
              </w:rPr>
              <w:t>Cost Index Number Base Year</w:t>
            </w:r>
          </w:p>
        </w:tc>
      </w:tr>
      <w:tr w:rsidTr="00E94AD3">
        <w:tblPrEx>
          <w:tblW w:w="8205" w:type="dxa"/>
          <w:tblLook w:val="04A0"/>
        </w:tblPrEx>
        <w:trPr>
          <w:trHeight w:val="340"/>
        </w:trPr>
        <w:tc>
          <w:tcPr>
            <w:tcW w:w="2069" w:type="dxa"/>
            <w:vMerge/>
            <w:tcBorders>
              <w:top w:val="nil"/>
              <w:left w:val="nil"/>
              <w:bottom w:val="nil"/>
              <w:right w:val="nil"/>
            </w:tcBorders>
            <w:vAlign w:val="center"/>
            <w:hideMark/>
          </w:tcPr>
          <w:p w:rsidR="00E94AD3" w:rsidRPr="00E94AD3" w:rsidP="00E94AD3">
            <w:pPr>
              <w:spacing w:after="0" w:line="240" w:lineRule="auto"/>
              <w:rPr>
                <w:rFonts w:ascii="Calibri" w:eastAsia="Times New Roman" w:hAnsi="Calibri" w:cs="Times New Roman"/>
                <w:color w:val="000000"/>
              </w:rPr>
            </w:pPr>
          </w:p>
        </w:tc>
        <w:tc>
          <w:tcPr>
            <w:tcW w:w="326" w:type="dxa"/>
            <w:vMerge/>
            <w:tcBorders>
              <w:top w:val="nil"/>
              <w:left w:val="nil"/>
              <w:bottom w:val="nil"/>
              <w:right w:val="nil"/>
            </w:tcBorders>
            <w:vAlign w:val="center"/>
            <w:hideMark/>
          </w:tcPr>
          <w:p w:rsidR="00E94AD3" w:rsidRPr="00E94AD3" w:rsidP="00E94AD3">
            <w:pPr>
              <w:spacing w:after="0" w:line="240" w:lineRule="auto"/>
              <w:rPr>
                <w:rFonts w:ascii="Calibri" w:eastAsia="Times New Roman" w:hAnsi="Calibri" w:cs="Times New Roman"/>
                <w:color w:val="000000"/>
              </w:rPr>
            </w:pPr>
          </w:p>
        </w:tc>
        <w:tc>
          <w:tcPr>
            <w:tcW w:w="1550" w:type="dxa"/>
            <w:vMerge/>
            <w:tcBorders>
              <w:top w:val="nil"/>
              <w:left w:val="nil"/>
              <w:bottom w:val="nil"/>
              <w:right w:val="nil"/>
            </w:tcBorders>
            <w:vAlign w:val="center"/>
            <w:hideMark/>
          </w:tcPr>
          <w:p w:rsidR="00E94AD3" w:rsidRPr="00E94AD3" w:rsidP="00E94AD3">
            <w:pPr>
              <w:spacing w:after="0" w:line="240" w:lineRule="auto"/>
              <w:rPr>
                <w:rFonts w:ascii="Calibri" w:eastAsia="Times New Roman" w:hAnsi="Calibri" w:cs="Times New Roman"/>
                <w:color w:val="000000"/>
              </w:rPr>
            </w:pPr>
          </w:p>
        </w:tc>
        <w:tc>
          <w:tcPr>
            <w:tcW w:w="1477" w:type="dxa"/>
            <w:vMerge/>
            <w:tcBorders>
              <w:top w:val="nil"/>
              <w:left w:val="nil"/>
              <w:bottom w:val="nil"/>
              <w:right w:val="nil"/>
            </w:tcBorders>
            <w:vAlign w:val="center"/>
            <w:hideMark/>
          </w:tcPr>
          <w:p w:rsidR="00E94AD3" w:rsidRPr="00E94AD3" w:rsidP="00E94AD3">
            <w:pPr>
              <w:spacing w:after="0" w:line="240" w:lineRule="auto"/>
              <w:rPr>
                <w:rFonts w:ascii="Calibri" w:eastAsia="Times New Roman" w:hAnsi="Calibri" w:cs="Times New Roman"/>
                <w:color w:val="000000"/>
              </w:rPr>
            </w:pPr>
          </w:p>
        </w:tc>
        <w:tc>
          <w:tcPr>
            <w:tcW w:w="2783" w:type="dxa"/>
            <w:tcBorders>
              <w:top w:val="nil"/>
              <w:left w:val="nil"/>
              <w:bottom w:val="nil"/>
              <w:right w:val="nil"/>
            </w:tcBorders>
            <w:shd w:val="clear" w:color="auto" w:fill="auto"/>
            <w:noWrap/>
            <w:vAlign w:val="bottom"/>
            <w:hideMark/>
          </w:tcPr>
          <w:p w:rsidR="00E94AD3" w:rsidRPr="00E94AD3" w:rsidP="00E94AD3">
            <w:pPr>
              <w:spacing w:after="0" w:line="240" w:lineRule="auto"/>
              <w:jc w:val="center"/>
              <w:rPr>
                <w:rFonts w:ascii="Calibri" w:eastAsia="Times New Roman" w:hAnsi="Calibri" w:cs="Times New Roman"/>
                <w:color w:val="000000"/>
              </w:rPr>
            </w:pPr>
            <w:r w:rsidRPr="00E94AD3">
              <w:rPr>
                <w:rFonts w:ascii="Calibri" w:eastAsia="Times New Roman" w:hAnsi="Calibri" w:cs="Times New Roman"/>
                <w:color w:val="000000"/>
              </w:rPr>
              <w:t>Cost Index Number Current Year</w:t>
            </w:r>
          </w:p>
        </w:tc>
      </w:tr>
    </w:tbl>
    <w:p w:rsidR="00E94AD3" w:rsidRPr="00E94AD3" w:rsidP="00A30102">
      <w:pPr>
        <w:rPr>
          <w:rFonts w:ascii="Arial" w:hAnsi="Arial" w:cs="Arial"/>
          <w:sz w:val="20"/>
          <w:szCs w:val="20"/>
        </w:rPr>
      </w:pPr>
    </w:p>
    <w:p w:rsidR="00E94AD3" w:rsidRPr="00E94AD3" w:rsidP="00A30102">
      <w:pPr>
        <w:rPr>
          <w:rFonts w:ascii="Arial" w:hAnsi="Arial" w:cs="Arial"/>
          <w:sz w:val="20"/>
          <w:szCs w:val="20"/>
        </w:rPr>
      </w:pPr>
      <w:r w:rsidRPr="00E94AD3">
        <w:rPr>
          <w:rFonts w:ascii="Arial" w:hAnsi="Arial" w:cs="Arial"/>
          <w:sz w:val="20"/>
          <w:szCs w:val="20"/>
        </w:rPr>
        <w:t>)</w:t>
      </w:r>
    </w:p>
    <w:p w:rsidR="00E94AD3" w:rsidP="00A30102">
      <w:pPr>
        <w:rPr>
          <w:rFonts w:ascii="Arial" w:hAnsi="Arial" w:cs="Arial"/>
          <w:sz w:val="20"/>
          <w:szCs w:val="20"/>
        </w:rPr>
      </w:pPr>
    </w:p>
    <w:p w:rsidR="00A30102" w:rsidP="00A30102">
      <w:pPr>
        <w:rPr>
          <w:rFonts w:ascii="Arial" w:hAnsi="Arial" w:cs="Arial"/>
          <w:sz w:val="20"/>
          <w:szCs w:val="20"/>
        </w:rPr>
      </w:pPr>
      <w:r>
        <w:rPr>
          <w:rFonts w:ascii="Arial" w:hAnsi="Arial" w:cs="Arial"/>
          <w:sz w:val="20"/>
          <w:szCs w:val="20"/>
        </w:rPr>
        <w:t xml:space="preserve">  A journal entry is then posted to retire the asset(s), which can be based off of the entire project cost, or an isolated amount depending on the scope of the project.</w:t>
      </w:r>
    </w:p>
    <w:p w:rsidR="00A30102" w:rsidP="00A30102">
      <w:pPr>
        <w:rPr>
          <w:rFonts w:ascii="Arial" w:hAnsi="Arial" w:cs="Arial"/>
          <w:sz w:val="20"/>
          <w:szCs w:val="20"/>
        </w:rPr>
      </w:pPr>
    </w:p>
    <w:p w:rsidR="00A30102" w:rsidP="00A30102">
      <w:pPr>
        <w:rPr>
          <w:rFonts w:ascii="Arial" w:hAnsi="Arial" w:cs="Arial"/>
          <w:sz w:val="20"/>
          <w:szCs w:val="20"/>
        </w:rPr>
      </w:pPr>
      <w:r>
        <w:rPr>
          <w:rFonts w:ascii="Arial" w:hAnsi="Arial" w:cs="Arial"/>
          <w:sz w:val="20"/>
          <w:szCs w:val="20"/>
        </w:rPr>
        <w:t>System Sales</w:t>
      </w:r>
    </w:p>
    <w:p w:rsidR="00A30102" w:rsidP="00A30102">
      <w:pPr>
        <w:rPr>
          <w:rFonts w:ascii="Arial" w:hAnsi="Arial" w:cs="Arial"/>
          <w:sz w:val="20"/>
          <w:szCs w:val="20"/>
        </w:rPr>
      </w:pPr>
      <w:r>
        <w:rPr>
          <w:rFonts w:ascii="Arial" w:hAnsi="Arial" w:cs="Arial"/>
          <w:sz w:val="20"/>
          <w:szCs w:val="20"/>
        </w:rPr>
        <w:t>When a company or business unit is sold to an outside party, all assets are disposed at the time of sale.  Any remaining net book value on the books gets posted against the sale of utility account reducing the gain on sale resulting from money received as a result of the sale.</w:t>
      </w:r>
    </w:p>
    <w:p w:rsidR="00A30102" w:rsidP="00A30102">
      <w:pPr>
        <w:rPr>
          <w:rFonts w:ascii="Arial" w:hAnsi="Arial" w:cs="Arial"/>
          <w:sz w:val="20"/>
          <w:szCs w:val="20"/>
        </w:rPr>
      </w:pPr>
    </w:p>
    <w:p w:rsidR="00A30102" w:rsidP="00A30102">
      <w:pPr>
        <w:rPr>
          <w:rFonts w:ascii="Arial" w:hAnsi="Arial" w:cs="Arial"/>
          <w:sz w:val="20"/>
          <w:szCs w:val="20"/>
        </w:rPr>
      </w:pPr>
      <w:r>
        <w:rPr>
          <w:rFonts w:ascii="Arial" w:hAnsi="Arial" w:cs="Arial"/>
          <w:sz w:val="20"/>
          <w:szCs w:val="20"/>
        </w:rPr>
        <w:t>Vehicle sales</w:t>
      </w:r>
    </w:p>
    <w:p w:rsidR="002A72B6" w:rsidP="002A72B6">
      <w:pPr>
        <w:rPr>
          <w:rFonts w:ascii="Arial" w:hAnsi="Arial" w:cs="Arial"/>
          <w:sz w:val="20"/>
          <w:szCs w:val="20"/>
        </w:rPr>
      </w:pPr>
      <w:r>
        <w:rPr>
          <w:rFonts w:ascii="Arial" w:hAnsi="Arial" w:cs="Arial"/>
          <w:sz w:val="20"/>
          <w:szCs w:val="20"/>
        </w:rPr>
        <w:t>Vehicle assets are the exception to the group depreciation method of tracking assets, in that each vehicle is assigned a unique asset number</w:t>
      </w:r>
      <w:r>
        <w:rPr>
          <w:rFonts w:ascii="Arial" w:hAnsi="Arial" w:cs="Arial"/>
          <w:sz w:val="20"/>
          <w:szCs w:val="20"/>
        </w:rPr>
        <w:t xml:space="preserve"> to track cost and depreciation.  When vehicles are sold, the vehicle’s asset is disposed in JDE.  Any remaining net book value on the books gets posted against the sale of utility account reducing the gain on sale resulting from money received as a result of the sale.</w:t>
      </w:r>
    </w:p>
    <w:p w:rsidR="005277EB" w:rsidP="005277EB">
      <w:pPr>
        <w:pStyle w:val="NormalWeb"/>
        <w:rPr>
          <w:rFonts w:ascii="Arial" w:hAnsi="Arial" w:cs="Arial"/>
          <w:sz w:val="20"/>
          <w:szCs w:val="20"/>
        </w:rPr>
      </w:pPr>
      <w:r>
        <w:rPr>
          <w:rFonts w:ascii="Arial" w:hAnsi="Arial" w:cs="Arial"/>
          <w:sz w:val="20"/>
          <w:szCs w:val="20"/>
        </w:rPr>
        <w:t xml:space="preserve"> </w:t>
      </w:r>
    </w:p>
    <w:p w:rsidR="005277EB" w:rsidP="005277EB">
      <w:pPr>
        <w:pStyle w:val="NormalWeb"/>
        <w:rPr>
          <w:rFonts w:ascii="Arial" w:hAnsi="Arial" w:cs="Arial"/>
          <w:sz w:val="20"/>
          <w:szCs w:val="20"/>
        </w:rPr>
      </w:pPr>
      <w:r>
        <w:rPr>
          <w:rFonts w:ascii="Arial" w:hAnsi="Arial" w:cs="Arial"/>
          <w:sz w:val="20"/>
          <w:szCs w:val="20"/>
        </w:rPr>
        <w:t>Assets scrapped or sold</w:t>
      </w:r>
    </w:p>
    <w:p w:rsidR="005277EB" w:rsidP="005277EB">
      <w:pPr>
        <w:pStyle w:val="NormalWeb"/>
      </w:pPr>
      <w:r>
        <w:rPr>
          <w:rFonts w:ascii="Arial" w:hAnsi="Arial" w:cs="Arial"/>
          <w:sz w:val="20"/>
          <w:szCs w:val="20"/>
        </w:rPr>
        <w:t>In rare occasion assets are scrapped or sold and not replaced.  When this occurs, the manager in charge of that region provides a manual retirement form describing the item(s) to dispose and an estimated current net book value of which to remove from the books.</w:t>
      </w:r>
    </w:p>
    <w:p w:rsidR="00505716">
      <w:pPr>
        <w:rPr>
          <w:rFonts w:ascii="Arial" w:hAnsi="Arial" w:cs="Arial"/>
          <w:sz w:val="20"/>
          <w:szCs w:val="20"/>
        </w:rPr>
      </w:pPr>
    </w:p>
    <w:sectPr w:rsidSect="00766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7A03FA"/>
    <w:multiLevelType w:val="hybridMultilevel"/>
    <w:tmpl w:val="5796707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3D"/>
    <w:rsid w:val="00025769"/>
    <w:rsid w:val="00230616"/>
    <w:rsid w:val="002A72B6"/>
    <w:rsid w:val="00505716"/>
    <w:rsid w:val="005277EB"/>
    <w:rsid w:val="00582E5E"/>
    <w:rsid w:val="005B652A"/>
    <w:rsid w:val="005F78D1"/>
    <w:rsid w:val="0060633D"/>
    <w:rsid w:val="0076617E"/>
    <w:rsid w:val="008C199B"/>
    <w:rsid w:val="00A30102"/>
    <w:rsid w:val="00A455CC"/>
    <w:rsid w:val="00B21408"/>
    <w:rsid w:val="00D6363A"/>
    <w:rsid w:val="00DA3FCF"/>
    <w:rsid w:val="00E94AD3"/>
    <w:rsid w:val="00EE1CF1"/>
    <w:rsid w:val="00FB5A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915E5F7-A113-4E25-983A-0BF3D92B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633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A3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FCF"/>
    <w:rPr>
      <w:rFonts w:ascii="Tahoma" w:hAnsi="Tahoma" w:cs="Tahoma"/>
      <w:sz w:val="16"/>
      <w:szCs w:val="16"/>
    </w:rPr>
  </w:style>
  <w:style w:type="paragraph" w:styleId="ListParagraph">
    <w:name w:val="List Paragraph"/>
    <w:basedOn w:val="Normal"/>
    <w:uiPriority w:val="34"/>
    <w:qFormat/>
    <w:rsid w:val="00E94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Utilities Inc</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ercoughl</dc:creator>
  <cp:lastModifiedBy>Christine Kim</cp:lastModifiedBy>
  <cp:revision>1</cp:revision>
  <dcterms:created xsi:type="dcterms:W3CDTF">2020-10-08T20:34:21Z</dcterms:created>
  <dcterms:modified xsi:type="dcterms:W3CDTF">2020-10-08T20:34:21Z</dcterms:modified>
</cp:coreProperties>
</file>