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4C17" w:rsidP="00844C17">
      <w:pPr>
        <w:pStyle w:val="OrderHeading"/>
      </w:pPr>
      <w:r>
        <w:t>BEFORE THE FLORIDA PUBLIC SERVICE COMMISSION</w:t>
      </w:r>
    </w:p>
    <w:p w:rsidR="00844C17" w:rsidRDefault="00844C17" w:rsidP="00844C17">
      <w:pPr>
        <w:pStyle w:val="OrderBody"/>
      </w:pPr>
    </w:p>
    <w:p w:rsidR="00844C17" w:rsidRDefault="00844C17" w:rsidP="00844C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4C17" w:rsidRPr="00C63FCF" w:rsidTr="00C63FCF">
        <w:trPr>
          <w:trHeight w:val="828"/>
        </w:trPr>
        <w:tc>
          <w:tcPr>
            <w:tcW w:w="4788" w:type="dxa"/>
            <w:tcBorders>
              <w:bottom w:val="single" w:sz="8" w:space="0" w:color="auto"/>
              <w:right w:val="double" w:sz="6" w:space="0" w:color="auto"/>
            </w:tcBorders>
            <w:shd w:val="clear" w:color="auto" w:fill="auto"/>
          </w:tcPr>
          <w:p w:rsidR="00844C17" w:rsidRDefault="00844C17"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844C17" w:rsidRDefault="00844C17" w:rsidP="00844C17">
            <w:pPr>
              <w:pStyle w:val="OrderBody"/>
            </w:pPr>
            <w:r>
              <w:t xml:space="preserve">DOCKET NO. </w:t>
            </w:r>
            <w:bookmarkStart w:id="1" w:name="SSDocketNo"/>
            <w:bookmarkEnd w:id="1"/>
            <w:r>
              <w:t>20200139-WS</w:t>
            </w:r>
          </w:p>
          <w:p w:rsidR="00844C17" w:rsidRDefault="00844C17" w:rsidP="00C63FCF">
            <w:pPr>
              <w:pStyle w:val="OrderBody"/>
              <w:tabs>
                <w:tab w:val="center" w:pos="4320"/>
                <w:tab w:val="right" w:pos="8640"/>
              </w:tabs>
              <w:jc w:val="left"/>
            </w:pPr>
            <w:r>
              <w:t xml:space="preserve">ORDER NO. </w:t>
            </w:r>
            <w:bookmarkStart w:id="2" w:name="OrderNo0124"/>
            <w:r w:rsidR="00F719EE">
              <w:t>PSC-2021-0124-PCO-WS</w:t>
            </w:r>
            <w:bookmarkEnd w:id="2"/>
          </w:p>
          <w:p w:rsidR="00844C17" w:rsidRDefault="00844C17" w:rsidP="00C63FCF">
            <w:pPr>
              <w:pStyle w:val="OrderBody"/>
              <w:tabs>
                <w:tab w:val="center" w:pos="4320"/>
                <w:tab w:val="right" w:pos="8640"/>
              </w:tabs>
              <w:jc w:val="left"/>
            </w:pPr>
            <w:r>
              <w:t xml:space="preserve">ISSUED: </w:t>
            </w:r>
            <w:r w:rsidR="00F719EE">
              <w:t>April 8, 2021</w:t>
            </w:r>
          </w:p>
        </w:tc>
      </w:tr>
    </w:tbl>
    <w:p w:rsidR="00844C17" w:rsidRDefault="00844C17" w:rsidP="00844C17"/>
    <w:p w:rsidR="00844C17" w:rsidRDefault="00844C17" w:rsidP="00844C17"/>
    <w:p w:rsidR="00F34B68" w:rsidRDefault="00844C17" w:rsidP="00F34B68">
      <w:pPr>
        <w:pStyle w:val="CenterUnderline"/>
      </w:pPr>
      <w:bookmarkStart w:id="3" w:name="Commissioners"/>
      <w:bookmarkEnd w:id="3"/>
      <w:r>
        <w:t>ORDER</w:t>
      </w:r>
      <w:bookmarkStart w:id="4" w:name="OrderTitle"/>
      <w:r>
        <w:t xml:space="preserve"> GRANTING</w:t>
      </w:r>
      <w:r w:rsidR="00F34B68">
        <w:t xml:space="preserve"> UTILITIES, INC. OF FLORIDA</w:t>
      </w:r>
      <w:r w:rsidR="001C744B">
        <w:t>’S</w:t>
      </w:r>
      <w:r>
        <w:t xml:space="preserve"> MOTION TO REOPEN </w:t>
      </w:r>
    </w:p>
    <w:p w:rsidR="00F34B68" w:rsidRDefault="00C60323" w:rsidP="00F34B68">
      <w:pPr>
        <w:pStyle w:val="CenterUnderline"/>
      </w:pPr>
      <w:r>
        <w:t>THE RECORD FOR LIMITED PURPOSE OF ADMITTING</w:t>
      </w:r>
    </w:p>
    <w:p w:rsidR="00CB5276" w:rsidRDefault="00C60323" w:rsidP="00F34B68">
      <w:pPr>
        <w:pStyle w:val="CenterUnderline"/>
      </w:pPr>
      <w:r>
        <w:t>CORRECTED MFR SCHEDULES INTO EVIDENCE AS EXHIBIT 210</w:t>
      </w:r>
      <w:bookmarkEnd w:id="4"/>
    </w:p>
    <w:p w:rsidR="00844C17" w:rsidRDefault="00844C17" w:rsidP="00844C17">
      <w:pPr>
        <w:pStyle w:val="CenterUnderline"/>
      </w:pPr>
    </w:p>
    <w:p w:rsidR="00844C17" w:rsidRDefault="00844C17" w:rsidP="00844C17">
      <w:pPr>
        <w:pStyle w:val="OrderBody"/>
      </w:pPr>
    </w:p>
    <w:p w:rsidR="00844C17" w:rsidRDefault="001137CF" w:rsidP="001137CF">
      <w:pPr>
        <w:pStyle w:val="CenterUnderline"/>
        <w:ind w:firstLine="720"/>
        <w:jc w:val="both"/>
        <w:rPr>
          <w:u w:val="none"/>
        </w:rPr>
      </w:pPr>
      <w:bookmarkStart w:id="5" w:name="OrderText"/>
      <w:bookmarkEnd w:id="5"/>
      <w:r>
        <w:rPr>
          <w:u w:val="none"/>
        </w:rPr>
        <w:t xml:space="preserve">On February 2-3, 2021, the Commission conducted an </w:t>
      </w:r>
      <w:r w:rsidR="00CD4F6F">
        <w:rPr>
          <w:u w:val="none"/>
        </w:rPr>
        <w:t>administrative</w:t>
      </w:r>
      <w:r>
        <w:rPr>
          <w:u w:val="none"/>
        </w:rPr>
        <w:t xml:space="preserve"> hearing to take testimony and evidence in Utilities, Inc. of Florida’s (UIF or </w:t>
      </w:r>
      <w:r w:rsidR="001A57F8">
        <w:rPr>
          <w:u w:val="none"/>
        </w:rPr>
        <w:t>Utility</w:t>
      </w:r>
      <w:r>
        <w:rPr>
          <w:u w:val="none"/>
        </w:rPr>
        <w:t xml:space="preserve">) petition for rate increase. The case is scheduled for the Commission’s final decision on </w:t>
      </w:r>
      <w:r w:rsidR="007A01B3">
        <w:rPr>
          <w:u w:val="none"/>
        </w:rPr>
        <w:t>April</w:t>
      </w:r>
      <w:r w:rsidR="000F01BD">
        <w:rPr>
          <w:u w:val="none"/>
        </w:rPr>
        <w:t xml:space="preserve"> 2</w:t>
      </w:r>
      <w:r w:rsidR="007A01B3">
        <w:rPr>
          <w:u w:val="none"/>
        </w:rPr>
        <w:t xml:space="preserve">0, 2021. </w:t>
      </w:r>
    </w:p>
    <w:p w:rsidR="000F01BD" w:rsidRDefault="000F01BD" w:rsidP="001137CF">
      <w:pPr>
        <w:pStyle w:val="CenterUnderline"/>
        <w:ind w:firstLine="720"/>
        <w:jc w:val="both"/>
        <w:rPr>
          <w:u w:val="none"/>
        </w:rPr>
      </w:pPr>
    </w:p>
    <w:p w:rsidR="000F01BD" w:rsidRDefault="000F01BD" w:rsidP="001137CF">
      <w:pPr>
        <w:pStyle w:val="CenterUnderline"/>
        <w:ind w:firstLine="720"/>
        <w:jc w:val="both"/>
        <w:rPr>
          <w:u w:val="none"/>
        </w:rPr>
      </w:pPr>
      <w:r>
        <w:rPr>
          <w:u w:val="none"/>
        </w:rPr>
        <w:t xml:space="preserve">On </w:t>
      </w:r>
      <w:r w:rsidR="001A57F8">
        <w:rPr>
          <w:u w:val="none"/>
        </w:rPr>
        <w:t>April 2, 2021, UIF filed a motion requesting that the record in Docket 20200139-WS be reopened for the l</w:t>
      </w:r>
      <w:r w:rsidR="00922186">
        <w:rPr>
          <w:u w:val="none"/>
        </w:rPr>
        <w:t xml:space="preserve">imited purpose of </w:t>
      </w:r>
      <w:r w:rsidR="00CD4F6F">
        <w:rPr>
          <w:u w:val="none"/>
        </w:rPr>
        <w:t>admitting</w:t>
      </w:r>
      <w:r w:rsidR="00922186">
        <w:rPr>
          <w:u w:val="none"/>
        </w:rPr>
        <w:t xml:space="preserve"> into the record UIF’s corrected schedules of the Minimum Filing Requirements (MFRs) that were filed in response to </w:t>
      </w:r>
      <w:r w:rsidR="00CD4F6F">
        <w:rPr>
          <w:u w:val="none"/>
        </w:rPr>
        <w:t>Commission</w:t>
      </w:r>
      <w:r w:rsidR="00922186">
        <w:rPr>
          <w:u w:val="none"/>
        </w:rPr>
        <w:t xml:space="preserve"> staff’s deficiency letters. </w:t>
      </w:r>
      <w:r w:rsidR="001C744B">
        <w:rPr>
          <w:u w:val="none"/>
        </w:rPr>
        <w:t>The corrected MFRs are attached to UIF’s motion.</w:t>
      </w:r>
      <w:r w:rsidR="00890853">
        <w:rPr>
          <w:u w:val="none"/>
        </w:rPr>
        <w:t xml:space="preserve"> </w:t>
      </w:r>
      <w:r w:rsidR="00CD4F6F">
        <w:rPr>
          <w:u w:val="none"/>
        </w:rPr>
        <w:t>Pursuant</w:t>
      </w:r>
      <w:r w:rsidR="00E639EE">
        <w:rPr>
          <w:u w:val="none"/>
        </w:rPr>
        <w:t xml:space="preserve"> to Rule 25-30.437, Florida Administrative Code (F.A.C.), UIF filed MFRs as an exhibit to the Prefiled Direct Testimony of Deborah Swain. Commission staff reviewed the MFRs and determined that the MFRs did not meet the requirements of Rule 25-30.437, F.A.C. </w:t>
      </w:r>
      <w:r w:rsidR="00CD4F6F">
        <w:rPr>
          <w:u w:val="none"/>
        </w:rPr>
        <w:t>Commission</w:t>
      </w:r>
      <w:r w:rsidR="000C5618">
        <w:rPr>
          <w:u w:val="none"/>
        </w:rPr>
        <w:t xml:space="preserve"> staff sent two </w:t>
      </w:r>
      <w:r w:rsidR="00CD4F6F">
        <w:rPr>
          <w:u w:val="none"/>
        </w:rPr>
        <w:t>deficiency</w:t>
      </w:r>
      <w:r w:rsidR="000C5618">
        <w:rPr>
          <w:u w:val="none"/>
        </w:rPr>
        <w:t xml:space="preserve"> letter</w:t>
      </w:r>
      <w:r w:rsidR="00BB42C7">
        <w:rPr>
          <w:u w:val="none"/>
        </w:rPr>
        <w:t>s</w:t>
      </w:r>
      <w:r w:rsidR="000C5618">
        <w:rPr>
          <w:u w:val="none"/>
        </w:rPr>
        <w:t xml:space="preserve"> to UIF on August 5, 2020</w:t>
      </w:r>
      <w:r w:rsidR="000C5618">
        <w:rPr>
          <w:rStyle w:val="FootnoteReference"/>
          <w:u w:val="none"/>
        </w:rPr>
        <w:footnoteReference w:id="1"/>
      </w:r>
      <w:r w:rsidR="000C5618">
        <w:rPr>
          <w:u w:val="none"/>
        </w:rPr>
        <w:t xml:space="preserve"> and August 31, 2020.</w:t>
      </w:r>
      <w:r w:rsidR="000C5618">
        <w:rPr>
          <w:rStyle w:val="FootnoteReference"/>
          <w:u w:val="none"/>
        </w:rPr>
        <w:footnoteReference w:id="2"/>
      </w:r>
      <w:r w:rsidR="000C5618">
        <w:rPr>
          <w:u w:val="none"/>
        </w:rPr>
        <w:t xml:space="preserve"> UIF filed responses to the deficiency letters on August 24, 2020</w:t>
      </w:r>
      <w:r w:rsidR="000C5618">
        <w:rPr>
          <w:rStyle w:val="FootnoteReference"/>
          <w:u w:val="none"/>
        </w:rPr>
        <w:footnoteReference w:id="3"/>
      </w:r>
      <w:r w:rsidR="000C5618">
        <w:rPr>
          <w:u w:val="none"/>
        </w:rPr>
        <w:t xml:space="preserve"> and August 31, 2020.</w:t>
      </w:r>
      <w:r w:rsidR="000C5618">
        <w:rPr>
          <w:rStyle w:val="FootnoteReference"/>
          <w:u w:val="none"/>
        </w:rPr>
        <w:footnoteReference w:id="4"/>
      </w:r>
      <w:r w:rsidR="000C5618">
        <w:rPr>
          <w:u w:val="none"/>
        </w:rPr>
        <w:t xml:space="preserve"> </w:t>
      </w:r>
      <w:r w:rsidR="00123CC4">
        <w:rPr>
          <w:u w:val="none"/>
        </w:rPr>
        <w:t>All parties of record we</w:t>
      </w:r>
      <w:r w:rsidR="00E2615B">
        <w:rPr>
          <w:u w:val="none"/>
        </w:rPr>
        <w:t>re</w:t>
      </w:r>
      <w:r w:rsidR="00123CC4">
        <w:rPr>
          <w:u w:val="none"/>
        </w:rPr>
        <w:t xml:space="preserve"> </w:t>
      </w:r>
      <w:r w:rsidR="00CD4F6F">
        <w:rPr>
          <w:u w:val="none"/>
        </w:rPr>
        <w:t>copied</w:t>
      </w:r>
      <w:r w:rsidR="00123CC4">
        <w:rPr>
          <w:u w:val="none"/>
        </w:rPr>
        <w:t xml:space="preserve"> on the deficiency responses which included the corrected MFR schedules. Commission staff and all parties of record have had access throughout this proceeding to the corrected MFR schedules. UIF asserts that the</w:t>
      </w:r>
      <w:r w:rsidR="00342FD5">
        <w:rPr>
          <w:u w:val="none"/>
        </w:rPr>
        <w:t xml:space="preserve"> corrected MFRs are necessary to fa</w:t>
      </w:r>
      <w:r w:rsidR="001C744B">
        <w:rPr>
          <w:u w:val="none"/>
        </w:rPr>
        <w:t>cilitate deliberation on UIF’s petition;</w:t>
      </w:r>
      <w:r w:rsidR="00342FD5">
        <w:rPr>
          <w:u w:val="none"/>
        </w:rPr>
        <w:t xml:space="preserve"> therefore</w:t>
      </w:r>
      <w:r w:rsidR="00BB42C7">
        <w:rPr>
          <w:u w:val="none"/>
        </w:rPr>
        <w:t>,</w:t>
      </w:r>
      <w:r w:rsidR="00342FD5">
        <w:rPr>
          <w:u w:val="none"/>
        </w:rPr>
        <w:t xml:space="preserve"> the</w:t>
      </w:r>
      <w:r w:rsidR="00123CC4">
        <w:rPr>
          <w:u w:val="none"/>
        </w:rPr>
        <w:t xml:space="preserve"> </w:t>
      </w:r>
      <w:r w:rsidR="00342FD5">
        <w:rPr>
          <w:u w:val="none"/>
        </w:rPr>
        <w:t>record should be reopened to formalize the</w:t>
      </w:r>
      <w:r w:rsidR="001C744B">
        <w:rPr>
          <w:u w:val="none"/>
        </w:rPr>
        <w:t>ir</w:t>
      </w:r>
      <w:r w:rsidR="00342FD5">
        <w:rPr>
          <w:u w:val="none"/>
        </w:rPr>
        <w:t xml:space="preserve"> admission into the record. </w:t>
      </w:r>
    </w:p>
    <w:p w:rsidR="00342FD5" w:rsidRDefault="00342FD5" w:rsidP="001137CF">
      <w:pPr>
        <w:pStyle w:val="CenterUnderline"/>
        <w:ind w:firstLine="720"/>
        <w:jc w:val="both"/>
        <w:rPr>
          <w:u w:val="none"/>
        </w:rPr>
      </w:pPr>
    </w:p>
    <w:p w:rsidR="00342FD5" w:rsidRDefault="00342FD5" w:rsidP="00342FD5">
      <w:pPr>
        <w:autoSpaceDE w:val="0"/>
        <w:autoSpaceDN w:val="0"/>
        <w:adjustRightInd w:val="0"/>
        <w:ind w:firstLine="720"/>
        <w:jc w:val="both"/>
      </w:pPr>
      <w:r>
        <w:t>In any matter which goes to hearing, the Commission reserves “the right to reopen the record if at the conclusion of the proceeding we determine that the record is insufficient.”</w:t>
      </w:r>
      <w:r>
        <w:rPr>
          <w:rStyle w:val="FootnoteReference"/>
        </w:rPr>
        <w:footnoteReference w:id="5"/>
      </w:r>
      <w:r>
        <w:t xml:space="preserve"> On several prior occasions, the Commission has reopened the record of proceedings to admit evidence when the public interest would be served by doing so.  For example, it reopened the record in Docket No. 070299-EI to admit Gulf Power Company’s Amended Storm</w:t>
      </w:r>
      <w:r w:rsidR="001C744B">
        <w:t xml:space="preserve"> Hardening Plan, where the p</w:t>
      </w:r>
      <w:r>
        <w:t>lan had been provided to all parties, relied upon in testimony and briefing, and positions of the parties we</w:t>
      </w:r>
      <w:r w:rsidR="001C744B">
        <w:t>re predicated upon it, but the p</w:t>
      </w:r>
      <w:r>
        <w:t xml:space="preserve">lan itself had not been admitted into the </w:t>
      </w:r>
      <w:r>
        <w:lastRenderedPageBreak/>
        <w:t>record.  The Commission found that reopening the record served the public interest, because no one was prejudiced by its admission, and excluding it would result in unnecessary delay.</w:t>
      </w:r>
      <w:r>
        <w:rPr>
          <w:rStyle w:val="FootnoteReference"/>
        </w:rPr>
        <w:footnoteReference w:id="6"/>
      </w:r>
    </w:p>
    <w:p w:rsidR="00342FD5" w:rsidRDefault="00342FD5" w:rsidP="00342FD5">
      <w:pPr>
        <w:autoSpaceDE w:val="0"/>
        <w:autoSpaceDN w:val="0"/>
        <w:adjustRightInd w:val="0"/>
        <w:ind w:firstLine="720"/>
        <w:jc w:val="both"/>
      </w:pPr>
    </w:p>
    <w:p w:rsidR="00342FD5" w:rsidRDefault="00342FD5" w:rsidP="00342FD5">
      <w:pPr>
        <w:autoSpaceDE w:val="0"/>
        <w:autoSpaceDN w:val="0"/>
        <w:adjustRightInd w:val="0"/>
        <w:ind w:firstLine="720"/>
        <w:jc w:val="both"/>
      </w:pPr>
      <w:r w:rsidRPr="00342FD5">
        <w:t>The public interest will be served by reopening the record in this proceeding to formally admit</w:t>
      </w:r>
      <w:r>
        <w:t xml:space="preserve"> the corrected MFR schedules as Exhibit 210</w:t>
      </w:r>
      <w:r w:rsidR="00CD4F6F">
        <w:t>, entitled “Deficiency Responses,”</w:t>
      </w:r>
      <w:r>
        <w:t xml:space="preserve"> into the evidentiary record, so that all participants </w:t>
      </w:r>
      <w:r w:rsidRPr="00342FD5">
        <w:t>may rely upon the information it contains in their deliberations.</w:t>
      </w:r>
      <w:r w:rsidR="00CD4F6F">
        <w:t xml:space="preserve"> UIF asserts that it has contacted the Office of Public Counsel</w:t>
      </w:r>
      <w:r w:rsidR="001C744B">
        <w:t>, the only other party to this proceeding,</w:t>
      </w:r>
      <w:r w:rsidR="00CD4F6F">
        <w:t xml:space="preserve"> and </w:t>
      </w:r>
      <w:r w:rsidR="001C744B">
        <w:t xml:space="preserve">it does not </w:t>
      </w:r>
      <w:r w:rsidR="00CD4F6F">
        <w:t xml:space="preserve">object to UIF’s motion. </w:t>
      </w:r>
    </w:p>
    <w:p w:rsidR="00CD4F6F" w:rsidRDefault="00CD4F6F" w:rsidP="00342FD5">
      <w:pPr>
        <w:autoSpaceDE w:val="0"/>
        <w:autoSpaceDN w:val="0"/>
        <w:adjustRightInd w:val="0"/>
        <w:ind w:firstLine="720"/>
        <w:jc w:val="both"/>
      </w:pPr>
    </w:p>
    <w:p w:rsidR="00CD4F6F" w:rsidRDefault="00567ED1" w:rsidP="00342FD5">
      <w:pPr>
        <w:autoSpaceDE w:val="0"/>
        <w:autoSpaceDN w:val="0"/>
        <w:adjustRightInd w:val="0"/>
        <w:ind w:firstLine="720"/>
        <w:jc w:val="both"/>
      </w:pPr>
      <w:r>
        <w:t>For the reasons outline</w:t>
      </w:r>
      <w:r w:rsidR="00226EDF">
        <w:t>d</w:t>
      </w:r>
      <w:r>
        <w:t xml:space="preserve"> herein</w:t>
      </w:r>
      <w:r w:rsidR="00CD4F6F">
        <w:t xml:space="preserve">, </w:t>
      </w:r>
      <w:r w:rsidR="001C744B">
        <w:t xml:space="preserve">UIF’s motion is granted and </w:t>
      </w:r>
      <w:r w:rsidR="00CD4F6F">
        <w:t>the record in Docket No. 20200139</w:t>
      </w:r>
      <w:r>
        <w:t>-WS is re-</w:t>
      </w:r>
      <w:r w:rsidR="00215388">
        <w:t>opened</w:t>
      </w:r>
      <w:r>
        <w:t xml:space="preserve"> for the limited purpose of admitting Exhibit 210 into the record. Exhibit 210 is admitted into the record. Thereafter, the record shall be closed. </w:t>
      </w:r>
    </w:p>
    <w:p w:rsidR="00844C17" w:rsidRPr="00817318" w:rsidRDefault="00844C17" w:rsidP="00844C17">
      <w:pPr>
        <w:pStyle w:val="ListParagraph"/>
        <w:ind w:left="0"/>
        <w:jc w:val="both"/>
        <w:rPr>
          <w:rFonts w:ascii="Times New Roman" w:hAnsi="Times New Roman"/>
          <w:iCs/>
          <w:color w:val="212121"/>
        </w:rPr>
      </w:pPr>
    </w:p>
    <w:p w:rsidR="00844C17" w:rsidRPr="00817318" w:rsidRDefault="00844C17" w:rsidP="00844C17">
      <w:pPr>
        <w:pStyle w:val="ListParagraph"/>
        <w:ind w:left="0"/>
        <w:jc w:val="both"/>
        <w:rPr>
          <w:rFonts w:ascii="Times New Roman" w:hAnsi="Times New Roman"/>
          <w:iCs/>
          <w:color w:val="212121"/>
        </w:rPr>
      </w:pPr>
      <w:r w:rsidRPr="00817318">
        <w:rPr>
          <w:rFonts w:ascii="Times New Roman" w:hAnsi="Times New Roman"/>
          <w:iCs/>
          <w:color w:val="212121"/>
        </w:rPr>
        <w:tab/>
      </w:r>
      <w:r w:rsidR="00567ED1">
        <w:rPr>
          <w:rFonts w:ascii="Times New Roman" w:hAnsi="Times New Roman"/>
          <w:iCs/>
          <w:color w:val="212121"/>
        </w:rPr>
        <w:t>Based on the foregoing</w:t>
      </w:r>
      <w:r w:rsidRPr="00817318">
        <w:rPr>
          <w:rFonts w:ascii="Times New Roman" w:hAnsi="Times New Roman"/>
          <w:iCs/>
          <w:color w:val="212121"/>
        </w:rPr>
        <w:t>, it is</w:t>
      </w:r>
    </w:p>
    <w:p w:rsidR="00844C17" w:rsidRPr="00817318" w:rsidRDefault="00844C17" w:rsidP="00844C17">
      <w:pPr>
        <w:pStyle w:val="ListParagraph"/>
        <w:ind w:left="0"/>
        <w:jc w:val="both"/>
        <w:rPr>
          <w:rFonts w:ascii="Times New Roman" w:hAnsi="Times New Roman"/>
          <w:iCs/>
          <w:color w:val="212121"/>
        </w:rPr>
      </w:pPr>
    </w:p>
    <w:p w:rsidR="00844C17" w:rsidRDefault="00E23B56" w:rsidP="00844C17">
      <w:pPr>
        <w:pStyle w:val="ListParagraph"/>
        <w:ind w:left="0"/>
        <w:jc w:val="both"/>
        <w:rPr>
          <w:rFonts w:ascii="Times New Roman" w:hAnsi="Times New Roman"/>
          <w:iCs/>
          <w:color w:val="212121"/>
        </w:rPr>
      </w:pPr>
      <w:r>
        <w:rPr>
          <w:rFonts w:ascii="Times New Roman" w:hAnsi="Times New Roman"/>
          <w:iCs/>
          <w:color w:val="212121"/>
        </w:rPr>
        <w:tab/>
        <w:t>ORDERED by Chairman Gary F. Clark</w:t>
      </w:r>
      <w:r w:rsidR="00B303B4">
        <w:rPr>
          <w:rFonts w:ascii="Times New Roman" w:hAnsi="Times New Roman"/>
          <w:iCs/>
          <w:color w:val="212121"/>
        </w:rPr>
        <w:t>, as Presiding</w:t>
      </w:r>
      <w:r w:rsidR="00844C17" w:rsidRPr="00817318">
        <w:rPr>
          <w:rFonts w:ascii="Times New Roman" w:hAnsi="Times New Roman"/>
          <w:iCs/>
          <w:color w:val="212121"/>
        </w:rPr>
        <w:t xml:space="preserve"> Officer</w:t>
      </w:r>
      <w:r w:rsidR="00B303B4">
        <w:rPr>
          <w:rFonts w:ascii="Times New Roman" w:hAnsi="Times New Roman"/>
          <w:iCs/>
          <w:color w:val="212121"/>
        </w:rPr>
        <w:t xml:space="preserve"> in this </w:t>
      </w:r>
      <w:r w:rsidR="00E2615B">
        <w:rPr>
          <w:rFonts w:ascii="Times New Roman" w:hAnsi="Times New Roman"/>
          <w:iCs/>
          <w:color w:val="212121"/>
        </w:rPr>
        <w:t>proceeding</w:t>
      </w:r>
      <w:r w:rsidR="00844C17" w:rsidRPr="00817318">
        <w:rPr>
          <w:rFonts w:ascii="Times New Roman" w:hAnsi="Times New Roman"/>
          <w:iCs/>
          <w:color w:val="212121"/>
        </w:rPr>
        <w:t xml:space="preserve">, that </w:t>
      </w:r>
      <w:r w:rsidR="00B303B4">
        <w:rPr>
          <w:rFonts w:ascii="Times New Roman" w:hAnsi="Times New Roman"/>
          <w:iCs/>
          <w:color w:val="212121"/>
        </w:rPr>
        <w:t xml:space="preserve"> Utilities, Inc. of Florida’s</w:t>
      </w:r>
      <w:r w:rsidR="00844C17" w:rsidRPr="00817318">
        <w:rPr>
          <w:rFonts w:ascii="Times New Roman" w:hAnsi="Times New Roman"/>
          <w:iCs/>
          <w:color w:val="212121"/>
        </w:rPr>
        <w:t xml:space="preserve"> </w:t>
      </w:r>
      <w:r w:rsidR="00C56DED">
        <w:rPr>
          <w:rFonts w:ascii="Times New Roman" w:hAnsi="Times New Roman"/>
          <w:iCs/>
          <w:color w:val="212121"/>
        </w:rPr>
        <w:t>Motion to Reopen the Record for the Limited Purpose of Admitting Corr</w:t>
      </w:r>
      <w:r w:rsidR="00CD4F6F">
        <w:rPr>
          <w:rFonts w:ascii="Times New Roman" w:hAnsi="Times New Roman"/>
          <w:iCs/>
          <w:color w:val="212121"/>
        </w:rPr>
        <w:t xml:space="preserve">ected MFR Schedules </w:t>
      </w:r>
      <w:r w:rsidR="00C56DED">
        <w:rPr>
          <w:rFonts w:ascii="Times New Roman" w:hAnsi="Times New Roman"/>
          <w:iCs/>
          <w:color w:val="212121"/>
        </w:rPr>
        <w:t>is granted</w:t>
      </w:r>
      <w:r w:rsidR="00844C17" w:rsidRPr="00817318">
        <w:rPr>
          <w:rFonts w:ascii="Times New Roman" w:hAnsi="Times New Roman"/>
          <w:iCs/>
          <w:color w:val="212121"/>
        </w:rPr>
        <w:t>.</w:t>
      </w:r>
      <w:r w:rsidR="00B303B4">
        <w:rPr>
          <w:rFonts w:ascii="Times New Roman" w:hAnsi="Times New Roman"/>
          <w:iCs/>
          <w:color w:val="212121"/>
        </w:rPr>
        <w:t xml:space="preserve"> </w:t>
      </w:r>
      <w:r w:rsidR="001C744B">
        <w:rPr>
          <w:rFonts w:ascii="Times New Roman" w:hAnsi="Times New Roman"/>
          <w:iCs/>
          <w:color w:val="212121"/>
        </w:rPr>
        <w:t>It is further</w:t>
      </w:r>
    </w:p>
    <w:p w:rsidR="00B303B4" w:rsidRDefault="00B303B4" w:rsidP="00844C17">
      <w:pPr>
        <w:pStyle w:val="ListParagraph"/>
        <w:ind w:left="0"/>
        <w:jc w:val="both"/>
        <w:rPr>
          <w:rFonts w:ascii="Times New Roman" w:hAnsi="Times New Roman"/>
          <w:iCs/>
          <w:color w:val="212121"/>
        </w:rPr>
      </w:pPr>
    </w:p>
    <w:p w:rsidR="00B303B4" w:rsidRDefault="00B303B4" w:rsidP="00844C17">
      <w:pPr>
        <w:pStyle w:val="ListParagraph"/>
        <w:ind w:left="0"/>
        <w:jc w:val="both"/>
        <w:rPr>
          <w:rFonts w:ascii="Times New Roman" w:hAnsi="Times New Roman"/>
          <w:iCs/>
          <w:color w:val="212121"/>
        </w:rPr>
      </w:pPr>
      <w:r>
        <w:rPr>
          <w:rFonts w:ascii="Times New Roman" w:hAnsi="Times New Roman"/>
          <w:iCs/>
          <w:color w:val="212121"/>
        </w:rPr>
        <w:tab/>
        <w:t>ORDERED that the corrected MFR schedules shall be admitted as Exhibit 210 into the record of this proceeding. It is further</w:t>
      </w:r>
    </w:p>
    <w:p w:rsidR="00B303B4" w:rsidRDefault="00B303B4" w:rsidP="00844C17">
      <w:pPr>
        <w:pStyle w:val="ListParagraph"/>
        <w:ind w:left="0"/>
        <w:jc w:val="both"/>
        <w:rPr>
          <w:rFonts w:ascii="Times New Roman" w:hAnsi="Times New Roman"/>
          <w:iCs/>
          <w:color w:val="212121"/>
        </w:rPr>
      </w:pPr>
    </w:p>
    <w:p w:rsidR="00B303B4" w:rsidRPr="00817318" w:rsidRDefault="00B303B4" w:rsidP="00844C17">
      <w:pPr>
        <w:pStyle w:val="ListParagraph"/>
        <w:ind w:left="0"/>
        <w:jc w:val="both"/>
        <w:rPr>
          <w:rFonts w:ascii="Times New Roman" w:hAnsi="Times New Roman"/>
          <w:iCs/>
          <w:color w:val="212121"/>
        </w:rPr>
      </w:pPr>
      <w:r>
        <w:rPr>
          <w:rFonts w:ascii="Times New Roman" w:hAnsi="Times New Roman"/>
          <w:iCs/>
          <w:color w:val="212121"/>
        </w:rPr>
        <w:tab/>
        <w:t xml:space="preserve">ORDERED that the record is closed upon the admission of Exhibit 210. It is further </w:t>
      </w:r>
    </w:p>
    <w:p w:rsidR="00844C17" w:rsidRDefault="00844C17" w:rsidP="00844C17">
      <w:pPr>
        <w:pStyle w:val="ListParagraph"/>
        <w:ind w:left="0"/>
        <w:jc w:val="both"/>
        <w:rPr>
          <w:rFonts w:ascii="Times New Roman" w:hAnsi="Times New Roman"/>
          <w:iCs/>
          <w:color w:val="212121"/>
        </w:rPr>
      </w:pPr>
    </w:p>
    <w:p w:rsidR="00C56DED" w:rsidRDefault="00B303B4" w:rsidP="00844C17">
      <w:pPr>
        <w:pStyle w:val="ListParagraph"/>
        <w:ind w:left="0"/>
        <w:jc w:val="both"/>
        <w:rPr>
          <w:rFonts w:ascii="Times New Roman" w:hAnsi="Times New Roman"/>
          <w:iCs/>
          <w:color w:val="212121"/>
        </w:rPr>
      </w:pPr>
      <w:r>
        <w:rPr>
          <w:rFonts w:ascii="Times New Roman" w:hAnsi="Times New Roman"/>
          <w:iCs/>
          <w:color w:val="212121"/>
        </w:rPr>
        <w:tab/>
        <w:t>ORDERED</w:t>
      </w:r>
      <w:r w:rsidR="00C56DED">
        <w:rPr>
          <w:rFonts w:ascii="Times New Roman" w:hAnsi="Times New Roman"/>
          <w:iCs/>
          <w:color w:val="212121"/>
        </w:rPr>
        <w:t xml:space="preserve"> that th</w:t>
      </w:r>
      <w:r>
        <w:rPr>
          <w:rFonts w:ascii="Times New Roman" w:hAnsi="Times New Roman"/>
          <w:iCs/>
          <w:color w:val="212121"/>
        </w:rPr>
        <w:t>is docket shall remain open</w:t>
      </w:r>
      <w:r w:rsidR="00C56DED">
        <w:rPr>
          <w:rFonts w:ascii="Times New Roman" w:hAnsi="Times New Roman"/>
          <w:iCs/>
          <w:color w:val="212121"/>
        </w:rPr>
        <w:t>.</w:t>
      </w:r>
    </w:p>
    <w:p w:rsidR="00844C17" w:rsidRPr="00844C17" w:rsidRDefault="00844C17" w:rsidP="00844C17">
      <w:pPr>
        <w:pStyle w:val="ListParagraph"/>
        <w:ind w:left="0"/>
        <w:jc w:val="both"/>
        <w:rPr>
          <w:rFonts w:ascii="Times New Roman" w:hAnsi="Times New Roman"/>
          <w:iCs/>
        </w:rPr>
      </w:pPr>
    </w:p>
    <w:p w:rsidR="00E23B56" w:rsidRDefault="00E23B56" w:rsidP="00E23B56">
      <w:pPr>
        <w:pStyle w:val="ListParagraph"/>
        <w:keepNext/>
        <w:keepLines/>
        <w:ind w:left="0"/>
        <w:jc w:val="both"/>
        <w:rPr>
          <w:rFonts w:ascii="Times New Roman" w:hAnsi="Times New Roman"/>
          <w:iCs/>
        </w:rPr>
      </w:pPr>
      <w:r>
        <w:rPr>
          <w:rFonts w:ascii="Times New Roman" w:hAnsi="Times New Roman"/>
          <w:iCs/>
        </w:rPr>
        <w:lastRenderedPageBreak/>
        <w:tab/>
        <w:t>By ORDER of Chair</w:t>
      </w:r>
      <w:r w:rsidR="00B303B4">
        <w:rPr>
          <w:rFonts w:ascii="Times New Roman" w:hAnsi="Times New Roman"/>
          <w:iCs/>
        </w:rPr>
        <w:t>man Gary F. Clark, as Presiding</w:t>
      </w:r>
      <w:r>
        <w:rPr>
          <w:rFonts w:ascii="Times New Roman" w:hAnsi="Times New Roman"/>
          <w:iCs/>
        </w:rPr>
        <w:t xml:space="preserve"> Officer, this </w:t>
      </w:r>
      <w:bookmarkStart w:id="6" w:name="replaceDate"/>
      <w:bookmarkEnd w:id="6"/>
      <w:r w:rsidR="00F719EE">
        <w:rPr>
          <w:rFonts w:ascii="Times New Roman" w:hAnsi="Times New Roman"/>
          <w:iCs/>
          <w:u w:val="single"/>
        </w:rPr>
        <w:t>8th</w:t>
      </w:r>
      <w:r w:rsidR="00F719EE">
        <w:rPr>
          <w:rFonts w:ascii="Times New Roman" w:hAnsi="Times New Roman"/>
          <w:iCs/>
        </w:rPr>
        <w:t xml:space="preserve"> day of </w:t>
      </w:r>
      <w:r w:rsidR="00F719EE">
        <w:rPr>
          <w:rFonts w:ascii="Times New Roman" w:hAnsi="Times New Roman"/>
          <w:iCs/>
          <w:u w:val="single"/>
        </w:rPr>
        <w:t>April</w:t>
      </w:r>
      <w:r w:rsidR="00F719EE">
        <w:rPr>
          <w:rFonts w:ascii="Times New Roman" w:hAnsi="Times New Roman"/>
          <w:iCs/>
        </w:rPr>
        <w:t xml:space="preserve">, </w:t>
      </w:r>
      <w:r w:rsidR="00F719EE">
        <w:rPr>
          <w:rFonts w:ascii="Times New Roman" w:hAnsi="Times New Roman"/>
          <w:iCs/>
          <w:u w:val="single"/>
        </w:rPr>
        <w:t>2021</w:t>
      </w:r>
      <w:r w:rsidR="00F719EE">
        <w:rPr>
          <w:rFonts w:ascii="Times New Roman" w:hAnsi="Times New Roman"/>
          <w:iCs/>
        </w:rPr>
        <w:t>.</w:t>
      </w:r>
    </w:p>
    <w:p w:rsidR="00F719EE" w:rsidRDefault="00F719EE" w:rsidP="00E23B56">
      <w:pPr>
        <w:pStyle w:val="ListParagraph"/>
        <w:keepNext/>
        <w:keepLines/>
        <w:ind w:left="0"/>
        <w:jc w:val="both"/>
        <w:rPr>
          <w:rFonts w:ascii="Times New Roman" w:hAnsi="Times New Roman"/>
          <w:iCs/>
        </w:rPr>
      </w:pPr>
    </w:p>
    <w:p w:rsidR="00F719EE" w:rsidRDefault="00F719EE" w:rsidP="00E23B56">
      <w:pPr>
        <w:pStyle w:val="ListParagraph"/>
        <w:keepNext/>
        <w:keepLines/>
        <w:ind w:left="0"/>
        <w:jc w:val="both"/>
        <w:rPr>
          <w:rFonts w:ascii="Times New Roman" w:hAnsi="Times New Roman"/>
          <w:iCs/>
        </w:rPr>
      </w:pPr>
    </w:p>
    <w:p w:rsidR="00E23B56" w:rsidRDefault="00E23B56" w:rsidP="00E23B56">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E23B56" w:rsidTr="00E23B56">
        <w:tc>
          <w:tcPr>
            <w:tcW w:w="720" w:type="dxa"/>
            <w:shd w:val="clear" w:color="auto" w:fill="auto"/>
          </w:tcPr>
          <w:p w:rsidR="00E23B56" w:rsidRDefault="00E23B56" w:rsidP="00E23B56">
            <w:pPr>
              <w:pStyle w:val="ListParagraph"/>
              <w:keepNext/>
              <w:keepLines/>
              <w:ind w:left="0"/>
              <w:jc w:val="both"/>
              <w:rPr>
                <w:rFonts w:ascii="Times New Roman" w:hAnsi="Times New Roman"/>
                <w:iCs/>
              </w:rPr>
            </w:pPr>
            <w:bookmarkStart w:id="7" w:name="bkmrkSignature" w:colFirst="0" w:colLast="0"/>
          </w:p>
        </w:tc>
        <w:tc>
          <w:tcPr>
            <w:tcW w:w="4320" w:type="dxa"/>
            <w:tcBorders>
              <w:bottom w:val="single" w:sz="4" w:space="0" w:color="auto"/>
            </w:tcBorders>
            <w:shd w:val="clear" w:color="auto" w:fill="auto"/>
          </w:tcPr>
          <w:p w:rsidR="00E23B56" w:rsidRDefault="00943D24" w:rsidP="00E23B56">
            <w:pPr>
              <w:pStyle w:val="ListParagraph"/>
              <w:keepNext/>
              <w:keepLines/>
              <w:ind w:left="0"/>
              <w:jc w:val="both"/>
              <w:rPr>
                <w:rFonts w:ascii="Times New Roman" w:hAnsi="Times New Roman"/>
                <w:iCs/>
              </w:rPr>
            </w:pPr>
            <w:r>
              <w:rPr>
                <w:rFonts w:ascii="Times New Roman" w:hAnsi="Times New Roman"/>
                <w:iCs/>
                <w:noProof/>
              </w:rPr>
              <w:t>/s/ Gary F. Clark</w:t>
            </w:r>
            <w:bookmarkStart w:id="8" w:name="_GoBack"/>
            <w:bookmarkEnd w:id="8"/>
          </w:p>
        </w:tc>
      </w:tr>
      <w:bookmarkEnd w:id="7"/>
      <w:tr w:rsidR="00E23B56" w:rsidTr="00E23B56">
        <w:tc>
          <w:tcPr>
            <w:tcW w:w="720" w:type="dxa"/>
            <w:shd w:val="clear" w:color="auto" w:fill="auto"/>
          </w:tcPr>
          <w:p w:rsidR="00E23B56" w:rsidRDefault="00E23B56" w:rsidP="00E23B56">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rsidR="00E23B56" w:rsidRDefault="00E23B56" w:rsidP="00E23B56">
            <w:pPr>
              <w:pStyle w:val="ListParagraph"/>
              <w:keepNext/>
              <w:keepLines/>
              <w:ind w:left="0"/>
              <w:jc w:val="both"/>
              <w:rPr>
                <w:rFonts w:ascii="Times New Roman" w:hAnsi="Times New Roman"/>
                <w:iCs/>
              </w:rPr>
            </w:pPr>
            <w:r>
              <w:rPr>
                <w:rFonts w:ascii="Times New Roman" w:hAnsi="Times New Roman"/>
                <w:iCs/>
              </w:rPr>
              <w:t>GARY F. CLARK</w:t>
            </w:r>
          </w:p>
          <w:p w:rsidR="00E23B56" w:rsidRDefault="00B303B4" w:rsidP="00E23B56">
            <w:pPr>
              <w:pStyle w:val="ListParagraph"/>
              <w:keepNext/>
              <w:keepLines/>
              <w:ind w:left="0"/>
              <w:jc w:val="both"/>
              <w:rPr>
                <w:rFonts w:ascii="Times New Roman" w:hAnsi="Times New Roman"/>
                <w:iCs/>
              </w:rPr>
            </w:pPr>
            <w:r>
              <w:rPr>
                <w:rFonts w:ascii="Times New Roman" w:hAnsi="Times New Roman"/>
                <w:iCs/>
              </w:rPr>
              <w:t>Chairman and Presid</w:t>
            </w:r>
            <w:r w:rsidR="00E23B56">
              <w:rPr>
                <w:rFonts w:ascii="Times New Roman" w:hAnsi="Times New Roman"/>
                <w:iCs/>
              </w:rPr>
              <w:t>ing Officer</w:t>
            </w:r>
          </w:p>
        </w:tc>
      </w:tr>
    </w:tbl>
    <w:p w:rsidR="00E23B56" w:rsidRDefault="00E23B56" w:rsidP="00E23B56">
      <w:pPr>
        <w:pStyle w:val="OrderSigInfo"/>
        <w:keepNext/>
        <w:keepLines/>
      </w:pPr>
      <w:r>
        <w:t>Florida Public Service Commission</w:t>
      </w:r>
    </w:p>
    <w:p w:rsidR="00E23B56" w:rsidRDefault="00E23B56" w:rsidP="00E23B56">
      <w:pPr>
        <w:pStyle w:val="OrderSigInfo"/>
        <w:keepNext/>
        <w:keepLines/>
      </w:pPr>
      <w:r>
        <w:t>2540 Shumard Oak Boulevard</w:t>
      </w:r>
    </w:p>
    <w:p w:rsidR="00E23B56" w:rsidRDefault="00E23B56" w:rsidP="00E23B56">
      <w:pPr>
        <w:pStyle w:val="OrderSigInfo"/>
        <w:keepNext/>
        <w:keepLines/>
      </w:pPr>
      <w:r>
        <w:t>Tallahassee, Florida 32399</w:t>
      </w:r>
    </w:p>
    <w:p w:rsidR="00E23B56" w:rsidRDefault="00E23B56" w:rsidP="00E23B56">
      <w:pPr>
        <w:pStyle w:val="OrderSigInfo"/>
        <w:keepNext/>
        <w:keepLines/>
      </w:pPr>
      <w:r>
        <w:t>(850) 413</w:t>
      </w:r>
      <w:r>
        <w:noBreakHyphen/>
        <w:t>6770</w:t>
      </w:r>
    </w:p>
    <w:p w:rsidR="00E23B56" w:rsidRDefault="00E23B56" w:rsidP="00E23B56">
      <w:pPr>
        <w:pStyle w:val="OrderSigInfo"/>
        <w:keepNext/>
        <w:keepLines/>
      </w:pPr>
      <w:r>
        <w:t>www.floridapsc.com</w:t>
      </w:r>
    </w:p>
    <w:p w:rsidR="00E23B56" w:rsidRDefault="00E23B56" w:rsidP="00E23B56">
      <w:pPr>
        <w:pStyle w:val="OrderSigInfo"/>
        <w:keepNext/>
        <w:keepLines/>
      </w:pPr>
    </w:p>
    <w:p w:rsidR="00E23B56" w:rsidRPr="00E23B56" w:rsidRDefault="00E23B56" w:rsidP="00E23B56">
      <w:pPr>
        <w:pStyle w:val="OrderSigInfo"/>
        <w:keepNext/>
        <w:keepLines/>
      </w:pPr>
      <w:r>
        <w:t>Copies furnished:  A copy of this document is provided to the parties of record at the time of issuance and, if applicable, interested persons.</w:t>
      </w:r>
    </w:p>
    <w:p w:rsidR="00E23B56" w:rsidRDefault="00E23B56" w:rsidP="00E23B56">
      <w:pPr>
        <w:pStyle w:val="ListParagraph"/>
        <w:keepNext/>
        <w:keepLines/>
        <w:ind w:left="0"/>
        <w:jc w:val="both"/>
        <w:rPr>
          <w:rFonts w:ascii="Times New Roman" w:hAnsi="Times New Roman"/>
          <w:iCs/>
        </w:rPr>
      </w:pPr>
      <w:r>
        <w:rPr>
          <w:rFonts w:ascii="Times New Roman" w:hAnsi="Times New Roman"/>
          <w:iCs/>
        </w:rPr>
        <w:t>BYL</w:t>
      </w:r>
    </w:p>
    <w:p w:rsidR="006E21C4" w:rsidRDefault="006E21C4" w:rsidP="00D57E57">
      <w:pPr>
        <w:rPr>
          <w:rFonts w:eastAsia="Calibri"/>
          <w:iCs/>
        </w:rPr>
      </w:pPr>
    </w:p>
    <w:p w:rsidR="00E23B56" w:rsidRDefault="00E23B56" w:rsidP="00D57E57">
      <w:pPr>
        <w:rPr>
          <w:rFonts w:eastAsia="Calibri"/>
          <w:iCs/>
        </w:rPr>
      </w:pPr>
    </w:p>
    <w:p w:rsidR="00E23B56" w:rsidRDefault="00E23B56" w:rsidP="00D57E57">
      <w:pPr>
        <w:rPr>
          <w:rFonts w:eastAsia="Calibri"/>
          <w:iCs/>
        </w:rPr>
      </w:pPr>
    </w:p>
    <w:p w:rsidR="00844C17" w:rsidRDefault="00844C17" w:rsidP="00844C17">
      <w:pPr>
        <w:pStyle w:val="CenterUnderline"/>
      </w:pPr>
      <w:r>
        <w:t>NOTICE OF FURTHER PROCEEDINGS OR JUDICIAL REVIEW</w:t>
      </w:r>
    </w:p>
    <w:p w:rsidR="00844C17" w:rsidRDefault="00844C17" w:rsidP="00844C17">
      <w:pPr>
        <w:pStyle w:val="CenterUnderline"/>
      </w:pPr>
    </w:p>
    <w:p w:rsidR="00844C17" w:rsidRDefault="00844C17" w:rsidP="00844C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4C17" w:rsidRDefault="00844C17" w:rsidP="00844C17">
      <w:pPr>
        <w:pStyle w:val="OrderBody"/>
      </w:pPr>
    </w:p>
    <w:p w:rsidR="00844C17" w:rsidRDefault="00844C17" w:rsidP="00844C17">
      <w:pPr>
        <w:pStyle w:val="OrderBody"/>
      </w:pPr>
      <w:r>
        <w:tab/>
        <w:t>Mediation may be available on a case-by-case basis.  If mediation is conducted, it does not affect a substantially interested person's right to a hearing.</w:t>
      </w:r>
    </w:p>
    <w:p w:rsidR="00844C17" w:rsidRDefault="00844C17" w:rsidP="00844C17">
      <w:pPr>
        <w:pStyle w:val="OrderBody"/>
      </w:pPr>
    </w:p>
    <w:p w:rsidR="00844C17" w:rsidRDefault="00844C17" w:rsidP="00844C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44C17" w:rsidRDefault="00844C17" w:rsidP="00844C17">
      <w:pPr>
        <w:pStyle w:val="OrderBody"/>
      </w:pPr>
    </w:p>
    <w:p w:rsidR="00844C17" w:rsidRDefault="00844C17" w:rsidP="00844C17">
      <w:pPr>
        <w:pStyle w:val="OrderBody"/>
      </w:pPr>
    </w:p>
    <w:sectPr w:rsidR="00844C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17" w:rsidRDefault="00844C17">
      <w:r>
        <w:separator/>
      </w:r>
    </w:p>
  </w:endnote>
  <w:endnote w:type="continuationSeparator" w:id="0">
    <w:p w:rsidR="00844C17" w:rsidRDefault="0084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17" w:rsidRDefault="00844C17">
      <w:r>
        <w:separator/>
      </w:r>
    </w:p>
  </w:footnote>
  <w:footnote w:type="continuationSeparator" w:id="0">
    <w:p w:rsidR="00844C17" w:rsidRDefault="00844C17">
      <w:r>
        <w:continuationSeparator/>
      </w:r>
    </w:p>
  </w:footnote>
  <w:footnote w:id="1">
    <w:p w:rsidR="000C5618" w:rsidRDefault="000C5618">
      <w:pPr>
        <w:pStyle w:val="FootnoteText"/>
      </w:pPr>
      <w:r>
        <w:rPr>
          <w:rStyle w:val="FootnoteReference"/>
        </w:rPr>
        <w:footnoteRef/>
      </w:r>
      <w:r>
        <w:t xml:space="preserve"> Document No. 04235-2020.</w:t>
      </w:r>
    </w:p>
  </w:footnote>
  <w:footnote w:id="2">
    <w:p w:rsidR="000C5618" w:rsidRDefault="000C5618">
      <w:pPr>
        <w:pStyle w:val="FootnoteText"/>
      </w:pPr>
      <w:r>
        <w:rPr>
          <w:rStyle w:val="FootnoteReference"/>
        </w:rPr>
        <w:footnoteRef/>
      </w:r>
      <w:r>
        <w:t xml:space="preserve"> Document No. 05345-2020. </w:t>
      </w:r>
    </w:p>
  </w:footnote>
  <w:footnote w:id="3">
    <w:p w:rsidR="000C5618" w:rsidRDefault="000C5618">
      <w:pPr>
        <w:pStyle w:val="FootnoteText"/>
      </w:pPr>
      <w:r>
        <w:rPr>
          <w:rStyle w:val="FootnoteReference"/>
        </w:rPr>
        <w:footnoteRef/>
      </w:r>
      <w:r>
        <w:t xml:space="preserve"> Document No. 04823-2020. </w:t>
      </w:r>
    </w:p>
  </w:footnote>
  <w:footnote w:id="4">
    <w:p w:rsidR="000C5618" w:rsidRDefault="000C5618">
      <w:pPr>
        <w:pStyle w:val="FootnoteText"/>
      </w:pPr>
      <w:r>
        <w:rPr>
          <w:rStyle w:val="FootnoteReference"/>
        </w:rPr>
        <w:footnoteRef/>
      </w:r>
      <w:r>
        <w:t xml:space="preserve"> Document No. 05323-2020. </w:t>
      </w:r>
    </w:p>
  </w:footnote>
  <w:footnote w:id="5">
    <w:p w:rsidR="00342FD5" w:rsidRPr="00342FD5" w:rsidRDefault="00342FD5">
      <w:pPr>
        <w:pStyle w:val="FootnoteText"/>
      </w:pPr>
      <w:r>
        <w:rPr>
          <w:rStyle w:val="FootnoteReference"/>
        </w:rPr>
        <w:footnoteRef/>
      </w:r>
      <w:r>
        <w:t xml:space="preserve"> Order No. PSC-04-0395-PCO-TP, issued April 14, 2004, in Docket No. 001503-TP, </w:t>
      </w:r>
      <w:r>
        <w:rPr>
          <w:i/>
        </w:rPr>
        <w:t>In re: Cost recovery and allocation issues for number pooling trials in Florida</w:t>
      </w:r>
      <w:r>
        <w:t xml:space="preserve">, page 3, n.2. </w:t>
      </w:r>
    </w:p>
  </w:footnote>
  <w:footnote w:id="6">
    <w:p w:rsidR="00342FD5" w:rsidRPr="001C744B" w:rsidRDefault="00342FD5">
      <w:pPr>
        <w:pStyle w:val="FootnoteText"/>
      </w:pPr>
      <w:r>
        <w:rPr>
          <w:rStyle w:val="FootnoteReference"/>
        </w:rPr>
        <w:footnoteRef/>
      </w:r>
      <w:r>
        <w:t xml:space="preserve"> </w:t>
      </w:r>
      <w:r w:rsidRPr="00342FD5">
        <w:rPr>
          <w:i/>
        </w:rPr>
        <w:t>See</w:t>
      </w:r>
      <w:r w:rsidR="00CD4F6F">
        <w:t xml:space="preserve"> Order No. PSC-07-1022-</w:t>
      </w:r>
      <w:r w:rsidRPr="00342FD5">
        <w:t xml:space="preserve">FOF-EI, issued December 28, 2007, </w:t>
      </w:r>
      <w:r w:rsidRPr="00342FD5">
        <w:rPr>
          <w:i/>
        </w:rPr>
        <w:t>In re: Review of 2007 Electric Infrastructure Storm Hardening Plan filed pursuant to Rule 25-6.0342, F.A.C., submitted by Gulf Power Company</w:t>
      </w:r>
      <w:r w:rsidRPr="00342FD5">
        <w:t>, pages 6-7.</w:t>
      </w:r>
      <w:r w:rsidR="001C744B">
        <w:t xml:space="preserve"> </w:t>
      </w:r>
      <w:r w:rsidR="001C744B">
        <w:rPr>
          <w:i/>
        </w:rPr>
        <w:t>See also</w:t>
      </w:r>
      <w:r w:rsidR="001C744B">
        <w:t xml:space="preserve"> Order No. PSC-09-0744-PCO-EI, issued November 10, 2009, in Docket Nos. 080677-EI, </w:t>
      </w:r>
      <w:r w:rsidR="001C744B">
        <w:rPr>
          <w:i/>
        </w:rPr>
        <w:t>In re: Petition for increase in rates by Florida Power &amp; Light Company</w:t>
      </w:r>
      <w:r w:rsidR="001C744B">
        <w:t xml:space="preserve">, and 090130-EI, </w:t>
      </w:r>
      <w:r w:rsidR="001C744B">
        <w:rPr>
          <w:i/>
        </w:rPr>
        <w:t>In re: 2009 depreciation and dismantlement study by Florida Power &amp; Light Company</w:t>
      </w:r>
      <w:r w:rsidR="001C744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4 ">
      <w:r w:rsidR="00943D24">
        <w:t>PSC-2021-0124-PCO-WS</w:t>
      </w:r>
    </w:fldSimple>
  </w:p>
  <w:p w:rsidR="00FA6EFD" w:rsidRDefault="00844C17">
    <w:pPr>
      <w:pStyle w:val="OrderHeader"/>
    </w:pPr>
    <w:bookmarkStart w:id="9" w:name="HeaderDocketNo"/>
    <w:bookmarkEnd w:id="9"/>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3D2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844C17"/>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5618"/>
    <w:rsid w:val="000C6926"/>
    <w:rsid w:val="000D02B8"/>
    <w:rsid w:val="000D06E8"/>
    <w:rsid w:val="000D6E65"/>
    <w:rsid w:val="000D78FB"/>
    <w:rsid w:val="000E050C"/>
    <w:rsid w:val="000E20F0"/>
    <w:rsid w:val="000E2593"/>
    <w:rsid w:val="000E344D"/>
    <w:rsid w:val="000E3F6D"/>
    <w:rsid w:val="000F01BD"/>
    <w:rsid w:val="000F359F"/>
    <w:rsid w:val="000F3B2C"/>
    <w:rsid w:val="000F3F6C"/>
    <w:rsid w:val="000F63EB"/>
    <w:rsid w:val="000F648A"/>
    <w:rsid w:val="000F7BE3"/>
    <w:rsid w:val="00104333"/>
    <w:rsid w:val="001052BA"/>
    <w:rsid w:val="001107B3"/>
    <w:rsid w:val="001114B1"/>
    <w:rsid w:val="001137CF"/>
    <w:rsid w:val="001139D8"/>
    <w:rsid w:val="00116AD3"/>
    <w:rsid w:val="00121957"/>
    <w:rsid w:val="0012387E"/>
    <w:rsid w:val="00123CC4"/>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7F8"/>
    <w:rsid w:val="001A58F3"/>
    <w:rsid w:val="001B034E"/>
    <w:rsid w:val="001C2847"/>
    <w:rsid w:val="001C3BB5"/>
    <w:rsid w:val="001C3F8C"/>
    <w:rsid w:val="001C6097"/>
    <w:rsid w:val="001C7126"/>
    <w:rsid w:val="001C744B"/>
    <w:rsid w:val="001D008A"/>
    <w:rsid w:val="001E0152"/>
    <w:rsid w:val="001E0FF5"/>
    <w:rsid w:val="001F36B0"/>
    <w:rsid w:val="001F4CA3"/>
    <w:rsid w:val="001F59E0"/>
    <w:rsid w:val="002002ED"/>
    <w:rsid w:val="002044DD"/>
    <w:rsid w:val="00215388"/>
    <w:rsid w:val="002170E5"/>
    <w:rsid w:val="00220D57"/>
    <w:rsid w:val="00226EDF"/>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2FD5"/>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39D2"/>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7ED1"/>
    <w:rsid w:val="00571D3D"/>
    <w:rsid w:val="0058264B"/>
    <w:rsid w:val="00586368"/>
    <w:rsid w:val="005868AA"/>
    <w:rsid w:val="00590845"/>
    <w:rsid w:val="005963C2"/>
    <w:rsid w:val="005A0D69"/>
    <w:rsid w:val="005A31F4"/>
    <w:rsid w:val="005A73EA"/>
    <w:rsid w:val="005B45F7"/>
    <w:rsid w:val="005B473A"/>
    <w:rsid w:val="005B63EA"/>
    <w:rsid w:val="005C1A88"/>
    <w:rsid w:val="005C5033"/>
    <w:rsid w:val="005D4E1B"/>
    <w:rsid w:val="005E751B"/>
    <w:rsid w:val="005F3354"/>
    <w:rsid w:val="005F4AD6"/>
    <w:rsid w:val="0060005E"/>
    <w:rsid w:val="0060095B"/>
    <w:rsid w:val="00601266"/>
    <w:rsid w:val="00602EB9"/>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161AB"/>
    <w:rsid w:val="00721B44"/>
    <w:rsid w:val="007232A2"/>
    <w:rsid w:val="00726366"/>
    <w:rsid w:val="00733B6B"/>
    <w:rsid w:val="0073742D"/>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1B3"/>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4C17"/>
    <w:rsid w:val="00847B45"/>
    <w:rsid w:val="00863A66"/>
    <w:rsid w:val="008703D7"/>
    <w:rsid w:val="00874429"/>
    <w:rsid w:val="00875D22"/>
    <w:rsid w:val="00883D9A"/>
    <w:rsid w:val="00890853"/>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186"/>
    <w:rsid w:val="009228C7"/>
    <w:rsid w:val="00922A7F"/>
    <w:rsid w:val="00923A5E"/>
    <w:rsid w:val="00924FE7"/>
    <w:rsid w:val="00926E27"/>
    <w:rsid w:val="00931C8C"/>
    <w:rsid w:val="00943D21"/>
    <w:rsid w:val="00943D24"/>
    <w:rsid w:val="0094504B"/>
    <w:rsid w:val="00964A38"/>
    <w:rsid w:val="00966A9D"/>
    <w:rsid w:val="0096742B"/>
    <w:rsid w:val="009718C5"/>
    <w:rsid w:val="00976AFF"/>
    <w:rsid w:val="00984485"/>
    <w:rsid w:val="009924CF"/>
    <w:rsid w:val="00994100"/>
    <w:rsid w:val="0099777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3B4"/>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42C7"/>
    <w:rsid w:val="00BC419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6DED"/>
    <w:rsid w:val="00C60323"/>
    <w:rsid w:val="00C66692"/>
    <w:rsid w:val="00C673B5"/>
    <w:rsid w:val="00C7063D"/>
    <w:rsid w:val="00C830BC"/>
    <w:rsid w:val="00C8524D"/>
    <w:rsid w:val="00C90904"/>
    <w:rsid w:val="00C91123"/>
    <w:rsid w:val="00CA69FB"/>
    <w:rsid w:val="00CA71FF"/>
    <w:rsid w:val="00CB5276"/>
    <w:rsid w:val="00CB5BFC"/>
    <w:rsid w:val="00CB68D7"/>
    <w:rsid w:val="00CB785B"/>
    <w:rsid w:val="00CC7E68"/>
    <w:rsid w:val="00CD3D74"/>
    <w:rsid w:val="00CD4F6F"/>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3B56"/>
    <w:rsid w:val="00E2615B"/>
    <w:rsid w:val="00E4225C"/>
    <w:rsid w:val="00E44879"/>
    <w:rsid w:val="00E639EE"/>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3E1E"/>
    <w:rsid w:val="00F34B68"/>
    <w:rsid w:val="00F37E07"/>
    <w:rsid w:val="00F4182A"/>
    <w:rsid w:val="00F54380"/>
    <w:rsid w:val="00F54B47"/>
    <w:rsid w:val="00F61247"/>
    <w:rsid w:val="00F61F61"/>
    <w:rsid w:val="00F63191"/>
    <w:rsid w:val="00F6702E"/>
    <w:rsid w:val="00F70E84"/>
    <w:rsid w:val="00F719EE"/>
    <w:rsid w:val="00F817DC"/>
    <w:rsid w:val="00FA092B"/>
    <w:rsid w:val="00FA28A5"/>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E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44C17"/>
    <w:pPr>
      <w:ind w:left="720"/>
      <w:contextualSpacing/>
    </w:pPr>
    <w:rPr>
      <w:rFonts w:ascii="Calibri" w:eastAsia="Calibri" w:hAnsi="Calibri"/>
    </w:rPr>
  </w:style>
  <w:style w:type="paragraph" w:styleId="BalloonText">
    <w:name w:val="Balloon Text"/>
    <w:basedOn w:val="Normal"/>
    <w:link w:val="BalloonTextChar"/>
    <w:semiHidden/>
    <w:unhideWhenUsed/>
    <w:rsid w:val="00F719EE"/>
    <w:rPr>
      <w:rFonts w:ascii="Segoe UI" w:hAnsi="Segoe UI" w:cs="Segoe UI"/>
      <w:sz w:val="18"/>
      <w:szCs w:val="18"/>
    </w:rPr>
  </w:style>
  <w:style w:type="character" w:customStyle="1" w:styleId="BalloonTextChar">
    <w:name w:val="Balloon Text Char"/>
    <w:basedOn w:val="DefaultParagraphFont"/>
    <w:link w:val="BalloonText"/>
    <w:semiHidden/>
    <w:rsid w:val="00F71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19E4-6C60-4A06-8280-339A0881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2021-04-08T17:31:00Z</dcterms:created>
  <dcterms:modified xsi:type="dcterms:W3CDTF">2021-04-08T18:46:00Z</dcterms:modified>
</cp:coreProperties>
</file>