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F85670">
            <w:pPr>
              <w:pStyle w:val="MemoHeading"/>
            </w:pPr>
            <w:bookmarkStart w:id="1" w:name="FilingDate"/>
            <w:r>
              <w:t>April 22, 2021</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F85670" w:rsidRDefault="00F85670">
            <w:pPr>
              <w:pStyle w:val="MemoHeading"/>
            </w:pPr>
            <w:bookmarkStart w:id="2" w:name="From"/>
            <w:r>
              <w:t>Division of Accounting and Finance (Mouring)</w:t>
            </w:r>
          </w:p>
          <w:p w:rsidR="007C0528" w:rsidRDefault="00F85670">
            <w:pPr>
              <w:pStyle w:val="MemoHeading"/>
            </w:pPr>
            <w:r>
              <w:t>Office of the General Counsel (Brownless)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F85670">
            <w:pPr>
              <w:pStyle w:val="MemoHeadingRe"/>
            </w:pPr>
            <w:bookmarkStart w:id="3" w:name="Re"/>
            <w:r>
              <w:t>Docket No. 20210015-EI – Petition for rate increase by Florida Power &amp; Light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F85670" w:rsidP="00C024A8">
            <w:pPr>
              <w:pStyle w:val="MemoHeading"/>
            </w:pPr>
            <w:bookmarkStart w:id="4" w:name="AgendaDate"/>
            <w:r>
              <w:t>05/04/21</w:t>
            </w:r>
            <w:bookmarkEnd w:id="4"/>
            <w:r w:rsidR="007C0528">
              <w:t xml:space="preserve"> – </w:t>
            </w:r>
            <w:bookmarkStart w:id="5" w:name="PermittedStatus"/>
            <w:r>
              <w:t xml:space="preserve">Regular Agenda – </w:t>
            </w:r>
            <w:bookmarkEnd w:id="5"/>
            <w:r w:rsidR="00C024A8">
              <w:t>Participation is at the Commission’s discretion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F85670">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F85670">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F85670">
            <w:pPr>
              <w:pStyle w:val="MemoHeading"/>
            </w:pPr>
            <w:bookmarkStart w:id="9" w:name="CriticalDates"/>
            <w:r>
              <w:t>05/11/21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F85670">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rsidR="00FA07C4">
        <w:fldChar w:fldCharType="begin"/>
      </w:r>
      <w:r>
        <w:instrText xml:space="preserve"> TC  "</w:instrText>
      </w:r>
      <w:r>
        <w:tab/>
      </w:r>
      <w:bookmarkStart w:id="13" w:name="_Toc94516455"/>
      <w:r>
        <w:instrText>Case Background</w:instrText>
      </w:r>
      <w:bookmarkEnd w:id="13"/>
      <w:r>
        <w:instrText xml:space="preserve">" \l 1 </w:instrText>
      </w:r>
      <w:r w:rsidR="00FA07C4">
        <w:fldChar w:fldCharType="end"/>
      </w:r>
    </w:p>
    <w:p w:rsidR="00E42CD9" w:rsidRPr="00F90BC0" w:rsidRDefault="00E42CD9" w:rsidP="00E42CD9">
      <w:pPr>
        <w:pStyle w:val="BodyText"/>
      </w:pPr>
      <w:r w:rsidRPr="00F90BC0">
        <w:t xml:space="preserve">This proceeding commenced on March 12, 2021, with the filing of a petition for a permanent rate increase by Florida Power &amp; Light Company (FPL or Company).  The Company is engaged in business as a public utility providing electric service as defined in Section 366.02, Florida Statutes (F.S.), and is subject to the jurisdiction of the Commission. FPL provides electric service to more than 5.6 million retail customers in </w:t>
      </w:r>
      <w:r w:rsidR="00F90BC0" w:rsidRPr="00F90BC0">
        <w:t>much of the state</w:t>
      </w:r>
      <w:r w:rsidRPr="00F90BC0">
        <w:t>.</w:t>
      </w:r>
    </w:p>
    <w:p w:rsidR="00E42CD9" w:rsidRPr="003A58B9" w:rsidRDefault="00E42CD9" w:rsidP="00E42CD9">
      <w:pPr>
        <w:pStyle w:val="BodyText"/>
      </w:pPr>
      <w:r w:rsidRPr="00F90BC0">
        <w:t>FPL has requested an increase in its retail rates and charges to generate $</w:t>
      </w:r>
      <w:r w:rsidR="00F90BC0" w:rsidRPr="00F90BC0">
        <w:t>1.108 b</w:t>
      </w:r>
      <w:r w:rsidRPr="00F90BC0">
        <w:t>illion in additional gross annual rev</w:t>
      </w:r>
      <w:r w:rsidR="00F90BC0" w:rsidRPr="00F90BC0">
        <w:t>enue, effective January 1, 2022</w:t>
      </w:r>
      <w:r w:rsidRPr="00F90BC0">
        <w:t>. The Company also has requested an increase in its retail ra</w:t>
      </w:r>
      <w:r w:rsidR="00F90BC0" w:rsidRPr="00F90BC0">
        <w:t>tes and charges to generate $607</w:t>
      </w:r>
      <w:r w:rsidRPr="00F90BC0">
        <w:t xml:space="preserve"> million in additional gross annual revenue, effective January 1</w:t>
      </w:r>
      <w:r w:rsidR="00F90BC0" w:rsidRPr="00F90BC0">
        <w:t>, 2023</w:t>
      </w:r>
      <w:r w:rsidRPr="00F90BC0">
        <w:t xml:space="preserve">. </w:t>
      </w:r>
      <w:r w:rsidRPr="00F90BC0">
        <w:rPr>
          <w:color w:val="FF0000"/>
        </w:rPr>
        <w:t xml:space="preserve"> </w:t>
      </w:r>
      <w:r w:rsidRPr="009A631F">
        <w:t xml:space="preserve">FPL asserts that the combined increases will allow the Company to earn a return on equity (ROE) of 11.50 percent which includes a 50 basis point ROE performance </w:t>
      </w:r>
      <w:r w:rsidR="009A631F" w:rsidRPr="009A631F">
        <w:t>incentive</w:t>
      </w:r>
      <w:r w:rsidRPr="009A631F">
        <w:t>. The Company based its requests on projected test years ending December 31, 20</w:t>
      </w:r>
      <w:r w:rsidR="009A631F" w:rsidRPr="009A631F">
        <w:t>22</w:t>
      </w:r>
      <w:r w:rsidRPr="009A631F">
        <w:t xml:space="preserve"> and December 31, 20</w:t>
      </w:r>
      <w:r w:rsidR="009A631F" w:rsidRPr="009A631F">
        <w:t>23</w:t>
      </w:r>
      <w:r w:rsidRPr="009A631F">
        <w:t xml:space="preserve">. FPL stated that these test years are the appropriate periods to </w:t>
      </w:r>
      <w:r w:rsidRPr="009A631F">
        <w:lastRenderedPageBreak/>
        <w:t>be utilized because they best represent expected future operations in the period immediately after any new base rates go into e</w:t>
      </w:r>
      <w:r w:rsidRPr="00FA1BCC">
        <w:t xml:space="preserve">ffect. FPL has also requested </w:t>
      </w:r>
      <w:r w:rsidR="00FA1BCC" w:rsidRPr="00FA1BCC">
        <w:t xml:space="preserve">Solar Base Rate Adjustments </w:t>
      </w:r>
      <w:r w:rsidR="00FB7192">
        <w:t>(SoBRA</w:t>
      </w:r>
      <w:r w:rsidR="00AF4B6D">
        <w:t>s</w:t>
      </w:r>
      <w:r w:rsidR="00FB7192">
        <w:t xml:space="preserve">) </w:t>
      </w:r>
      <w:r w:rsidR="00FA1BCC" w:rsidRPr="00FA1BCC">
        <w:t xml:space="preserve">of </w:t>
      </w:r>
      <w:r w:rsidRPr="00FA1BCC">
        <w:t>a</w:t>
      </w:r>
      <w:r w:rsidR="00FA1BCC" w:rsidRPr="00FA1BCC">
        <w:t>pproximately</w:t>
      </w:r>
      <w:r w:rsidRPr="00FA1BCC">
        <w:t xml:space="preserve"> $</w:t>
      </w:r>
      <w:r w:rsidR="00FA1BCC" w:rsidRPr="00FA1BCC">
        <w:t>140</w:t>
      </w:r>
      <w:r w:rsidRPr="00FA1BCC">
        <w:t xml:space="preserve"> million </w:t>
      </w:r>
      <w:r w:rsidR="00FA1BCC" w:rsidRPr="00FA1BCC">
        <w:t>for both 2024 and 2025</w:t>
      </w:r>
      <w:r w:rsidRPr="00FA1BCC">
        <w:t>. In total, the Company is requesting a $1.</w:t>
      </w:r>
      <w:r w:rsidR="00FA1BCC" w:rsidRPr="00FA1BCC">
        <w:t>995</w:t>
      </w:r>
      <w:r w:rsidRPr="00FA1BCC">
        <w:t xml:space="preserve"> billion base rate increase. </w:t>
      </w:r>
      <w:r w:rsidR="00FA1BCC" w:rsidRPr="00FA1BCC">
        <w:t>The current proposal also includes a 5-year transition rider a</w:t>
      </w:r>
      <w:r w:rsidR="00FA1BCC">
        <w:t>ssess</w:t>
      </w:r>
      <w:r w:rsidR="00FA1BCC" w:rsidRPr="00FA1BCC">
        <w:t>ed to former Gulf Power Company customers (Northwest Florida)</w:t>
      </w:r>
      <w:r w:rsidR="00FA1BCC">
        <w:t xml:space="preserve"> and credited to legacy FPL customers (Peninsula Florida)</w:t>
      </w:r>
      <w:r w:rsidR="00FA1BCC" w:rsidRPr="00FA1BCC">
        <w:t>. The rider is separate and apart from Gulf’s recovery of storm restoration costs resulting from Hurricanes Michael and Sally, which will continue under a separate surcharge.</w:t>
      </w:r>
      <w:r w:rsidR="00FA1BCC">
        <w:rPr>
          <w:color w:val="FF0000"/>
        </w:rPr>
        <w:t xml:space="preserve"> </w:t>
      </w:r>
      <w:r w:rsidRPr="003A58B9">
        <w:t>FPL did not request any interim rate relief.</w:t>
      </w:r>
    </w:p>
    <w:p w:rsidR="00E42CD9" w:rsidRPr="00902B7E" w:rsidRDefault="00E42CD9" w:rsidP="00E42CD9">
      <w:pPr>
        <w:pStyle w:val="BodyText"/>
      </w:pPr>
      <w:r w:rsidRPr="00FB7192">
        <w:t xml:space="preserve">In FPL’s most recent base rate proceeding in Docket No. </w:t>
      </w:r>
      <w:r w:rsidR="003A58B9" w:rsidRPr="00FB7192">
        <w:t>20</w:t>
      </w:r>
      <w:r w:rsidRPr="00FB7192">
        <w:t>1</w:t>
      </w:r>
      <w:r w:rsidR="003A58B9" w:rsidRPr="00FB7192">
        <w:t>6</w:t>
      </w:r>
      <w:r w:rsidRPr="00FB7192">
        <w:t>00</w:t>
      </w:r>
      <w:r w:rsidR="003A58B9" w:rsidRPr="00FB7192">
        <w:t>21</w:t>
      </w:r>
      <w:r w:rsidRPr="00FB7192">
        <w:t>-EI, the Commission approved a settlement agreement which authorized a revenue increas</w:t>
      </w:r>
      <w:r w:rsidRPr="00902B7E">
        <w:t>e of $</w:t>
      </w:r>
      <w:r w:rsidR="00902B7E" w:rsidRPr="00902B7E">
        <w:t>400</w:t>
      </w:r>
      <w:r w:rsidRPr="00902B7E">
        <w:t xml:space="preserve"> million effective January 1, 201</w:t>
      </w:r>
      <w:r w:rsidR="00902B7E" w:rsidRPr="00902B7E">
        <w:t>7, and a revenue increase of $211 million effective January 1, 2018</w:t>
      </w:r>
      <w:r w:rsidRPr="00902B7E">
        <w:t>.</w:t>
      </w:r>
      <w:r w:rsidR="009A57F5">
        <w:rPr>
          <w:rStyle w:val="FootnoteReference"/>
        </w:rPr>
        <w:footnoteReference w:id="1"/>
      </w:r>
      <w:r w:rsidRPr="00902B7E">
        <w:t xml:space="preserve">  In addition, the settlement agreement provided for </w:t>
      </w:r>
      <w:r w:rsidR="00FA07C4" w:rsidRPr="0033701D">
        <w:t>a</w:t>
      </w:r>
      <w:r w:rsidR="00A223E8">
        <w:t xml:space="preserve"> </w:t>
      </w:r>
      <w:r w:rsidRPr="00902B7E">
        <w:t>generation base rate adjustment to co</w:t>
      </w:r>
      <w:r w:rsidR="00902B7E" w:rsidRPr="00902B7E">
        <w:t>incide with the in-service date</w:t>
      </w:r>
      <w:r w:rsidRPr="00902B7E">
        <w:t xml:space="preserve"> of the </w:t>
      </w:r>
      <w:r w:rsidR="00902B7E" w:rsidRPr="00902B7E">
        <w:t>Okeechobee Clean Energy Center</w:t>
      </w:r>
      <w:r w:rsidRPr="00902B7E">
        <w:t>. The settlement agreement provided that retail base rates, with certain exceptions, would be frozen through the last billing cycle in December 20</w:t>
      </w:r>
      <w:r w:rsidR="00902B7E" w:rsidRPr="00902B7E">
        <w:t>20</w:t>
      </w:r>
      <w:r w:rsidRPr="00902B7E">
        <w:t xml:space="preserve">. </w:t>
      </w:r>
      <w:r w:rsidR="00F43BEF">
        <w:t>Section 12(c) of the settlement agreement permitted FPL to continue to amortize its theoretical depreciation reserve surplus beyond December 31, 2020, if the Company provided notice to the Parties of the settlement agreement, prior to March 31, 2020, that it did not intend to seek a base rate increase with an effective date prior to January 1, 2022.</w:t>
      </w:r>
      <w:r w:rsidR="005753C9">
        <w:rPr>
          <w:rStyle w:val="FootnoteReference"/>
        </w:rPr>
        <w:footnoteReference w:id="2"/>
      </w:r>
      <w:r w:rsidR="00F43BEF">
        <w:t xml:space="preserve"> FPL exercised this option. </w:t>
      </w:r>
    </w:p>
    <w:p w:rsidR="00E42CD9" w:rsidRPr="00F61C22" w:rsidRDefault="00E42CD9" w:rsidP="00E42CD9">
      <w:pPr>
        <w:pStyle w:val="BodyText"/>
      </w:pPr>
      <w:r w:rsidRPr="00B5500C">
        <w:t xml:space="preserve">On </w:t>
      </w:r>
      <w:r w:rsidR="00B5500C" w:rsidRPr="00B5500C">
        <w:t>January</w:t>
      </w:r>
      <w:r w:rsidRPr="00B5500C">
        <w:t xml:space="preserve"> </w:t>
      </w:r>
      <w:r w:rsidR="00B5500C" w:rsidRPr="00B5500C">
        <w:t>29</w:t>
      </w:r>
      <w:r w:rsidRPr="00B5500C">
        <w:t>, 20</w:t>
      </w:r>
      <w:r w:rsidR="00B5500C" w:rsidRPr="00B5500C">
        <w:t>21</w:t>
      </w:r>
      <w:r w:rsidRPr="00B5500C">
        <w:t>, the Commission acknowledged the Office of Public Counsel’s notice of intervention in this proceeding.</w:t>
      </w:r>
      <w:r w:rsidR="009A57F5">
        <w:rPr>
          <w:rStyle w:val="FootnoteReference"/>
        </w:rPr>
        <w:footnoteReference w:id="3"/>
      </w:r>
      <w:r w:rsidRPr="00B5500C">
        <w:t xml:space="preserve"> On </w:t>
      </w:r>
      <w:r w:rsidR="00B5500C" w:rsidRPr="00B5500C">
        <w:t>February 22, 2021</w:t>
      </w:r>
      <w:r w:rsidRPr="00B5500C">
        <w:t xml:space="preserve">, </w:t>
      </w:r>
      <w:r w:rsidR="00B5500C" w:rsidRPr="00B5500C">
        <w:t xml:space="preserve">Florida Rising, Inc. (FL Rising), League of United Latin American Citizens of Florida (LULAC), and Environmental Confederation of Southwest Florida, Inc. (ECOSWF) filed a Motion to Intervene. On March 5, 2021, </w:t>
      </w:r>
      <w:r w:rsidRPr="00B5500C">
        <w:t xml:space="preserve">Florida Industrial Power Users Group (FIPUG) filed its Motion to Intervene. </w:t>
      </w:r>
      <w:r w:rsidR="00B5500C" w:rsidRPr="00B5500C">
        <w:t xml:space="preserve">On March </w:t>
      </w:r>
      <w:r w:rsidR="00B5500C">
        <w:t>10</w:t>
      </w:r>
      <w:r w:rsidR="00B5500C" w:rsidRPr="00B5500C">
        <w:t xml:space="preserve">, 2021, Florida </w:t>
      </w:r>
      <w:r w:rsidR="00B5500C">
        <w:t>Retail Federation (FRF</w:t>
      </w:r>
      <w:r w:rsidR="00B5500C" w:rsidRPr="00B5500C">
        <w:t>) filed its Motion to Intervene.</w:t>
      </w:r>
      <w:r w:rsidR="00B5500C">
        <w:t xml:space="preserve"> </w:t>
      </w:r>
      <w:r w:rsidR="00B5500C" w:rsidRPr="00B5500C">
        <w:t xml:space="preserve">On March </w:t>
      </w:r>
      <w:r w:rsidR="00B5500C">
        <w:t>19</w:t>
      </w:r>
      <w:r w:rsidR="00B5500C" w:rsidRPr="00B5500C">
        <w:t xml:space="preserve">, 2021, Florida </w:t>
      </w:r>
      <w:r w:rsidR="00B5500C">
        <w:t>Executive Agencies</w:t>
      </w:r>
      <w:r w:rsidR="00B5500C" w:rsidRPr="00B5500C">
        <w:t xml:space="preserve"> (F</w:t>
      </w:r>
      <w:r w:rsidR="00B5500C">
        <w:t>EA</w:t>
      </w:r>
      <w:r w:rsidR="00B5500C" w:rsidRPr="00B5500C">
        <w:t>) filed its Motion to Intervene.</w:t>
      </w:r>
      <w:r w:rsidR="00B5500C">
        <w:t xml:space="preserve"> </w:t>
      </w:r>
      <w:r w:rsidR="00B5500C" w:rsidRPr="00B5500C">
        <w:t xml:space="preserve">On March </w:t>
      </w:r>
      <w:r w:rsidR="00B5500C">
        <w:t>26</w:t>
      </w:r>
      <w:r w:rsidR="00B5500C" w:rsidRPr="00B5500C">
        <w:t xml:space="preserve">, 2021, </w:t>
      </w:r>
      <w:r w:rsidR="00B5500C">
        <w:t>Southern Alliance for Clean Energy</w:t>
      </w:r>
      <w:r w:rsidR="00B5500C" w:rsidRPr="00B5500C">
        <w:t xml:space="preserve"> (</w:t>
      </w:r>
      <w:r w:rsidR="00B5500C">
        <w:t>SACE</w:t>
      </w:r>
      <w:r w:rsidR="00B5500C" w:rsidRPr="00B5500C">
        <w:t>) filed its Motion to Intervene.</w:t>
      </w:r>
      <w:r w:rsidR="00B5500C">
        <w:t xml:space="preserve"> </w:t>
      </w:r>
      <w:r w:rsidR="00F61C22" w:rsidRPr="00B5500C">
        <w:t xml:space="preserve">On March </w:t>
      </w:r>
      <w:r w:rsidR="00F61C22">
        <w:t>30</w:t>
      </w:r>
      <w:r w:rsidR="00F61C22" w:rsidRPr="00B5500C">
        <w:t xml:space="preserve">, 2021, </w:t>
      </w:r>
      <w:r w:rsidR="00F61C22">
        <w:t>Daniel R.</w:t>
      </w:r>
      <w:r w:rsidR="00BB752B">
        <w:t xml:space="preserve"> Larson</w:t>
      </w:r>
      <w:r w:rsidR="00F61C22">
        <w:t xml:space="preserve"> and Alexandria Larson (Larsons) filed a</w:t>
      </w:r>
      <w:r w:rsidR="00F61C22" w:rsidRPr="00B5500C">
        <w:t xml:space="preserve"> Motion to Interven</w:t>
      </w:r>
      <w:r w:rsidR="00F61C22" w:rsidRPr="00F61C22">
        <w:t>e.</w:t>
      </w:r>
      <w:r w:rsidRPr="00F61C22">
        <w:t xml:space="preserve"> A hearing has been scheduled for August </w:t>
      </w:r>
      <w:r w:rsidR="00F61C22" w:rsidRPr="00F61C22">
        <w:t>16</w:t>
      </w:r>
      <w:r w:rsidRPr="00F61C22">
        <w:t>-2</w:t>
      </w:r>
      <w:r w:rsidR="00F61C22" w:rsidRPr="00F61C22">
        <w:t>0</w:t>
      </w:r>
      <w:r w:rsidRPr="00F61C22">
        <w:t xml:space="preserve"> and 2</w:t>
      </w:r>
      <w:r w:rsidR="00F61C22" w:rsidRPr="00F61C22">
        <w:t>3</w:t>
      </w:r>
      <w:r w:rsidRPr="00F61C22">
        <w:t>-</w:t>
      </w:r>
      <w:r w:rsidR="00F61C22" w:rsidRPr="00F61C22">
        <w:t>27</w:t>
      </w:r>
      <w:r w:rsidRPr="00F61C22">
        <w:t>, 20</w:t>
      </w:r>
      <w:r w:rsidR="00F61C22" w:rsidRPr="00F61C22">
        <w:t>21</w:t>
      </w:r>
      <w:r w:rsidRPr="00F61C22">
        <w:t>.</w:t>
      </w:r>
    </w:p>
    <w:p w:rsidR="00EA2273" w:rsidRPr="00F61C22" w:rsidRDefault="00E42CD9" w:rsidP="00E42CD9">
      <w:pPr>
        <w:pStyle w:val="BodyText"/>
        <w:sectPr w:rsidR="00EA2273" w:rsidRPr="00F61C22">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r w:rsidRPr="00F61C22">
        <w:t>This recommendation addresses the suspension of the requested permanent rate increase. The Commission has jurisdiction over this matter pursuant to Sections 366.06(2) and (4), F.S.</w:t>
      </w:r>
      <w:bookmarkEnd w:id="12"/>
    </w:p>
    <w:p w:rsidR="007C0528" w:rsidRDefault="007C0528">
      <w:pPr>
        <w:pStyle w:val="RecommendationMajorSectionHeading"/>
      </w:pPr>
      <w:bookmarkStart w:id="16" w:name="DiscussionOfIssues"/>
      <w:r>
        <w:t>Discussion of Issues</w:t>
      </w:r>
    </w:p>
    <w:bookmarkEnd w:id="16"/>
    <w:p w:rsidR="00FB7192" w:rsidRDefault="00FB7192">
      <w:pPr>
        <w:pStyle w:val="IssueHeading"/>
        <w:rPr>
          <w:vanish/>
          <w:specVanish/>
        </w:rPr>
      </w:pPr>
      <w:r w:rsidRPr="004C3641">
        <w:t xml:space="preserve">Issue </w:t>
      </w:r>
      <w:r w:rsidR="00BF5B50">
        <w:fldChar w:fldCharType="begin"/>
      </w:r>
      <w:r w:rsidR="00BF5B50">
        <w:instrText xml:space="preserve"> SEQ Issue \* MERGEFORMAT </w:instrText>
      </w:r>
      <w:r w:rsidR="00BF5B50">
        <w:fldChar w:fldCharType="separate"/>
      </w:r>
      <w:r w:rsidR="004348FD">
        <w:rPr>
          <w:noProof/>
        </w:rPr>
        <w:t>1</w:t>
      </w:r>
      <w:r w:rsidR="00BF5B50">
        <w:rPr>
          <w:noProof/>
        </w:rPr>
        <w:fldChar w:fldCharType="end"/>
      </w:r>
      <w:r w:rsidRPr="004C3641">
        <w:t>:</w:t>
      </w:r>
      <w:r w:rsidR="00FA07C4">
        <w:fldChar w:fldCharType="begin"/>
      </w:r>
      <w:r>
        <w:instrText xml:space="preserve"> TC "</w:instrText>
      </w:r>
      <w:r w:rsidR="00FA07C4">
        <w:fldChar w:fldCharType="begin"/>
      </w:r>
      <w:r>
        <w:instrText xml:space="preserve"> SEQ issue \c </w:instrText>
      </w:r>
      <w:r w:rsidR="00FA07C4">
        <w:fldChar w:fldCharType="separate"/>
      </w:r>
      <w:r w:rsidR="004348FD">
        <w:rPr>
          <w:noProof/>
        </w:rPr>
        <w:instrText>1</w:instrText>
      </w:r>
      <w:r w:rsidR="00FA07C4">
        <w:fldChar w:fldCharType="end"/>
      </w:r>
      <w:r>
        <w:tab/>
      </w:r>
      <w:r w:rsidR="001107E6">
        <w:instrText>(Mouring</w:instrText>
      </w:r>
      <w:r>
        <w:instrText xml:space="preserve">)" \l 1 </w:instrText>
      </w:r>
      <w:r w:rsidR="00FA07C4">
        <w:fldChar w:fldCharType="end"/>
      </w:r>
      <w:r>
        <w:t> </w:t>
      </w:r>
    </w:p>
    <w:p w:rsidR="00FB7192" w:rsidRDefault="00FB7192">
      <w:pPr>
        <w:pStyle w:val="BodyText"/>
      </w:pPr>
      <w:r>
        <w:t> </w:t>
      </w:r>
      <w:r w:rsidRPr="00FB7192">
        <w:t>Should Florida Power &amp; Light Company's request for a $</w:t>
      </w:r>
      <w:r>
        <w:t>1.108 b</w:t>
      </w:r>
      <w:r w:rsidRPr="00FB7192">
        <w:t>illion permanent r</w:t>
      </w:r>
      <w:r w:rsidR="00792F0F">
        <w:t xml:space="preserve">ate increase </w:t>
      </w:r>
      <w:r w:rsidR="00512056">
        <w:t xml:space="preserve">effective </w:t>
      </w:r>
      <w:r w:rsidR="00792F0F">
        <w:t>January 1, 2022</w:t>
      </w:r>
      <w:r w:rsidRPr="00FB7192">
        <w:t>, a $</w:t>
      </w:r>
      <w:r>
        <w:t>607</w:t>
      </w:r>
      <w:r w:rsidRPr="00FB7192">
        <w:t xml:space="preserve"> million permanent rate increase </w:t>
      </w:r>
      <w:r w:rsidR="00512056">
        <w:t>effective</w:t>
      </w:r>
      <w:r w:rsidR="00512056" w:rsidRPr="00FB7192">
        <w:t xml:space="preserve"> </w:t>
      </w:r>
      <w:r w:rsidRPr="00FB7192">
        <w:t>January 1, 20</w:t>
      </w:r>
      <w:r>
        <w:t>2</w:t>
      </w:r>
      <w:r w:rsidR="00792F0F">
        <w:t>3</w:t>
      </w:r>
      <w:r w:rsidRPr="00FB7192">
        <w:t xml:space="preserve">, </w:t>
      </w:r>
      <w:r w:rsidR="00792F0F">
        <w:t xml:space="preserve"> SoBRAs of </w:t>
      </w:r>
      <w:r w:rsidR="00792F0F" w:rsidRPr="00FA1BCC">
        <w:t>approximately $140 million for both 2024 and 2025</w:t>
      </w:r>
      <w:r w:rsidRPr="00FB7192">
        <w:t>, and the associated tariff revisions be suspended pending a final decision in this docket?</w:t>
      </w:r>
    </w:p>
    <w:p w:rsidR="00FB7192" w:rsidRPr="004C3641" w:rsidRDefault="00FB7192">
      <w:pPr>
        <w:pStyle w:val="IssueSubsectionHeading"/>
        <w:rPr>
          <w:vanish/>
          <w:specVanish/>
        </w:rPr>
      </w:pPr>
      <w:r w:rsidRPr="004C3641">
        <w:t>Recommendation: </w:t>
      </w:r>
    </w:p>
    <w:p w:rsidR="00FB7192" w:rsidRDefault="00FB7192">
      <w:pPr>
        <w:pStyle w:val="BodyText"/>
      </w:pPr>
      <w:r>
        <w:t> </w:t>
      </w:r>
      <w:r w:rsidR="001107E6">
        <w:t xml:space="preserve">Yes. The </w:t>
      </w:r>
      <w:r w:rsidR="001107E6" w:rsidRPr="001107E6">
        <w:t>$1.108 billion permanent r</w:t>
      </w:r>
      <w:r w:rsidR="00792F0F">
        <w:t xml:space="preserve">ate increase </w:t>
      </w:r>
      <w:r w:rsidR="00512056">
        <w:t xml:space="preserve">effective </w:t>
      </w:r>
      <w:r w:rsidR="00792F0F">
        <w:t>January 1, 2022</w:t>
      </w:r>
      <w:r w:rsidR="001107E6" w:rsidRPr="001107E6">
        <w:t>, a $607 million permanent r</w:t>
      </w:r>
      <w:r w:rsidR="00792F0F">
        <w:t xml:space="preserve">ate increase </w:t>
      </w:r>
      <w:r w:rsidR="00512056">
        <w:t xml:space="preserve">effective </w:t>
      </w:r>
      <w:r w:rsidR="00792F0F">
        <w:t>January 1, 2023</w:t>
      </w:r>
      <w:r w:rsidR="001107E6" w:rsidRPr="001107E6">
        <w:t xml:space="preserve">, </w:t>
      </w:r>
      <w:r w:rsidR="00792F0F">
        <w:t xml:space="preserve">SoBRAs of </w:t>
      </w:r>
      <w:r w:rsidR="00792F0F" w:rsidRPr="00FA1BCC">
        <w:t>approximately $140 million for both 2024 and 2025</w:t>
      </w:r>
      <w:r w:rsidR="001107E6" w:rsidRPr="001107E6">
        <w:t xml:space="preserve">, and the associated tariff revisions </w:t>
      </w:r>
      <w:r w:rsidR="001107E6">
        <w:t xml:space="preserve">should </w:t>
      </w:r>
      <w:r w:rsidR="001107E6" w:rsidRPr="001107E6">
        <w:t>be suspended pending a final decision in this docket</w:t>
      </w:r>
      <w:r w:rsidR="001107E6">
        <w:t>.</w:t>
      </w:r>
      <w:r>
        <w:t xml:space="preserve"> </w:t>
      </w:r>
      <w:r w:rsidR="001107E6">
        <w:t>(Mouring</w:t>
      </w:r>
      <w:r>
        <w:t>)</w:t>
      </w:r>
    </w:p>
    <w:p w:rsidR="00FB7192" w:rsidRPr="004C3641" w:rsidRDefault="00FB7192">
      <w:pPr>
        <w:pStyle w:val="IssueSubsectionHeading"/>
        <w:rPr>
          <w:vanish/>
          <w:specVanish/>
        </w:rPr>
      </w:pPr>
      <w:r w:rsidRPr="004C3641">
        <w:t>Staff Analysis: </w:t>
      </w:r>
    </w:p>
    <w:p w:rsidR="003F559B" w:rsidRPr="00792F0F" w:rsidRDefault="00FB7192" w:rsidP="003F559B">
      <w:pPr>
        <w:pStyle w:val="BodyText"/>
      </w:pPr>
      <w:r>
        <w:t> </w:t>
      </w:r>
      <w:r w:rsidR="003F559B" w:rsidRPr="00792F0F">
        <w:t>FPL filed its petition, testimony, and minimum filing requirements on March 1</w:t>
      </w:r>
      <w:r w:rsidR="00792F0F" w:rsidRPr="00792F0F">
        <w:t>2</w:t>
      </w:r>
      <w:r w:rsidR="003F559B" w:rsidRPr="00792F0F">
        <w:t>, 20</w:t>
      </w:r>
      <w:r w:rsidR="00792F0F" w:rsidRPr="00792F0F">
        <w:t>21</w:t>
      </w:r>
      <w:r w:rsidR="003F559B" w:rsidRPr="00792F0F">
        <w:t>.  The Company has requested an increase in its retail rates and charges to generate $</w:t>
      </w:r>
      <w:r w:rsidR="00792F0F" w:rsidRPr="00792F0F">
        <w:t>1.108 b</w:t>
      </w:r>
      <w:r w:rsidR="003F559B" w:rsidRPr="00792F0F">
        <w:t>illion in additional gross annual rev</w:t>
      </w:r>
      <w:r w:rsidR="00792F0F" w:rsidRPr="00792F0F">
        <w:t>enue, effective January 1, 2022</w:t>
      </w:r>
      <w:r w:rsidR="003F559B" w:rsidRPr="00792F0F">
        <w:t>. FPL also has requested an increase in its retail rates and charges to generate $</w:t>
      </w:r>
      <w:r w:rsidR="00792F0F" w:rsidRPr="00792F0F">
        <w:t>607</w:t>
      </w:r>
      <w:r w:rsidR="003F559B" w:rsidRPr="00792F0F">
        <w:t xml:space="preserve"> million in additional gross annual rev</w:t>
      </w:r>
      <w:r w:rsidR="00792F0F" w:rsidRPr="00792F0F">
        <w:t>enue, effective January 1, 2023</w:t>
      </w:r>
      <w:r w:rsidR="003F559B" w:rsidRPr="00792F0F">
        <w:t>.</w:t>
      </w:r>
      <w:r w:rsidR="00792F0F" w:rsidRPr="00792F0F">
        <w:t xml:space="preserve"> Further, FPL has requested SoBRA</w:t>
      </w:r>
      <w:r w:rsidR="00AF4B6D">
        <w:t>s</w:t>
      </w:r>
      <w:r w:rsidR="00792F0F" w:rsidRPr="00792F0F">
        <w:t xml:space="preserve"> of approximately $140 million for both 2024 and 2025</w:t>
      </w:r>
      <w:r w:rsidR="003F559B" w:rsidRPr="00792F0F">
        <w:t>.</w:t>
      </w:r>
    </w:p>
    <w:p w:rsidR="003F559B" w:rsidRPr="00792F0F" w:rsidRDefault="003F559B" w:rsidP="003F559B">
      <w:pPr>
        <w:pStyle w:val="BodyText"/>
      </w:pPr>
      <w:r w:rsidRPr="00792F0F">
        <w:t>Historically, the Commission has suspended requested permanent rate schedules in order to adequately and thoroughly examine the basis for the new rates. Suspension of a requested rate increase is authorized by Section 366.06(3), F.S., which provides:</w:t>
      </w:r>
    </w:p>
    <w:p w:rsidR="003F559B" w:rsidRPr="00792F0F" w:rsidRDefault="003F559B" w:rsidP="00DA288F">
      <w:pPr>
        <w:pStyle w:val="BodyText"/>
        <w:ind w:left="576" w:right="576"/>
      </w:pPr>
      <w:r w:rsidRPr="00792F0F">
        <w:t>Pending a final order by the commission in any rate proceeding under this section, the commission may withhold consent to the operation of all or any portion of the new rate schedules, delivering to the utility requesting such increase, within 60 days, a reason or written statement of good cause for withholding its consent.</w:t>
      </w:r>
    </w:p>
    <w:p w:rsidR="00FB7192" w:rsidRDefault="003F559B" w:rsidP="003F559B">
      <w:pPr>
        <w:pStyle w:val="BodyText"/>
      </w:pPr>
      <w:r w:rsidRPr="00792F0F">
        <w:t>Staff recommends that the Commission suspend the requested permanent rate schedules to allow staff and any intervenors sufficient time to adequately investigate whether the request for permanent rate relief is appropriate.</w:t>
      </w:r>
    </w:p>
    <w:p w:rsidR="004348FD" w:rsidRDefault="004348FD">
      <w:pPr>
        <w:pStyle w:val="IssueHeading"/>
        <w:rPr>
          <w:vanish/>
          <w:specVanish/>
        </w:rPr>
      </w:pPr>
      <w:r w:rsidRPr="004C3641">
        <w:rPr>
          <w:b w:val="0"/>
          <w:i w:val="0"/>
        </w:rPr>
        <w:br w:type="page"/>
      </w:r>
      <w:r w:rsidRPr="004C3641">
        <w:t xml:space="preserve">Issue </w:t>
      </w:r>
      <w:r w:rsidR="00BF5B50">
        <w:fldChar w:fldCharType="begin"/>
      </w:r>
      <w:r w:rsidR="00BF5B50">
        <w:instrText xml:space="preserve"> SEQ Issue \* MERGEFORMAT </w:instrText>
      </w:r>
      <w:r w:rsidR="00BF5B50">
        <w:fldChar w:fldCharType="separate"/>
      </w:r>
      <w:r>
        <w:rPr>
          <w:noProof/>
        </w:rPr>
        <w:t>2</w:t>
      </w:r>
      <w:r w:rsidR="00BF5B50">
        <w:rPr>
          <w:noProof/>
        </w:rPr>
        <w:fldChar w:fldCharType="end"/>
      </w:r>
      <w:r w:rsidRPr="004C3641">
        <w:t>:</w:t>
      </w:r>
      <w:r w:rsidR="00FA07C4">
        <w:fldChar w:fldCharType="begin"/>
      </w:r>
      <w:r>
        <w:instrText xml:space="preserve"> TC "</w:instrText>
      </w:r>
      <w:r w:rsidR="00FA07C4">
        <w:fldChar w:fldCharType="begin"/>
      </w:r>
      <w:r>
        <w:instrText xml:space="preserve"> SEQ issue \c </w:instrText>
      </w:r>
      <w:r w:rsidR="00FA07C4">
        <w:fldChar w:fldCharType="separate"/>
      </w:r>
      <w:r>
        <w:rPr>
          <w:noProof/>
        </w:rPr>
        <w:instrText>2</w:instrText>
      </w:r>
      <w:r w:rsidR="00FA07C4">
        <w:fldChar w:fldCharType="end"/>
      </w:r>
      <w:r>
        <w:tab/>
        <w:instrText xml:space="preserve">(Brownless, Mouring)" \l 1 </w:instrText>
      </w:r>
      <w:r w:rsidR="00FA07C4">
        <w:fldChar w:fldCharType="end"/>
      </w:r>
      <w:r>
        <w:t> </w:t>
      </w:r>
    </w:p>
    <w:p w:rsidR="004348FD" w:rsidRDefault="004348FD">
      <w:pPr>
        <w:pStyle w:val="BodyText"/>
      </w:pPr>
      <w:r>
        <w:t> Should this docket be closed?</w:t>
      </w:r>
    </w:p>
    <w:p w:rsidR="004348FD" w:rsidRPr="004C3641" w:rsidRDefault="004348FD">
      <w:pPr>
        <w:pStyle w:val="IssueSubsectionHeading"/>
        <w:rPr>
          <w:vanish/>
          <w:specVanish/>
        </w:rPr>
      </w:pPr>
      <w:r w:rsidRPr="004C3641">
        <w:t>Recommendation: </w:t>
      </w:r>
    </w:p>
    <w:p w:rsidR="004348FD" w:rsidRDefault="004348FD">
      <w:pPr>
        <w:pStyle w:val="BodyText"/>
      </w:pPr>
      <w:r>
        <w:t> </w:t>
      </w:r>
      <w:r w:rsidR="00DD19C5" w:rsidRPr="00DD19C5">
        <w:t>No, this docket should remain open to process the Company’s revenue increase request.</w:t>
      </w:r>
      <w:r>
        <w:t xml:space="preserve"> (Brownless, Mouring)</w:t>
      </w:r>
    </w:p>
    <w:p w:rsidR="004348FD" w:rsidRPr="004C3641" w:rsidRDefault="004348FD">
      <w:pPr>
        <w:pStyle w:val="IssueSubsectionHeading"/>
        <w:rPr>
          <w:vanish/>
          <w:specVanish/>
        </w:rPr>
      </w:pPr>
      <w:r w:rsidRPr="004C3641">
        <w:t>Staff Analysis: </w:t>
      </w:r>
    </w:p>
    <w:p w:rsidR="004348FD" w:rsidRDefault="004348FD">
      <w:pPr>
        <w:pStyle w:val="BodyText"/>
      </w:pPr>
      <w:r>
        <w:t> </w:t>
      </w:r>
      <w:r w:rsidR="00DD19C5" w:rsidRPr="00DD19C5">
        <w:t>This docket should remain open pending the Commission’s final resolution of the Company’s requested permanent base rate increase.</w:t>
      </w:r>
    </w:p>
    <w:p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4CA" w:rsidRDefault="005274CA">
      <w:r>
        <w:separator/>
      </w:r>
    </w:p>
  </w:endnote>
  <w:endnote w:type="continuationSeparator" w:id="0">
    <w:p w:rsidR="005274CA" w:rsidRDefault="00527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sidR="00FA07C4">
      <w:rPr>
        <w:rStyle w:val="PageNumber"/>
      </w:rPr>
      <w:fldChar w:fldCharType="begin"/>
    </w:r>
    <w:r>
      <w:rPr>
        <w:rStyle w:val="PageNumber"/>
      </w:rPr>
      <w:instrText xml:space="preserve"> PAGE </w:instrText>
    </w:r>
    <w:r w:rsidR="00FA07C4">
      <w:rPr>
        <w:rStyle w:val="PageNumber"/>
      </w:rPr>
      <w:fldChar w:fldCharType="separate"/>
    </w:r>
    <w:r w:rsidR="00225EE3">
      <w:rPr>
        <w:rStyle w:val="PageNumber"/>
        <w:noProof/>
      </w:rPr>
      <w:t>4</w:t>
    </w:r>
    <w:r w:rsidR="00FA07C4">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4CA" w:rsidRDefault="005274CA">
      <w:r>
        <w:separator/>
      </w:r>
    </w:p>
  </w:footnote>
  <w:footnote w:type="continuationSeparator" w:id="0">
    <w:p w:rsidR="005274CA" w:rsidRDefault="005274CA">
      <w:r>
        <w:continuationSeparator/>
      </w:r>
    </w:p>
  </w:footnote>
  <w:footnote w:id="1">
    <w:p w:rsidR="009A57F5" w:rsidRPr="009A57F5" w:rsidRDefault="009A57F5">
      <w:pPr>
        <w:pStyle w:val="FootnoteText"/>
      </w:pPr>
      <w:r>
        <w:rPr>
          <w:rStyle w:val="FootnoteReference"/>
        </w:rPr>
        <w:footnoteRef/>
      </w:r>
      <w:r>
        <w:t xml:space="preserve"> Order No. PSC-2016-0560-AS-EI, issued December 15, 2016, in Docket No. 20160021-EI, </w:t>
      </w:r>
      <w:r w:rsidRPr="009A57F5">
        <w:rPr>
          <w:i/>
        </w:rPr>
        <w:t>In re: Petition for rate increase by Florida Power &amp; Light Company</w:t>
      </w:r>
      <w:r w:rsidRPr="009A57F5">
        <w:t xml:space="preserve">; Docket No. </w:t>
      </w:r>
      <w:r w:rsidR="00AF4B6D">
        <w:t>20</w:t>
      </w:r>
      <w:r w:rsidRPr="009A57F5">
        <w:t xml:space="preserve">160061-EI, </w:t>
      </w:r>
      <w:r w:rsidRPr="009A57F5">
        <w:rPr>
          <w:i/>
        </w:rPr>
        <w:t>In re: Petition for approval of 2016-2018 storm hardening plan, by Florida Power &amp; Light Company</w:t>
      </w:r>
      <w:r w:rsidRPr="009A57F5">
        <w:t xml:space="preserve">; Docket No. </w:t>
      </w:r>
      <w:r w:rsidR="00AF4B6D">
        <w:t>20</w:t>
      </w:r>
      <w:r w:rsidRPr="009A57F5">
        <w:t xml:space="preserve">160062-EI, </w:t>
      </w:r>
      <w:r w:rsidRPr="009A57F5">
        <w:rPr>
          <w:i/>
        </w:rPr>
        <w:t>In re: 2016 depreciation and dismantlement study by Florida Power &amp; Light Company</w:t>
      </w:r>
      <w:r w:rsidRPr="009A57F5">
        <w:t xml:space="preserve">; Docket No. </w:t>
      </w:r>
      <w:r w:rsidR="00AF4B6D">
        <w:t>20</w:t>
      </w:r>
      <w:r w:rsidRPr="009A57F5">
        <w:t xml:space="preserve">160088-EI, </w:t>
      </w:r>
      <w:r w:rsidRPr="009A57F5">
        <w:rPr>
          <w:i/>
        </w:rPr>
        <w:t>In re: Petition for limited proceeding to modify and continue incentive mechanism, by Florida Power &amp; Light Company</w:t>
      </w:r>
      <w:r>
        <w:t>.</w:t>
      </w:r>
    </w:p>
  </w:footnote>
  <w:footnote w:id="2">
    <w:p w:rsidR="005753C9" w:rsidRDefault="005753C9">
      <w:pPr>
        <w:pStyle w:val="FootnoteText"/>
      </w:pPr>
      <w:r>
        <w:rPr>
          <w:rStyle w:val="FootnoteReference"/>
        </w:rPr>
        <w:footnoteRef/>
      </w:r>
      <w:r>
        <w:t xml:space="preserve"> </w:t>
      </w:r>
      <w:r w:rsidR="00326EC7" w:rsidRPr="00326EC7">
        <w:rPr>
          <w:i/>
        </w:rPr>
        <w:t>Id.</w:t>
      </w:r>
    </w:p>
  </w:footnote>
  <w:footnote w:id="3">
    <w:p w:rsidR="009A57F5" w:rsidRPr="00775545" w:rsidRDefault="009A57F5">
      <w:pPr>
        <w:pStyle w:val="FootnoteText"/>
      </w:pPr>
      <w:r>
        <w:rPr>
          <w:rStyle w:val="FootnoteReference"/>
        </w:rPr>
        <w:footnoteRef/>
      </w:r>
      <w:r>
        <w:t xml:space="preserve"> Order No. PSC-2021-0062-PCO-EI, issued </w:t>
      </w:r>
      <w:r w:rsidR="00775545">
        <w:t xml:space="preserve">January 29, 2021, in Docket No. 20210015-EI, </w:t>
      </w:r>
      <w:r w:rsidR="00775545">
        <w:rPr>
          <w:i/>
        </w:rPr>
        <w:t>In re: Petition for rate increase by Florida Power &amp; Light Company</w:t>
      </w:r>
      <w:r w:rsidR="0077554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F85670"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20210015-EI</w:t>
    </w:r>
    <w:bookmarkEnd w:id="15"/>
  </w:p>
  <w:p w:rsidR="00BC402E" w:rsidRDefault="00BC402E">
    <w:pPr>
      <w:pStyle w:val="Header"/>
    </w:pPr>
    <w:r>
      <w:t xml:space="preserve">Date: </w:t>
    </w:r>
    <w:r w:rsidR="00FA07C4">
      <w:fldChar w:fldCharType="begin"/>
    </w:r>
    <w:r w:rsidR="0003402F">
      <w:instrText xml:space="preserve"> REF FilingDate </w:instrText>
    </w:r>
    <w:r w:rsidR="00FA07C4">
      <w:fldChar w:fldCharType="separate"/>
    </w:r>
    <w:r w:rsidR="004348FD">
      <w:t>April 22, 2021</w:t>
    </w:r>
    <w:r w:rsidR="00FA07C4">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FA07C4" w:rsidP="00220732">
    <w:pPr>
      <w:pStyle w:val="Header"/>
      <w:tabs>
        <w:tab w:val="clear" w:pos="4320"/>
        <w:tab w:val="clear" w:pos="8640"/>
        <w:tab w:val="right" w:pos="9360"/>
      </w:tabs>
    </w:pPr>
    <w:r>
      <w:fldChar w:fldCharType="begin"/>
    </w:r>
    <w:r w:rsidR="00BC402E">
      <w:instrText xml:space="preserve"> REF DocketLabel</w:instrText>
    </w:r>
    <w:r>
      <w:fldChar w:fldCharType="separate"/>
    </w:r>
    <w:r w:rsidR="004348FD">
      <w:t>Docket No.</w:t>
    </w:r>
    <w:r>
      <w:fldChar w:fldCharType="end"/>
    </w:r>
    <w:r w:rsidR="00BC402E">
      <w:t xml:space="preserve"> </w:t>
    </w:r>
    <w:r>
      <w:fldChar w:fldCharType="begin"/>
    </w:r>
    <w:r w:rsidR="00BC402E">
      <w:instrText xml:space="preserve"> REF DocketList</w:instrText>
    </w:r>
    <w:r>
      <w:fldChar w:fldCharType="separate"/>
    </w:r>
    <w:r w:rsidR="004348FD">
      <w:t>20210015-EI</w:t>
    </w:r>
    <w:r>
      <w:fldChar w:fldCharType="end"/>
    </w:r>
    <w:r w:rsidR="00BC402E">
      <w:tab/>
      <w:t xml:space="preserve">Issue </w:t>
    </w:r>
    <w:r>
      <w:fldChar w:fldCharType="begin"/>
    </w:r>
    <w:r w:rsidR="003E1196">
      <w:instrText xml:space="preserve"> Seq Issue \c \* Arabic </w:instrText>
    </w:r>
    <w:r>
      <w:fldChar w:fldCharType="separate"/>
    </w:r>
    <w:r w:rsidR="00225EE3">
      <w:rPr>
        <w:noProof/>
      </w:rPr>
      <w:t>2</w:t>
    </w:r>
    <w:r>
      <w:rPr>
        <w:noProof/>
      </w:rPr>
      <w:fldChar w:fldCharType="end"/>
    </w:r>
  </w:p>
  <w:p w:rsidR="00BC402E" w:rsidRDefault="00BC402E">
    <w:pPr>
      <w:pStyle w:val="Header"/>
    </w:pPr>
    <w:r>
      <w:t xml:space="preserve">Date: </w:t>
    </w:r>
    <w:r w:rsidR="00FA07C4">
      <w:fldChar w:fldCharType="begin"/>
    </w:r>
    <w:r w:rsidR="0003402F">
      <w:instrText xml:space="preserve"> REF FilingDate </w:instrText>
    </w:r>
    <w:r w:rsidR="00FA07C4">
      <w:fldChar w:fldCharType="separate"/>
    </w:r>
    <w:r w:rsidR="004348FD">
      <w:t>April 22, 2021</w:t>
    </w:r>
    <w:r w:rsidR="00FA07C4">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57"/>
  <w:noPunctuationKerning/>
  <w:characterSpacingControl w:val="doNotCompress"/>
  <w:hdrShapeDefaults>
    <o:shapedefaults v:ext="edit" spidmax="32769"/>
  </w:hdrShapeDefaults>
  <w:footnotePr>
    <w:footnote w:id="-1"/>
    <w:footnote w:id="0"/>
  </w:footnotePr>
  <w:endnotePr>
    <w:endnote w:id="-1"/>
    <w:endnote w:id="0"/>
  </w:endnotePr>
  <w:compat>
    <w:doNotExpandShiftReturn/>
    <w:compatSetting w:name="compatibilityMode" w:uri="http://schemas.microsoft.com/office/word" w:val="12"/>
  </w:compat>
  <w:docVars>
    <w:docVar w:name="dgnword-docGUID" w:val="{32DC39D9-B7F2-4F33-8079-DE13EA01171C}"/>
    <w:docVar w:name="dgnword-eventsink" w:val="337566896"/>
    <w:docVar w:name="NumberOfIssues" w:val="0"/>
    <w:docVar w:name="StaffInToC" w:val="True"/>
  </w:docVars>
  <w:rsids>
    <w:rsidRoot w:val="00F85670"/>
    <w:rsid w:val="000043D5"/>
    <w:rsid w:val="00006170"/>
    <w:rsid w:val="00010E37"/>
    <w:rsid w:val="000172DA"/>
    <w:rsid w:val="000247C5"/>
    <w:rsid w:val="000277C2"/>
    <w:rsid w:val="0003402F"/>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D1C06"/>
    <w:rsid w:val="000D4319"/>
    <w:rsid w:val="000F0485"/>
    <w:rsid w:val="000F374A"/>
    <w:rsid w:val="001076AF"/>
    <w:rsid w:val="001107E6"/>
    <w:rsid w:val="00117C8C"/>
    <w:rsid w:val="00124C38"/>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1665B"/>
    <w:rsid w:val="00220732"/>
    <w:rsid w:val="002217B9"/>
    <w:rsid w:val="00221D32"/>
    <w:rsid w:val="00225C3F"/>
    <w:rsid w:val="00225EE3"/>
    <w:rsid w:val="00263D44"/>
    <w:rsid w:val="002702AD"/>
    <w:rsid w:val="00285CF8"/>
    <w:rsid w:val="00292D82"/>
    <w:rsid w:val="002963CB"/>
    <w:rsid w:val="002B4A01"/>
    <w:rsid w:val="002D226D"/>
    <w:rsid w:val="002F6030"/>
    <w:rsid w:val="003037E1"/>
    <w:rsid w:val="00307E51"/>
    <w:rsid w:val="003103EC"/>
    <w:rsid w:val="003144EF"/>
    <w:rsid w:val="00322F74"/>
    <w:rsid w:val="00326EC7"/>
    <w:rsid w:val="003364E1"/>
    <w:rsid w:val="0033701D"/>
    <w:rsid w:val="00340073"/>
    <w:rsid w:val="003632FD"/>
    <w:rsid w:val="00372805"/>
    <w:rsid w:val="00373180"/>
    <w:rsid w:val="00375AB9"/>
    <w:rsid w:val="003821A0"/>
    <w:rsid w:val="00385B04"/>
    <w:rsid w:val="003864CF"/>
    <w:rsid w:val="003948AE"/>
    <w:rsid w:val="003A22A6"/>
    <w:rsid w:val="003A5494"/>
    <w:rsid w:val="003A58B9"/>
    <w:rsid w:val="003B2510"/>
    <w:rsid w:val="003C2CC4"/>
    <w:rsid w:val="003C3710"/>
    <w:rsid w:val="003E0EFC"/>
    <w:rsid w:val="003E1196"/>
    <w:rsid w:val="003E4A2B"/>
    <w:rsid w:val="003E76C2"/>
    <w:rsid w:val="003F1679"/>
    <w:rsid w:val="003F21EB"/>
    <w:rsid w:val="003F4A35"/>
    <w:rsid w:val="003F559B"/>
    <w:rsid w:val="003F7FDD"/>
    <w:rsid w:val="00402481"/>
    <w:rsid w:val="004042B4"/>
    <w:rsid w:val="00410DC4"/>
    <w:rsid w:val="00412DAE"/>
    <w:rsid w:val="004242E6"/>
    <w:rsid w:val="00431598"/>
    <w:rsid w:val="004319AD"/>
    <w:rsid w:val="004348FD"/>
    <w:rsid w:val="004426B8"/>
    <w:rsid w:val="00444432"/>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2056"/>
    <w:rsid w:val="00516496"/>
    <w:rsid w:val="00523B11"/>
    <w:rsid w:val="0052572A"/>
    <w:rsid w:val="005274CA"/>
    <w:rsid w:val="00532DFB"/>
    <w:rsid w:val="00543CB3"/>
    <w:rsid w:val="005442E4"/>
    <w:rsid w:val="0055529B"/>
    <w:rsid w:val="00560FF0"/>
    <w:rsid w:val="005614BD"/>
    <w:rsid w:val="0057154F"/>
    <w:rsid w:val="005753C9"/>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193A"/>
    <w:rsid w:val="00615423"/>
    <w:rsid w:val="006165B2"/>
    <w:rsid w:val="00617276"/>
    <w:rsid w:val="0062527B"/>
    <w:rsid w:val="00625D97"/>
    <w:rsid w:val="00625F1C"/>
    <w:rsid w:val="006279E1"/>
    <w:rsid w:val="00630CEB"/>
    <w:rsid w:val="00632264"/>
    <w:rsid w:val="006470BC"/>
    <w:rsid w:val="006554D3"/>
    <w:rsid w:val="00666B2C"/>
    <w:rsid w:val="00667036"/>
    <w:rsid w:val="00673BDB"/>
    <w:rsid w:val="00674341"/>
    <w:rsid w:val="006771B8"/>
    <w:rsid w:val="00681806"/>
    <w:rsid w:val="006843B6"/>
    <w:rsid w:val="0068481F"/>
    <w:rsid w:val="00691B72"/>
    <w:rsid w:val="00696F5D"/>
    <w:rsid w:val="00697249"/>
    <w:rsid w:val="006B3947"/>
    <w:rsid w:val="006B4293"/>
    <w:rsid w:val="006B624F"/>
    <w:rsid w:val="006C0C95"/>
    <w:rsid w:val="006C31E3"/>
    <w:rsid w:val="006D18D3"/>
    <w:rsid w:val="006E01AA"/>
    <w:rsid w:val="006E08CB"/>
    <w:rsid w:val="006E598D"/>
    <w:rsid w:val="0070437D"/>
    <w:rsid w:val="00704CF1"/>
    <w:rsid w:val="00705B04"/>
    <w:rsid w:val="00724992"/>
    <w:rsid w:val="00734820"/>
    <w:rsid w:val="007349DC"/>
    <w:rsid w:val="0074365E"/>
    <w:rsid w:val="00744B55"/>
    <w:rsid w:val="007515FD"/>
    <w:rsid w:val="00760D80"/>
    <w:rsid w:val="00775545"/>
    <w:rsid w:val="00780C09"/>
    <w:rsid w:val="00780DDF"/>
    <w:rsid w:val="007834E9"/>
    <w:rsid w:val="00787DBC"/>
    <w:rsid w:val="0079019A"/>
    <w:rsid w:val="00792935"/>
    <w:rsid w:val="00792F0F"/>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62FF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2B7E"/>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57F5"/>
    <w:rsid w:val="009A631F"/>
    <w:rsid w:val="009A7C96"/>
    <w:rsid w:val="009C3DB9"/>
    <w:rsid w:val="009D46E5"/>
    <w:rsid w:val="009D568A"/>
    <w:rsid w:val="009F04EC"/>
    <w:rsid w:val="009F2A7C"/>
    <w:rsid w:val="009F3B36"/>
    <w:rsid w:val="00A019B9"/>
    <w:rsid w:val="00A11132"/>
    <w:rsid w:val="00A12508"/>
    <w:rsid w:val="00A1282B"/>
    <w:rsid w:val="00A13A27"/>
    <w:rsid w:val="00A175B6"/>
    <w:rsid w:val="00A21835"/>
    <w:rsid w:val="00A223E8"/>
    <w:rsid w:val="00A2374B"/>
    <w:rsid w:val="00A27D6E"/>
    <w:rsid w:val="00A328EC"/>
    <w:rsid w:val="00A33A51"/>
    <w:rsid w:val="00A41CA6"/>
    <w:rsid w:val="00A47927"/>
    <w:rsid w:val="00A47FFC"/>
    <w:rsid w:val="00A5442F"/>
    <w:rsid w:val="00A54FF9"/>
    <w:rsid w:val="00A56765"/>
    <w:rsid w:val="00A675AC"/>
    <w:rsid w:val="00A7581F"/>
    <w:rsid w:val="00A7617D"/>
    <w:rsid w:val="00A92FB1"/>
    <w:rsid w:val="00A95A0C"/>
    <w:rsid w:val="00AA2765"/>
    <w:rsid w:val="00AA77B5"/>
    <w:rsid w:val="00AB3C52"/>
    <w:rsid w:val="00AB6C5D"/>
    <w:rsid w:val="00AC3401"/>
    <w:rsid w:val="00AC51A7"/>
    <w:rsid w:val="00AD444B"/>
    <w:rsid w:val="00AD5614"/>
    <w:rsid w:val="00AD6C78"/>
    <w:rsid w:val="00AE2EAB"/>
    <w:rsid w:val="00AE48BD"/>
    <w:rsid w:val="00AF4B6D"/>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500C"/>
    <w:rsid w:val="00B57A6A"/>
    <w:rsid w:val="00B658CC"/>
    <w:rsid w:val="00B760F1"/>
    <w:rsid w:val="00B7669E"/>
    <w:rsid w:val="00B77DA1"/>
    <w:rsid w:val="00B822A0"/>
    <w:rsid w:val="00B858AE"/>
    <w:rsid w:val="00B85964"/>
    <w:rsid w:val="00B96250"/>
    <w:rsid w:val="00BA0D55"/>
    <w:rsid w:val="00BA37B3"/>
    <w:rsid w:val="00BA4CC6"/>
    <w:rsid w:val="00BB3493"/>
    <w:rsid w:val="00BB7468"/>
    <w:rsid w:val="00BB752B"/>
    <w:rsid w:val="00BC188A"/>
    <w:rsid w:val="00BC402E"/>
    <w:rsid w:val="00BD0F48"/>
    <w:rsid w:val="00BE6DDB"/>
    <w:rsid w:val="00BF5010"/>
    <w:rsid w:val="00C024A8"/>
    <w:rsid w:val="00C03D5F"/>
    <w:rsid w:val="00C13791"/>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288F"/>
    <w:rsid w:val="00DA51E7"/>
    <w:rsid w:val="00DB0260"/>
    <w:rsid w:val="00DB1C78"/>
    <w:rsid w:val="00DB7D96"/>
    <w:rsid w:val="00DC23FE"/>
    <w:rsid w:val="00DC59E6"/>
    <w:rsid w:val="00DD150B"/>
    <w:rsid w:val="00DD19C5"/>
    <w:rsid w:val="00DD5025"/>
    <w:rsid w:val="00DF1510"/>
    <w:rsid w:val="00E02F1F"/>
    <w:rsid w:val="00E06450"/>
    <w:rsid w:val="00E06484"/>
    <w:rsid w:val="00E20A7D"/>
    <w:rsid w:val="00E275D8"/>
    <w:rsid w:val="00E30F6A"/>
    <w:rsid w:val="00E3117C"/>
    <w:rsid w:val="00E375CA"/>
    <w:rsid w:val="00E42CD9"/>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0D49"/>
    <w:rsid w:val="00EB2DB3"/>
    <w:rsid w:val="00EC3FBB"/>
    <w:rsid w:val="00EC6B7A"/>
    <w:rsid w:val="00ED3A87"/>
    <w:rsid w:val="00ED4F82"/>
    <w:rsid w:val="00ED5B67"/>
    <w:rsid w:val="00EF264C"/>
    <w:rsid w:val="00EF3FEE"/>
    <w:rsid w:val="00F04B59"/>
    <w:rsid w:val="00F11741"/>
    <w:rsid w:val="00F12B1C"/>
    <w:rsid w:val="00F13CF8"/>
    <w:rsid w:val="00F15855"/>
    <w:rsid w:val="00F200B2"/>
    <w:rsid w:val="00F227DC"/>
    <w:rsid w:val="00F32978"/>
    <w:rsid w:val="00F43BEF"/>
    <w:rsid w:val="00F45CB2"/>
    <w:rsid w:val="00F544C0"/>
    <w:rsid w:val="00F55332"/>
    <w:rsid w:val="00F61C22"/>
    <w:rsid w:val="00F6504A"/>
    <w:rsid w:val="00F65519"/>
    <w:rsid w:val="00F713C0"/>
    <w:rsid w:val="00F75DDC"/>
    <w:rsid w:val="00F7792F"/>
    <w:rsid w:val="00F81B4D"/>
    <w:rsid w:val="00F842AA"/>
    <w:rsid w:val="00F8476F"/>
    <w:rsid w:val="00F853E1"/>
    <w:rsid w:val="00F85604"/>
    <w:rsid w:val="00F85670"/>
    <w:rsid w:val="00F90BC0"/>
    <w:rsid w:val="00F94B7A"/>
    <w:rsid w:val="00FA07C4"/>
    <w:rsid w:val="00FA17AC"/>
    <w:rsid w:val="00FA1BCC"/>
    <w:rsid w:val="00FA32DE"/>
    <w:rsid w:val="00FA3382"/>
    <w:rsid w:val="00FA34B5"/>
    <w:rsid w:val="00FA59CD"/>
    <w:rsid w:val="00FB1740"/>
    <w:rsid w:val="00FB7192"/>
    <w:rsid w:val="00FC5469"/>
    <w:rsid w:val="00FC6D7D"/>
    <w:rsid w:val="00FD16B0"/>
    <w:rsid w:val="00FD4FED"/>
    <w:rsid w:val="00FE0577"/>
    <w:rsid w:val="00FE59EC"/>
    <w:rsid w:val="00FE5B67"/>
    <w:rsid w:val="00FE60D6"/>
    <w:rsid w:val="00FE7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DFAD6902-45BE-466E-B898-924212D2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65B"/>
    <w:rPr>
      <w:sz w:val="24"/>
      <w:szCs w:val="24"/>
    </w:rPr>
  </w:style>
  <w:style w:type="paragraph" w:styleId="Heading1">
    <w:name w:val="heading 1"/>
    <w:basedOn w:val="Normal"/>
    <w:next w:val="BodyText"/>
    <w:link w:val="Heading1Char"/>
    <w:qFormat/>
    <w:rsid w:val="0021665B"/>
    <w:pPr>
      <w:keepNext/>
      <w:spacing w:after="240"/>
      <w:jc w:val="both"/>
      <w:outlineLvl w:val="0"/>
    </w:pPr>
    <w:rPr>
      <w:rFonts w:cs="Arial"/>
      <w:bCs/>
      <w:kern w:val="32"/>
      <w:szCs w:val="32"/>
    </w:rPr>
  </w:style>
  <w:style w:type="paragraph" w:styleId="Heading2">
    <w:name w:val="heading 2"/>
    <w:basedOn w:val="Normal"/>
    <w:next w:val="BodyText"/>
    <w:link w:val="Heading2Char"/>
    <w:qFormat/>
    <w:rsid w:val="0021665B"/>
    <w:pPr>
      <w:keepNext/>
      <w:spacing w:after="240"/>
      <w:jc w:val="both"/>
      <w:outlineLvl w:val="1"/>
    </w:pPr>
    <w:rPr>
      <w:rFonts w:cs="Arial"/>
      <w:bCs/>
      <w:iCs/>
      <w:szCs w:val="28"/>
    </w:rPr>
  </w:style>
  <w:style w:type="paragraph" w:styleId="Heading3">
    <w:name w:val="heading 3"/>
    <w:basedOn w:val="BodyText"/>
    <w:next w:val="BodyText"/>
    <w:qFormat/>
    <w:rsid w:val="0021665B"/>
    <w:pPr>
      <w:outlineLvl w:val="2"/>
    </w:pPr>
  </w:style>
  <w:style w:type="paragraph" w:styleId="Heading4">
    <w:name w:val="heading 4"/>
    <w:basedOn w:val="Normal"/>
    <w:next w:val="Normal"/>
    <w:qFormat/>
    <w:rsid w:val="0021665B"/>
    <w:pPr>
      <w:keepNext/>
      <w:spacing w:before="240" w:after="60"/>
      <w:outlineLvl w:val="3"/>
    </w:pPr>
    <w:rPr>
      <w:b/>
      <w:bCs/>
      <w:sz w:val="28"/>
      <w:szCs w:val="28"/>
    </w:rPr>
  </w:style>
  <w:style w:type="paragraph" w:styleId="Heading5">
    <w:name w:val="heading 5"/>
    <w:basedOn w:val="Normal"/>
    <w:next w:val="Normal"/>
    <w:qFormat/>
    <w:rsid w:val="0021665B"/>
    <w:pPr>
      <w:spacing w:before="240" w:after="60"/>
      <w:outlineLvl w:val="4"/>
    </w:pPr>
    <w:rPr>
      <w:b/>
      <w:bCs/>
      <w:i/>
      <w:iCs/>
      <w:sz w:val="26"/>
      <w:szCs w:val="26"/>
    </w:rPr>
  </w:style>
  <w:style w:type="paragraph" w:styleId="Heading6">
    <w:name w:val="heading 6"/>
    <w:basedOn w:val="Normal"/>
    <w:next w:val="Normal"/>
    <w:qFormat/>
    <w:rsid w:val="0021665B"/>
    <w:pPr>
      <w:spacing w:before="240" w:after="60"/>
      <w:outlineLvl w:val="5"/>
    </w:pPr>
    <w:rPr>
      <w:b/>
      <w:bCs/>
      <w:sz w:val="22"/>
      <w:szCs w:val="22"/>
    </w:rPr>
  </w:style>
  <w:style w:type="paragraph" w:styleId="Heading7">
    <w:name w:val="heading 7"/>
    <w:basedOn w:val="Normal"/>
    <w:next w:val="Normal"/>
    <w:qFormat/>
    <w:rsid w:val="0021665B"/>
    <w:pPr>
      <w:spacing w:before="240" w:after="60"/>
      <w:outlineLvl w:val="6"/>
    </w:pPr>
  </w:style>
  <w:style w:type="paragraph" w:styleId="Heading8">
    <w:name w:val="heading 8"/>
    <w:basedOn w:val="Normal"/>
    <w:next w:val="Normal"/>
    <w:qFormat/>
    <w:rsid w:val="0021665B"/>
    <w:pPr>
      <w:spacing w:before="240" w:after="60"/>
      <w:outlineLvl w:val="7"/>
    </w:pPr>
    <w:rPr>
      <w:i/>
      <w:iCs/>
    </w:rPr>
  </w:style>
  <w:style w:type="paragraph" w:styleId="Heading9">
    <w:name w:val="heading 9"/>
    <w:basedOn w:val="Normal"/>
    <w:next w:val="Normal"/>
    <w:qFormat/>
    <w:rsid w:val="0021665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sid w:val="0021665B"/>
    <w:rPr>
      <w:rFonts w:cs="Arial"/>
      <w:bCs/>
      <w:kern w:val="32"/>
      <w:sz w:val="24"/>
      <w:szCs w:val="32"/>
      <w:lang w:val="en-US" w:eastAsia="en-US" w:bidi="ar-SA"/>
    </w:rPr>
  </w:style>
  <w:style w:type="character" w:customStyle="1" w:styleId="Heading2Char">
    <w:name w:val="Heading 2 Char"/>
    <w:link w:val="Heading2"/>
    <w:rsid w:val="0021665B"/>
    <w:rPr>
      <w:rFonts w:cs="Arial"/>
      <w:bCs/>
      <w:iCs/>
      <w:sz w:val="24"/>
      <w:szCs w:val="28"/>
      <w:lang w:val="en-US" w:eastAsia="en-US" w:bidi="ar-SA"/>
    </w:rPr>
  </w:style>
  <w:style w:type="paragraph" w:styleId="Header">
    <w:name w:val="header"/>
    <w:basedOn w:val="Normal"/>
    <w:rsid w:val="0021665B"/>
    <w:pPr>
      <w:tabs>
        <w:tab w:val="center" w:pos="4320"/>
        <w:tab w:val="right" w:pos="8640"/>
      </w:tabs>
      <w:jc w:val="both"/>
    </w:pPr>
  </w:style>
  <w:style w:type="paragraph" w:styleId="Footer">
    <w:name w:val="footer"/>
    <w:basedOn w:val="Normal"/>
    <w:rsid w:val="0021665B"/>
    <w:pPr>
      <w:tabs>
        <w:tab w:val="center" w:pos="4320"/>
        <w:tab w:val="right" w:pos="8640"/>
      </w:tabs>
    </w:pPr>
  </w:style>
  <w:style w:type="paragraph" w:customStyle="1" w:styleId="MemoAddresses">
    <w:name w:val="Memo Addresses"/>
    <w:basedOn w:val="Normal"/>
    <w:next w:val="Normal"/>
    <w:rsid w:val="0021665B"/>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rsid w:val="0021665B"/>
    <w:pPr>
      <w:jc w:val="center"/>
    </w:pPr>
    <w:rPr>
      <w:b/>
      <w:sz w:val="28"/>
      <w:szCs w:val="28"/>
    </w:rPr>
  </w:style>
  <w:style w:type="paragraph" w:customStyle="1" w:styleId="MastHeadAddress">
    <w:name w:val="MastHead Address"/>
    <w:basedOn w:val="Normal"/>
    <w:next w:val="Normal"/>
    <w:rsid w:val="0021665B"/>
    <w:pPr>
      <w:spacing w:after="200"/>
      <w:jc w:val="center"/>
    </w:pPr>
    <w:rPr>
      <w:b/>
      <w:smallCaps/>
      <w:sz w:val="20"/>
      <w:szCs w:val="20"/>
    </w:rPr>
  </w:style>
  <w:style w:type="paragraph" w:customStyle="1" w:styleId="MastHeadState">
    <w:name w:val="MastHead State"/>
    <w:basedOn w:val="Normal"/>
    <w:next w:val="Normal"/>
    <w:rsid w:val="0021665B"/>
    <w:pPr>
      <w:jc w:val="center"/>
    </w:pPr>
    <w:rPr>
      <w:b/>
      <w:sz w:val="28"/>
      <w:szCs w:val="28"/>
    </w:rPr>
  </w:style>
  <w:style w:type="table" w:styleId="TableGrid">
    <w:name w:val="Table Grid"/>
    <w:basedOn w:val="TableNormal"/>
    <w:rsid w:val="00216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rsid w:val="0021665B"/>
    <w:pPr>
      <w:jc w:val="both"/>
    </w:pPr>
  </w:style>
  <w:style w:type="paragraph" w:customStyle="1" w:styleId="BlockText5">
    <w:name w:val="Block Text .5&quot;"/>
    <w:basedOn w:val="Normal"/>
    <w:rsid w:val="0021665B"/>
    <w:pPr>
      <w:spacing w:after="120"/>
      <w:ind w:left="720" w:right="720"/>
    </w:pPr>
  </w:style>
  <w:style w:type="paragraph" w:customStyle="1" w:styleId="BlockText1">
    <w:name w:val="Block Text 1&quot;"/>
    <w:basedOn w:val="Normal"/>
    <w:rsid w:val="0021665B"/>
    <w:pPr>
      <w:spacing w:after="120"/>
      <w:ind w:left="1440" w:right="1440"/>
    </w:pPr>
  </w:style>
  <w:style w:type="paragraph" w:customStyle="1" w:styleId="BlockText15">
    <w:name w:val="Block Text 1.5&quot;"/>
    <w:basedOn w:val="Normal"/>
    <w:rsid w:val="0021665B"/>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rsid w:val="0021665B"/>
    <w:pPr>
      <w:tabs>
        <w:tab w:val="left" w:pos="2520"/>
        <w:tab w:val="left" w:pos="2736"/>
      </w:tabs>
    </w:pPr>
  </w:style>
  <w:style w:type="paragraph" w:styleId="TOC1">
    <w:name w:val="toc 1"/>
    <w:basedOn w:val="Normal"/>
    <w:next w:val="Normal"/>
    <w:rsid w:val="0021665B"/>
    <w:pPr>
      <w:tabs>
        <w:tab w:val="left" w:pos="864"/>
        <w:tab w:val="right" w:leader="dot" w:pos="9360"/>
      </w:tabs>
      <w:ind w:left="864" w:right="360" w:hanging="864"/>
    </w:pPr>
  </w:style>
  <w:style w:type="character" w:styleId="Hyperlink">
    <w:name w:val="Hyperlink"/>
    <w:rsid w:val="0021665B"/>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rsid w:val="0021665B"/>
    <w:pPr>
      <w:keepNext w:val="0"/>
      <w:jc w:val="center"/>
    </w:pPr>
    <w:rPr>
      <w:b/>
      <w:u w:val="single"/>
    </w:rPr>
  </w:style>
  <w:style w:type="paragraph" w:customStyle="1" w:styleId="DiscussionofIssues">
    <w:name w:val="Discussion of Issues"/>
    <w:basedOn w:val="RecommendationMajorSectionHeading"/>
    <w:next w:val="BodyText"/>
    <w:rsid w:val="0021665B"/>
    <w:pPr>
      <w:spacing w:after="0"/>
    </w:pPr>
  </w:style>
  <w:style w:type="character" w:styleId="PageNumber">
    <w:name w:val="page number"/>
    <w:basedOn w:val="DefaultParagraphFont"/>
    <w:rsid w:val="0021665B"/>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rsid w:val="0021665B"/>
    <w:tblPr/>
  </w:style>
  <w:style w:type="paragraph" w:customStyle="1" w:styleId="StyleHeading1BoldUnderline">
    <w:name w:val="Style Heading 1 + Bold Underline"/>
    <w:basedOn w:val="Heading1"/>
    <w:link w:val="StyleHeading1BoldUnderlineChar"/>
    <w:rsid w:val="0021665B"/>
    <w:pPr>
      <w:keepNext w:val="0"/>
      <w:spacing w:before="240"/>
    </w:pPr>
    <w:rPr>
      <w:b/>
      <w:u w:val="single"/>
    </w:rPr>
  </w:style>
  <w:style w:type="character" w:customStyle="1" w:styleId="StyleHeading1BoldUnderlineChar">
    <w:name w:val="Style Heading 1 + Bold Underline Char"/>
    <w:link w:val="StyleHeading1BoldUnderline"/>
    <w:rsid w:val="0021665B"/>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rsid w:val="0021665B"/>
    <w:pPr>
      <w:jc w:val="left"/>
    </w:pPr>
  </w:style>
  <w:style w:type="paragraph" w:styleId="FootnoteText">
    <w:name w:val="footnote text"/>
    <w:basedOn w:val="Normal"/>
    <w:rsid w:val="0021665B"/>
    <w:pPr>
      <w:jc w:val="both"/>
    </w:pPr>
    <w:rPr>
      <w:sz w:val="20"/>
      <w:szCs w:val="20"/>
    </w:rPr>
  </w:style>
  <w:style w:type="paragraph" w:styleId="TOC3">
    <w:name w:val="toc 3"/>
    <w:basedOn w:val="TOC2"/>
    <w:next w:val="Normal"/>
    <w:rsid w:val="0021665B"/>
    <w:pPr>
      <w:tabs>
        <w:tab w:val="clear" w:pos="1152"/>
        <w:tab w:val="left" w:pos="1584"/>
      </w:tabs>
      <w:ind w:left="1584" w:hanging="432"/>
    </w:pPr>
  </w:style>
  <w:style w:type="paragraph" w:styleId="TOC2">
    <w:name w:val="toc 2"/>
    <w:basedOn w:val="TOC1"/>
    <w:next w:val="Normal"/>
    <w:rsid w:val="0021665B"/>
    <w:pPr>
      <w:tabs>
        <w:tab w:val="clear" w:pos="864"/>
        <w:tab w:val="left" w:pos="1152"/>
      </w:tabs>
      <w:ind w:left="1152" w:hanging="288"/>
    </w:pPr>
  </w:style>
  <w:style w:type="paragraph" w:styleId="DocumentMap">
    <w:name w:val="Document Map"/>
    <w:basedOn w:val="Normal"/>
    <w:semiHidden/>
    <w:rsid w:val="0021665B"/>
    <w:pPr>
      <w:shd w:val="clear" w:color="auto" w:fill="000080"/>
    </w:pPr>
    <w:rPr>
      <w:rFonts w:ascii="Tahoma" w:hAnsi="Tahoma" w:cs="Tahoma"/>
    </w:rPr>
  </w:style>
  <w:style w:type="paragraph" w:styleId="BalloonText">
    <w:name w:val="Balloon Text"/>
    <w:basedOn w:val="Normal"/>
    <w:semiHidden/>
    <w:rsid w:val="0021665B"/>
    <w:rPr>
      <w:rFonts w:ascii="Tahoma" w:hAnsi="Tahoma" w:cs="Tahoma"/>
      <w:sz w:val="16"/>
      <w:szCs w:val="16"/>
    </w:rPr>
  </w:style>
  <w:style w:type="paragraph" w:styleId="BlockText">
    <w:name w:val="Block Text"/>
    <w:basedOn w:val="Normal"/>
    <w:rsid w:val="0021665B"/>
    <w:pPr>
      <w:spacing w:after="120"/>
      <w:ind w:left="1440" w:right="1440"/>
    </w:pPr>
  </w:style>
  <w:style w:type="paragraph" w:styleId="BodyText2">
    <w:name w:val="Body Text 2"/>
    <w:basedOn w:val="Normal"/>
    <w:rsid w:val="0021665B"/>
    <w:pPr>
      <w:spacing w:after="120" w:line="480" w:lineRule="auto"/>
    </w:pPr>
  </w:style>
  <w:style w:type="paragraph" w:styleId="BodyText3">
    <w:name w:val="Body Text 3"/>
    <w:basedOn w:val="Normal"/>
    <w:rsid w:val="0021665B"/>
    <w:pPr>
      <w:spacing w:after="120"/>
    </w:pPr>
    <w:rPr>
      <w:sz w:val="16"/>
      <w:szCs w:val="16"/>
    </w:rPr>
  </w:style>
  <w:style w:type="paragraph" w:styleId="BodyTextFirstIndent">
    <w:name w:val="Body Text First Indent"/>
    <w:basedOn w:val="BodyText"/>
    <w:rsid w:val="0021665B"/>
    <w:pPr>
      <w:spacing w:after="120"/>
      <w:ind w:firstLine="210"/>
      <w:jc w:val="left"/>
    </w:pPr>
  </w:style>
  <w:style w:type="paragraph" w:styleId="BodyTextIndent">
    <w:name w:val="Body Text Indent"/>
    <w:basedOn w:val="Normal"/>
    <w:rsid w:val="0021665B"/>
    <w:pPr>
      <w:spacing w:after="120"/>
      <w:ind w:left="360"/>
    </w:pPr>
  </w:style>
  <w:style w:type="paragraph" w:styleId="BodyTextFirstIndent2">
    <w:name w:val="Body Text First Indent 2"/>
    <w:basedOn w:val="BodyTextIndent"/>
    <w:rsid w:val="0021665B"/>
    <w:pPr>
      <w:ind w:firstLine="210"/>
    </w:pPr>
  </w:style>
  <w:style w:type="paragraph" w:styleId="BodyTextIndent2">
    <w:name w:val="Body Text Indent 2"/>
    <w:basedOn w:val="Normal"/>
    <w:rsid w:val="0021665B"/>
    <w:pPr>
      <w:spacing w:after="120" w:line="480" w:lineRule="auto"/>
      <w:ind w:left="360"/>
    </w:pPr>
  </w:style>
  <w:style w:type="paragraph" w:styleId="BodyTextIndent3">
    <w:name w:val="Body Text Indent 3"/>
    <w:basedOn w:val="Normal"/>
    <w:rsid w:val="0021665B"/>
    <w:pPr>
      <w:spacing w:after="120"/>
      <w:ind w:left="360"/>
    </w:pPr>
    <w:rPr>
      <w:sz w:val="16"/>
      <w:szCs w:val="16"/>
    </w:rPr>
  </w:style>
  <w:style w:type="paragraph" w:styleId="Caption">
    <w:name w:val="caption"/>
    <w:basedOn w:val="Normal"/>
    <w:next w:val="Normal"/>
    <w:qFormat/>
    <w:rsid w:val="0021665B"/>
    <w:pPr>
      <w:spacing w:before="120" w:after="120"/>
    </w:pPr>
    <w:rPr>
      <w:b/>
      <w:bCs/>
      <w:sz w:val="20"/>
      <w:szCs w:val="20"/>
    </w:rPr>
  </w:style>
  <w:style w:type="paragraph" w:styleId="Closing">
    <w:name w:val="Closing"/>
    <w:basedOn w:val="Normal"/>
    <w:rsid w:val="0021665B"/>
    <w:pPr>
      <w:ind w:left="4320"/>
    </w:pPr>
  </w:style>
  <w:style w:type="paragraph" w:styleId="CommentText">
    <w:name w:val="annotation text"/>
    <w:basedOn w:val="Normal"/>
    <w:semiHidden/>
    <w:rsid w:val="0021665B"/>
    <w:rPr>
      <w:sz w:val="20"/>
      <w:szCs w:val="20"/>
    </w:rPr>
  </w:style>
  <w:style w:type="paragraph" w:styleId="CommentSubject">
    <w:name w:val="annotation subject"/>
    <w:basedOn w:val="CommentText"/>
    <w:next w:val="CommentText"/>
    <w:semiHidden/>
    <w:rsid w:val="0021665B"/>
    <w:rPr>
      <w:b/>
      <w:bCs/>
    </w:rPr>
  </w:style>
  <w:style w:type="paragraph" w:styleId="Date">
    <w:name w:val="Date"/>
    <w:basedOn w:val="Normal"/>
    <w:next w:val="Normal"/>
    <w:rsid w:val="0021665B"/>
  </w:style>
  <w:style w:type="paragraph" w:styleId="E-mailSignature">
    <w:name w:val="E-mail Signature"/>
    <w:basedOn w:val="Normal"/>
    <w:rsid w:val="0021665B"/>
  </w:style>
  <w:style w:type="paragraph" w:styleId="EndnoteText">
    <w:name w:val="endnote text"/>
    <w:basedOn w:val="Normal"/>
    <w:semiHidden/>
    <w:rsid w:val="0021665B"/>
    <w:rPr>
      <w:sz w:val="20"/>
      <w:szCs w:val="20"/>
    </w:rPr>
  </w:style>
  <w:style w:type="paragraph" w:styleId="EnvelopeAddress">
    <w:name w:val="envelope address"/>
    <w:basedOn w:val="Normal"/>
    <w:rsid w:val="0021665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1665B"/>
    <w:rPr>
      <w:rFonts w:ascii="Arial" w:hAnsi="Arial" w:cs="Arial"/>
      <w:sz w:val="20"/>
      <w:szCs w:val="20"/>
    </w:rPr>
  </w:style>
  <w:style w:type="paragraph" w:styleId="HTMLAddress">
    <w:name w:val="HTML Address"/>
    <w:basedOn w:val="Normal"/>
    <w:rsid w:val="0021665B"/>
    <w:rPr>
      <w:i/>
      <w:iCs/>
    </w:rPr>
  </w:style>
  <w:style w:type="paragraph" w:styleId="HTMLPreformatted">
    <w:name w:val="HTML Preformatted"/>
    <w:basedOn w:val="Normal"/>
    <w:rsid w:val="0021665B"/>
    <w:rPr>
      <w:rFonts w:ascii="Courier New" w:hAnsi="Courier New" w:cs="Courier New"/>
      <w:sz w:val="20"/>
      <w:szCs w:val="20"/>
    </w:rPr>
  </w:style>
  <w:style w:type="paragraph" w:styleId="Index1">
    <w:name w:val="index 1"/>
    <w:basedOn w:val="Normal"/>
    <w:next w:val="Normal"/>
    <w:autoRedefine/>
    <w:semiHidden/>
    <w:rsid w:val="0021665B"/>
    <w:pPr>
      <w:ind w:left="240" w:hanging="240"/>
    </w:pPr>
  </w:style>
  <w:style w:type="paragraph" w:styleId="Index2">
    <w:name w:val="index 2"/>
    <w:basedOn w:val="Normal"/>
    <w:next w:val="Normal"/>
    <w:autoRedefine/>
    <w:semiHidden/>
    <w:rsid w:val="0021665B"/>
    <w:pPr>
      <w:ind w:left="480" w:hanging="240"/>
    </w:pPr>
  </w:style>
  <w:style w:type="paragraph" w:styleId="Index3">
    <w:name w:val="index 3"/>
    <w:basedOn w:val="Normal"/>
    <w:next w:val="Normal"/>
    <w:autoRedefine/>
    <w:semiHidden/>
    <w:rsid w:val="0021665B"/>
    <w:pPr>
      <w:ind w:left="720" w:hanging="240"/>
    </w:pPr>
  </w:style>
  <w:style w:type="paragraph" w:styleId="Index4">
    <w:name w:val="index 4"/>
    <w:basedOn w:val="Normal"/>
    <w:next w:val="Normal"/>
    <w:autoRedefine/>
    <w:semiHidden/>
    <w:rsid w:val="0021665B"/>
    <w:pPr>
      <w:ind w:left="960" w:hanging="240"/>
    </w:pPr>
  </w:style>
  <w:style w:type="paragraph" w:styleId="Index5">
    <w:name w:val="index 5"/>
    <w:basedOn w:val="Normal"/>
    <w:next w:val="Normal"/>
    <w:autoRedefine/>
    <w:semiHidden/>
    <w:rsid w:val="0021665B"/>
    <w:pPr>
      <w:ind w:left="1200" w:hanging="240"/>
    </w:pPr>
  </w:style>
  <w:style w:type="paragraph" w:styleId="Index6">
    <w:name w:val="index 6"/>
    <w:basedOn w:val="Normal"/>
    <w:next w:val="Normal"/>
    <w:autoRedefine/>
    <w:semiHidden/>
    <w:rsid w:val="0021665B"/>
    <w:pPr>
      <w:ind w:left="1440" w:hanging="240"/>
    </w:pPr>
  </w:style>
  <w:style w:type="paragraph" w:styleId="Index7">
    <w:name w:val="index 7"/>
    <w:basedOn w:val="Normal"/>
    <w:next w:val="Normal"/>
    <w:autoRedefine/>
    <w:semiHidden/>
    <w:rsid w:val="0021665B"/>
    <w:pPr>
      <w:ind w:left="1680" w:hanging="240"/>
    </w:pPr>
  </w:style>
  <w:style w:type="paragraph" w:styleId="Index8">
    <w:name w:val="index 8"/>
    <w:basedOn w:val="Normal"/>
    <w:next w:val="Normal"/>
    <w:autoRedefine/>
    <w:semiHidden/>
    <w:rsid w:val="0021665B"/>
    <w:pPr>
      <w:ind w:left="1920" w:hanging="240"/>
    </w:pPr>
  </w:style>
  <w:style w:type="paragraph" w:styleId="Index9">
    <w:name w:val="index 9"/>
    <w:basedOn w:val="Normal"/>
    <w:next w:val="Normal"/>
    <w:autoRedefine/>
    <w:semiHidden/>
    <w:rsid w:val="0021665B"/>
    <w:pPr>
      <w:ind w:left="2160" w:hanging="240"/>
    </w:pPr>
  </w:style>
  <w:style w:type="paragraph" w:styleId="IndexHeading">
    <w:name w:val="index heading"/>
    <w:basedOn w:val="Normal"/>
    <w:next w:val="Index1"/>
    <w:semiHidden/>
    <w:rsid w:val="0021665B"/>
    <w:rPr>
      <w:rFonts w:ascii="Arial" w:hAnsi="Arial" w:cs="Arial"/>
      <w:b/>
      <w:bCs/>
    </w:rPr>
  </w:style>
  <w:style w:type="paragraph" w:styleId="List">
    <w:name w:val="List"/>
    <w:basedOn w:val="Normal"/>
    <w:rsid w:val="0021665B"/>
    <w:pPr>
      <w:ind w:left="360" w:hanging="360"/>
    </w:pPr>
  </w:style>
  <w:style w:type="paragraph" w:styleId="List2">
    <w:name w:val="List 2"/>
    <w:basedOn w:val="Normal"/>
    <w:rsid w:val="0021665B"/>
    <w:pPr>
      <w:ind w:left="720" w:hanging="360"/>
    </w:pPr>
  </w:style>
  <w:style w:type="paragraph" w:styleId="List3">
    <w:name w:val="List 3"/>
    <w:basedOn w:val="Normal"/>
    <w:rsid w:val="0021665B"/>
    <w:pPr>
      <w:ind w:left="1080" w:hanging="360"/>
    </w:pPr>
  </w:style>
  <w:style w:type="paragraph" w:styleId="List4">
    <w:name w:val="List 4"/>
    <w:basedOn w:val="Normal"/>
    <w:rsid w:val="0021665B"/>
    <w:pPr>
      <w:ind w:left="1440" w:hanging="360"/>
    </w:pPr>
  </w:style>
  <w:style w:type="paragraph" w:styleId="List5">
    <w:name w:val="List 5"/>
    <w:basedOn w:val="Normal"/>
    <w:rsid w:val="0021665B"/>
    <w:pPr>
      <w:ind w:left="1800" w:hanging="360"/>
    </w:pPr>
  </w:style>
  <w:style w:type="paragraph" w:styleId="ListBullet">
    <w:name w:val="List Bullet"/>
    <w:basedOn w:val="Normal"/>
    <w:autoRedefine/>
    <w:rsid w:val="0021665B"/>
    <w:pPr>
      <w:tabs>
        <w:tab w:val="num" w:pos="360"/>
      </w:tabs>
      <w:ind w:left="360" w:hanging="360"/>
    </w:pPr>
  </w:style>
  <w:style w:type="paragraph" w:styleId="ListBullet2">
    <w:name w:val="List Bullet 2"/>
    <w:basedOn w:val="Normal"/>
    <w:autoRedefine/>
    <w:rsid w:val="0021665B"/>
    <w:pPr>
      <w:tabs>
        <w:tab w:val="num" w:pos="720"/>
      </w:tabs>
      <w:ind w:left="720" w:hanging="360"/>
    </w:pPr>
  </w:style>
  <w:style w:type="paragraph" w:styleId="ListBullet3">
    <w:name w:val="List Bullet 3"/>
    <w:basedOn w:val="Normal"/>
    <w:autoRedefine/>
    <w:rsid w:val="0021665B"/>
    <w:pPr>
      <w:tabs>
        <w:tab w:val="num" w:pos="1080"/>
      </w:tabs>
      <w:ind w:left="1080" w:hanging="360"/>
    </w:pPr>
  </w:style>
  <w:style w:type="paragraph" w:styleId="ListBullet4">
    <w:name w:val="List Bullet 4"/>
    <w:basedOn w:val="Normal"/>
    <w:autoRedefine/>
    <w:rsid w:val="0021665B"/>
    <w:pPr>
      <w:tabs>
        <w:tab w:val="num" w:pos="1440"/>
      </w:tabs>
      <w:ind w:left="1440" w:hanging="360"/>
    </w:pPr>
  </w:style>
  <w:style w:type="paragraph" w:styleId="ListBullet5">
    <w:name w:val="List Bullet 5"/>
    <w:basedOn w:val="Normal"/>
    <w:autoRedefine/>
    <w:rsid w:val="0021665B"/>
    <w:pPr>
      <w:tabs>
        <w:tab w:val="num" w:pos="1800"/>
      </w:tabs>
      <w:ind w:left="1800" w:hanging="360"/>
    </w:pPr>
  </w:style>
  <w:style w:type="paragraph" w:styleId="ListContinue">
    <w:name w:val="List Continue"/>
    <w:basedOn w:val="Normal"/>
    <w:rsid w:val="0021665B"/>
    <w:pPr>
      <w:spacing w:after="120"/>
      <w:ind w:left="360"/>
    </w:pPr>
  </w:style>
  <w:style w:type="paragraph" w:styleId="ListContinue2">
    <w:name w:val="List Continue 2"/>
    <w:basedOn w:val="Normal"/>
    <w:rsid w:val="0021665B"/>
    <w:pPr>
      <w:spacing w:after="120"/>
      <w:ind w:left="720"/>
    </w:pPr>
  </w:style>
  <w:style w:type="paragraph" w:styleId="ListContinue3">
    <w:name w:val="List Continue 3"/>
    <w:basedOn w:val="Normal"/>
    <w:rsid w:val="0021665B"/>
    <w:pPr>
      <w:spacing w:after="120"/>
      <w:ind w:left="1080"/>
    </w:pPr>
  </w:style>
  <w:style w:type="paragraph" w:styleId="ListContinue4">
    <w:name w:val="List Continue 4"/>
    <w:basedOn w:val="Normal"/>
    <w:rsid w:val="0021665B"/>
    <w:pPr>
      <w:spacing w:after="120"/>
      <w:ind w:left="1440"/>
    </w:pPr>
  </w:style>
  <w:style w:type="paragraph" w:styleId="ListContinue5">
    <w:name w:val="List Continue 5"/>
    <w:basedOn w:val="Normal"/>
    <w:rsid w:val="0021665B"/>
    <w:pPr>
      <w:spacing w:after="120"/>
      <w:ind w:left="1800"/>
    </w:pPr>
  </w:style>
  <w:style w:type="paragraph" w:styleId="ListNumber">
    <w:name w:val="List Number"/>
    <w:basedOn w:val="Normal"/>
    <w:rsid w:val="0021665B"/>
    <w:pPr>
      <w:tabs>
        <w:tab w:val="num" w:pos="360"/>
      </w:tabs>
      <w:ind w:left="360" w:hanging="360"/>
    </w:pPr>
  </w:style>
  <w:style w:type="paragraph" w:styleId="ListNumber2">
    <w:name w:val="List Number 2"/>
    <w:basedOn w:val="Normal"/>
    <w:rsid w:val="0021665B"/>
    <w:pPr>
      <w:tabs>
        <w:tab w:val="num" w:pos="720"/>
      </w:tabs>
      <w:ind w:left="720" w:hanging="360"/>
    </w:pPr>
  </w:style>
  <w:style w:type="paragraph" w:styleId="ListNumber3">
    <w:name w:val="List Number 3"/>
    <w:basedOn w:val="Normal"/>
    <w:rsid w:val="0021665B"/>
    <w:pPr>
      <w:tabs>
        <w:tab w:val="num" w:pos="1080"/>
      </w:tabs>
      <w:ind w:left="1080" w:hanging="360"/>
    </w:pPr>
  </w:style>
  <w:style w:type="paragraph" w:styleId="ListNumber4">
    <w:name w:val="List Number 4"/>
    <w:basedOn w:val="Normal"/>
    <w:rsid w:val="0021665B"/>
    <w:pPr>
      <w:tabs>
        <w:tab w:val="num" w:pos="1440"/>
      </w:tabs>
      <w:ind w:left="1440" w:hanging="360"/>
    </w:pPr>
  </w:style>
  <w:style w:type="paragraph" w:styleId="ListNumber5">
    <w:name w:val="List Number 5"/>
    <w:basedOn w:val="Normal"/>
    <w:rsid w:val="0021665B"/>
    <w:pPr>
      <w:tabs>
        <w:tab w:val="num" w:pos="1800"/>
      </w:tabs>
      <w:ind w:left="1800" w:hanging="360"/>
    </w:pPr>
  </w:style>
  <w:style w:type="paragraph" w:styleId="MacroText">
    <w:name w:val="macro"/>
    <w:semiHidden/>
    <w:rsid w:val="0021665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21665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21665B"/>
  </w:style>
  <w:style w:type="paragraph" w:styleId="NormalIndent">
    <w:name w:val="Normal Indent"/>
    <w:basedOn w:val="Normal"/>
    <w:rsid w:val="0021665B"/>
    <w:pPr>
      <w:ind w:left="720"/>
    </w:pPr>
  </w:style>
  <w:style w:type="paragraph" w:styleId="NoteHeading">
    <w:name w:val="Note Heading"/>
    <w:basedOn w:val="Normal"/>
    <w:next w:val="Normal"/>
    <w:rsid w:val="0021665B"/>
  </w:style>
  <w:style w:type="paragraph" w:styleId="PlainText">
    <w:name w:val="Plain Text"/>
    <w:basedOn w:val="Normal"/>
    <w:rsid w:val="0021665B"/>
    <w:rPr>
      <w:rFonts w:ascii="Courier New" w:hAnsi="Courier New" w:cs="Courier New"/>
      <w:sz w:val="20"/>
      <w:szCs w:val="20"/>
    </w:rPr>
  </w:style>
  <w:style w:type="paragraph" w:styleId="Salutation">
    <w:name w:val="Salutation"/>
    <w:basedOn w:val="Normal"/>
    <w:next w:val="Normal"/>
    <w:rsid w:val="0021665B"/>
  </w:style>
  <w:style w:type="paragraph" w:styleId="Signature">
    <w:name w:val="Signature"/>
    <w:basedOn w:val="Normal"/>
    <w:rsid w:val="0021665B"/>
    <w:pPr>
      <w:ind w:left="4320"/>
    </w:pPr>
  </w:style>
  <w:style w:type="paragraph" w:styleId="Subtitle">
    <w:name w:val="Subtitle"/>
    <w:basedOn w:val="Normal"/>
    <w:qFormat/>
    <w:rsid w:val="0021665B"/>
    <w:pPr>
      <w:spacing w:after="60"/>
      <w:jc w:val="center"/>
      <w:outlineLvl w:val="1"/>
    </w:pPr>
    <w:rPr>
      <w:rFonts w:ascii="Arial" w:hAnsi="Arial" w:cs="Arial"/>
    </w:rPr>
  </w:style>
  <w:style w:type="paragraph" w:styleId="TableofAuthorities">
    <w:name w:val="table of authorities"/>
    <w:basedOn w:val="Normal"/>
    <w:next w:val="Normal"/>
    <w:semiHidden/>
    <w:rsid w:val="0021665B"/>
    <w:pPr>
      <w:ind w:left="240" w:hanging="240"/>
    </w:pPr>
  </w:style>
  <w:style w:type="paragraph" w:styleId="TableofFigures">
    <w:name w:val="table of figures"/>
    <w:basedOn w:val="Normal"/>
    <w:next w:val="Normal"/>
    <w:semiHidden/>
    <w:rsid w:val="0021665B"/>
    <w:pPr>
      <w:ind w:left="480" w:hanging="480"/>
    </w:pPr>
  </w:style>
  <w:style w:type="paragraph" w:styleId="Title">
    <w:name w:val="Title"/>
    <w:basedOn w:val="Normal"/>
    <w:qFormat/>
    <w:rsid w:val="0021665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21665B"/>
    <w:pPr>
      <w:spacing w:before="120"/>
    </w:pPr>
    <w:rPr>
      <w:rFonts w:ascii="Arial" w:hAnsi="Arial" w:cs="Arial"/>
      <w:b/>
      <w:bCs/>
    </w:rPr>
  </w:style>
  <w:style w:type="paragraph" w:styleId="TOC4">
    <w:name w:val="toc 4"/>
    <w:basedOn w:val="Normal"/>
    <w:next w:val="Normal"/>
    <w:autoRedefine/>
    <w:semiHidden/>
    <w:rsid w:val="0021665B"/>
    <w:pPr>
      <w:ind w:left="720"/>
    </w:pPr>
  </w:style>
  <w:style w:type="paragraph" w:styleId="TOC5">
    <w:name w:val="toc 5"/>
    <w:basedOn w:val="Normal"/>
    <w:next w:val="Normal"/>
    <w:autoRedefine/>
    <w:semiHidden/>
    <w:rsid w:val="0021665B"/>
    <w:pPr>
      <w:ind w:left="960"/>
    </w:pPr>
  </w:style>
  <w:style w:type="paragraph" w:styleId="TOC6">
    <w:name w:val="toc 6"/>
    <w:basedOn w:val="Normal"/>
    <w:next w:val="Normal"/>
    <w:autoRedefine/>
    <w:semiHidden/>
    <w:rsid w:val="0021665B"/>
    <w:pPr>
      <w:ind w:left="1200"/>
    </w:pPr>
  </w:style>
  <w:style w:type="paragraph" w:styleId="TOC9">
    <w:name w:val="toc 9"/>
    <w:basedOn w:val="TOC1"/>
    <w:next w:val="Normal"/>
    <w:autoRedefine/>
    <w:rsid w:val="0021665B"/>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9A57F5"/>
    <w:rPr>
      <w:vertAlign w:val="superscript"/>
    </w:rPr>
  </w:style>
  <w:style w:type="paragraph" w:styleId="Revision">
    <w:name w:val="Revision"/>
    <w:hidden/>
    <w:uiPriority w:val="99"/>
    <w:semiHidden/>
    <w:rsid w:val="00AF4B6D"/>
    <w:rPr>
      <w:sz w:val="24"/>
      <w:szCs w:val="24"/>
    </w:rPr>
  </w:style>
  <w:style w:type="character" w:styleId="CommentReference">
    <w:name w:val="annotation reference"/>
    <w:basedOn w:val="DefaultParagraphFont"/>
    <w:semiHidden/>
    <w:unhideWhenUsed/>
    <w:rsid w:val="00B658C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075BB-9CB1-46E8-AF9E-7035F9277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4</Pages>
  <Words>1028</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Curt Mouring</dc:creator>
  <cp:lastModifiedBy>Sara Boyer</cp:lastModifiedBy>
  <cp:revision>2</cp:revision>
  <cp:lastPrinted>2004-01-27T20:32:00Z</cp:lastPrinted>
  <dcterms:created xsi:type="dcterms:W3CDTF">2021-04-22T13:19:00Z</dcterms:created>
  <dcterms:modified xsi:type="dcterms:W3CDTF">2021-04-22T13:19:00Z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20210015-EI</vt:lpwstr>
  </property>
  <property fmtid="{D5CDD505-2E9C-101B-9397-08002B2CF9AE}" pid="3" name="MasterDocument">
    <vt:bool>false</vt:bool>
  </property>
</Properties>
</file>