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ED940" w14:textId="77777777" w:rsidR="00CB5276" w:rsidRDefault="00542677" w:rsidP="00542677">
      <w:pPr>
        <w:pStyle w:val="OrderHeading"/>
      </w:pPr>
      <w:r>
        <w:t>BEFORE THE FLORIDA PUBLIC SERVICE COMMISSION</w:t>
      </w:r>
    </w:p>
    <w:p w14:paraId="3C313528" w14:textId="77777777" w:rsidR="00542677" w:rsidRDefault="00542677" w:rsidP="00542677">
      <w:pPr>
        <w:pStyle w:val="OrderBody"/>
      </w:pPr>
    </w:p>
    <w:p w14:paraId="46D10F41" w14:textId="77777777" w:rsidR="00542677" w:rsidRDefault="00542677" w:rsidP="0054267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42677" w:rsidRPr="00C63FCF" w14:paraId="2B39CD75" w14:textId="77777777" w:rsidTr="00C63FCF">
        <w:trPr>
          <w:trHeight w:val="828"/>
        </w:trPr>
        <w:tc>
          <w:tcPr>
            <w:tcW w:w="4788" w:type="dxa"/>
            <w:tcBorders>
              <w:bottom w:val="single" w:sz="8" w:space="0" w:color="auto"/>
              <w:right w:val="double" w:sz="6" w:space="0" w:color="auto"/>
            </w:tcBorders>
            <w:shd w:val="clear" w:color="auto" w:fill="auto"/>
          </w:tcPr>
          <w:p w14:paraId="5D4314A4" w14:textId="77777777" w:rsidR="00542677" w:rsidRDefault="00542677"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717BC439" w14:textId="77777777" w:rsidR="00542677" w:rsidRDefault="00542677" w:rsidP="00542677">
            <w:pPr>
              <w:pStyle w:val="OrderBody"/>
            </w:pPr>
            <w:r>
              <w:t xml:space="preserve">DOCKET NO. </w:t>
            </w:r>
            <w:bookmarkStart w:id="1" w:name="SSDocketNo"/>
            <w:bookmarkEnd w:id="1"/>
            <w:r>
              <w:t>20210015-EI</w:t>
            </w:r>
          </w:p>
          <w:p w14:paraId="3423A715" w14:textId="0666397F" w:rsidR="00542677" w:rsidRDefault="00542677" w:rsidP="00C63FCF">
            <w:pPr>
              <w:pStyle w:val="OrderBody"/>
              <w:tabs>
                <w:tab w:val="center" w:pos="4320"/>
                <w:tab w:val="right" w:pos="8640"/>
              </w:tabs>
              <w:jc w:val="left"/>
            </w:pPr>
            <w:r>
              <w:t xml:space="preserve">ORDER NO. </w:t>
            </w:r>
            <w:bookmarkStart w:id="2" w:name="OrderNo0256"/>
            <w:r w:rsidR="00A53C92">
              <w:t>PSC-2021-0256-PCO-EI</w:t>
            </w:r>
            <w:bookmarkEnd w:id="2"/>
          </w:p>
          <w:p w14:paraId="56CDAB84" w14:textId="1FF6CC3C" w:rsidR="00542677" w:rsidRDefault="00542677" w:rsidP="00C63FCF">
            <w:pPr>
              <w:pStyle w:val="OrderBody"/>
              <w:tabs>
                <w:tab w:val="center" w:pos="4320"/>
                <w:tab w:val="right" w:pos="8640"/>
              </w:tabs>
              <w:jc w:val="left"/>
            </w:pPr>
            <w:r>
              <w:t xml:space="preserve">ISSUED: </w:t>
            </w:r>
            <w:r w:rsidR="00A53C92">
              <w:t>July 13, 2021</w:t>
            </w:r>
          </w:p>
        </w:tc>
      </w:tr>
    </w:tbl>
    <w:p w14:paraId="638BC78F" w14:textId="77777777" w:rsidR="00542677" w:rsidRDefault="00542677" w:rsidP="00542677"/>
    <w:p w14:paraId="0473B2C9" w14:textId="77777777" w:rsidR="00CB5276" w:rsidRDefault="00CB5276">
      <w:pPr>
        <w:pStyle w:val="OrderBody"/>
      </w:pPr>
    </w:p>
    <w:p w14:paraId="659E89D5" w14:textId="77777777" w:rsidR="00145460" w:rsidRDefault="00542677" w:rsidP="00542677">
      <w:pPr>
        <w:pStyle w:val="CenterUnderline"/>
      </w:pPr>
      <w:r>
        <w:t>ORDER</w:t>
      </w:r>
      <w:bookmarkStart w:id="3" w:name="OrderTitle"/>
      <w:r>
        <w:t xml:space="preserve"> DENYING</w:t>
      </w:r>
      <w:r w:rsidR="00145460" w:rsidRPr="00145460">
        <w:t xml:space="preserve"> </w:t>
      </w:r>
      <w:r w:rsidR="00145460">
        <w:t>SMART THERMOSTAT COALITION’S</w:t>
      </w:r>
    </w:p>
    <w:p w14:paraId="2BE4B021" w14:textId="67E4D404" w:rsidR="00542677" w:rsidRDefault="00E50D2A" w:rsidP="00BE66B9">
      <w:pPr>
        <w:pStyle w:val="CenterUnderline"/>
      </w:pPr>
      <w:r>
        <w:t xml:space="preserve"> PETITION TO INTERVENE</w:t>
      </w:r>
      <w:r w:rsidR="00542677">
        <w:t xml:space="preserve">  </w:t>
      </w:r>
      <w:bookmarkEnd w:id="3"/>
    </w:p>
    <w:p w14:paraId="7F45A62B" w14:textId="77777777" w:rsidR="00542677" w:rsidRDefault="00542677" w:rsidP="00542677">
      <w:pPr>
        <w:pStyle w:val="CenterUnderline"/>
      </w:pPr>
    </w:p>
    <w:p w14:paraId="2E04CB10" w14:textId="3EBA248F" w:rsidR="00BB3B69" w:rsidRDefault="00BB3B69" w:rsidP="00BB3B69">
      <w:pPr>
        <w:ind w:firstLine="720"/>
        <w:jc w:val="both"/>
      </w:pPr>
      <w:bookmarkStart w:id="4" w:name="OrderText"/>
      <w:bookmarkEnd w:id="4"/>
      <w:r>
        <w:t xml:space="preserve">On March 12, 2021, Florida Power &amp; Light Company (FPL) filed a petition, minimum filing requirements, and testimony for a base rate increase effective January 2022.  </w:t>
      </w:r>
      <w:r w:rsidR="00117414" w:rsidRPr="00A72D1A">
        <w:t>As part of its request, FPL is seeking to consolidate its rates with those of Gulf Power Company (Gulf), recently acquired by FPL’s parent company.</w:t>
      </w:r>
      <w:r w:rsidR="00117414">
        <w:t xml:space="preserve">  </w:t>
      </w:r>
      <w:r>
        <w:t>Pursuant to Order No. PSC-2021-0116-PCO-EI, issued March 24, 2021, the hearing for the FPL rate case is scheduled on August 16 through August 27, 2021.</w:t>
      </w:r>
    </w:p>
    <w:p w14:paraId="08EF0001" w14:textId="77777777" w:rsidR="00BB3B69" w:rsidRDefault="00BB3B69" w:rsidP="00BB3B69">
      <w:pPr>
        <w:ind w:firstLine="720"/>
        <w:jc w:val="both"/>
      </w:pPr>
    </w:p>
    <w:p w14:paraId="53DFDC03" w14:textId="77777777" w:rsidR="00E50D2A" w:rsidRPr="00E50D2A" w:rsidRDefault="00BB3B69">
      <w:pPr>
        <w:pStyle w:val="OrderBody"/>
      </w:pPr>
      <w:r>
        <w:rPr>
          <w:u w:val="single"/>
        </w:rPr>
        <w:t>Petitio</w:t>
      </w:r>
      <w:r w:rsidR="00E50D2A">
        <w:rPr>
          <w:u w:val="single"/>
        </w:rPr>
        <w:t>n for Intervention</w:t>
      </w:r>
    </w:p>
    <w:p w14:paraId="4E083B07" w14:textId="77777777" w:rsidR="00E50D2A" w:rsidRDefault="00E50D2A">
      <w:pPr>
        <w:pStyle w:val="OrderBody"/>
      </w:pPr>
    </w:p>
    <w:p w14:paraId="2CCD5083" w14:textId="77777777" w:rsidR="00C77341" w:rsidRDefault="00542677" w:rsidP="003F4FF9">
      <w:pPr>
        <w:autoSpaceDE w:val="0"/>
        <w:autoSpaceDN w:val="0"/>
        <w:adjustRightInd w:val="0"/>
        <w:jc w:val="both"/>
      </w:pPr>
      <w:r>
        <w:tab/>
        <w:t xml:space="preserve">On June 21, 2021, </w:t>
      </w:r>
      <w:r w:rsidR="0000111D">
        <w:t xml:space="preserve">the </w:t>
      </w:r>
      <w:r>
        <w:t>Smart Thermostat Coalition (STC) filed a petition to intervene in Docket No. 20210015-EI</w:t>
      </w:r>
      <w:r w:rsidRPr="00542677">
        <w:t>.</w:t>
      </w:r>
      <w:r w:rsidR="001412EC">
        <w:t xml:space="preserve"> STC represents that it is an </w:t>
      </w:r>
      <w:r w:rsidR="001412EC" w:rsidRPr="00E938DE">
        <w:rPr>
          <w:u w:val="single"/>
        </w:rPr>
        <w:t>ad hoc</w:t>
      </w:r>
      <w:r w:rsidR="001412EC">
        <w:t xml:space="preserve"> association of two entities, ecobee and Google, LLC, which are assert</w:t>
      </w:r>
      <w:r w:rsidR="001412EC" w:rsidRPr="009304F8">
        <w:t xml:space="preserve">ed to be </w:t>
      </w:r>
      <w:r w:rsidR="0091287A">
        <w:t>“</w:t>
      </w:r>
      <w:r w:rsidR="001412EC" w:rsidRPr="009304F8">
        <w:t>industry leaders</w:t>
      </w:r>
      <w:r w:rsidR="0091287A">
        <w:t>”</w:t>
      </w:r>
      <w:r w:rsidR="001412EC" w:rsidRPr="009304F8">
        <w:t xml:space="preserve"> in the manu</w:t>
      </w:r>
      <w:r w:rsidR="00C67AF3">
        <w:t>facturing of smart thermostats.</w:t>
      </w:r>
      <w:r w:rsidR="002E6E77">
        <w:rPr>
          <w:rStyle w:val="FootnoteReference"/>
        </w:rPr>
        <w:footnoteReference w:id="1"/>
      </w:r>
      <w:r w:rsidR="00C77341">
        <w:t xml:space="preserve"> </w:t>
      </w:r>
      <w:r w:rsidR="001412EC">
        <w:t xml:space="preserve">STC seeks to intervene and participate </w:t>
      </w:r>
      <w:r w:rsidR="001412EC" w:rsidRPr="009304F8">
        <w:t>in this proceeding</w:t>
      </w:r>
      <w:r w:rsidR="001412EC">
        <w:t xml:space="preserve"> as a full party</w:t>
      </w:r>
      <w:r w:rsidR="00C77341">
        <w:t>. Neither ecobee nor Google, LLC</w:t>
      </w:r>
      <w:r w:rsidR="0000111D">
        <w:t>, has requested</w:t>
      </w:r>
      <w:r w:rsidR="00C77341">
        <w:t xml:space="preserve"> </w:t>
      </w:r>
      <w:r w:rsidR="0093104A">
        <w:t>in</w:t>
      </w:r>
      <w:r w:rsidR="00443106">
        <w:t>di</w:t>
      </w:r>
      <w:r w:rsidR="0093104A">
        <w:t xml:space="preserve">vidual </w:t>
      </w:r>
      <w:r w:rsidR="00C77341">
        <w:t>intervention.</w:t>
      </w:r>
    </w:p>
    <w:p w14:paraId="5B968AAE" w14:textId="77777777" w:rsidR="00C77341" w:rsidRDefault="00C77341" w:rsidP="003F4FF9">
      <w:pPr>
        <w:autoSpaceDE w:val="0"/>
        <w:autoSpaceDN w:val="0"/>
        <w:adjustRightInd w:val="0"/>
        <w:jc w:val="both"/>
      </w:pPr>
    </w:p>
    <w:p w14:paraId="39530DED" w14:textId="1F79FB83" w:rsidR="005C1722" w:rsidRDefault="00C77341" w:rsidP="00A0108C">
      <w:pPr>
        <w:autoSpaceDE w:val="0"/>
        <w:autoSpaceDN w:val="0"/>
        <w:adjustRightInd w:val="0"/>
        <w:jc w:val="both"/>
      </w:pPr>
      <w:r>
        <w:tab/>
      </w:r>
      <w:r w:rsidR="005C1722">
        <w:t xml:space="preserve">Regarding its request for party status, </w:t>
      </w:r>
      <w:r w:rsidR="001412EC">
        <w:t>“</w:t>
      </w:r>
      <w:r w:rsidR="001412EC" w:rsidRPr="009304F8">
        <w:t>STC does not seek asso</w:t>
      </w:r>
      <w:r w:rsidR="001412EC" w:rsidRPr="003F4FF9">
        <w:t>ciational standing, but rather seeks standing jointly for its individual corporate participants.</w:t>
      </w:r>
      <w:r w:rsidR="003F4FF9" w:rsidRPr="003F4FF9">
        <w:t>” Peti</w:t>
      </w:r>
      <w:r w:rsidR="001412EC" w:rsidRPr="003F4FF9">
        <w:t>tion to Intervene at 1, n. 1.</w:t>
      </w:r>
      <w:r w:rsidR="00F93A94">
        <w:t xml:space="preserve"> </w:t>
      </w:r>
      <w:r w:rsidR="00145460">
        <w:t xml:space="preserve">STC claims </w:t>
      </w:r>
      <w:r w:rsidR="003F4FF9">
        <w:t>that “</w:t>
      </w:r>
      <w:r w:rsidR="003F4FF9" w:rsidRPr="003F4FF9">
        <w:t>STC, through its smart thermostat manufacturer members, has a unique and substantial interest that will be affected by the outcome of this proceeding with respect to the Companies’</w:t>
      </w:r>
      <w:r w:rsidR="00BD6C14">
        <w:t xml:space="preserve"> </w:t>
      </w:r>
      <w:r w:rsidR="003F4FF9" w:rsidRPr="003F4FF9">
        <w:t>implementation of residential time-of-use (“TOU”) tariffs in their service territories.</w:t>
      </w:r>
      <w:r w:rsidR="003F4FF9">
        <w:t>”</w:t>
      </w:r>
      <w:r w:rsidR="003F4FF9" w:rsidRPr="003F4FF9">
        <w:t xml:space="preserve"> </w:t>
      </w:r>
      <w:r w:rsidR="003F4FF9" w:rsidRPr="003F4FF9">
        <w:rPr>
          <w:u w:val="single"/>
        </w:rPr>
        <w:t>Id.</w:t>
      </w:r>
      <w:r w:rsidR="003F4FF9" w:rsidRPr="003F4FF9">
        <w:t xml:space="preserve"> at 2.</w:t>
      </w:r>
    </w:p>
    <w:p w14:paraId="424A1956" w14:textId="77777777" w:rsidR="005C1722" w:rsidRDefault="005C1722" w:rsidP="00A0108C">
      <w:pPr>
        <w:autoSpaceDE w:val="0"/>
        <w:autoSpaceDN w:val="0"/>
        <w:adjustRightInd w:val="0"/>
        <w:jc w:val="both"/>
      </w:pPr>
    </w:p>
    <w:p w14:paraId="2FBAC2B9" w14:textId="4B94B31C" w:rsidR="002E6E77" w:rsidRDefault="005C1722" w:rsidP="00CB114A">
      <w:pPr>
        <w:autoSpaceDE w:val="0"/>
        <w:autoSpaceDN w:val="0"/>
        <w:adjustRightInd w:val="0"/>
        <w:jc w:val="both"/>
      </w:pPr>
      <w:r>
        <w:tab/>
        <w:t>T</w:t>
      </w:r>
      <w:r w:rsidR="002E6E77">
        <w:t xml:space="preserve">he </w:t>
      </w:r>
      <w:r>
        <w:t xml:space="preserve">only relevant action in this docket regarding </w:t>
      </w:r>
      <w:r w:rsidR="002E6E77">
        <w:t xml:space="preserve">time-of-use </w:t>
      </w:r>
      <w:r w:rsidR="00443106">
        <w:t>tariffs</w:t>
      </w:r>
      <w:r w:rsidR="008E0FA5">
        <w:t xml:space="preserve"> cited by STC</w:t>
      </w:r>
      <w:r>
        <w:t xml:space="preserve"> is a proposal by</w:t>
      </w:r>
      <w:r w:rsidR="002E6E77">
        <w:t xml:space="preserve"> </w:t>
      </w:r>
      <w:r w:rsidR="00F816F1">
        <w:t>FPL and Gulf</w:t>
      </w:r>
      <w:r w:rsidR="0093104A">
        <w:t xml:space="preserve"> to phase out an existing</w:t>
      </w:r>
      <w:r w:rsidR="0000111D" w:rsidRPr="00A0108C">
        <w:t xml:space="preserve"> Gulf </w:t>
      </w:r>
      <w:r w:rsidR="00A0108C" w:rsidRPr="00A0108C">
        <w:t xml:space="preserve">TOU </w:t>
      </w:r>
      <w:r w:rsidR="00A0108C">
        <w:t xml:space="preserve">tariff </w:t>
      </w:r>
      <w:r w:rsidR="008E0FA5">
        <w:t>and migrate the</w:t>
      </w:r>
      <w:r w:rsidR="00A0108C" w:rsidRPr="00A0108C">
        <w:t xml:space="preserve"> residential customers</w:t>
      </w:r>
      <w:r w:rsidR="008E0FA5">
        <w:t xml:space="preserve"> currently subject to that tariff</w:t>
      </w:r>
      <w:r w:rsidR="00A0108C" w:rsidRPr="00A0108C">
        <w:t xml:space="preserve"> to a</w:t>
      </w:r>
      <w:r w:rsidR="00A0108C">
        <w:t>n FPL</w:t>
      </w:r>
      <w:r w:rsidR="00A0108C" w:rsidRPr="00A0108C">
        <w:t xml:space="preserve"> residential tariff. </w:t>
      </w:r>
      <w:r>
        <w:t>STC</w:t>
      </w:r>
      <w:r w:rsidR="00A62346">
        <w:t xml:space="preserve"> does not allege that its members are Gulf customers </w:t>
      </w:r>
      <w:r w:rsidR="00DD44D1">
        <w:t xml:space="preserve">who are </w:t>
      </w:r>
      <w:r w:rsidR="00A62346">
        <w:t xml:space="preserve">subject to the </w:t>
      </w:r>
      <w:r w:rsidR="00B17A27">
        <w:t xml:space="preserve">existing TOU </w:t>
      </w:r>
      <w:r w:rsidR="00A62346">
        <w:t xml:space="preserve">tariff </w:t>
      </w:r>
      <w:r w:rsidR="00DD44D1">
        <w:t>and</w:t>
      </w:r>
      <w:r w:rsidR="00B903FB">
        <w:t xml:space="preserve"> object to </w:t>
      </w:r>
      <w:r w:rsidR="00A62346">
        <w:t>its dele</w:t>
      </w:r>
      <w:r w:rsidR="00B903FB">
        <w:t>tion because they would lose some benefit(s). Rather, STC argu</w:t>
      </w:r>
      <w:r w:rsidR="00DD44D1">
        <w:t>es that the tariff should be retained</w:t>
      </w:r>
      <w:r w:rsidR="00B903FB">
        <w:t xml:space="preserve"> and </w:t>
      </w:r>
      <w:r w:rsidR="00FC4A23">
        <w:t xml:space="preserve">the Commission should order </w:t>
      </w:r>
      <w:r w:rsidR="00B903FB">
        <w:t xml:space="preserve">FPL and Gulf (collectively “Companies”) </w:t>
      </w:r>
      <w:r w:rsidR="00FC4A23">
        <w:t>to</w:t>
      </w:r>
      <w:r w:rsidR="00B903FB">
        <w:t xml:space="preserve"> implement a new </w:t>
      </w:r>
      <w:r w:rsidR="008F13E1">
        <w:t xml:space="preserve">TOU </w:t>
      </w:r>
      <w:r w:rsidR="00B903FB">
        <w:t xml:space="preserve">program. Under STC’s proposed </w:t>
      </w:r>
      <w:r w:rsidR="00FC4A23">
        <w:t xml:space="preserve">new </w:t>
      </w:r>
      <w:r w:rsidR="00B903FB">
        <w:t xml:space="preserve">program, </w:t>
      </w:r>
      <w:r w:rsidR="00CB114A">
        <w:t xml:space="preserve">the Companies would be required to </w:t>
      </w:r>
      <w:r w:rsidR="00B11859">
        <w:t>provid</w:t>
      </w:r>
      <w:r w:rsidR="00CB114A">
        <w:t xml:space="preserve">e </w:t>
      </w:r>
      <w:r w:rsidR="00B903FB">
        <w:t xml:space="preserve">smart thermostats as an incentive </w:t>
      </w:r>
      <w:r w:rsidR="00CB114A">
        <w:t>for ratepayer participation in the</w:t>
      </w:r>
      <w:r w:rsidR="00B903FB">
        <w:t xml:space="preserve"> time-varying tariff. Prefiled Testimony </w:t>
      </w:r>
      <w:r w:rsidR="00E938DE">
        <w:t xml:space="preserve">of Dzubay </w:t>
      </w:r>
      <w:r w:rsidR="00B903FB">
        <w:t>at 2, lns. 14-15.</w:t>
      </w:r>
      <w:r w:rsidR="00CB114A">
        <w:t xml:space="preserve"> This program would</w:t>
      </w:r>
      <w:r w:rsidR="00B11859">
        <w:t xml:space="preserve"> also</w:t>
      </w:r>
      <w:r w:rsidR="00CB114A">
        <w:t xml:space="preserve"> require that </w:t>
      </w:r>
      <w:r w:rsidR="008F13E1">
        <w:t xml:space="preserve">the </w:t>
      </w:r>
      <w:r w:rsidR="00CB114A">
        <w:lastRenderedPageBreak/>
        <w:t xml:space="preserve">Companies enter into load management agreements with the vendors of the thermostats and enabling technologies </w:t>
      </w:r>
      <w:r w:rsidR="003E69DD">
        <w:t>pursuant to which the vendors would</w:t>
      </w:r>
      <w:r w:rsidR="00CB114A">
        <w:t xml:space="preserve"> automate customer response, provide the Companies data regarding the “magnitude and location” of these responses, and “receive compensation for the grid value of the response.” </w:t>
      </w:r>
      <w:r w:rsidR="00CB114A">
        <w:rPr>
          <w:u w:val="single"/>
        </w:rPr>
        <w:t>Id.</w:t>
      </w:r>
      <w:r w:rsidR="00CB114A">
        <w:t xml:space="preserve"> at lns. 17-21.</w:t>
      </w:r>
    </w:p>
    <w:p w14:paraId="2ACCFBD0" w14:textId="77777777" w:rsidR="003E69DD" w:rsidRDefault="003E69DD" w:rsidP="00CB114A">
      <w:pPr>
        <w:autoSpaceDE w:val="0"/>
        <w:autoSpaceDN w:val="0"/>
        <w:adjustRightInd w:val="0"/>
        <w:jc w:val="both"/>
      </w:pPr>
    </w:p>
    <w:p w14:paraId="14E534C7" w14:textId="77777777" w:rsidR="003E69DD" w:rsidRDefault="003E69DD" w:rsidP="00CB114A">
      <w:pPr>
        <w:autoSpaceDE w:val="0"/>
        <w:autoSpaceDN w:val="0"/>
        <w:adjustRightInd w:val="0"/>
        <w:jc w:val="both"/>
      </w:pPr>
      <w:r>
        <w:tab/>
      </w:r>
      <w:r w:rsidR="00B719CA">
        <w:t xml:space="preserve">STC asserts that the </w:t>
      </w:r>
      <w:r w:rsidR="00443106">
        <w:t>eventual</w:t>
      </w:r>
      <w:r w:rsidR="00B719CA">
        <w:t xml:space="preserve"> elimination of the Gulf TOU will</w:t>
      </w:r>
      <w:r w:rsidR="008F13E1">
        <w:t xml:space="preserve"> foreclose this possibility by leaving</w:t>
      </w:r>
      <w:r w:rsidR="00B719CA">
        <w:t xml:space="preserve"> the Companies’ proposed rate structure without “a robust mechanism for customers to leverage flexible dema</w:t>
      </w:r>
      <w:r w:rsidR="00D43D3F">
        <w:t xml:space="preserve">nd </w:t>
      </w:r>
      <w:r w:rsidR="00443106">
        <w:t>technologies</w:t>
      </w:r>
      <w:r w:rsidR="00D43D3F">
        <w:t xml:space="preserve"> </w:t>
      </w:r>
      <w:r w:rsidR="00B719CA">
        <w:t xml:space="preserve">like smart thermostats, which when paired with TOU rates can provide </w:t>
      </w:r>
      <w:r w:rsidR="00B719CA" w:rsidRPr="008A2AFF">
        <w:t xml:space="preserve">significant bill savings for customers </w:t>
      </w:r>
      <w:r w:rsidR="00B719CA">
        <w:t>along with reliability</w:t>
      </w:r>
      <w:r w:rsidR="00D43D3F">
        <w:t xml:space="preserve"> [sic]</w:t>
      </w:r>
      <w:r w:rsidR="00B719CA">
        <w:t xml:space="preserve"> services that increase </w:t>
      </w:r>
      <w:r w:rsidR="00B719CA" w:rsidRPr="008A2AFF">
        <w:t>efficient use of the distribution grid</w:t>
      </w:r>
      <w:r w:rsidR="00B719CA">
        <w:t>.” Petition at 3.</w:t>
      </w:r>
      <w:r w:rsidR="00CE3582">
        <w:t xml:space="preserve"> STC claims a “concrete interest” in this proceeding “in order to ensure that the companies make available tariffs through which STC’s members can effectively respond to price signals to </w:t>
      </w:r>
      <w:r w:rsidR="00CE3582" w:rsidRPr="008A2AFF">
        <w:t xml:space="preserve">provide customer and grid benefits </w:t>
      </w:r>
      <w:r w:rsidR="00CE3582">
        <w:t xml:space="preserve">through automated shifting of customer heating and cooling load.” </w:t>
      </w:r>
      <w:r w:rsidR="00CE3582">
        <w:rPr>
          <w:u w:val="single"/>
        </w:rPr>
        <w:t>Id.</w:t>
      </w:r>
      <w:r w:rsidR="00CE3582">
        <w:t xml:space="preserve"> at 7.</w:t>
      </w:r>
    </w:p>
    <w:p w14:paraId="38268472" w14:textId="77777777" w:rsidR="000E239A" w:rsidRDefault="000E239A" w:rsidP="00CB114A">
      <w:pPr>
        <w:autoSpaceDE w:val="0"/>
        <w:autoSpaceDN w:val="0"/>
        <w:adjustRightInd w:val="0"/>
        <w:jc w:val="both"/>
      </w:pPr>
    </w:p>
    <w:p w14:paraId="38B3CE33" w14:textId="77777777" w:rsidR="002E6E77" w:rsidRPr="00D7662A" w:rsidRDefault="000E239A" w:rsidP="00C9363D">
      <w:pPr>
        <w:autoSpaceDE w:val="0"/>
        <w:autoSpaceDN w:val="0"/>
        <w:adjustRightInd w:val="0"/>
        <w:jc w:val="both"/>
      </w:pPr>
      <w:r>
        <w:tab/>
        <w:t xml:space="preserve">The remainder of the Petition sets forth at length the </w:t>
      </w:r>
      <w:r w:rsidR="00973D82">
        <w:t xml:space="preserve">factual </w:t>
      </w:r>
      <w:r>
        <w:t>bases for STC’s allegation that smart thermostats and enabling technologies have greater positive impacts</w:t>
      </w:r>
      <w:r w:rsidR="00C9363D">
        <w:t xml:space="preserve"> on billing and the grid</w:t>
      </w:r>
      <w:r>
        <w:t xml:space="preserve"> if the responses to pricing are automated</w:t>
      </w:r>
      <w:r w:rsidR="0088035A">
        <w:t xml:space="preserve"> rather than being</w:t>
      </w:r>
      <w:r w:rsidR="008F13E1">
        <w:t xml:space="preserve"> dependent on</w:t>
      </w:r>
      <w:r w:rsidR="00973D82">
        <w:t xml:space="preserve"> customer</w:t>
      </w:r>
      <w:r w:rsidR="008F13E1">
        <w:t xml:space="preserve">s taking </w:t>
      </w:r>
      <w:r w:rsidR="00973D82">
        <w:t xml:space="preserve">affirmative action in response to information on energy saving </w:t>
      </w:r>
      <w:r w:rsidR="00443106">
        <w:t>opportunities</w:t>
      </w:r>
      <w:r w:rsidR="00973D82">
        <w:t>.</w:t>
      </w:r>
    </w:p>
    <w:p w14:paraId="64FA4AA0" w14:textId="77777777" w:rsidR="00542677" w:rsidRDefault="00542677" w:rsidP="003F4FF9">
      <w:pPr>
        <w:pStyle w:val="OrderBody"/>
      </w:pPr>
    </w:p>
    <w:p w14:paraId="710DBCA1" w14:textId="77777777" w:rsidR="00542677" w:rsidRPr="00E50D2A" w:rsidRDefault="00E50D2A">
      <w:pPr>
        <w:pStyle w:val="OrderBody"/>
        <w:rPr>
          <w:u w:val="single"/>
        </w:rPr>
      </w:pPr>
      <w:r>
        <w:rPr>
          <w:u w:val="single"/>
        </w:rPr>
        <w:t>Response in Opposition</w:t>
      </w:r>
    </w:p>
    <w:p w14:paraId="370A6AE5" w14:textId="77777777" w:rsidR="00542677" w:rsidRDefault="00542677">
      <w:pPr>
        <w:pStyle w:val="OrderBody"/>
      </w:pPr>
    </w:p>
    <w:p w14:paraId="25B39727" w14:textId="77777777" w:rsidR="00D7662A" w:rsidRDefault="001412EC">
      <w:pPr>
        <w:pStyle w:val="OrderBody"/>
      </w:pPr>
      <w:r>
        <w:tab/>
        <w:t xml:space="preserve">On June 28, 2021, </w:t>
      </w:r>
      <w:r w:rsidR="00DC09B7">
        <w:t>FPL</w:t>
      </w:r>
      <w:r>
        <w:t xml:space="preserve"> filed a Response in </w:t>
      </w:r>
      <w:r w:rsidR="00443106">
        <w:t>Opposition</w:t>
      </w:r>
      <w:r>
        <w:t xml:space="preserve"> to the Motion.</w:t>
      </w:r>
      <w:r w:rsidR="00765E15">
        <w:t xml:space="preserve"> FPL asserts that STC must prove associational standing in order to represent the interests of its members and has failed to do so. FPL also argues that STC has failed to allege any substantial injury</w:t>
      </w:r>
      <w:r w:rsidR="00B10A56">
        <w:t xml:space="preserve"> in its own right, </w:t>
      </w:r>
      <w:r w:rsidR="00765E15">
        <w:t>a</w:t>
      </w:r>
      <w:r w:rsidR="00755866">
        <w:t>nd is unable to</w:t>
      </w:r>
      <w:r w:rsidR="00765E15">
        <w:t xml:space="preserve"> do so as an entity with no separate, legal identity as an association or corporation.</w:t>
      </w:r>
      <w:r w:rsidR="00B10A56">
        <w:t xml:space="preserve"> FPL also asserts that the interests asserted by STC are actually those of FPL customers, not STC, </w:t>
      </w:r>
      <w:r w:rsidR="00377281">
        <w:t xml:space="preserve">are speculative, </w:t>
      </w:r>
      <w:r w:rsidR="00B10A56">
        <w:t xml:space="preserve">and are not of the type or nature which this proceeding is designed to protect. </w:t>
      </w:r>
      <w:r w:rsidR="00755866">
        <w:t>For all of these reasons, FPL urges that the Petition to Intervene be denied.</w:t>
      </w:r>
    </w:p>
    <w:p w14:paraId="75BA8357" w14:textId="77777777" w:rsidR="00D7662A" w:rsidRDefault="00D7662A">
      <w:pPr>
        <w:pStyle w:val="OrderBody"/>
      </w:pPr>
    </w:p>
    <w:p w14:paraId="0F4D8816" w14:textId="526A9CA7" w:rsidR="00542677" w:rsidRDefault="00D7662A" w:rsidP="00B038A7">
      <w:pPr>
        <w:jc w:val="both"/>
      </w:pPr>
      <w:r>
        <w:tab/>
      </w:r>
      <w:r w:rsidR="00B038A7">
        <w:t>Counsel for STC conferred with counsel for all parties prior to filing the Petition. FPL, Commission Staff, the Office of Public Counsel, the Florida Industrial Power Users Group, Walmart, the CLEO Institute, Vote Solar, and the Florida Retail Federation took no position. Counsel for the Larsons and Floridians Against Increased Rates indicated they do not oppose STC’s intervention. The remaining parties had not stated a position prior to the Petition being filed. Only FPL filed a Response and the time for the other parties to do so has expired.</w:t>
      </w:r>
    </w:p>
    <w:p w14:paraId="2C6A61A0" w14:textId="77777777" w:rsidR="008858F0" w:rsidRPr="0003035E" w:rsidRDefault="008858F0" w:rsidP="008858F0">
      <w:pPr>
        <w:jc w:val="both"/>
      </w:pPr>
    </w:p>
    <w:p w14:paraId="0830025B" w14:textId="77777777" w:rsidR="008858F0" w:rsidRPr="003851CA" w:rsidRDefault="008858F0" w:rsidP="008858F0">
      <w:pPr>
        <w:jc w:val="both"/>
      </w:pPr>
      <w:r w:rsidRPr="003851CA">
        <w:rPr>
          <w:u w:val="single"/>
        </w:rPr>
        <w:t>Standard for Intervention</w:t>
      </w:r>
    </w:p>
    <w:p w14:paraId="34D71E9F" w14:textId="77777777" w:rsidR="008858F0" w:rsidRDefault="008858F0" w:rsidP="008858F0"/>
    <w:p w14:paraId="3BBE9121" w14:textId="77777777" w:rsidR="008858F0" w:rsidRDefault="008858F0" w:rsidP="008858F0">
      <w:pPr>
        <w:ind w:firstLine="720"/>
        <w:jc w:val="both"/>
      </w:pPr>
      <w:r>
        <w:t xml:space="preserve">Pursuant to Rule 28-106.205, Florida Administrative Code (F.A.C.), persons, other than the original parties to a pending proceeding, who have a substantial interest in the proceeding and who desire to become parties may move for leave to intervene. Motions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w:t>
      </w:r>
      <w:r>
        <w:lastRenderedPageBreak/>
        <w:t>determination or will be affected through the proceeding. Intervenors take the case as they find it.</w:t>
      </w:r>
    </w:p>
    <w:p w14:paraId="18D270E3" w14:textId="77777777" w:rsidR="00912ED1" w:rsidRDefault="00912ED1" w:rsidP="008858F0">
      <w:pPr>
        <w:ind w:firstLine="720"/>
        <w:jc w:val="both"/>
      </w:pPr>
    </w:p>
    <w:p w14:paraId="5C417C65" w14:textId="77777777" w:rsidR="00C9363D" w:rsidRDefault="00912ED1" w:rsidP="008858F0">
      <w:pPr>
        <w:ind w:firstLine="720"/>
        <w:jc w:val="both"/>
      </w:pPr>
      <w:r>
        <w:t>An entity seeking to establish standing based on the substantial in</w:t>
      </w:r>
      <w:r w:rsidR="009A5BE4">
        <w:t xml:space="preserve">terests of its members </w:t>
      </w:r>
      <w:r w:rsidR="00D72ED0">
        <w:t xml:space="preserve">usually claims </w:t>
      </w:r>
      <w:r>
        <w:t xml:space="preserve">associational standing </w:t>
      </w:r>
      <w:r w:rsidR="00D72ED0">
        <w:t xml:space="preserve">under the standards </w:t>
      </w:r>
      <w:r>
        <w:t xml:space="preserve">set forth in </w:t>
      </w:r>
      <w:r>
        <w:rPr>
          <w:u w:val="single"/>
        </w:rPr>
        <w:t>Florida Home Builders Association v. Department of Labor and Employment Security</w:t>
      </w:r>
      <w:r>
        <w:t xml:space="preserve">, 412 So. 2d 351, 353-54 (Fla. 1982), and </w:t>
      </w:r>
      <w:r>
        <w:rPr>
          <w:u w:val="single"/>
        </w:rPr>
        <w:t>Farmworker Rights Organization, Inc. v. Department of Health and Rehabilitative Services</w:t>
      </w:r>
      <w:r>
        <w:t>, 417 So. 2d 753, 754 (Fla. 1st DCA 1982).</w:t>
      </w:r>
      <w:r w:rsidR="00D72ED0">
        <w:t xml:space="preserve"> However, </w:t>
      </w:r>
      <w:r>
        <w:t>STC</w:t>
      </w:r>
      <w:r w:rsidR="000C7B8E">
        <w:t xml:space="preserve"> </w:t>
      </w:r>
      <w:r>
        <w:t>expressly waived any claim to associational</w:t>
      </w:r>
      <w:r w:rsidR="000C7B8E">
        <w:t xml:space="preserve"> standing in its Petition and stated that it is “seek[ing] standing jointly for its individual corporate participants.” Petition at 1, n.1. STC did not cite </w:t>
      </w:r>
      <w:r w:rsidR="000C7B8E">
        <w:rPr>
          <w:u w:val="single"/>
        </w:rPr>
        <w:t>Florida Home Builders</w:t>
      </w:r>
      <w:r w:rsidR="000C7B8E">
        <w:t xml:space="preserve"> </w:t>
      </w:r>
      <w:r w:rsidR="004E5454">
        <w:t xml:space="preserve">in its Petition </w:t>
      </w:r>
      <w:r w:rsidR="000C7B8E">
        <w:t>and did not set forth facts to demonstrate that it satisfies the three criteria established</w:t>
      </w:r>
      <w:r w:rsidR="00AF4BD5">
        <w:t xml:space="preserve"> in that case</w:t>
      </w:r>
      <w:r w:rsidR="000C7B8E">
        <w:t xml:space="preserve">. Instead, STC sets forth facts </w:t>
      </w:r>
      <w:r w:rsidR="004E5454">
        <w:t xml:space="preserve">and argument </w:t>
      </w:r>
      <w:r w:rsidR="00AF4BD5">
        <w:t xml:space="preserve">relevant </w:t>
      </w:r>
      <w:r w:rsidR="000C7B8E">
        <w:t xml:space="preserve">to </w:t>
      </w:r>
      <w:r w:rsidR="008858F0">
        <w:t xml:space="preserve">the two-prong standing test </w:t>
      </w:r>
      <w:r w:rsidR="000C7B8E">
        <w:t>for individual</w:t>
      </w:r>
      <w:r w:rsidR="004E5454">
        <w:t xml:space="preserve"> intervenor</w:t>
      </w:r>
      <w:r w:rsidR="000C7B8E">
        <w:t xml:space="preserve">s </w:t>
      </w:r>
      <w:r w:rsidR="008858F0">
        <w:t xml:space="preserve">set forth in </w:t>
      </w:r>
      <w:r w:rsidR="000C7B8E">
        <w:rPr>
          <w:u w:val="single"/>
        </w:rPr>
        <w:t>Agrico Chemical Company v. Department of Environmental Regulation</w:t>
      </w:r>
      <w:r w:rsidR="000C7B8E">
        <w:t>, 406</w:t>
      </w:r>
      <w:r w:rsidR="00C9363D">
        <w:t xml:space="preserve"> So. 2d 478 (Fla. 2d DCA 1981).</w:t>
      </w:r>
    </w:p>
    <w:p w14:paraId="574E16EA" w14:textId="77777777" w:rsidR="00C9363D" w:rsidRDefault="00C9363D" w:rsidP="008858F0">
      <w:pPr>
        <w:ind w:firstLine="720"/>
        <w:jc w:val="both"/>
      </w:pPr>
    </w:p>
    <w:p w14:paraId="69D2023F" w14:textId="328BCBAD" w:rsidR="00D72ED0" w:rsidRDefault="000C7B8E" w:rsidP="008858F0">
      <w:pPr>
        <w:ind w:firstLine="720"/>
        <w:jc w:val="both"/>
      </w:pPr>
      <w:r>
        <w:t xml:space="preserve">Under </w:t>
      </w:r>
      <w:r>
        <w:rPr>
          <w:u w:val="single"/>
        </w:rPr>
        <w:t>Agrico</w:t>
      </w:r>
      <w:r>
        <w:t>, an</w:t>
      </w:r>
      <w:r w:rsidR="008858F0">
        <w:t xml:space="preserve"> intervenor must show that (1) </w:t>
      </w:r>
      <w:r w:rsidR="00015AC3">
        <w:t>t</w:t>
      </w:r>
      <w:r w:rsidR="008858F0">
        <w:t>he</w:t>
      </w:r>
      <w:r w:rsidR="00015AC3">
        <w:t>y</w:t>
      </w:r>
      <w:r w:rsidR="008858F0">
        <w:t xml:space="preserve"> will suffer injury in fact that is of su</w:t>
      </w:r>
      <w:r>
        <w:t>fficient immediacy to entitle the</w:t>
      </w:r>
      <w:r w:rsidR="008858F0">
        <w:t xml:space="preserve">m to a Section 120.57, F.S., hearing, and (2) the substantial injury is of a type or nature that the proceeding is designed to protect. The first aspect of the test deals with the degree of injury. The second deals with the nature of the injury. The </w:t>
      </w:r>
      <w:r w:rsidR="00583AE6">
        <w:t>“</w:t>
      </w:r>
      <w:r w:rsidR="008858F0">
        <w:t>injury in fact</w:t>
      </w:r>
      <w:r w:rsidR="00583AE6">
        <w:t>”</w:t>
      </w:r>
      <w:r w:rsidR="008858F0">
        <w:t xml:space="preserve"> must be both real and immediate and not speculative or conjectural. </w:t>
      </w:r>
      <w:r w:rsidR="008858F0" w:rsidRPr="000C7B8E">
        <w:rPr>
          <w:u w:val="single"/>
        </w:rPr>
        <w:t>International Jai-Alai Players Assn. v. Florida Pari-Mutuel Commission</w:t>
      </w:r>
      <w:r w:rsidR="008858F0" w:rsidRPr="005D0FBC">
        <w:t>, 561 So. 2d 1</w:t>
      </w:r>
      <w:r w:rsidR="00B10EA1">
        <w:t>224, 1225-26 (Fla. 3d DCA 1990);</w:t>
      </w:r>
      <w:r w:rsidR="008858F0" w:rsidRPr="005D0FBC">
        <w:t xml:space="preserve"> </w:t>
      </w:r>
      <w:r w:rsidR="00B10EA1">
        <w:rPr>
          <w:u w:val="single"/>
        </w:rPr>
        <w:t>s</w:t>
      </w:r>
      <w:r w:rsidR="008858F0" w:rsidRPr="000C7B8E">
        <w:rPr>
          <w:u w:val="single"/>
        </w:rPr>
        <w:t>ee also</w:t>
      </w:r>
      <w:r w:rsidR="008858F0" w:rsidRPr="006F19C5">
        <w:t xml:space="preserve"> </w:t>
      </w:r>
      <w:r w:rsidR="008858F0" w:rsidRPr="000C7B8E">
        <w:rPr>
          <w:u w:val="single"/>
        </w:rPr>
        <w:t>Village Park Mobile Home Assn., Inc. v. State Dept. of Business Regulation</w:t>
      </w:r>
      <w:r w:rsidR="008858F0" w:rsidRPr="005D0FBC">
        <w:t xml:space="preserve">, 506 So. 2d 426, 434 (Fla. 1st DCA 1987), </w:t>
      </w:r>
      <w:r w:rsidR="008858F0" w:rsidRPr="000C7B8E">
        <w:rPr>
          <w:u w:val="single"/>
        </w:rPr>
        <w:t>rev. den.</w:t>
      </w:r>
      <w:r w:rsidR="008858F0" w:rsidRPr="005D0FBC">
        <w:t xml:space="preserve">, 513 So. 2d 1063 (Fla. 1987) (speculation on the possible occurrence of </w:t>
      </w:r>
      <w:r w:rsidR="00D72ED0">
        <w:t>injurious events is too remote).</w:t>
      </w:r>
    </w:p>
    <w:p w14:paraId="38AD12AA" w14:textId="77777777" w:rsidR="00542677" w:rsidRDefault="00542677">
      <w:pPr>
        <w:pStyle w:val="OrderBody"/>
      </w:pPr>
    </w:p>
    <w:p w14:paraId="62B1CD30" w14:textId="77777777" w:rsidR="00C9363D" w:rsidRPr="00B6228D" w:rsidRDefault="001412EC" w:rsidP="00412C50">
      <w:pPr>
        <w:pStyle w:val="OrderBody"/>
      </w:pPr>
      <w:r w:rsidRPr="00B6228D">
        <w:rPr>
          <w:u w:val="single"/>
        </w:rPr>
        <w:t>Analysis and Ruling</w:t>
      </w:r>
    </w:p>
    <w:p w14:paraId="5A198493" w14:textId="77777777" w:rsidR="00C9363D" w:rsidRPr="00B6228D" w:rsidRDefault="00C9363D" w:rsidP="00412C50">
      <w:pPr>
        <w:pStyle w:val="OrderBody"/>
      </w:pPr>
      <w:r w:rsidRPr="00B6228D">
        <w:tab/>
      </w:r>
    </w:p>
    <w:p w14:paraId="1FFFE8F3" w14:textId="60444DB2" w:rsidR="00C9363D" w:rsidRDefault="00C9363D" w:rsidP="00B6228D">
      <w:pPr>
        <w:jc w:val="both"/>
      </w:pPr>
      <w:r w:rsidRPr="00B6228D">
        <w:tab/>
      </w:r>
      <w:r w:rsidR="000A113A" w:rsidRPr="00B6228D">
        <w:t xml:space="preserve">STC </w:t>
      </w:r>
      <w:r w:rsidR="00E938DE">
        <w:t>has not set forth allegations upon which I can con</w:t>
      </w:r>
      <w:r w:rsidR="00976739">
        <w:t>c</w:t>
      </w:r>
      <w:r w:rsidR="00E938DE">
        <w:t>lude</w:t>
      </w:r>
      <w:r w:rsidR="00AE69ED">
        <w:t xml:space="preserve"> that its participant</w:t>
      </w:r>
      <w:r w:rsidR="000A113A" w:rsidRPr="00B6228D">
        <w:t xml:space="preserve">s have </w:t>
      </w:r>
      <w:r w:rsidR="009D02D4">
        <w:t xml:space="preserve">a </w:t>
      </w:r>
      <w:r w:rsidR="000A113A" w:rsidRPr="00B6228D">
        <w:t>substantia</w:t>
      </w:r>
      <w:r w:rsidR="009D02D4">
        <w:t>l interest</w:t>
      </w:r>
      <w:r w:rsidR="00AB25C6">
        <w:t xml:space="preserve"> that is</w:t>
      </w:r>
      <w:r w:rsidR="000A113A" w:rsidRPr="00B6228D">
        <w:t xml:space="preserve"> affected by this proceeding.</w:t>
      </w:r>
      <w:r w:rsidR="00ED3D8D">
        <w:rPr>
          <w:rStyle w:val="FootnoteReference"/>
        </w:rPr>
        <w:footnoteReference w:id="2"/>
      </w:r>
      <w:r w:rsidR="00B6228D" w:rsidRPr="00B6228D">
        <w:rPr>
          <w:color w:val="000000"/>
          <w:shd w:val="clear" w:color="auto" w:fill="FFFFFF"/>
        </w:rPr>
        <w:t xml:space="preserve"> </w:t>
      </w:r>
      <w:r w:rsidR="00AB25C6">
        <w:rPr>
          <w:color w:val="000000"/>
          <w:shd w:val="clear" w:color="auto" w:fill="FFFFFF"/>
        </w:rPr>
        <w:t xml:space="preserve">Regarding the first step of this analysis, </w:t>
      </w:r>
      <w:r w:rsidR="00B6228D">
        <w:rPr>
          <w:color w:val="000000"/>
          <w:shd w:val="clear" w:color="auto" w:fill="FFFFFF"/>
        </w:rPr>
        <w:t>“</w:t>
      </w:r>
      <w:r w:rsidR="00AB25C6">
        <w:rPr>
          <w:color w:val="000000"/>
          <w:shd w:val="clear" w:color="auto" w:fill="FFFFFF"/>
        </w:rPr>
        <w:t>a</w:t>
      </w:r>
      <w:r w:rsidR="00B6228D">
        <w:rPr>
          <w:color w:val="000000"/>
          <w:shd w:val="clear" w:color="auto" w:fill="FFFFFF"/>
        </w:rPr>
        <w:t xml:space="preserve"> </w:t>
      </w:r>
      <w:r w:rsidR="00B6228D" w:rsidRPr="00B6228D">
        <w:rPr>
          <w:color w:val="000000"/>
          <w:shd w:val="clear" w:color="auto" w:fill="FFFFFF"/>
        </w:rPr>
        <w:t>petitioner can satisfy the injury-in-fact standard set forth in </w:t>
      </w:r>
      <w:r w:rsidR="00B6228D" w:rsidRPr="00B6228D">
        <w:rPr>
          <w:rStyle w:val="Emphasis"/>
          <w:i w:val="0"/>
          <w:color w:val="000000"/>
          <w:u w:val="single"/>
        </w:rPr>
        <w:t>Agrico</w:t>
      </w:r>
      <w:r w:rsidR="00B6228D" w:rsidRPr="00B6228D">
        <w:rPr>
          <w:color w:val="000000"/>
          <w:shd w:val="clear" w:color="auto" w:fill="FFFFFF"/>
        </w:rPr>
        <w:t> by demonstrating in his petition either: (1) that he had sustained actual injury in fact at the time of filing his petition; or (2) that he is immediately in danger of sustaining some direct injury as a result of the challenged agency's action.</w:t>
      </w:r>
      <w:r w:rsidR="00B6228D">
        <w:rPr>
          <w:color w:val="000000"/>
          <w:shd w:val="clear" w:color="auto" w:fill="FFFFFF"/>
        </w:rPr>
        <w:t xml:space="preserve">” </w:t>
      </w:r>
      <w:r w:rsidR="00B6228D">
        <w:rPr>
          <w:color w:val="000000"/>
          <w:u w:val="single"/>
        </w:rPr>
        <w:t>Village</w:t>
      </w:r>
      <w:r w:rsidR="00B6228D" w:rsidRPr="00B6228D">
        <w:rPr>
          <w:color w:val="000000"/>
          <w:u w:val="single"/>
        </w:rPr>
        <w:t xml:space="preserve"> Par</w:t>
      </w:r>
      <w:r w:rsidR="00B6228D">
        <w:rPr>
          <w:color w:val="000000"/>
          <w:u w:val="single"/>
        </w:rPr>
        <w:t>k Mob</w:t>
      </w:r>
      <w:r w:rsidR="00B6228D" w:rsidRPr="00B6228D">
        <w:rPr>
          <w:color w:val="000000"/>
          <w:u w:val="single"/>
        </w:rPr>
        <w:t>ile Home Ass'n</w:t>
      </w:r>
      <w:r w:rsidR="00B6228D" w:rsidRPr="00B6228D">
        <w:rPr>
          <w:color w:val="000000"/>
        </w:rPr>
        <w:t>,</w:t>
      </w:r>
      <w:r w:rsidR="00B6228D">
        <w:rPr>
          <w:color w:val="000000"/>
        </w:rPr>
        <w:t xml:space="preserve"> </w:t>
      </w:r>
      <w:r w:rsidR="00B6228D" w:rsidRPr="00B6228D">
        <w:rPr>
          <w:color w:val="000000"/>
        </w:rPr>
        <w:t xml:space="preserve">506 So. 2d </w:t>
      </w:r>
      <w:r w:rsidR="00821CAB">
        <w:rPr>
          <w:color w:val="000000"/>
        </w:rPr>
        <w:t>at</w:t>
      </w:r>
      <w:r w:rsidR="00B6228D" w:rsidRPr="00B6228D">
        <w:rPr>
          <w:color w:val="000000"/>
        </w:rPr>
        <w:t xml:space="preserve"> 433</w:t>
      </w:r>
      <w:r w:rsidR="00B6228D">
        <w:rPr>
          <w:color w:val="000000"/>
        </w:rPr>
        <w:t>.</w:t>
      </w:r>
      <w:r w:rsidR="00AE69ED">
        <w:rPr>
          <w:color w:val="000000"/>
        </w:rPr>
        <w:t xml:space="preserve"> Although STC is the petitioning intervenor, </w:t>
      </w:r>
      <w:r w:rsidR="00D16793">
        <w:rPr>
          <w:color w:val="000000"/>
        </w:rPr>
        <w:t>it does not allege that it has an independent interest that is affected by this proceeding</w:t>
      </w:r>
      <w:r w:rsidR="006F19C5">
        <w:rPr>
          <w:color w:val="000000"/>
        </w:rPr>
        <w:t>;</w:t>
      </w:r>
      <w:r w:rsidR="00D16793">
        <w:rPr>
          <w:color w:val="000000"/>
        </w:rPr>
        <w:t xml:space="preserve"> </w:t>
      </w:r>
      <w:r w:rsidR="00AE69ED">
        <w:rPr>
          <w:color w:val="000000"/>
        </w:rPr>
        <w:t>the interests it asserts are only those of its participants</w:t>
      </w:r>
      <w:r w:rsidR="00D16793">
        <w:rPr>
          <w:color w:val="000000"/>
        </w:rPr>
        <w:t>,</w:t>
      </w:r>
      <w:r w:rsidR="00D16793" w:rsidRPr="00D16793">
        <w:t xml:space="preserve"> </w:t>
      </w:r>
      <w:r w:rsidR="00D16793">
        <w:t>ecobee and Google, LLC</w:t>
      </w:r>
      <w:r w:rsidR="00AE69ED">
        <w:rPr>
          <w:color w:val="000000"/>
        </w:rPr>
        <w:t>.</w:t>
      </w:r>
      <w:r w:rsidR="000A113A" w:rsidRPr="00B6228D">
        <w:t xml:space="preserve"> Neither </w:t>
      </w:r>
      <w:r w:rsidR="00F916B6">
        <w:t xml:space="preserve">of these participants </w:t>
      </w:r>
      <w:r w:rsidR="00BE66B9">
        <w:t>are</w:t>
      </w:r>
      <w:r w:rsidR="000A113A" w:rsidRPr="00B6228D">
        <w:t xml:space="preserve"> </w:t>
      </w:r>
      <w:r w:rsidR="000A113A">
        <w:t>alleged to be an existing customer of the Companies</w:t>
      </w:r>
      <w:r w:rsidR="007C26C6">
        <w:t xml:space="preserve">. </w:t>
      </w:r>
      <w:r w:rsidR="00997B08">
        <w:t>Ne</w:t>
      </w:r>
      <w:r w:rsidR="007C26C6">
        <w:t xml:space="preserve">ither </w:t>
      </w:r>
      <w:r w:rsidR="00BE66B9">
        <w:t xml:space="preserve">are </w:t>
      </w:r>
      <w:r w:rsidR="00997B08">
        <w:t xml:space="preserve">alleged to </w:t>
      </w:r>
      <w:r w:rsidR="007C26C6">
        <w:t>reside</w:t>
      </w:r>
      <w:r w:rsidR="00F916B6">
        <w:t xml:space="preserve"> in the Companies’ services areas,</w:t>
      </w:r>
      <w:r w:rsidR="007C26C6">
        <w:t xml:space="preserve"> do business in</w:t>
      </w:r>
      <w:r w:rsidR="000A113A">
        <w:t xml:space="preserve"> </w:t>
      </w:r>
      <w:r w:rsidR="008B7B10">
        <w:t xml:space="preserve">the </w:t>
      </w:r>
      <w:r w:rsidR="00F916B6">
        <w:t xml:space="preserve">these </w:t>
      </w:r>
      <w:r w:rsidR="008B7B10">
        <w:t>service areas</w:t>
      </w:r>
      <w:r w:rsidR="00F916B6">
        <w:t>,</w:t>
      </w:r>
      <w:r w:rsidR="00791E7C">
        <w:t xml:space="preserve"> or </w:t>
      </w:r>
      <w:r w:rsidR="00997B08">
        <w:t>otherwise rely</w:t>
      </w:r>
      <w:r w:rsidR="00F916B6">
        <w:t xml:space="preserve"> </w:t>
      </w:r>
      <w:r w:rsidR="00976739">
        <w:t xml:space="preserve">on electric service </w:t>
      </w:r>
      <w:r w:rsidR="00791E7C">
        <w:t>from the Companies</w:t>
      </w:r>
      <w:r w:rsidR="000A113A">
        <w:t>.</w:t>
      </w:r>
      <w:r w:rsidR="00F916B6" w:rsidRPr="00B6228D">
        <w:t xml:space="preserve"> Nothing in this rate case affects the current operations of </w:t>
      </w:r>
      <w:r w:rsidR="00F916B6">
        <w:t>those participants.</w:t>
      </w:r>
    </w:p>
    <w:p w14:paraId="37987B2F" w14:textId="77777777" w:rsidR="000A113A" w:rsidRDefault="000A113A" w:rsidP="00412C50">
      <w:pPr>
        <w:pStyle w:val="OrderBody"/>
      </w:pPr>
    </w:p>
    <w:p w14:paraId="6FBA89CC" w14:textId="33AB6719" w:rsidR="004B0478" w:rsidRDefault="000A113A" w:rsidP="00412C50">
      <w:pPr>
        <w:pStyle w:val="OrderBody"/>
      </w:pPr>
      <w:r>
        <w:tab/>
      </w:r>
      <w:r w:rsidR="007C26C6">
        <w:t xml:space="preserve">Regarding </w:t>
      </w:r>
      <w:r w:rsidR="00CC252E">
        <w:t>an</w:t>
      </w:r>
      <w:r w:rsidR="00E938DE">
        <w:t xml:space="preserve"> injur</w:t>
      </w:r>
      <w:r w:rsidR="00AB25C6">
        <w:t>y being realized as a result of</w:t>
      </w:r>
      <w:r w:rsidR="007C26C6">
        <w:t xml:space="preserve"> this rate case, </w:t>
      </w:r>
      <w:r w:rsidR="00E938DE">
        <w:t xml:space="preserve">STC asserts that </w:t>
      </w:r>
      <w:r w:rsidR="00CC252E">
        <w:t xml:space="preserve">phasing out the Gulf TOU tariff eliminates </w:t>
      </w:r>
      <w:r w:rsidR="00E938DE">
        <w:t xml:space="preserve">“a robust mechanism for customers to leverage flexible demand </w:t>
      </w:r>
      <w:r w:rsidR="00443106">
        <w:t>technologies</w:t>
      </w:r>
      <w:r w:rsidR="00E938DE">
        <w:t xml:space="preserve"> like smart thermostats, which when paired with TOU rates can provide </w:t>
      </w:r>
      <w:r w:rsidR="00E938DE" w:rsidRPr="00CE3582">
        <w:rPr>
          <w:u w:val="single"/>
        </w:rPr>
        <w:lastRenderedPageBreak/>
        <w:t>significant bill savings for customers</w:t>
      </w:r>
      <w:r w:rsidR="00E938DE">
        <w:t xml:space="preserve"> along with reliability [sic] services that increase </w:t>
      </w:r>
      <w:r w:rsidR="00E938DE" w:rsidRPr="00CE3582">
        <w:rPr>
          <w:u w:val="single"/>
        </w:rPr>
        <w:t>efficient use of the distribution grid</w:t>
      </w:r>
      <w:r w:rsidR="00E938DE">
        <w:t xml:space="preserve">.” Petition at 3 (emphasis added). STC further claims a “concrete interest” in this proceeding “in order to ensure that the companies make available tariffs through which STC’s members can effectively respond to price signals to </w:t>
      </w:r>
      <w:r w:rsidR="00E938DE" w:rsidRPr="00CE3582">
        <w:rPr>
          <w:u w:val="single"/>
        </w:rPr>
        <w:t>provide customer and grid benefits</w:t>
      </w:r>
      <w:r w:rsidR="00E938DE">
        <w:t xml:space="preserve"> through automated shifting of customer heating and cooling load.” </w:t>
      </w:r>
      <w:r w:rsidR="00E938DE">
        <w:rPr>
          <w:u w:val="single"/>
        </w:rPr>
        <w:t>Id.</w:t>
      </w:r>
      <w:r w:rsidR="00E938DE">
        <w:t xml:space="preserve"> at 7 (emphasis added).</w:t>
      </w:r>
      <w:r w:rsidR="00976739">
        <w:t xml:space="preserve"> </w:t>
      </w:r>
      <w:r w:rsidR="00546A53">
        <w:t>In the underscored phrase</w:t>
      </w:r>
      <w:r w:rsidR="00E938DE">
        <w:t>s</w:t>
      </w:r>
      <w:r w:rsidR="00546A53">
        <w:t xml:space="preserve"> above, </w:t>
      </w:r>
      <w:r w:rsidR="00A319AE">
        <w:t xml:space="preserve">STC asserts that </w:t>
      </w:r>
      <w:r w:rsidR="004B0478">
        <w:t>the benefits of any</w:t>
      </w:r>
      <w:r w:rsidR="00976739">
        <w:t xml:space="preserve"> potential program would be realized by</w:t>
      </w:r>
      <w:r w:rsidR="004B0478">
        <w:t xml:space="preserve"> the ratepayers and the grid, not STC’s participants. Neither ecobee nor Google, LLC, </w:t>
      </w:r>
      <w:r w:rsidR="00D86107">
        <w:t xml:space="preserve">has a protected interest in </w:t>
      </w:r>
      <w:r w:rsidR="00546A53">
        <w:t>positive</w:t>
      </w:r>
      <w:r w:rsidR="004B0478">
        <w:t xml:space="preserve"> impacts to the general bod</w:t>
      </w:r>
      <w:r w:rsidR="00546A53">
        <w:t>y of ratepayers or benefits to the</w:t>
      </w:r>
      <w:r w:rsidR="004B0478">
        <w:t xml:space="preserve"> grid. The only entity that </w:t>
      </w:r>
      <w:r w:rsidR="00546A53">
        <w:t xml:space="preserve">may </w:t>
      </w:r>
      <w:r w:rsidR="004B0478">
        <w:t>interven</w:t>
      </w:r>
      <w:r w:rsidR="00546A53">
        <w:t>e</w:t>
      </w:r>
      <w:r w:rsidR="004B0478">
        <w:t xml:space="preserve"> and protect</w:t>
      </w:r>
      <w:r w:rsidR="00546A53">
        <w:t xml:space="preserve"> these general interests w</w:t>
      </w:r>
      <w:r w:rsidR="004B0478">
        <w:t>i</w:t>
      </w:r>
      <w:r w:rsidR="00546A53">
        <w:t>t</w:t>
      </w:r>
      <w:r w:rsidR="004B0478">
        <w:t>hout showin</w:t>
      </w:r>
      <w:r w:rsidR="00AB25C6">
        <w:t>g individualized injury-in-fact</w:t>
      </w:r>
      <w:r w:rsidR="004B0478">
        <w:t xml:space="preserve"> is the Office of Public Counsel.</w:t>
      </w:r>
      <w:r w:rsidR="000D7451">
        <w:t xml:space="preserve"> </w:t>
      </w:r>
      <w:r w:rsidR="000D7451">
        <w:rPr>
          <w:u w:val="single"/>
        </w:rPr>
        <w:t>See</w:t>
      </w:r>
      <w:r w:rsidR="000D7451">
        <w:t xml:space="preserve"> </w:t>
      </w:r>
      <w:r w:rsidR="006F19C5">
        <w:t>Sections</w:t>
      </w:r>
      <w:r w:rsidR="000D7451">
        <w:t xml:space="preserve"> 350.061 </w:t>
      </w:r>
      <w:r w:rsidR="000D2742">
        <w:t>and</w:t>
      </w:r>
      <w:r w:rsidR="000D7451">
        <w:t xml:space="preserve"> 350.0611, F.S.</w:t>
      </w:r>
    </w:p>
    <w:p w14:paraId="62453B23" w14:textId="77777777" w:rsidR="00B606A8" w:rsidRDefault="00B606A8" w:rsidP="00412C50">
      <w:pPr>
        <w:pStyle w:val="OrderBody"/>
      </w:pPr>
    </w:p>
    <w:p w14:paraId="14FA9A70" w14:textId="77777777" w:rsidR="00B606A8" w:rsidRDefault="00B606A8" w:rsidP="00B606A8">
      <w:pPr>
        <w:pStyle w:val="OrderBody"/>
      </w:pPr>
      <w:r>
        <w:tab/>
        <w:t>Moreover, f</w:t>
      </w:r>
      <w:r w:rsidR="00AE69ED">
        <w:t>or the alleged</w:t>
      </w:r>
      <w:r w:rsidR="006A6CC6">
        <w:t xml:space="preserve"> potential</w:t>
      </w:r>
      <w:r w:rsidR="00B33976">
        <w:t xml:space="preserve"> injury</w:t>
      </w:r>
      <w:r w:rsidR="006A6CC6">
        <w:t xml:space="preserve"> to be realized</w:t>
      </w:r>
      <w:r w:rsidR="00B33976">
        <w:t xml:space="preserve"> by STC</w:t>
      </w:r>
      <w:r w:rsidR="006A6CC6">
        <w:t xml:space="preserve">, </w:t>
      </w:r>
      <w:r>
        <w:t xml:space="preserve">several interdependent events would have to occur. First, the Commission would have to deny </w:t>
      </w:r>
      <w:r w:rsidR="00BE66B9">
        <w:t xml:space="preserve">the </w:t>
      </w:r>
      <w:r>
        <w:t>Companies’ request to phase out the existing Gulf tariff</w:t>
      </w:r>
      <w:r w:rsidR="00A45370">
        <w:t xml:space="preserve"> and</w:t>
      </w:r>
      <w:r>
        <w:t xml:space="preserve"> order the Companies to adopt a</w:t>
      </w:r>
      <w:r w:rsidR="00A45370">
        <w:t>n expanded</w:t>
      </w:r>
      <w:r>
        <w:t xml:space="preserve"> TOU tariff for all of</w:t>
      </w:r>
      <w:r w:rsidR="00D86107">
        <w:t xml:space="preserve"> its service areas that includes</w:t>
      </w:r>
      <w:r>
        <w:t xml:space="preserve"> </w:t>
      </w:r>
      <w:r w:rsidR="00A45370">
        <w:t xml:space="preserve">the </w:t>
      </w:r>
      <w:r>
        <w:t xml:space="preserve">program proposed by STC. </w:t>
      </w:r>
      <w:r w:rsidR="00A45370">
        <w:t>T</w:t>
      </w:r>
      <w:r>
        <w:t xml:space="preserve">he Companies would </w:t>
      </w:r>
      <w:r w:rsidR="00A45370">
        <w:t xml:space="preserve">then </w:t>
      </w:r>
      <w:r w:rsidR="00D86107">
        <w:t>have to implement this new</w:t>
      </w:r>
      <w:r>
        <w:t xml:space="preserve"> program by offering smart technology incentives to customers and entering into load </w:t>
      </w:r>
      <w:r w:rsidR="00D86107">
        <w:t xml:space="preserve">management </w:t>
      </w:r>
      <w:r>
        <w:t>agreements with vendors.</w:t>
      </w:r>
      <w:r w:rsidR="00B33976">
        <w:t xml:space="preserve"> </w:t>
      </w:r>
      <w:r w:rsidR="00A45370">
        <w:t xml:space="preserve">For there to be an injury-in-fact, it must be presumed that </w:t>
      </w:r>
      <w:r w:rsidR="00B33976">
        <w:t>ecobe</w:t>
      </w:r>
      <w:r w:rsidR="00A45370">
        <w:t>e and Google, LLC, would</w:t>
      </w:r>
      <w:r w:rsidR="00B33976">
        <w:t xml:space="preserve"> be among these vendors.</w:t>
      </w:r>
      <w:r>
        <w:t xml:space="preserve"> </w:t>
      </w:r>
      <w:r w:rsidR="00A45370">
        <w:t>Next, c</w:t>
      </w:r>
      <w:r>
        <w:t>ustomers would have to sign up for the TOU tariff and enhanced technology offering</w:t>
      </w:r>
      <w:r w:rsidR="00A45370">
        <w:t>, whic</w:t>
      </w:r>
      <w:r w:rsidR="00482476">
        <w:t>h would then have to result in</w:t>
      </w:r>
      <w:r>
        <w:t xml:space="preserve"> ratepayer savings and grid benefits. This </w:t>
      </w:r>
      <w:r w:rsidR="008F216B">
        <w:t xml:space="preserve">chain of </w:t>
      </w:r>
      <w:r w:rsidR="00B33976">
        <w:t xml:space="preserve">events </w:t>
      </w:r>
      <w:r w:rsidR="00AE69ED">
        <w:t>does not demonstrate</w:t>
      </w:r>
      <w:r w:rsidR="008F216B">
        <w:t xml:space="preserve"> </w:t>
      </w:r>
      <w:r w:rsidR="00B33976">
        <w:t>an immediate</w:t>
      </w:r>
      <w:r w:rsidR="006A6CC6">
        <w:t xml:space="preserve"> </w:t>
      </w:r>
      <w:r w:rsidR="00B33976">
        <w:t>danger of</w:t>
      </w:r>
      <w:r w:rsidR="008F216B">
        <w:t xml:space="preserve"> injury or</w:t>
      </w:r>
      <w:r w:rsidR="00AD432D">
        <w:t xml:space="preserve"> an</w:t>
      </w:r>
      <w:r w:rsidR="008F216B">
        <w:t xml:space="preserve"> impact to substantial interest</w:t>
      </w:r>
      <w:r w:rsidR="00B33976">
        <w:t xml:space="preserve">, but rather </w:t>
      </w:r>
      <w:r w:rsidR="00AE69ED">
        <w:t xml:space="preserve">shows that any injury </w:t>
      </w:r>
      <w:r w:rsidR="00B33976">
        <w:t>is speculative and</w:t>
      </w:r>
      <w:r w:rsidR="00A45370">
        <w:t>, therefore,</w:t>
      </w:r>
      <w:r w:rsidR="00B33976">
        <w:t xml:space="preserve"> in</w:t>
      </w:r>
      <w:r w:rsidR="006A6CC6">
        <w:t xml:space="preserve">sufficient for standing under the first prong of </w:t>
      </w:r>
      <w:r w:rsidR="006A6CC6">
        <w:rPr>
          <w:u w:val="single"/>
        </w:rPr>
        <w:t>Agrico</w:t>
      </w:r>
      <w:r w:rsidR="006A6CC6">
        <w:t xml:space="preserve">. </w:t>
      </w:r>
      <w:r w:rsidR="006A6CC6">
        <w:rPr>
          <w:u w:val="single"/>
        </w:rPr>
        <w:t>See</w:t>
      </w:r>
      <w:r w:rsidR="006A6CC6">
        <w:t xml:space="preserve"> </w:t>
      </w:r>
      <w:r w:rsidR="006A6CC6" w:rsidRPr="000C7B8E">
        <w:rPr>
          <w:u w:val="single"/>
        </w:rPr>
        <w:t>International Jai-Alai Players Assn. v. Florida Pari-Mutuel Commission</w:t>
      </w:r>
      <w:r w:rsidR="006A6CC6" w:rsidRPr="005D0FBC">
        <w:t>, 561 So. 2d 1224 (Fla. 3d DCA 1990)</w:t>
      </w:r>
      <w:r w:rsidR="006A6CC6">
        <w:t xml:space="preserve"> (potential impa</w:t>
      </w:r>
      <w:r w:rsidR="00B33976">
        <w:t>ct on union negotiations alleged to flow</w:t>
      </w:r>
      <w:r w:rsidR="006A6CC6">
        <w:t xml:space="preserve"> from changes to dates of operation sought by jai-alai fronton owners too speculative an injury to support standing for the players).</w:t>
      </w:r>
    </w:p>
    <w:p w14:paraId="6D0383AA" w14:textId="77777777" w:rsidR="00A319AE" w:rsidRDefault="00B606A8" w:rsidP="00B606A8">
      <w:pPr>
        <w:pStyle w:val="OrderBody"/>
      </w:pPr>
      <w:r>
        <w:t xml:space="preserve"> </w:t>
      </w:r>
    </w:p>
    <w:p w14:paraId="2FA31DD0" w14:textId="72E4A2AD" w:rsidR="000D2742" w:rsidRDefault="00A319AE" w:rsidP="000D2742">
      <w:pPr>
        <w:autoSpaceDE w:val="0"/>
        <w:autoSpaceDN w:val="0"/>
        <w:adjustRightInd w:val="0"/>
        <w:jc w:val="both"/>
      </w:pPr>
      <w:r>
        <w:tab/>
      </w:r>
      <w:r w:rsidR="00A45370">
        <w:t>Assuming the</w:t>
      </w:r>
      <w:r w:rsidR="00B6454C">
        <w:t xml:space="preserve"> events listed above occurred, </w:t>
      </w:r>
      <w:r w:rsidR="007F62BE">
        <w:t xml:space="preserve">the selected vendors </w:t>
      </w:r>
      <w:r w:rsidR="00E82CC7">
        <w:t xml:space="preserve">would </w:t>
      </w:r>
      <w:r w:rsidR="00FF2DE0">
        <w:t xml:space="preserve">receive </w:t>
      </w:r>
      <w:r w:rsidR="00A151A0">
        <w:t>compensation for the grid value</w:t>
      </w:r>
      <w:r w:rsidR="00E82CC7">
        <w:t xml:space="preserve"> of the response</w:t>
      </w:r>
      <w:r w:rsidR="00D37439">
        <w:t>.</w:t>
      </w:r>
      <w:r w:rsidR="00AE69ED">
        <w:t xml:space="preserve"> </w:t>
      </w:r>
      <w:r w:rsidR="00A45370">
        <w:rPr>
          <w:u w:val="single"/>
        </w:rPr>
        <w:t>See</w:t>
      </w:r>
      <w:r w:rsidR="00A45370">
        <w:t xml:space="preserve"> </w:t>
      </w:r>
      <w:r w:rsidR="00AE69ED">
        <w:t xml:space="preserve">Prefiled Testimony of Dzubay at </w:t>
      </w:r>
      <w:r w:rsidR="006A72B5">
        <w:t>2, lns. 17-21.</w:t>
      </w:r>
      <w:r w:rsidR="00E82CC7">
        <w:t xml:space="preserve"> </w:t>
      </w:r>
      <w:r w:rsidR="007F62BE">
        <w:t>Assuming that ecobee and Google, LLC, were selected as vendors, then, they would stand to profit mo</w:t>
      </w:r>
      <w:r w:rsidR="007F62BE" w:rsidRPr="00B05F69">
        <w:t xml:space="preserve">netarily. </w:t>
      </w:r>
      <w:r w:rsidR="00A45370" w:rsidRPr="00B05F69">
        <w:t>T</w:t>
      </w:r>
      <w:r w:rsidR="007F62BE" w:rsidRPr="00B05F69">
        <w:rPr>
          <w:color w:val="000000"/>
          <w:shd w:val="clear" w:color="auto" w:fill="FFFFFF"/>
        </w:rPr>
        <w:t xml:space="preserve">hese allegations “are legally insufficient because the alleged economic injury does not fall within the zone of interest intended to be protected by the applicable statutes.”  </w:t>
      </w:r>
      <w:r w:rsidR="007F62BE" w:rsidRPr="00B05F69">
        <w:rPr>
          <w:color w:val="000000"/>
          <w:u w:val="single"/>
        </w:rPr>
        <w:t>Florida Soc. of Ophthalmology v. State Bd. of Optometry</w:t>
      </w:r>
      <w:r w:rsidR="007F62BE" w:rsidRPr="00B05F69">
        <w:rPr>
          <w:color w:val="000000"/>
        </w:rPr>
        <w:t>, 532 So. 2d 1279, 1285 (</w:t>
      </w:r>
      <w:r w:rsidR="00600FB8">
        <w:t>Fla. 1</w:t>
      </w:r>
      <w:r w:rsidR="00600FB8" w:rsidRPr="00600FB8">
        <w:rPr>
          <w:vertAlign w:val="superscript"/>
        </w:rPr>
        <w:t>st</w:t>
      </w:r>
      <w:r w:rsidR="00600FB8">
        <w:t xml:space="preserve"> DCA </w:t>
      </w:r>
      <w:r w:rsidR="007F62BE" w:rsidRPr="00B05F69">
        <w:rPr>
          <w:color w:val="000000"/>
        </w:rPr>
        <w:t>1988)</w:t>
      </w:r>
      <w:r w:rsidR="007F62BE" w:rsidRPr="00B05F69">
        <w:t>.</w:t>
      </w:r>
      <w:r w:rsidR="00A45370" w:rsidRPr="00B05F69">
        <w:t xml:space="preserve"> Therefore, STC also does not satisfy the second portion of the </w:t>
      </w:r>
      <w:r w:rsidR="00A45370" w:rsidRPr="00B05F69">
        <w:rPr>
          <w:u w:val="single"/>
        </w:rPr>
        <w:t>Agrico</w:t>
      </w:r>
      <w:r w:rsidR="00A45370" w:rsidRPr="00B05F69">
        <w:t xml:space="preserve"> test.</w:t>
      </w:r>
      <w:r w:rsidR="00B05F69">
        <w:rPr>
          <w:rStyle w:val="FootnoteReference"/>
        </w:rPr>
        <w:footnoteReference w:id="3"/>
      </w:r>
      <w:r w:rsidR="000D2742">
        <w:t xml:space="preserve"> Accordingly, Smart Thermostat Coalition’s petition to intervene is denied.</w:t>
      </w:r>
    </w:p>
    <w:p w14:paraId="7BDD9097" w14:textId="49055E9D" w:rsidR="000D2742" w:rsidRDefault="000D2742" w:rsidP="00FF2DE0">
      <w:pPr>
        <w:autoSpaceDE w:val="0"/>
        <w:autoSpaceDN w:val="0"/>
        <w:adjustRightInd w:val="0"/>
        <w:jc w:val="both"/>
      </w:pPr>
    </w:p>
    <w:p w14:paraId="284C01C8" w14:textId="5A70D775" w:rsidR="00542677" w:rsidRDefault="0026518E" w:rsidP="002656EE">
      <w:r>
        <w:br w:type="page"/>
      </w:r>
      <w:r w:rsidR="00542677" w:rsidRPr="00542677">
        <w:lastRenderedPageBreak/>
        <w:t>Based on the foregoing, it is hereby</w:t>
      </w:r>
    </w:p>
    <w:p w14:paraId="06ED1C3E" w14:textId="77777777" w:rsidR="00542677" w:rsidRDefault="00542677" w:rsidP="00542677">
      <w:pPr>
        <w:pStyle w:val="OrderBody"/>
      </w:pPr>
    </w:p>
    <w:p w14:paraId="51612E0B" w14:textId="3B9E559C" w:rsidR="00542677" w:rsidRDefault="00542677" w:rsidP="00542677">
      <w:pPr>
        <w:pStyle w:val="OrderBody"/>
      </w:pPr>
      <w:r>
        <w:tab/>
        <w:t>ORDERED by Chairman Gary F. Clark, as Prehearing Officer, that</w:t>
      </w:r>
      <w:r w:rsidRPr="00542677">
        <w:t xml:space="preserve"> the Petition to Intervene filed by Smart Thermostat Coalition </w:t>
      </w:r>
      <w:r>
        <w:t>is hereby denied.</w:t>
      </w:r>
    </w:p>
    <w:p w14:paraId="18304CB1" w14:textId="77777777" w:rsidR="00542677" w:rsidRDefault="00542677" w:rsidP="00542677">
      <w:pPr>
        <w:pStyle w:val="OrderBody"/>
      </w:pPr>
    </w:p>
    <w:p w14:paraId="60B9F3F3" w14:textId="74478DD3" w:rsidR="00542677" w:rsidRDefault="00542677" w:rsidP="00542677">
      <w:pPr>
        <w:pStyle w:val="OrderBody"/>
        <w:keepNext/>
        <w:keepLines/>
      </w:pPr>
      <w:r>
        <w:tab/>
        <w:t xml:space="preserve">By ORDER of Chairman Gary F. Clark, as Prehearing Officer, this </w:t>
      </w:r>
      <w:bookmarkStart w:id="5" w:name="replaceDate"/>
      <w:bookmarkEnd w:id="5"/>
      <w:r w:rsidR="00A53C92">
        <w:rPr>
          <w:u w:val="single"/>
        </w:rPr>
        <w:t>13th</w:t>
      </w:r>
      <w:r w:rsidR="00A53C92">
        <w:t xml:space="preserve"> day of </w:t>
      </w:r>
      <w:r w:rsidR="00A53C92">
        <w:rPr>
          <w:u w:val="single"/>
        </w:rPr>
        <w:t>July</w:t>
      </w:r>
      <w:r w:rsidR="00A53C92">
        <w:t xml:space="preserve">, </w:t>
      </w:r>
      <w:r w:rsidR="00A53C92">
        <w:rPr>
          <w:u w:val="single"/>
        </w:rPr>
        <w:t>2021</w:t>
      </w:r>
      <w:r w:rsidR="00A53C92">
        <w:t>.</w:t>
      </w:r>
    </w:p>
    <w:p w14:paraId="58D0AA96" w14:textId="115792BA" w:rsidR="00542677" w:rsidRDefault="00542677" w:rsidP="00542677">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542677" w14:paraId="79DCF858" w14:textId="77777777" w:rsidTr="00542677">
        <w:tc>
          <w:tcPr>
            <w:tcW w:w="720" w:type="dxa"/>
            <w:shd w:val="clear" w:color="auto" w:fill="auto"/>
          </w:tcPr>
          <w:p w14:paraId="582D1941" w14:textId="77777777" w:rsidR="00542677" w:rsidRDefault="00542677" w:rsidP="00542677">
            <w:pPr>
              <w:pStyle w:val="OrderBody"/>
              <w:keepNext/>
              <w:keepLines/>
            </w:pPr>
            <w:bookmarkStart w:id="6" w:name="bkmrkSignature" w:colFirst="0" w:colLast="0"/>
          </w:p>
        </w:tc>
        <w:tc>
          <w:tcPr>
            <w:tcW w:w="4320" w:type="dxa"/>
            <w:tcBorders>
              <w:bottom w:val="single" w:sz="4" w:space="0" w:color="auto"/>
            </w:tcBorders>
            <w:shd w:val="clear" w:color="auto" w:fill="auto"/>
          </w:tcPr>
          <w:p w14:paraId="552EA782" w14:textId="0711995E" w:rsidR="00542677" w:rsidRDefault="00842A88" w:rsidP="00542677">
            <w:pPr>
              <w:pStyle w:val="OrderBody"/>
              <w:keepNext/>
              <w:keepLines/>
            </w:pPr>
            <w:r>
              <w:t>/s/ Gary F. Clark</w:t>
            </w:r>
            <w:bookmarkStart w:id="7" w:name="_GoBack"/>
            <w:bookmarkEnd w:id="7"/>
          </w:p>
        </w:tc>
      </w:tr>
      <w:bookmarkEnd w:id="6"/>
      <w:tr w:rsidR="00542677" w14:paraId="6EF7F675" w14:textId="77777777" w:rsidTr="00542677">
        <w:tc>
          <w:tcPr>
            <w:tcW w:w="720" w:type="dxa"/>
            <w:shd w:val="clear" w:color="auto" w:fill="auto"/>
          </w:tcPr>
          <w:p w14:paraId="2D304B2B" w14:textId="77777777" w:rsidR="00542677" w:rsidRDefault="00542677" w:rsidP="00542677">
            <w:pPr>
              <w:pStyle w:val="OrderBody"/>
              <w:keepNext/>
              <w:keepLines/>
            </w:pPr>
          </w:p>
        </w:tc>
        <w:tc>
          <w:tcPr>
            <w:tcW w:w="4320" w:type="dxa"/>
            <w:tcBorders>
              <w:top w:val="single" w:sz="4" w:space="0" w:color="auto"/>
            </w:tcBorders>
            <w:shd w:val="clear" w:color="auto" w:fill="auto"/>
          </w:tcPr>
          <w:p w14:paraId="30C08C8F" w14:textId="77777777" w:rsidR="00542677" w:rsidRDefault="00542677" w:rsidP="00542677">
            <w:pPr>
              <w:pStyle w:val="OrderBody"/>
              <w:keepNext/>
              <w:keepLines/>
            </w:pPr>
            <w:r>
              <w:t>GARY F. CLARK</w:t>
            </w:r>
          </w:p>
          <w:p w14:paraId="65DD1EEA" w14:textId="77777777" w:rsidR="00542677" w:rsidRDefault="00542677" w:rsidP="00542677">
            <w:pPr>
              <w:pStyle w:val="OrderBody"/>
              <w:keepNext/>
              <w:keepLines/>
            </w:pPr>
            <w:r>
              <w:t>Chairman and Prehearing Officer</w:t>
            </w:r>
          </w:p>
        </w:tc>
      </w:tr>
    </w:tbl>
    <w:p w14:paraId="39B6E595" w14:textId="77777777" w:rsidR="00542677" w:rsidRDefault="00542677" w:rsidP="00542677">
      <w:pPr>
        <w:pStyle w:val="OrderSigInfo"/>
        <w:keepNext/>
        <w:keepLines/>
      </w:pPr>
      <w:r>
        <w:t>Florida Public Service Commission</w:t>
      </w:r>
    </w:p>
    <w:p w14:paraId="3892615E" w14:textId="77777777" w:rsidR="00542677" w:rsidRDefault="00542677" w:rsidP="00542677">
      <w:pPr>
        <w:pStyle w:val="OrderSigInfo"/>
        <w:keepNext/>
        <w:keepLines/>
      </w:pPr>
      <w:r>
        <w:t>2540 Shumard Oak Boulevard</w:t>
      </w:r>
    </w:p>
    <w:p w14:paraId="62AE1DA0" w14:textId="77777777" w:rsidR="00542677" w:rsidRDefault="00542677" w:rsidP="00542677">
      <w:pPr>
        <w:pStyle w:val="OrderSigInfo"/>
        <w:keepNext/>
        <w:keepLines/>
      </w:pPr>
      <w:r>
        <w:t>Tallahassee, Florida 32399</w:t>
      </w:r>
    </w:p>
    <w:p w14:paraId="4CB37218" w14:textId="77777777" w:rsidR="00542677" w:rsidRDefault="00542677" w:rsidP="00542677">
      <w:pPr>
        <w:pStyle w:val="OrderSigInfo"/>
        <w:keepNext/>
        <w:keepLines/>
      </w:pPr>
      <w:r>
        <w:t>(850) 413</w:t>
      </w:r>
      <w:r>
        <w:noBreakHyphen/>
        <w:t>6770</w:t>
      </w:r>
    </w:p>
    <w:p w14:paraId="1B2CDCEF" w14:textId="77777777" w:rsidR="00542677" w:rsidRDefault="00542677" w:rsidP="00542677">
      <w:pPr>
        <w:pStyle w:val="OrderSigInfo"/>
        <w:keepNext/>
        <w:keepLines/>
      </w:pPr>
      <w:r>
        <w:t>www.floridapsc.com</w:t>
      </w:r>
    </w:p>
    <w:p w14:paraId="23248AFA" w14:textId="77777777" w:rsidR="00542677" w:rsidRDefault="00542677" w:rsidP="00542677">
      <w:pPr>
        <w:pStyle w:val="OrderSigInfo"/>
        <w:keepNext/>
        <w:keepLines/>
      </w:pPr>
    </w:p>
    <w:p w14:paraId="4BF45D9B" w14:textId="77777777" w:rsidR="00542677" w:rsidRDefault="00542677" w:rsidP="00542677">
      <w:pPr>
        <w:pStyle w:val="OrderSigInfo"/>
        <w:keepNext/>
        <w:keepLines/>
      </w:pPr>
      <w:r>
        <w:t>Copies furnished:  A copy of this document is provided to the parties of record at the time of issuance and, if applicable, interested persons.</w:t>
      </w:r>
    </w:p>
    <w:p w14:paraId="3F361D4A" w14:textId="068689EE" w:rsidR="00542677" w:rsidRDefault="00542677" w:rsidP="00542677">
      <w:pPr>
        <w:pStyle w:val="OrderBody"/>
        <w:keepNext/>
        <w:keepLines/>
      </w:pPr>
      <w:r>
        <w:t>SPS</w:t>
      </w:r>
    </w:p>
    <w:p w14:paraId="1A0E77ED" w14:textId="77777777" w:rsidR="00542677" w:rsidRDefault="00542677" w:rsidP="00542677">
      <w:pPr>
        <w:pStyle w:val="OrderBody"/>
      </w:pPr>
    </w:p>
    <w:p w14:paraId="381B82FC" w14:textId="77777777" w:rsidR="00542677" w:rsidRDefault="00542677" w:rsidP="00542677">
      <w:pPr>
        <w:pStyle w:val="CenterUnderline"/>
      </w:pPr>
      <w:r>
        <w:t>NOTICE OF FURTHER PROCEEDINGS OR JUDICIAL REVIEW</w:t>
      </w:r>
    </w:p>
    <w:p w14:paraId="127CC6C1" w14:textId="77777777" w:rsidR="00542677" w:rsidRDefault="00542677" w:rsidP="00542677">
      <w:pPr>
        <w:pStyle w:val="CenterUnderline"/>
        <w:rPr>
          <w:u w:val="none"/>
        </w:rPr>
      </w:pPr>
    </w:p>
    <w:p w14:paraId="57E19F59" w14:textId="77777777" w:rsidR="00542677" w:rsidRDefault="00542677" w:rsidP="0054267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05AAECE2" w14:textId="77777777" w:rsidR="00542677" w:rsidRDefault="00542677" w:rsidP="00542677">
      <w:pPr>
        <w:pStyle w:val="OrderBody"/>
      </w:pPr>
    </w:p>
    <w:p w14:paraId="094E3B86" w14:textId="77777777" w:rsidR="00542677" w:rsidRDefault="00542677" w:rsidP="00542677">
      <w:pPr>
        <w:pStyle w:val="OrderBody"/>
      </w:pPr>
      <w:r>
        <w:tab/>
        <w:t>Mediation may be available on a case-by-case basis.  If mediation is conducted, it does not affect a substantially interested person's right to a hearing.</w:t>
      </w:r>
    </w:p>
    <w:p w14:paraId="194E379C" w14:textId="77777777" w:rsidR="00542677" w:rsidRDefault="00542677" w:rsidP="00542677">
      <w:pPr>
        <w:pStyle w:val="OrderBody"/>
      </w:pPr>
    </w:p>
    <w:p w14:paraId="68B80A6D" w14:textId="77777777" w:rsidR="005F2751" w:rsidRDefault="00542677" w:rsidP="0054267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275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1C524" w14:textId="77777777" w:rsidR="00542677" w:rsidRDefault="00542677">
      <w:r>
        <w:separator/>
      </w:r>
    </w:p>
  </w:endnote>
  <w:endnote w:type="continuationSeparator" w:id="0">
    <w:p w14:paraId="2761CB1A" w14:textId="77777777" w:rsidR="00542677" w:rsidRDefault="0054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3E0FC" w14:textId="77777777" w:rsidR="00FA6EFD" w:rsidRDefault="00FA6EFD">
    <w:pPr>
      <w:pStyle w:val="Footer"/>
    </w:pPr>
  </w:p>
  <w:p w14:paraId="26FAD933"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078BD" w14:textId="77777777" w:rsidR="00542677" w:rsidRDefault="00542677">
      <w:r>
        <w:separator/>
      </w:r>
    </w:p>
  </w:footnote>
  <w:footnote w:type="continuationSeparator" w:id="0">
    <w:p w14:paraId="296E523C" w14:textId="77777777" w:rsidR="00542677" w:rsidRDefault="00542677">
      <w:r>
        <w:continuationSeparator/>
      </w:r>
    </w:p>
  </w:footnote>
  <w:footnote w:id="1">
    <w:p w14:paraId="72A73499" w14:textId="77777777" w:rsidR="002E6E77" w:rsidRDefault="002E6E77" w:rsidP="002E6E77">
      <w:pPr>
        <w:pStyle w:val="FootnoteText"/>
      </w:pPr>
      <w:r>
        <w:rPr>
          <w:rStyle w:val="FootnoteReference"/>
        </w:rPr>
        <w:footnoteRef/>
      </w:r>
      <w:r>
        <w:t xml:space="preserve"> Ecobee is generally described in the Prefiled Testimony of Tamara Dzubay as “a developer of </w:t>
      </w:r>
      <w:r w:rsidR="00443106">
        <w:t>smart</w:t>
      </w:r>
      <w:r>
        <w:t xml:space="preserve"> therm</w:t>
      </w:r>
      <w:r w:rsidR="00443106">
        <w:t>o</w:t>
      </w:r>
      <w:r w:rsidR="005E6232">
        <w:t xml:space="preserve">stats </w:t>
      </w:r>
      <w:r>
        <w:t xml:space="preserve">and other smart home products for residential and commercial use.” </w:t>
      </w:r>
      <w:r w:rsidR="005E6232">
        <w:t xml:space="preserve">Prefiled </w:t>
      </w:r>
      <w:r>
        <w:t>Testimony of Dzubay at p.1, lns. 10-11. There is no further information on ecobee and none on Google, LLC, provided in the Petition or Testimony of D</w:t>
      </w:r>
      <w:r w:rsidR="00443106">
        <w:t>z</w:t>
      </w:r>
      <w:r>
        <w:t>ubay.</w:t>
      </w:r>
    </w:p>
  </w:footnote>
  <w:footnote w:id="2">
    <w:p w14:paraId="1399B5CD" w14:textId="77777777" w:rsidR="00ED3D8D" w:rsidRDefault="00ED3D8D">
      <w:pPr>
        <w:pStyle w:val="FootnoteText"/>
      </w:pPr>
      <w:r>
        <w:rPr>
          <w:rStyle w:val="FootnoteReference"/>
        </w:rPr>
        <w:footnoteRef/>
      </w:r>
      <w:r>
        <w:t xml:space="preserve"> STC</w:t>
      </w:r>
      <w:r w:rsidR="00BC4E68">
        <w:t>’s express waiver of associational standing is accepted</w:t>
      </w:r>
      <w:r w:rsidR="00F916B6">
        <w:t xml:space="preserve"> and that issue is not considered in this order.</w:t>
      </w:r>
    </w:p>
  </w:footnote>
  <w:footnote w:id="3">
    <w:p w14:paraId="0AE03E09" w14:textId="77777777" w:rsidR="00B05F69" w:rsidRPr="00B05F69" w:rsidRDefault="00B05F69">
      <w:pPr>
        <w:pStyle w:val="FootnoteText"/>
      </w:pPr>
      <w:r>
        <w:rPr>
          <w:rStyle w:val="FootnoteReference"/>
        </w:rPr>
        <w:footnoteRef/>
      </w:r>
      <w:r>
        <w:t xml:space="preserve"> </w:t>
      </w:r>
      <w:r w:rsidRPr="00B05F69">
        <w:rPr>
          <w:sz w:val="24"/>
          <w:szCs w:val="24"/>
          <w:u w:val="single"/>
        </w:rPr>
        <w:t>S</w:t>
      </w:r>
      <w:r w:rsidRPr="00B05F69">
        <w:rPr>
          <w:u w:val="single"/>
        </w:rPr>
        <w:t>ee</w:t>
      </w:r>
      <w:r w:rsidRPr="00B05F69">
        <w:t xml:space="preserve"> Order No. PSC-2021-0126-PCO-EI, issued April 12, 2021, in Docket Nos. 20190110-EI, 20190222-EI, 20210016-EI, </w:t>
      </w:r>
      <w:r w:rsidRPr="00B05F69">
        <w:rPr>
          <w:iCs/>
          <w:u w:val="single"/>
        </w:rPr>
        <w:t>In re: Petition for limited proceeding for recovery of incremental storm restoration costs related to Hurricane Michael and approval of second implementation stipulation, by Duke Energy Florida, LLC; In re: Petition for limited proceeding for recovery of incremental storm restoration costs related to Hurricane Dorian and Tropical Storm Nestor, by Duke Energy Florida, LLC; In re: Petition for limited proceeding to approve 2021 settlement agreement, including general base rate increases, by Duke Energy Florida, LLC</w:t>
      </w:r>
      <w:r>
        <w:rPr>
          <w:iCs/>
        </w:rPr>
        <w:t xml:space="preserve"> (“</w:t>
      </w:r>
      <w:r>
        <w:rPr>
          <w:iCs/>
          <w:u w:val="single"/>
        </w:rPr>
        <w:t>Agrico</w:t>
      </w:r>
      <w:r>
        <w:rPr>
          <w:iCs/>
        </w:rPr>
        <w:t xml:space="preserve"> provides that competitive economic injury may only qualify as an injury if the applicable governing statute is designed to protect </w:t>
      </w:r>
      <w:r w:rsidR="008F4C1C">
        <w:rPr>
          <w:iCs/>
        </w:rPr>
        <w:t xml:space="preserve">. . . </w:t>
      </w:r>
      <w:r>
        <w:rPr>
          <w:iCs/>
        </w:rPr>
        <w:t>such an interest, and this ra</w:t>
      </w:r>
      <w:r w:rsidR="008F4C1C">
        <w:rPr>
          <w:iCs/>
        </w:rPr>
        <w:t>te case proceeding was not desi</w:t>
      </w:r>
      <w:r>
        <w:rPr>
          <w:iCs/>
        </w:rPr>
        <w:t>g</w:t>
      </w:r>
      <w:r w:rsidR="008F4C1C">
        <w:rPr>
          <w:iCs/>
        </w:rPr>
        <w:t>n</w:t>
      </w:r>
      <w:r>
        <w:rPr>
          <w:iCs/>
        </w:rPr>
        <w:t>ed to protect ChargePoint’s alleged interests.”).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5CD9F" w14:textId="1ABD1745" w:rsidR="00FA6EFD" w:rsidRDefault="00FA6EFD">
    <w:pPr>
      <w:pStyle w:val="OrderHeader"/>
    </w:pPr>
    <w:r>
      <w:t xml:space="preserve">ORDER NO. </w:t>
    </w:r>
    <w:fldSimple w:instr=" REF OrderNo0256 ">
      <w:r w:rsidR="00842A88">
        <w:t>PSC-2021-0256-PCO-EI</w:t>
      </w:r>
    </w:fldSimple>
  </w:p>
  <w:p w14:paraId="7C9E39C7" w14:textId="77777777" w:rsidR="00FA6EFD" w:rsidRDefault="00542677">
    <w:pPr>
      <w:pStyle w:val="OrderHeader"/>
    </w:pPr>
    <w:bookmarkStart w:id="8" w:name="HeaderDocketNo"/>
    <w:bookmarkEnd w:id="8"/>
    <w:r>
      <w:t>DOCKET NO. 20210015-EI</w:t>
    </w:r>
  </w:p>
  <w:p w14:paraId="5D1B9295" w14:textId="37BC3544"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42A88">
      <w:rPr>
        <w:rStyle w:val="PageNumber"/>
        <w:noProof/>
      </w:rPr>
      <w:t>5</w:t>
    </w:r>
    <w:r>
      <w:rPr>
        <w:rStyle w:val="PageNumber"/>
      </w:rPr>
      <w:fldChar w:fldCharType="end"/>
    </w:r>
  </w:p>
  <w:p w14:paraId="05D351BF" w14:textId="77777777"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15-EI"/>
  </w:docVars>
  <w:rsids>
    <w:rsidRoot w:val="00542677"/>
    <w:rsid w:val="0000111D"/>
    <w:rsid w:val="000022B8"/>
    <w:rsid w:val="00003883"/>
    <w:rsid w:val="00011251"/>
    <w:rsid w:val="00012A6D"/>
    <w:rsid w:val="00015AC3"/>
    <w:rsid w:val="000175AF"/>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A113A"/>
    <w:rsid w:val="000A4AB0"/>
    <w:rsid w:val="000B783E"/>
    <w:rsid w:val="000B7D81"/>
    <w:rsid w:val="000C1994"/>
    <w:rsid w:val="000C6926"/>
    <w:rsid w:val="000C7B8E"/>
    <w:rsid w:val="000D02B8"/>
    <w:rsid w:val="000D06E8"/>
    <w:rsid w:val="000D2742"/>
    <w:rsid w:val="000D6E65"/>
    <w:rsid w:val="000D7451"/>
    <w:rsid w:val="000D78FB"/>
    <w:rsid w:val="000E050C"/>
    <w:rsid w:val="000E20F0"/>
    <w:rsid w:val="000E239A"/>
    <w:rsid w:val="000E2593"/>
    <w:rsid w:val="000E344D"/>
    <w:rsid w:val="000E3F6D"/>
    <w:rsid w:val="000F359F"/>
    <w:rsid w:val="000F3B2C"/>
    <w:rsid w:val="000F3F6C"/>
    <w:rsid w:val="000F63EB"/>
    <w:rsid w:val="000F648A"/>
    <w:rsid w:val="000F7BE3"/>
    <w:rsid w:val="00104333"/>
    <w:rsid w:val="001052BA"/>
    <w:rsid w:val="001107B3"/>
    <w:rsid w:val="001114B1"/>
    <w:rsid w:val="00112ED5"/>
    <w:rsid w:val="001139D8"/>
    <w:rsid w:val="00116AD3"/>
    <w:rsid w:val="00117414"/>
    <w:rsid w:val="00121957"/>
    <w:rsid w:val="0012387E"/>
    <w:rsid w:val="001259EC"/>
    <w:rsid w:val="00126593"/>
    <w:rsid w:val="00131758"/>
    <w:rsid w:val="00134177"/>
    <w:rsid w:val="00136087"/>
    <w:rsid w:val="001412EC"/>
    <w:rsid w:val="00142A96"/>
    <w:rsid w:val="00145460"/>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568DA"/>
    <w:rsid w:val="002613E4"/>
    <w:rsid w:val="00262C43"/>
    <w:rsid w:val="0026518E"/>
    <w:rsid w:val="0026544B"/>
    <w:rsid w:val="002656EE"/>
    <w:rsid w:val="00270F89"/>
    <w:rsid w:val="00276CDC"/>
    <w:rsid w:val="00277655"/>
    <w:rsid w:val="002824B7"/>
    <w:rsid w:val="00282AC4"/>
    <w:rsid w:val="00293DC9"/>
    <w:rsid w:val="00296011"/>
    <w:rsid w:val="00297C37"/>
    <w:rsid w:val="002A11AC"/>
    <w:rsid w:val="002A6F30"/>
    <w:rsid w:val="002B3111"/>
    <w:rsid w:val="002C118E"/>
    <w:rsid w:val="002C2096"/>
    <w:rsid w:val="002C7908"/>
    <w:rsid w:val="002D391B"/>
    <w:rsid w:val="002D4B1F"/>
    <w:rsid w:val="002D7D15"/>
    <w:rsid w:val="002E0264"/>
    <w:rsid w:val="002E1B2E"/>
    <w:rsid w:val="002E27EB"/>
    <w:rsid w:val="002E4EF4"/>
    <w:rsid w:val="002E6E77"/>
    <w:rsid w:val="002F2A9D"/>
    <w:rsid w:val="002F31C2"/>
    <w:rsid w:val="002F7BF6"/>
    <w:rsid w:val="00303FDE"/>
    <w:rsid w:val="00313C5B"/>
    <w:rsid w:val="003140E8"/>
    <w:rsid w:val="003231C7"/>
    <w:rsid w:val="00323839"/>
    <w:rsid w:val="003270C4"/>
    <w:rsid w:val="00331ED0"/>
    <w:rsid w:val="00332B0A"/>
    <w:rsid w:val="00333A41"/>
    <w:rsid w:val="00345434"/>
    <w:rsid w:val="003523EB"/>
    <w:rsid w:val="0035495B"/>
    <w:rsid w:val="00355A93"/>
    <w:rsid w:val="00361522"/>
    <w:rsid w:val="00362898"/>
    <w:rsid w:val="0037196E"/>
    <w:rsid w:val="003744F5"/>
    <w:rsid w:val="00377281"/>
    <w:rsid w:val="00377315"/>
    <w:rsid w:val="003875A9"/>
    <w:rsid w:val="00387BDE"/>
    <w:rsid w:val="00390DD8"/>
    <w:rsid w:val="00394DC6"/>
    <w:rsid w:val="00397C3E"/>
    <w:rsid w:val="003B1A09"/>
    <w:rsid w:val="003C0431"/>
    <w:rsid w:val="003D3989"/>
    <w:rsid w:val="003D4CCA"/>
    <w:rsid w:val="003D52A6"/>
    <w:rsid w:val="003D6416"/>
    <w:rsid w:val="003E1D48"/>
    <w:rsid w:val="003E69DD"/>
    <w:rsid w:val="003E711F"/>
    <w:rsid w:val="003F1D2B"/>
    <w:rsid w:val="003F49A6"/>
    <w:rsid w:val="003F4FF9"/>
    <w:rsid w:val="003F7445"/>
    <w:rsid w:val="00411DF2"/>
    <w:rsid w:val="00411E8F"/>
    <w:rsid w:val="00412C50"/>
    <w:rsid w:val="004247F5"/>
    <w:rsid w:val="0042527B"/>
    <w:rsid w:val="00427EAC"/>
    <w:rsid w:val="00443106"/>
    <w:rsid w:val="004431B4"/>
    <w:rsid w:val="0045537F"/>
    <w:rsid w:val="00457DC7"/>
    <w:rsid w:val="004640B3"/>
    <w:rsid w:val="00472BCC"/>
    <w:rsid w:val="00482476"/>
    <w:rsid w:val="004A25CD"/>
    <w:rsid w:val="004A26CC"/>
    <w:rsid w:val="004B0478"/>
    <w:rsid w:val="004B2108"/>
    <w:rsid w:val="004B3A2B"/>
    <w:rsid w:val="004B70D3"/>
    <w:rsid w:val="004C312D"/>
    <w:rsid w:val="004C61D7"/>
    <w:rsid w:val="004D0865"/>
    <w:rsid w:val="004D2D1B"/>
    <w:rsid w:val="004D5067"/>
    <w:rsid w:val="004D6838"/>
    <w:rsid w:val="004D72BC"/>
    <w:rsid w:val="004E469D"/>
    <w:rsid w:val="004E5454"/>
    <w:rsid w:val="004E7F4F"/>
    <w:rsid w:val="004F0BA8"/>
    <w:rsid w:val="004F2DDE"/>
    <w:rsid w:val="004F48D9"/>
    <w:rsid w:val="004F5A55"/>
    <w:rsid w:val="004F7826"/>
    <w:rsid w:val="0050097F"/>
    <w:rsid w:val="00501695"/>
    <w:rsid w:val="00514B1F"/>
    <w:rsid w:val="00523C5C"/>
    <w:rsid w:val="00525E93"/>
    <w:rsid w:val="0052671D"/>
    <w:rsid w:val="005300C0"/>
    <w:rsid w:val="00540E6B"/>
    <w:rsid w:val="00542677"/>
    <w:rsid w:val="00546A53"/>
    <w:rsid w:val="0055595D"/>
    <w:rsid w:val="00556A10"/>
    <w:rsid w:val="00557E8C"/>
    <w:rsid w:val="00557F50"/>
    <w:rsid w:val="00564183"/>
    <w:rsid w:val="00571D3D"/>
    <w:rsid w:val="0058264B"/>
    <w:rsid w:val="005828A0"/>
    <w:rsid w:val="00583AE6"/>
    <w:rsid w:val="00586368"/>
    <w:rsid w:val="005868AA"/>
    <w:rsid w:val="00590845"/>
    <w:rsid w:val="005963C2"/>
    <w:rsid w:val="005A0D69"/>
    <w:rsid w:val="005A31F4"/>
    <w:rsid w:val="005A73EA"/>
    <w:rsid w:val="005B45F7"/>
    <w:rsid w:val="005B63EA"/>
    <w:rsid w:val="005C1722"/>
    <w:rsid w:val="005C1A88"/>
    <w:rsid w:val="005C423E"/>
    <w:rsid w:val="005C5033"/>
    <w:rsid w:val="005D4E1B"/>
    <w:rsid w:val="005E6232"/>
    <w:rsid w:val="005E751B"/>
    <w:rsid w:val="005F2751"/>
    <w:rsid w:val="005F3354"/>
    <w:rsid w:val="005F4AD6"/>
    <w:rsid w:val="0060005E"/>
    <w:rsid w:val="0060095B"/>
    <w:rsid w:val="00600FB8"/>
    <w:rsid w:val="00601266"/>
    <w:rsid w:val="00610221"/>
    <w:rsid w:val="00610E73"/>
    <w:rsid w:val="00616DF2"/>
    <w:rsid w:val="006232BB"/>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A6CC6"/>
    <w:rsid w:val="006A72B5"/>
    <w:rsid w:val="006B0036"/>
    <w:rsid w:val="006B0DA6"/>
    <w:rsid w:val="006C547E"/>
    <w:rsid w:val="006D2B51"/>
    <w:rsid w:val="006D5575"/>
    <w:rsid w:val="006D7191"/>
    <w:rsid w:val="006E21C4"/>
    <w:rsid w:val="006E42BE"/>
    <w:rsid w:val="006E5D4D"/>
    <w:rsid w:val="006E6D16"/>
    <w:rsid w:val="006F19C5"/>
    <w:rsid w:val="00703F2A"/>
    <w:rsid w:val="00704C5D"/>
    <w:rsid w:val="007072BC"/>
    <w:rsid w:val="00710803"/>
    <w:rsid w:val="007122FE"/>
    <w:rsid w:val="00715275"/>
    <w:rsid w:val="00721B44"/>
    <w:rsid w:val="007232A2"/>
    <w:rsid w:val="00726366"/>
    <w:rsid w:val="00733B6B"/>
    <w:rsid w:val="00740808"/>
    <w:rsid w:val="007467C4"/>
    <w:rsid w:val="00755866"/>
    <w:rsid w:val="0076170F"/>
    <w:rsid w:val="00765E15"/>
    <w:rsid w:val="0076669C"/>
    <w:rsid w:val="00766E46"/>
    <w:rsid w:val="00777727"/>
    <w:rsid w:val="0078013B"/>
    <w:rsid w:val="0078166A"/>
    <w:rsid w:val="00782B79"/>
    <w:rsid w:val="00783811"/>
    <w:rsid w:val="007865E9"/>
    <w:rsid w:val="00791E7C"/>
    <w:rsid w:val="0079237D"/>
    <w:rsid w:val="00792383"/>
    <w:rsid w:val="00794D5A"/>
    <w:rsid w:val="00794DD9"/>
    <w:rsid w:val="007A060F"/>
    <w:rsid w:val="007B350E"/>
    <w:rsid w:val="007C0FBC"/>
    <w:rsid w:val="007C26C6"/>
    <w:rsid w:val="007C29C9"/>
    <w:rsid w:val="007C35B8"/>
    <w:rsid w:val="007C36E3"/>
    <w:rsid w:val="007C3ABB"/>
    <w:rsid w:val="007C7134"/>
    <w:rsid w:val="007D3D20"/>
    <w:rsid w:val="007D4373"/>
    <w:rsid w:val="007D44F9"/>
    <w:rsid w:val="007D4BBB"/>
    <w:rsid w:val="007D742E"/>
    <w:rsid w:val="007E3AFD"/>
    <w:rsid w:val="007F62BE"/>
    <w:rsid w:val="00801DAD"/>
    <w:rsid w:val="00803189"/>
    <w:rsid w:val="00804E7A"/>
    <w:rsid w:val="00805FBB"/>
    <w:rsid w:val="00814292"/>
    <w:rsid w:val="008169A4"/>
    <w:rsid w:val="00821CAB"/>
    <w:rsid w:val="008278FE"/>
    <w:rsid w:val="00831776"/>
    <w:rsid w:val="00832598"/>
    <w:rsid w:val="0083397E"/>
    <w:rsid w:val="0083534B"/>
    <w:rsid w:val="00842035"/>
    <w:rsid w:val="00842602"/>
    <w:rsid w:val="00842A88"/>
    <w:rsid w:val="008449F0"/>
    <w:rsid w:val="00847B45"/>
    <w:rsid w:val="00863A66"/>
    <w:rsid w:val="008703D7"/>
    <w:rsid w:val="00874429"/>
    <w:rsid w:val="00875D22"/>
    <w:rsid w:val="0088035A"/>
    <w:rsid w:val="00883D9A"/>
    <w:rsid w:val="008858F0"/>
    <w:rsid w:val="008919EF"/>
    <w:rsid w:val="00892B20"/>
    <w:rsid w:val="008931BC"/>
    <w:rsid w:val="0089695B"/>
    <w:rsid w:val="00897740"/>
    <w:rsid w:val="008A12EC"/>
    <w:rsid w:val="008A2AFF"/>
    <w:rsid w:val="008B19A6"/>
    <w:rsid w:val="008B4EFB"/>
    <w:rsid w:val="008B7B10"/>
    <w:rsid w:val="008C21C8"/>
    <w:rsid w:val="008C6375"/>
    <w:rsid w:val="008C6A5B"/>
    <w:rsid w:val="008D441D"/>
    <w:rsid w:val="008D498D"/>
    <w:rsid w:val="008D6D36"/>
    <w:rsid w:val="008E0693"/>
    <w:rsid w:val="008E0FA5"/>
    <w:rsid w:val="008E26A5"/>
    <w:rsid w:val="008E42D2"/>
    <w:rsid w:val="008E6328"/>
    <w:rsid w:val="008F13E1"/>
    <w:rsid w:val="008F216B"/>
    <w:rsid w:val="008F4C1C"/>
    <w:rsid w:val="008F578F"/>
    <w:rsid w:val="008F5D04"/>
    <w:rsid w:val="008F642A"/>
    <w:rsid w:val="009040EE"/>
    <w:rsid w:val="009057FD"/>
    <w:rsid w:val="00906FBA"/>
    <w:rsid w:val="0091287A"/>
    <w:rsid w:val="00912ED1"/>
    <w:rsid w:val="009163E8"/>
    <w:rsid w:val="00921BD3"/>
    <w:rsid w:val="009228C7"/>
    <w:rsid w:val="00922A7F"/>
    <w:rsid w:val="00923A5E"/>
    <w:rsid w:val="00924FE7"/>
    <w:rsid w:val="00926E27"/>
    <w:rsid w:val="0093104A"/>
    <w:rsid w:val="00931C8C"/>
    <w:rsid w:val="00943D21"/>
    <w:rsid w:val="0094504B"/>
    <w:rsid w:val="00964A38"/>
    <w:rsid w:val="00966A9D"/>
    <w:rsid w:val="0096742B"/>
    <w:rsid w:val="009718C5"/>
    <w:rsid w:val="00973D82"/>
    <w:rsid w:val="00976739"/>
    <w:rsid w:val="00976AFF"/>
    <w:rsid w:val="009924CF"/>
    <w:rsid w:val="00994100"/>
    <w:rsid w:val="00997B08"/>
    <w:rsid w:val="009A5BE4"/>
    <w:rsid w:val="009A61B5"/>
    <w:rsid w:val="009A6B17"/>
    <w:rsid w:val="009B052E"/>
    <w:rsid w:val="009D02D4"/>
    <w:rsid w:val="009D4C29"/>
    <w:rsid w:val="009D737A"/>
    <w:rsid w:val="009E58E9"/>
    <w:rsid w:val="009F2396"/>
    <w:rsid w:val="009F6AD2"/>
    <w:rsid w:val="009F7C1B"/>
    <w:rsid w:val="00A00D8D"/>
    <w:rsid w:val="00A0108C"/>
    <w:rsid w:val="00A01BB6"/>
    <w:rsid w:val="00A151A0"/>
    <w:rsid w:val="00A22B28"/>
    <w:rsid w:val="00A319AE"/>
    <w:rsid w:val="00A4303C"/>
    <w:rsid w:val="00A45370"/>
    <w:rsid w:val="00A46CAF"/>
    <w:rsid w:val="00A470FD"/>
    <w:rsid w:val="00A50B5E"/>
    <w:rsid w:val="00A53C92"/>
    <w:rsid w:val="00A6133F"/>
    <w:rsid w:val="00A62346"/>
    <w:rsid w:val="00A62DAB"/>
    <w:rsid w:val="00A6757A"/>
    <w:rsid w:val="00A726A6"/>
    <w:rsid w:val="00A74842"/>
    <w:rsid w:val="00A8269A"/>
    <w:rsid w:val="00A8552B"/>
    <w:rsid w:val="00A9178A"/>
    <w:rsid w:val="00A9515B"/>
    <w:rsid w:val="00A97535"/>
    <w:rsid w:val="00AA2BAA"/>
    <w:rsid w:val="00AA6516"/>
    <w:rsid w:val="00AA73F1"/>
    <w:rsid w:val="00AB0E1A"/>
    <w:rsid w:val="00AB1A30"/>
    <w:rsid w:val="00AB25C6"/>
    <w:rsid w:val="00AB3C36"/>
    <w:rsid w:val="00AB3D30"/>
    <w:rsid w:val="00AD10EB"/>
    <w:rsid w:val="00AD1ED3"/>
    <w:rsid w:val="00AD432D"/>
    <w:rsid w:val="00AE69ED"/>
    <w:rsid w:val="00AF4BD5"/>
    <w:rsid w:val="00B019C1"/>
    <w:rsid w:val="00B02001"/>
    <w:rsid w:val="00B038A7"/>
    <w:rsid w:val="00B03C50"/>
    <w:rsid w:val="00B05F69"/>
    <w:rsid w:val="00B070E1"/>
    <w:rsid w:val="00B0777D"/>
    <w:rsid w:val="00B10A56"/>
    <w:rsid w:val="00B10EA1"/>
    <w:rsid w:val="00B11576"/>
    <w:rsid w:val="00B11859"/>
    <w:rsid w:val="00B1195F"/>
    <w:rsid w:val="00B14D10"/>
    <w:rsid w:val="00B17A27"/>
    <w:rsid w:val="00B209C7"/>
    <w:rsid w:val="00B33976"/>
    <w:rsid w:val="00B3644F"/>
    <w:rsid w:val="00B4057A"/>
    <w:rsid w:val="00B40894"/>
    <w:rsid w:val="00B41039"/>
    <w:rsid w:val="00B42987"/>
    <w:rsid w:val="00B444AE"/>
    <w:rsid w:val="00B45E75"/>
    <w:rsid w:val="00B46D79"/>
    <w:rsid w:val="00B50876"/>
    <w:rsid w:val="00B51074"/>
    <w:rsid w:val="00B54DAA"/>
    <w:rsid w:val="00B552E0"/>
    <w:rsid w:val="00B55AB0"/>
    <w:rsid w:val="00B55EE5"/>
    <w:rsid w:val="00B606A8"/>
    <w:rsid w:val="00B6228D"/>
    <w:rsid w:val="00B6454C"/>
    <w:rsid w:val="00B67A43"/>
    <w:rsid w:val="00B719CA"/>
    <w:rsid w:val="00B71D1F"/>
    <w:rsid w:val="00B72CFF"/>
    <w:rsid w:val="00B73DE6"/>
    <w:rsid w:val="00B761CD"/>
    <w:rsid w:val="00B76B66"/>
    <w:rsid w:val="00B86EF0"/>
    <w:rsid w:val="00B903FB"/>
    <w:rsid w:val="00B96969"/>
    <w:rsid w:val="00B97900"/>
    <w:rsid w:val="00BA1229"/>
    <w:rsid w:val="00BA44A8"/>
    <w:rsid w:val="00BA49C5"/>
    <w:rsid w:val="00BB0182"/>
    <w:rsid w:val="00BB3B69"/>
    <w:rsid w:val="00BC4E68"/>
    <w:rsid w:val="00BC786E"/>
    <w:rsid w:val="00BD5C92"/>
    <w:rsid w:val="00BD6C14"/>
    <w:rsid w:val="00BE50E6"/>
    <w:rsid w:val="00BE66B9"/>
    <w:rsid w:val="00BE7A0C"/>
    <w:rsid w:val="00BF24B7"/>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67AF3"/>
    <w:rsid w:val="00C7063D"/>
    <w:rsid w:val="00C77341"/>
    <w:rsid w:val="00C830BC"/>
    <w:rsid w:val="00C8524D"/>
    <w:rsid w:val="00C90904"/>
    <w:rsid w:val="00C91123"/>
    <w:rsid w:val="00C9363D"/>
    <w:rsid w:val="00CA0EFD"/>
    <w:rsid w:val="00CA71FF"/>
    <w:rsid w:val="00CB114A"/>
    <w:rsid w:val="00CB194F"/>
    <w:rsid w:val="00CB5276"/>
    <w:rsid w:val="00CB5BFC"/>
    <w:rsid w:val="00CB68D7"/>
    <w:rsid w:val="00CB785B"/>
    <w:rsid w:val="00CC252E"/>
    <w:rsid w:val="00CC64E9"/>
    <w:rsid w:val="00CC7E68"/>
    <w:rsid w:val="00CD3D74"/>
    <w:rsid w:val="00CD7132"/>
    <w:rsid w:val="00CE0E6F"/>
    <w:rsid w:val="00CE3582"/>
    <w:rsid w:val="00CE3B21"/>
    <w:rsid w:val="00CE56FC"/>
    <w:rsid w:val="00CE7A4D"/>
    <w:rsid w:val="00CF32D2"/>
    <w:rsid w:val="00CF4CFE"/>
    <w:rsid w:val="00D00E8E"/>
    <w:rsid w:val="00D02E0F"/>
    <w:rsid w:val="00D03EE8"/>
    <w:rsid w:val="00D13535"/>
    <w:rsid w:val="00D15497"/>
    <w:rsid w:val="00D16793"/>
    <w:rsid w:val="00D17B79"/>
    <w:rsid w:val="00D205F5"/>
    <w:rsid w:val="00D23FEA"/>
    <w:rsid w:val="00D269CA"/>
    <w:rsid w:val="00D30B48"/>
    <w:rsid w:val="00D3168A"/>
    <w:rsid w:val="00D37439"/>
    <w:rsid w:val="00D43D3F"/>
    <w:rsid w:val="00D46FAA"/>
    <w:rsid w:val="00D47A40"/>
    <w:rsid w:val="00D51D33"/>
    <w:rsid w:val="00D57BB2"/>
    <w:rsid w:val="00D57E57"/>
    <w:rsid w:val="00D61CD3"/>
    <w:rsid w:val="00D70752"/>
    <w:rsid w:val="00D72ED0"/>
    <w:rsid w:val="00D7662A"/>
    <w:rsid w:val="00D77F09"/>
    <w:rsid w:val="00D80E2D"/>
    <w:rsid w:val="00D84D5E"/>
    <w:rsid w:val="00D8560E"/>
    <w:rsid w:val="00D86107"/>
    <w:rsid w:val="00D8758F"/>
    <w:rsid w:val="00DA4EDD"/>
    <w:rsid w:val="00DA6B78"/>
    <w:rsid w:val="00DB122B"/>
    <w:rsid w:val="00DC09B7"/>
    <w:rsid w:val="00DC1D94"/>
    <w:rsid w:val="00DC42CF"/>
    <w:rsid w:val="00DD382A"/>
    <w:rsid w:val="00DD44D1"/>
    <w:rsid w:val="00DE057F"/>
    <w:rsid w:val="00DE2082"/>
    <w:rsid w:val="00DE2289"/>
    <w:rsid w:val="00DF09A7"/>
    <w:rsid w:val="00DF2B51"/>
    <w:rsid w:val="00E001D6"/>
    <w:rsid w:val="00E03A76"/>
    <w:rsid w:val="00E04410"/>
    <w:rsid w:val="00E07484"/>
    <w:rsid w:val="00E11351"/>
    <w:rsid w:val="00E31519"/>
    <w:rsid w:val="00E4225C"/>
    <w:rsid w:val="00E44879"/>
    <w:rsid w:val="00E50D2A"/>
    <w:rsid w:val="00E72914"/>
    <w:rsid w:val="00E75AE0"/>
    <w:rsid w:val="00E82CC7"/>
    <w:rsid w:val="00E83C1F"/>
    <w:rsid w:val="00E85684"/>
    <w:rsid w:val="00E8794B"/>
    <w:rsid w:val="00E91C09"/>
    <w:rsid w:val="00E938DE"/>
    <w:rsid w:val="00E97656"/>
    <w:rsid w:val="00EA172C"/>
    <w:rsid w:val="00EA259B"/>
    <w:rsid w:val="00EA35A3"/>
    <w:rsid w:val="00EA3E6A"/>
    <w:rsid w:val="00EB18EF"/>
    <w:rsid w:val="00EB58F4"/>
    <w:rsid w:val="00EB7951"/>
    <w:rsid w:val="00ED3D8D"/>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16F1"/>
    <w:rsid w:val="00F916B6"/>
    <w:rsid w:val="00F93A94"/>
    <w:rsid w:val="00FA092B"/>
    <w:rsid w:val="00FA4F6C"/>
    <w:rsid w:val="00FA6EFD"/>
    <w:rsid w:val="00FB3791"/>
    <w:rsid w:val="00FB6780"/>
    <w:rsid w:val="00FB74EA"/>
    <w:rsid w:val="00FC4A23"/>
    <w:rsid w:val="00FD2C9E"/>
    <w:rsid w:val="00FD4786"/>
    <w:rsid w:val="00FD616C"/>
    <w:rsid w:val="00FE53F2"/>
    <w:rsid w:val="00FF0A00"/>
    <w:rsid w:val="00FF1C57"/>
    <w:rsid w:val="00FF2581"/>
    <w:rsid w:val="00FF2DE0"/>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EC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Emphasis">
    <w:name w:val="Emphasis"/>
    <w:basedOn w:val="DefaultParagraphFont"/>
    <w:uiPriority w:val="20"/>
    <w:qFormat/>
    <w:rsid w:val="00B6228D"/>
    <w:rPr>
      <w:i/>
      <w:iCs/>
    </w:rPr>
  </w:style>
  <w:style w:type="paragraph" w:styleId="BalloonText">
    <w:name w:val="Balloon Text"/>
    <w:basedOn w:val="Normal"/>
    <w:link w:val="BalloonTextChar"/>
    <w:semiHidden/>
    <w:unhideWhenUsed/>
    <w:rsid w:val="00145460"/>
    <w:rPr>
      <w:rFonts w:ascii="Segoe UI" w:hAnsi="Segoe UI" w:cs="Segoe UI"/>
      <w:sz w:val="18"/>
      <w:szCs w:val="18"/>
    </w:rPr>
  </w:style>
  <w:style w:type="character" w:customStyle="1" w:styleId="BalloonTextChar">
    <w:name w:val="Balloon Text Char"/>
    <w:basedOn w:val="DefaultParagraphFont"/>
    <w:link w:val="BalloonText"/>
    <w:semiHidden/>
    <w:rsid w:val="00145460"/>
    <w:rPr>
      <w:rFonts w:ascii="Segoe UI" w:hAnsi="Segoe UI" w:cs="Segoe UI"/>
      <w:sz w:val="18"/>
      <w:szCs w:val="18"/>
    </w:rPr>
  </w:style>
  <w:style w:type="character" w:styleId="CommentReference">
    <w:name w:val="annotation reference"/>
    <w:basedOn w:val="DefaultParagraphFont"/>
    <w:semiHidden/>
    <w:unhideWhenUsed/>
    <w:rsid w:val="00583AE6"/>
    <w:rPr>
      <w:sz w:val="16"/>
      <w:szCs w:val="16"/>
    </w:rPr>
  </w:style>
  <w:style w:type="paragraph" w:styleId="CommentText">
    <w:name w:val="annotation text"/>
    <w:basedOn w:val="Normal"/>
    <w:link w:val="CommentTextChar"/>
    <w:semiHidden/>
    <w:unhideWhenUsed/>
    <w:rsid w:val="00583AE6"/>
    <w:rPr>
      <w:sz w:val="20"/>
      <w:szCs w:val="20"/>
    </w:rPr>
  </w:style>
  <w:style w:type="character" w:customStyle="1" w:styleId="CommentTextChar">
    <w:name w:val="Comment Text Char"/>
    <w:basedOn w:val="DefaultParagraphFont"/>
    <w:link w:val="CommentText"/>
    <w:semiHidden/>
    <w:rsid w:val="00583AE6"/>
  </w:style>
  <w:style w:type="paragraph" w:styleId="CommentSubject">
    <w:name w:val="annotation subject"/>
    <w:basedOn w:val="CommentText"/>
    <w:next w:val="CommentText"/>
    <w:link w:val="CommentSubjectChar"/>
    <w:semiHidden/>
    <w:unhideWhenUsed/>
    <w:rsid w:val="00583AE6"/>
    <w:rPr>
      <w:b/>
      <w:bCs/>
    </w:rPr>
  </w:style>
  <w:style w:type="character" w:customStyle="1" w:styleId="CommentSubjectChar">
    <w:name w:val="Comment Subject Char"/>
    <w:basedOn w:val="CommentTextChar"/>
    <w:link w:val="CommentSubject"/>
    <w:semiHidden/>
    <w:rsid w:val="00583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848180706">
      <w:bodyDiv w:val="1"/>
      <w:marLeft w:val="0"/>
      <w:marRight w:val="0"/>
      <w:marTop w:val="0"/>
      <w:marBottom w:val="0"/>
      <w:divBdr>
        <w:top w:val="none" w:sz="0" w:space="0" w:color="auto"/>
        <w:left w:val="none" w:sz="0" w:space="0" w:color="auto"/>
        <w:bottom w:val="none" w:sz="0" w:space="0" w:color="auto"/>
        <w:right w:val="none" w:sz="0" w:space="0" w:color="auto"/>
      </w:divBdr>
    </w:div>
    <w:div w:id="16107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BAF3-AA76-4662-BEB7-1A3648BD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5</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2021-07-13T18:15:00Z</dcterms:created>
  <dcterms:modified xsi:type="dcterms:W3CDTF">2021-07-13T19:51:00Z</dcterms:modified>
</cp:coreProperties>
</file>