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33494" w:rsidP="00133494">
      <w:pPr>
        <w:pStyle w:val="OrderHeading"/>
      </w:pPr>
      <w:r>
        <w:t>BEFORE THE FLORIDA PUBLIC SERVICE COMMISSION</w:t>
      </w:r>
    </w:p>
    <w:p w:rsidR="00133494" w:rsidRDefault="00133494" w:rsidP="00133494">
      <w:pPr>
        <w:pStyle w:val="OrderBody"/>
      </w:pPr>
    </w:p>
    <w:p w:rsidR="00133494" w:rsidRDefault="00133494" w:rsidP="0013349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3494" w:rsidRPr="00C63FCF" w:rsidTr="00C63FCF">
        <w:trPr>
          <w:trHeight w:val="828"/>
        </w:trPr>
        <w:tc>
          <w:tcPr>
            <w:tcW w:w="4788" w:type="dxa"/>
            <w:tcBorders>
              <w:bottom w:val="single" w:sz="8" w:space="0" w:color="auto"/>
              <w:right w:val="double" w:sz="6" w:space="0" w:color="auto"/>
            </w:tcBorders>
            <w:shd w:val="clear" w:color="auto" w:fill="auto"/>
          </w:tcPr>
          <w:p w:rsidR="00133494" w:rsidRDefault="00133494"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133494" w:rsidRDefault="00133494" w:rsidP="00133494">
            <w:pPr>
              <w:pStyle w:val="OrderBody"/>
            </w:pPr>
            <w:r>
              <w:t xml:space="preserve">DOCKET NO. </w:t>
            </w:r>
            <w:bookmarkStart w:id="1" w:name="SSDocketNo"/>
            <w:bookmarkEnd w:id="1"/>
            <w:r>
              <w:t>20210015-EI</w:t>
            </w:r>
          </w:p>
          <w:p w:rsidR="00133494" w:rsidRDefault="00133494" w:rsidP="00C63FCF">
            <w:pPr>
              <w:pStyle w:val="OrderBody"/>
              <w:tabs>
                <w:tab w:val="center" w:pos="4320"/>
                <w:tab w:val="right" w:pos="8640"/>
              </w:tabs>
              <w:jc w:val="left"/>
            </w:pPr>
            <w:r>
              <w:t xml:space="preserve">ORDER NO. </w:t>
            </w:r>
            <w:bookmarkStart w:id="2" w:name="OrderNo0314"/>
            <w:r w:rsidR="00C06F62">
              <w:t>PSC-2021-0314-PCO-EI</w:t>
            </w:r>
            <w:bookmarkEnd w:id="2"/>
          </w:p>
          <w:p w:rsidR="00133494" w:rsidRDefault="00133494" w:rsidP="00C63FCF">
            <w:pPr>
              <w:pStyle w:val="OrderBody"/>
              <w:tabs>
                <w:tab w:val="center" w:pos="4320"/>
                <w:tab w:val="right" w:pos="8640"/>
              </w:tabs>
              <w:jc w:val="left"/>
            </w:pPr>
            <w:r>
              <w:t xml:space="preserve">ISSUED: </w:t>
            </w:r>
            <w:r w:rsidR="00C06F62">
              <w:t>August 20, 2021</w:t>
            </w:r>
          </w:p>
        </w:tc>
      </w:tr>
    </w:tbl>
    <w:p w:rsidR="00133494" w:rsidRDefault="00133494" w:rsidP="00133494"/>
    <w:p w:rsidR="00133494" w:rsidRDefault="00133494" w:rsidP="00133494"/>
    <w:p w:rsidR="00133494" w:rsidRDefault="00133494" w:rsidP="00133494">
      <w:pPr>
        <w:pStyle w:val="CenterUnderline"/>
      </w:pPr>
      <w:bookmarkStart w:id="3" w:name="Commissioners"/>
      <w:bookmarkStart w:id="4" w:name="OrderTitle"/>
      <w:bookmarkEnd w:id="3"/>
      <w:r>
        <w:t>FIFTH ORDER REVISING ORDER ESTABLISHING PROCEDURE</w:t>
      </w:r>
    </w:p>
    <w:p w:rsidR="00133494" w:rsidRDefault="00133494" w:rsidP="00133494">
      <w:pPr>
        <w:pStyle w:val="CenterUnderline"/>
      </w:pPr>
    </w:p>
    <w:bookmarkEnd w:id="4"/>
    <w:p w:rsidR="00133494" w:rsidRDefault="00133494" w:rsidP="00133494">
      <w:pPr>
        <w:autoSpaceDE w:val="0"/>
        <w:autoSpaceDN w:val="0"/>
        <w:adjustRightInd w:val="0"/>
        <w:jc w:val="both"/>
      </w:pPr>
      <w:r>
        <w:tab/>
        <w:t xml:space="preserve">This proceeding was set for final hearing on August 16-27, 2021, by Order No. PSC-2021-0116-PCO-EI, issued March 24, 2021.  </w:t>
      </w:r>
      <w:r w:rsidRPr="001A7379">
        <w:rPr>
          <w:color w:val="5B5B5B"/>
        </w:rPr>
        <w:t xml:space="preserve"> </w:t>
      </w:r>
      <w:r w:rsidRPr="001A7379">
        <w:t>On August 12, 2021, due to anticipated impacts</w:t>
      </w:r>
      <w:r w:rsidRPr="00150201">
        <w:t xml:space="preserve"> </w:t>
      </w:r>
      <w:r w:rsidRPr="001A7379">
        <w:t xml:space="preserve">on the </w:t>
      </w:r>
      <w:r>
        <w:t>Florida Power &amp; Light Company (</w:t>
      </w:r>
      <w:r w:rsidRPr="001A7379">
        <w:t>FPL</w:t>
      </w:r>
      <w:r>
        <w:t>)</w:t>
      </w:r>
      <w:r w:rsidRPr="001A7379">
        <w:t>/Gulf Power Company territory from Tropical Storm Fred, the final hearing scheduled to commenc</w:t>
      </w:r>
      <w:r>
        <w:t>e August 16</w:t>
      </w:r>
      <w:r w:rsidRPr="0085526E">
        <w:rPr>
          <w:vertAlign w:val="superscript"/>
        </w:rPr>
        <w:t>th</w:t>
      </w:r>
      <w:r>
        <w:t xml:space="preserve"> was continued to August 18, 2021.</w:t>
      </w:r>
      <w:r>
        <w:rPr>
          <w:rStyle w:val="FootnoteReference"/>
        </w:rPr>
        <w:footnoteReference w:id="1"/>
      </w:r>
    </w:p>
    <w:p w:rsidR="00133494" w:rsidRDefault="00133494" w:rsidP="00133494">
      <w:pPr>
        <w:autoSpaceDE w:val="0"/>
        <w:autoSpaceDN w:val="0"/>
        <w:adjustRightInd w:val="0"/>
        <w:jc w:val="both"/>
      </w:pPr>
    </w:p>
    <w:p w:rsidR="00133494" w:rsidRDefault="00133494" w:rsidP="00133494">
      <w:pPr>
        <w:autoSpaceDE w:val="0"/>
        <w:autoSpaceDN w:val="0"/>
        <w:adjustRightInd w:val="0"/>
        <w:jc w:val="both"/>
      </w:pPr>
      <w:r>
        <w:tab/>
        <w:t>On August 10, 2021, FPL, Office of Public Counsel, Florida Retail Federation, Florida Industrial Power Users Group, and Southern Alliance for Clean Energy, filed a Joint Motion for Approval of Settlement Agreement, with an attached Stipulation and Settlement Agreement.  In light of the filing of the Joint Motion and attached Agreement, the August 18, 2021, hearing was limited to a discussion of the procedures for conducting a full hearing on the petition for a rate increase and Settlement Agreement at a later date.</w:t>
      </w:r>
    </w:p>
    <w:p w:rsidR="00133494" w:rsidRDefault="00133494" w:rsidP="00133494">
      <w:pPr>
        <w:autoSpaceDE w:val="0"/>
        <w:autoSpaceDN w:val="0"/>
        <w:adjustRightInd w:val="0"/>
        <w:jc w:val="both"/>
      </w:pPr>
    </w:p>
    <w:p w:rsidR="00133494" w:rsidRDefault="00133494" w:rsidP="00133494">
      <w:pPr>
        <w:autoSpaceDE w:val="0"/>
        <w:autoSpaceDN w:val="0"/>
        <w:adjustRightInd w:val="0"/>
        <w:jc w:val="both"/>
      </w:pPr>
      <w:r>
        <w:tab/>
        <w:t>Based on the agreement of the parties, the following dates are established for prefiling testimony and exhibits limited to the Settlement Agreement terms and conditions, issuing data requests on the Settlement Agreement, and the continuation of the final hearing in this docket.</w:t>
      </w:r>
    </w:p>
    <w:p w:rsidR="00133494" w:rsidRDefault="00133494" w:rsidP="00133494">
      <w:pPr>
        <w:pStyle w:val="CenterUnderline"/>
        <w:jc w:val="both"/>
        <w:rPr>
          <w:u w:val="none"/>
        </w:rPr>
      </w:pPr>
    </w:p>
    <w:p w:rsidR="00133494" w:rsidRDefault="00133494" w:rsidP="00133494">
      <w:pPr>
        <w:pStyle w:val="CenterUnderline"/>
        <w:jc w:val="both"/>
        <w:rPr>
          <w:u w:val="none"/>
        </w:rPr>
      </w:pPr>
      <w:r>
        <w:rPr>
          <w:u w:val="none"/>
        </w:rPr>
        <w:tab/>
        <w:t>Testimony and exhibits</w:t>
      </w:r>
      <w:r>
        <w:rPr>
          <w:u w:val="none"/>
        </w:rPr>
        <w:tab/>
      </w:r>
      <w:r>
        <w:rPr>
          <w:u w:val="none"/>
        </w:rPr>
        <w:tab/>
      </w:r>
      <w:r>
        <w:rPr>
          <w:u w:val="none"/>
        </w:rPr>
        <w:tab/>
        <w:t>August 26, 2021</w:t>
      </w:r>
    </w:p>
    <w:p w:rsidR="00133494" w:rsidRDefault="00133494" w:rsidP="00133494">
      <w:pPr>
        <w:pStyle w:val="CenterUnderline"/>
        <w:jc w:val="both"/>
        <w:rPr>
          <w:u w:val="none"/>
        </w:rPr>
      </w:pPr>
      <w:r>
        <w:rPr>
          <w:u w:val="none"/>
        </w:rPr>
        <w:tab/>
        <w:t>(</w:t>
      </w:r>
      <w:r w:rsidRPr="00290786">
        <w:rPr>
          <w:i/>
          <w:u w:val="none"/>
        </w:rPr>
        <w:t>parties supporting Settlement</w:t>
      </w:r>
      <w:r>
        <w:rPr>
          <w:u w:val="none"/>
        </w:rPr>
        <w:t>)</w:t>
      </w:r>
    </w:p>
    <w:p w:rsidR="00133494" w:rsidRDefault="00133494" w:rsidP="00133494">
      <w:pPr>
        <w:pStyle w:val="CenterUnderline"/>
        <w:jc w:val="both"/>
        <w:rPr>
          <w:u w:val="none"/>
        </w:rPr>
      </w:pPr>
      <w:r>
        <w:rPr>
          <w:u w:val="none"/>
        </w:rPr>
        <w:tab/>
      </w:r>
    </w:p>
    <w:p w:rsidR="00133494" w:rsidRDefault="00133494" w:rsidP="00133494">
      <w:pPr>
        <w:pStyle w:val="CenterUnderline"/>
        <w:jc w:val="both"/>
        <w:rPr>
          <w:u w:val="none"/>
        </w:rPr>
      </w:pPr>
      <w:r>
        <w:rPr>
          <w:u w:val="none"/>
        </w:rPr>
        <w:tab/>
        <w:t>Testimony and exhibits</w:t>
      </w:r>
      <w:r>
        <w:rPr>
          <w:u w:val="none"/>
        </w:rPr>
        <w:tab/>
      </w:r>
      <w:r>
        <w:rPr>
          <w:u w:val="none"/>
        </w:rPr>
        <w:tab/>
      </w:r>
      <w:r>
        <w:rPr>
          <w:u w:val="none"/>
        </w:rPr>
        <w:tab/>
        <w:t>September 13, 2021</w:t>
      </w:r>
    </w:p>
    <w:p w:rsidR="00133494" w:rsidRDefault="00133494" w:rsidP="00133494">
      <w:pPr>
        <w:pStyle w:val="CenterUnderline"/>
        <w:jc w:val="both"/>
        <w:rPr>
          <w:u w:val="none"/>
        </w:rPr>
      </w:pPr>
      <w:r>
        <w:rPr>
          <w:u w:val="none"/>
        </w:rPr>
        <w:tab/>
        <w:t>(</w:t>
      </w:r>
      <w:r w:rsidRPr="00290786">
        <w:rPr>
          <w:i/>
          <w:u w:val="none"/>
        </w:rPr>
        <w:t>parties opposing Settlement</w:t>
      </w:r>
      <w:r>
        <w:rPr>
          <w:u w:val="none"/>
        </w:rPr>
        <w:t>)</w:t>
      </w:r>
    </w:p>
    <w:p w:rsidR="00133494" w:rsidRDefault="00133494" w:rsidP="00133494">
      <w:pPr>
        <w:pStyle w:val="CenterUnderline"/>
        <w:jc w:val="both"/>
        <w:rPr>
          <w:u w:val="none"/>
        </w:rPr>
      </w:pPr>
      <w:r>
        <w:rPr>
          <w:u w:val="none"/>
        </w:rPr>
        <w:tab/>
      </w:r>
    </w:p>
    <w:p w:rsidR="00133494" w:rsidRDefault="00133494" w:rsidP="00133494">
      <w:pPr>
        <w:pStyle w:val="CenterUnderline"/>
        <w:jc w:val="both"/>
        <w:rPr>
          <w:u w:val="none"/>
        </w:rPr>
      </w:pPr>
      <w:r>
        <w:rPr>
          <w:u w:val="none"/>
        </w:rPr>
        <w:tab/>
        <w:t>Discovery actions completed</w:t>
      </w:r>
      <w:r>
        <w:rPr>
          <w:u w:val="none"/>
        </w:rPr>
        <w:tab/>
      </w:r>
      <w:r>
        <w:rPr>
          <w:u w:val="none"/>
        </w:rPr>
        <w:tab/>
      </w:r>
      <w:r>
        <w:rPr>
          <w:u w:val="none"/>
        </w:rPr>
        <w:tab/>
        <w:t>September 17, 2021</w:t>
      </w:r>
    </w:p>
    <w:p w:rsidR="00133494" w:rsidRDefault="00133494" w:rsidP="00133494">
      <w:pPr>
        <w:pStyle w:val="CenterUnderline"/>
        <w:jc w:val="both"/>
        <w:rPr>
          <w:u w:val="none"/>
        </w:rPr>
      </w:pPr>
      <w:r>
        <w:rPr>
          <w:u w:val="none"/>
        </w:rPr>
        <w:tab/>
      </w:r>
    </w:p>
    <w:p w:rsidR="00133494" w:rsidRDefault="00133494" w:rsidP="00133494">
      <w:pPr>
        <w:pStyle w:val="CenterUnderline"/>
        <w:jc w:val="both"/>
        <w:rPr>
          <w:u w:val="none"/>
        </w:rPr>
      </w:pPr>
      <w:r>
        <w:rPr>
          <w:u w:val="none"/>
        </w:rPr>
        <w:tab/>
        <w:t>Final Hearing</w:t>
      </w:r>
      <w:r>
        <w:rPr>
          <w:u w:val="none"/>
        </w:rPr>
        <w:tab/>
      </w:r>
      <w:r>
        <w:rPr>
          <w:u w:val="none"/>
        </w:rPr>
        <w:tab/>
      </w:r>
      <w:r>
        <w:rPr>
          <w:u w:val="none"/>
        </w:rPr>
        <w:tab/>
      </w:r>
      <w:r>
        <w:rPr>
          <w:u w:val="none"/>
        </w:rPr>
        <w:tab/>
      </w:r>
      <w:r>
        <w:rPr>
          <w:u w:val="none"/>
        </w:rPr>
        <w:tab/>
        <w:t>September 20-22, 2021</w:t>
      </w:r>
    </w:p>
    <w:p w:rsidR="00133494" w:rsidRDefault="00133494" w:rsidP="00133494">
      <w:pPr>
        <w:pStyle w:val="CenterUnderline"/>
        <w:jc w:val="both"/>
        <w:rPr>
          <w:u w:val="none"/>
        </w:rPr>
      </w:pPr>
      <w:r>
        <w:rPr>
          <w:u w:val="none"/>
        </w:rPr>
        <w:tab/>
      </w:r>
    </w:p>
    <w:p w:rsidR="00133494" w:rsidRDefault="00133494" w:rsidP="00133494">
      <w:pPr>
        <w:pStyle w:val="CenterUnderline"/>
        <w:jc w:val="both"/>
        <w:rPr>
          <w:u w:val="none"/>
        </w:rPr>
      </w:pPr>
      <w:r>
        <w:rPr>
          <w:u w:val="none"/>
        </w:rPr>
        <w:tab/>
        <w:t>Post-Hearing Briefs</w:t>
      </w:r>
      <w:r>
        <w:rPr>
          <w:rStyle w:val="FootnoteReference"/>
          <w:u w:val="none"/>
        </w:rPr>
        <w:footnoteReference w:id="2"/>
      </w:r>
      <w:r>
        <w:rPr>
          <w:u w:val="none"/>
        </w:rPr>
        <w:tab/>
      </w:r>
      <w:r>
        <w:rPr>
          <w:u w:val="none"/>
        </w:rPr>
        <w:tab/>
      </w:r>
      <w:r>
        <w:rPr>
          <w:u w:val="none"/>
        </w:rPr>
        <w:tab/>
      </w:r>
      <w:r>
        <w:rPr>
          <w:u w:val="none"/>
        </w:rPr>
        <w:tab/>
        <w:t>October 11, 2021</w:t>
      </w:r>
    </w:p>
    <w:p w:rsidR="00133494" w:rsidRDefault="00133494" w:rsidP="00133494">
      <w:pPr>
        <w:pStyle w:val="CenterUnderline"/>
        <w:jc w:val="both"/>
        <w:rPr>
          <w:u w:val="none"/>
        </w:rPr>
      </w:pPr>
      <w:r>
        <w:rPr>
          <w:u w:val="none"/>
        </w:rPr>
        <w:tab/>
      </w:r>
    </w:p>
    <w:p w:rsidR="00133494" w:rsidRDefault="00133494" w:rsidP="00133494">
      <w:pPr>
        <w:pStyle w:val="CenterUnderline"/>
        <w:jc w:val="both"/>
        <w:rPr>
          <w:u w:val="none"/>
        </w:rPr>
      </w:pPr>
      <w:r>
        <w:rPr>
          <w:u w:val="none"/>
        </w:rPr>
        <w:tab/>
        <w:t>Special Agenda Conference</w:t>
      </w:r>
      <w:r>
        <w:rPr>
          <w:u w:val="none"/>
        </w:rPr>
        <w:tab/>
      </w:r>
      <w:r>
        <w:rPr>
          <w:u w:val="none"/>
        </w:rPr>
        <w:tab/>
      </w:r>
      <w:r>
        <w:rPr>
          <w:u w:val="none"/>
        </w:rPr>
        <w:tab/>
        <w:t>October 26, 2021</w:t>
      </w:r>
    </w:p>
    <w:p w:rsidR="00133494" w:rsidRDefault="00133494" w:rsidP="00133494">
      <w:pPr>
        <w:pStyle w:val="CenterUnderline"/>
        <w:jc w:val="both"/>
        <w:rPr>
          <w:u w:val="none"/>
        </w:rPr>
      </w:pPr>
    </w:p>
    <w:p w:rsidR="00133494" w:rsidRDefault="00133494" w:rsidP="00133494">
      <w:pPr>
        <w:pStyle w:val="CenterUnderline"/>
        <w:jc w:val="both"/>
        <w:rPr>
          <w:u w:val="none"/>
        </w:rPr>
      </w:pPr>
    </w:p>
    <w:p w:rsidR="00133494" w:rsidRPr="00B73900" w:rsidRDefault="00133494" w:rsidP="00133494">
      <w:pPr>
        <w:pStyle w:val="CenterUnderline"/>
        <w:jc w:val="both"/>
        <w:rPr>
          <w:u w:val="none"/>
        </w:rPr>
      </w:pPr>
      <w:r w:rsidRPr="00B73900">
        <w:rPr>
          <w:u w:val="none"/>
        </w:rPr>
        <w:lastRenderedPageBreak/>
        <w:tab/>
      </w:r>
      <w:r>
        <w:rPr>
          <w:u w:val="none"/>
        </w:rPr>
        <w:t>For all data</w:t>
      </w:r>
      <w:r w:rsidRPr="00B73900">
        <w:rPr>
          <w:u w:val="none"/>
        </w:rPr>
        <w:t xml:space="preserve"> requests, the responding party shall serve its responses to the requesting party via electronic mail within 7 days of the date of the request.</w:t>
      </w:r>
      <w:r>
        <w:rPr>
          <w:u w:val="none"/>
        </w:rPr>
        <w:t xml:space="preserve"> All written data responses must be accompanied by an affidavit identifying the person(s) providing the responses.</w:t>
      </w:r>
    </w:p>
    <w:p w:rsidR="00133494" w:rsidRPr="00B73900" w:rsidRDefault="00133494" w:rsidP="00133494">
      <w:pPr>
        <w:pStyle w:val="CenterUnderline"/>
        <w:jc w:val="both"/>
        <w:rPr>
          <w:u w:val="none"/>
        </w:rPr>
      </w:pPr>
    </w:p>
    <w:p w:rsidR="00133494" w:rsidRDefault="00133494" w:rsidP="00133494">
      <w:pPr>
        <w:pStyle w:val="CenterUnderline"/>
        <w:jc w:val="both"/>
        <w:rPr>
          <w:u w:val="none"/>
        </w:rPr>
      </w:pPr>
      <w:r>
        <w:rPr>
          <w:u w:val="none"/>
        </w:rPr>
        <w:tab/>
        <w:t>The Commission has jurisdiction in this matter pursuant to Chapters 120 and 366, Florida Statutes (F.S.), and is proceeding under its authority under Sections 366.04, 366.05, 366.06, and 120.57, F.S.</w:t>
      </w:r>
    </w:p>
    <w:p w:rsidR="00133494" w:rsidRDefault="00133494" w:rsidP="00133494">
      <w:pPr>
        <w:pStyle w:val="CenterUnderline"/>
        <w:jc w:val="both"/>
        <w:rPr>
          <w:u w:val="none"/>
        </w:rPr>
      </w:pPr>
      <w:r>
        <w:rPr>
          <w:u w:val="none"/>
        </w:rPr>
        <w:tab/>
      </w:r>
    </w:p>
    <w:p w:rsidR="00133494" w:rsidRDefault="00133494" w:rsidP="00133494">
      <w:pPr>
        <w:pStyle w:val="CenterUnderline"/>
        <w:jc w:val="both"/>
        <w:rPr>
          <w:u w:val="none"/>
        </w:rPr>
      </w:pPr>
      <w:r>
        <w:rPr>
          <w:u w:val="none"/>
        </w:rPr>
        <w:tab/>
        <w:t>Based on the foregoing, it is</w:t>
      </w:r>
    </w:p>
    <w:p w:rsidR="00133494" w:rsidRDefault="00133494" w:rsidP="00133494">
      <w:pPr>
        <w:pStyle w:val="CenterUnderline"/>
        <w:jc w:val="both"/>
        <w:rPr>
          <w:u w:val="none"/>
        </w:rPr>
      </w:pPr>
    </w:p>
    <w:p w:rsidR="00133494" w:rsidRDefault="00133494" w:rsidP="00133494">
      <w:pPr>
        <w:pStyle w:val="CenterUnderline"/>
        <w:jc w:val="both"/>
        <w:rPr>
          <w:u w:val="none"/>
        </w:rPr>
      </w:pPr>
      <w:r>
        <w:rPr>
          <w:u w:val="none"/>
        </w:rPr>
        <w:tab/>
        <w:t>ORDERED by Gary F. Clark, as Prehearing Officer, that Order No. PSC-2021-0116-PCO-EI, issued on March 24, 2021, shall be modified as stated above.  It is further</w:t>
      </w:r>
    </w:p>
    <w:p w:rsidR="00133494" w:rsidRDefault="00133494" w:rsidP="00133494">
      <w:pPr>
        <w:pStyle w:val="CenterUnderline"/>
        <w:jc w:val="both"/>
        <w:rPr>
          <w:u w:val="none"/>
        </w:rPr>
      </w:pPr>
    </w:p>
    <w:p w:rsidR="00133494" w:rsidRDefault="00133494" w:rsidP="00133494">
      <w:pPr>
        <w:pStyle w:val="CenterUnderline"/>
        <w:jc w:val="both"/>
        <w:rPr>
          <w:u w:val="none"/>
        </w:rPr>
      </w:pPr>
      <w:r>
        <w:rPr>
          <w:u w:val="none"/>
        </w:rPr>
        <w:tab/>
        <w:t>ORDERED that Order No. PSC-2021-0116-PCO-EI, issued March 24, 2021; Order No. PSC-2021-0120-PCO-EI, issued April 1, 2021; Order No. PSC-2021-0</w:t>
      </w:r>
      <w:r w:rsidRPr="005B63E1">
        <w:rPr>
          <w:u w:val="none"/>
        </w:rPr>
        <w:t>120A, issued April 8, 2021</w:t>
      </w:r>
      <w:r w:rsidR="000B336A">
        <w:rPr>
          <w:u w:val="none"/>
        </w:rPr>
        <w:t>;</w:t>
      </w:r>
      <w:r w:rsidRPr="005B63E1">
        <w:rPr>
          <w:u w:val="none"/>
        </w:rPr>
        <w:t xml:space="preserve"> </w:t>
      </w:r>
      <w:r w:rsidR="000B336A">
        <w:rPr>
          <w:u w:val="none"/>
        </w:rPr>
        <w:t xml:space="preserve">Order No. PSC-2021-0233-PCO-EI, issued June 28, 2021; Order No. PSC-2021-0273, issued July 29, 2021; and Order No. PSC-2021-0305-PCO-EI, issued August 12, 2021, </w:t>
      </w:r>
      <w:r w:rsidRPr="005B63E1">
        <w:rPr>
          <w:u w:val="none"/>
        </w:rPr>
        <w:t>a</w:t>
      </w:r>
      <w:r>
        <w:rPr>
          <w:u w:val="none"/>
        </w:rPr>
        <w:t>re hereby reaffirmed to the extent not inconsistent with this Order.</w:t>
      </w:r>
    </w:p>
    <w:p w:rsidR="00133494" w:rsidRDefault="00133494" w:rsidP="00133494">
      <w:pPr>
        <w:pStyle w:val="CenterUnderline"/>
        <w:jc w:val="both"/>
        <w:rPr>
          <w:u w:val="none"/>
        </w:rPr>
      </w:pPr>
    </w:p>
    <w:p w:rsidR="00133494" w:rsidRDefault="00133494" w:rsidP="00133494">
      <w:pPr>
        <w:pStyle w:val="CenterUnderline"/>
        <w:keepNext/>
        <w:keepLines/>
        <w:jc w:val="both"/>
        <w:rPr>
          <w:u w:val="none"/>
        </w:rPr>
      </w:pPr>
      <w:r>
        <w:rPr>
          <w:u w:val="none"/>
        </w:rPr>
        <w:tab/>
        <w:t xml:space="preserve">By ORDER of Chairman Gary F. Clark, as Presiding Officer, this </w:t>
      </w:r>
      <w:bookmarkStart w:id="5" w:name="replaceDate"/>
      <w:bookmarkEnd w:id="5"/>
      <w:r w:rsidR="00C06F62">
        <w:t>20th</w:t>
      </w:r>
      <w:r w:rsidR="00C06F62">
        <w:rPr>
          <w:u w:val="none"/>
        </w:rPr>
        <w:t xml:space="preserve"> day of </w:t>
      </w:r>
      <w:r w:rsidR="00C06F62">
        <w:t>August</w:t>
      </w:r>
      <w:r w:rsidR="00C06F62">
        <w:rPr>
          <w:u w:val="none"/>
        </w:rPr>
        <w:t xml:space="preserve">, </w:t>
      </w:r>
      <w:r w:rsidR="00C06F62">
        <w:t>2021</w:t>
      </w:r>
      <w:r w:rsidR="00C06F62">
        <w:rPr>
          <w:u w:val="none"/>
        </w:rPr>
        <w:t>.</w:t>
      </w:r>
    </w:p>
    <w:p w:rsidR="00C06F62" w:rsidRPr="00C06F62" w:rsidRDefault="00C06F62" w:rsidP="00133494">
      <w:pPr>
        <w:pStyle w:val="CenterUnderline"/>
        <w:keepNext/>
        <w:keepLines/>
        <w:jc w:val="both"/>
        <w:rPr>
          <w:u w:val="none"/>
        </w:rPr>
      </w:pPr>
    </w:p>
    <w:p w:rsidR="00133494" w:rsidRDefault="00133494" w:rsidP="00133494">
      <w:pPr>
        <w:pStyle w:val="CenterUnderline"/>
        <w:keepNext/>
        <w:keepLines/>
        <w:jc w:val="both"/>
        <w:rPr>
          <w:u w:val="none"/>
        </w:rPr>
      </w:pPr>
    </w:p>
    <w:p w:rsidR="00133494" w:rsidRDefault="00C06F62" w:rsidP="00133494">
      <w:pPr>
        <w:pStyle w:val="CenterUnderline"/>
        <w:keepNext/>
        <w:keepLines/>
        <w:jc w:val="both"/>
        <w:rPr>
          <w:u w:val="none"/>
        </w:rPr>
      </w:pPr>
      <w:r>
        <w:rPr>
          <w:u w:val="none"/>
        </w:rPr>
        <w:t xml:space="preserve">                                                                            </w:t>
      </w:r>
    </w:p>
    <w:p w:rsidR="00133494" w:rsidRDefault="00C06F62" w:rsidP="00133494">
      <w:pPr>
        <w:pStyle w:val="CenterUnderline"/>
        <w:keepNext/>
        <w:keepLines/>
        <w:jc w:val="both"/>
        <w:rPr>
          <w:u w:val="none"/>
        </w:rPr>
      </w:pPr>
      <w:r>
        <w:rPr>
          <w:u w:val="none"/>
        </w:rPr>
        <w:t xml:space="preserve">                                                                           </w:t>
      </w:r>
      <w:bookmarkStart w:id="6" w:name="_GoBack"/>
      <w:r w:rsidRPr="00C06F62">
        <w:rPr>
          <w:noProof/>
          <w:u w:val="none"/>
        </w:rPr>
        <w:drawing>
          <wp:inline distT="0" distB="0" distL="0" distR="0">
            <wp:extent cx="1884459" cy="428235"/>
            <wp:effectExtent l="0" t="0" r="1905" b="0"/>
            <wp:docPr id="1" name="Picture 1" descr="I:\GCORDERS\Comm Sig\Cl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Clar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6457" cy="474138"/>
                    </a:xfrm>
                    <a:prstGeom prst="rect">
                      <a:avLst/>
                    </a:prstGeom>
                    <a:noFill/>
                    <a:ln>
                      <a:noFill/>
                    </a:ln>
                  </pic:spPr>
                </pic:pic>
              </a:graphicData>
            </a:graphic>
          </wp:inline>
        </w:drawing>
      </w:r>
      <w:bookmarkEnd w:id="6"/>
      <w:r>
        <w:rPr>
          <w:u w:val="none"/>
        </w:rPr>
        <w:t xml:space="preserve">       </w:t>
      </w:r>
    </w:p>
    <w:tbl>
      <w:tblPr>
        <w:tblW w:w="4720" w:type="dxa"/>
        <w:tblInd w:w="3800" w:type="dxa"/>
        <w:tblLayout w:type="fixed"/>
        <w:tblLook w:val="0000" w:firstRow="0" w:lastRow="0" w:firstColumn="0" w:lastColumn="0" w:noHBand="0" w:noVBand="0"/>
      </w:tblPr>
      <w:tblGrid>
        <w:gridCol w:w="686"/>
        <w:gridCol w:w="4034"/>
      </w:tblGrid>
      <w:tr w:rsidR="00133494" w:rsidTr="00870078">
        <w:tc>
          <w:tcPr>
            <w:tcW w:w="686" w:type="dxa"/>
            <w:shd w:val="clear" w:color="auto" w:fill="auto"/>
          </w:tcPr>
          <w:p w:rsidR="00133494" w:rsidRDefault="00133494" w:rsidP="00870078"/>
        </w:tc>
        <w:tc>
          <w:tcPr>
            <w:tcW w:w="4034" w:type="dxa"/>
            <w:tcBorders>
              <w:top w:val="single" w:sz="4" w:space="0" w:color="auto"/>
            </w:tcBorders>
            <w:shd w:val="clear" w:color="auto" w:fill="auto"/>
          </w:tcPr>
          <w:p w:rsidR="00133494" w:rsidRDefault="00133494" w:rsidP="00870078">
            <w:pPr>
              <w:pStyle w:val="CenterUnderline"/>
              <w:keepNext/>
              <w:keepLines/>
              <w:jc w:val="both"/>
              <w:rPr>
                <w:u w:val="none"/>
              </w:rPr>
            </w:pPr>
            <w:r>
              <w:rPr>
                <w:u w:val="none"/>
              </w:rPr>
              <w:t>GARY F. CLARK</w:t>
            </w:r>
          </w:p>
          <w:p w:rsidR="00133494" w:rsidRDefault="00133494" w:rsidP="00870078">
            <w:pPr>
              <w:pStyle w:val="CenterUnderline"/>
              <w:keepNext/>
              <w:keepLines/>
              <w:jc w:val="both"/>
              <w:rPr>
                <w:u w:val="none"/>
              </w:rPr>
            </w:pPr>
            <w:r>
              <w:rPr>
                <w:u w:val="none"/>
              </w:rPr>
              <w:t>Chairman and Presiding Officer</w:t>
            </w:r>
          </w:p>
        </w:tc>
      </w:tr>
    </w:tbl>
    <w:p w:rsidR="00133494" w:rsidRDefault="00133494" w:rsidP="00133494">
      <w:pPr>
        <w:pStyle w:val="OrderSigInfo"/>
        <w:keepNext/>
        <w:keepLines/>
      </w:pPr>
      <w:r>
        <w:t>Florida Public Service Commission</w:t>
      </w:r>
    </w:p>
    <w:p w:rsidR="00133494" w:rsidRDefault="00133494" w:rsidP="00133494">
      <w:pPr>
        <w:pStyle w:val="OrderSigInfo"/>
        <w:keepNext/>
        <w:keepLines/>
      </w:pPr>
      <w:r>
        <w:t>2540 Shumard Oak Boulevard</w:t>
      </w:r>
    </w:p>
    <w:p w:rsidR="00133494" w:rsidRDefault="00133494" w:rsidP="00133494">
      <w:pPr>
        <w:pStyle w:val="OrderSigInfo"/>
        <w:keepNext/>
        <w:keepLines/>
      </w:pPr>
      <w:r>
        <w:t>Tallahassee, Florida 32399</w:t>
      </w:r>
    </w:p>
    <w:p w:rsidR="00133494" w:rsidRDefault="00133494" w:rsidP="00133494">
      <w:pPr>
        <w:pStyle w:val="OrderSigInfo"/>
        <w:keepNext/>
        <w:keepLines/>
      </w:pPr>
      <w:r>
        <w:t>(850) 413</w:t>
      </w:r>
      <w:r>
        <w:noBreakHyphen/>
        <w:t>6770</w:t>
      </w:r>
    </w:p>
    <w:p w:rsidR="00133494" w:rsidRDefault="00133494" w:rsidP="00133494">
      <w:pPr>
        <w:pStyle w:val="OrderSigInfo"/>
        <w:keepNext/>
        <w:keepLines/>
      </w:pPr>
      <w:r>
        <w:t>www.floridapsc.com</w:t>
      </w:r>
    </w:p>
    <w:p w:rsidR="00133494" w:rsidRDefault="00133494" w:rsidP="00133494">
      <w:pPr>
        <w:pStyle w:val="OrderSigInfo"/>
        <w:keepNext/>
        <w:keepLines/>
      </w:pPr>
    </w:p>
    <w:p w:rsidR="00133494" w:rsidRDefault="00133494" w:rsidP="00133494">
      <w:pPr>
        <w:pStyle w:val="OrderSigInfo"/>
        <w:keepNext/>
        <w:keepLines/>
      </w:pPr>
      <w:r>
        <w:t>Copies furnished:  A copy of this document is provided to the parties of record at the time of issuance and, if applicable, interested persons.</w:t>
      </w:r>
    </w:p>
    <w:p w:rsidR="00133494" w:rsidRDefault="00133494" w:rsidP="00133494">
      <w:pPr>
        <w:pStyle w:val="OrderBody"/>
        <w:keepNext/>
        <w:keepLines/>
      </w:pPr>
    </w:p>
    <w:p w:rsidR="00133494" w:rsidRDefault="00133494" w:rsidP="00133494">
      <w:pPr>
        <w:pStyle w:val="CenterUnderline"/>
        <w:jc w:val="both"/>
        <w:rPr>
          <w:u w:val="none"/>
        </w:rPr>
      </w:pPr>
      <w:r>
        <w:rPr>
          <w:u w:val="none"/>
        </w:rPr>
        <w:t>SPS</w:t>
      </w:r>
    </w:p>
    <w:p w:rsidR="00133494" w:rsidRDefault="00133494" w:rsidP="00133494">
      <w:pPr>
        <w:pStyle w:val="CenterUnderline"/>
        <w:jc w:val="both"/>
        <w:rPr>
          <w:u w:val="none"/>
        </w:rPr>
      </w:pPr>
    </w:p>
    <w:p w:rsidR="00133494" w:rsidRDefault="00133494" w:rsidP="00133494">
      <w:pPr>
        <w:pStyle w:val="CenterUnderline"/>
      </w:pPr>
      <w:r>
        <w:t>NOTICE OF FURTHER PROCEEDINGS OR JUDICIAL REVIEW</w:t>
      </w:r>
    </w:p>
    <w:p w:rsidR="00133494" w:rsidRDefault="00133494" w:rsidP="00133494">
      <w:pPr>
        <w:pStyle w:val="CenterUnderline"/>
      </w:pPr>
    </w:p>
    <w:p w:rsidR="00133494" w:rsidRDefault="00133494" w:rsidP="00133494">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  This notice should not be construed to mean all requests for an administrative hearing or judicial review will be granted or result in the relief sought.</w:t>
      </w:r>
    </w:p>
    <w:p w:rsidR="00133494" w:rsidRDefault="00133494" w:rsidP="00133494">
      <w:pPr>
        <w:pStyle w:val="OrderBody"/>
      </w:pPr>
    </w:p>
    <w:p w:rsidR="00133494" w:rsidRDefault="00133494" w:rsidP="00133494">
      <w:pPr>
        <w:pStyle w:val="OrderBody"/>
      </w:pPr>
      <w:r>
        <w:tab/>
        <w:t>Mediation may be available on a case-by-case basis.  If mediation is conducted, it does not affect a substantially interested person's right to a hearing.</w:t>
      </w:r>
    </w:p>
    <w:p w:rsidR="00133494" w:rsidRDefault="00133494" w:rsidP="00133494">
      <w:pPr>
        <w:pStyle w:val="OrderBody"/>
      </w:pPr>
    </w:p>
    <w:p w:rsidR="00133494" w:rsidRPr="00CC7600" w:rsidRDefault="00133494" w:rsidP="00133494">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sectPr w:rsidR="00133494" w:rsidRPr="00CC760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494" w:rsidRDefault="00133494">
      <w:r>
        <w:separator/>
      </w:r>
    </w:p>
  </w:endnote>
  <w:endnote w:type="continuationSeparator" w:id="0">
    <w:p w:rsidR="00133494" w:rsidRDefault="0013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494" w:rsidRDefault="00133494">
      <w:r>
        <w:separator/>
      </w:r>
    </w:p>
  </w:footnote>
  <w:footnote w:type="continuationSeparator" w:id="0">
    <w:p w:rsidR="00133494" w:rsidRDefault="00133494">
      <w:r>
        <w:continuationSeparator/>
      </w:r>
    </w:p>
  </w:footnote>
  <w:footnote w:id="1">
    <w:p w:rsidR="00133494" w:rsidRDefault="00133494" w:rsidP="00133494">
      <w:pPr>
        <w:pStyle w:val="FootnoteText"/>
      </w:pPr>
      <w:r>
        <w:rPr>
          <w:rStyle w:val="FootnoteReference"/>
        </w:rPr>
        <w:footnoteRef/>
      </w:r>
      <w:r>
        <w:t xml:space="preserve"> Order No. PSC</w:t>
      </w:r>
      <w:r w:rsidRPr="005B63E1">
        <w:rPr>
          <w:color w:val="333333"/>
        </w:rPr>
        <w:t>-2021-0305-PCO-EI  issued August 10, 2021</w:t>
      </w:r>
      <w:r>
        <w:rPr>
          <w:color w:val="333333"/>
        </w:rPr>
        <w:t>.</w:t>
      </w:r>
    </w:p>
  </w:footnote>
  <w:footnote w:id="2">
    <w:p w:rsidR="00133494" w:rsidRDefault="00133494" w:rsidP="00133494">
      <w:pPr>
        <w:pStyle w:val="FootnoteText"/>
      </w:pPr>
      <w:r>
        <w:rPr>
          <w:rStyle w:val="FootnoteReference"/>
        </w:rPr>
        <w:footnoteRef/>
      </w:r>
      <w:r>
        <w:t xml:space="preserve"> Post-hearing briefs shall address only (i) Legal Issues 1–12 on pages 41-59 of Order No. PSC-2021-0302-PHO-EI, issued March 24, 2021, and (ii) whether the Settlement Agreement filed August 10, 2021, when taken as a whole, is in the public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4 ">
      <w:r w:rsidR="00C06F62">
        <w:t>PSC-2021-0314-PCO-EI</w:t>
      </w:r>
    </w:fldSimple>
  </w:p>
  <w:p w:rsidR="00FA6EFD" w:rsidRDefault="00133494">
    <w:pPr>
      <w:pStyle w:val="OrderHeader"/>
    </w:pPr>
    <w:bookmarkStart w:id="7" w:name="HeaderDocketNo"/>
    <w:bookmarkEnd w:id="7"/>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06F6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133494"/>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336A"/>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3494"/>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974BA"/>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06F62"/>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0222"/>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E57D7"/>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85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3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2021-08-20T15:45:00Z</dcterms:created>
  <dcterms:modified xsi:type="dcterms:W3CDTF">2021-08-20T16:38:00Z</dcterms:modified>
</cp:coreProperties>
</file>