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F5935" w14:textId="77777777" w:rsidR="00CB5276" w:rsidRDefault="00E43BF2" w:rsidP="00E43BF2">
      <w:pPr>
        <w:pStyle w:val="OrderHeading"/>
      </w:pPr>
      <w:r>
        <w:t>BEFORE THE FLORIDA PUBLIC SERVICE COMMISSION</w:t>
      </w:r>
    </w:p>
    <w:p w14:paraId="331E2809" w14:textId="77777777" w:rsidR="00E43BF2" w:rsidRDefault="00E43BF2" w:rsidP="00E43BF2">
      <w:pPr>
        <w:pStyle w:val="OrderBody"/>
      </w:pPr>
    </w:p>
    <w:p w14:paraId="26F2BCAF" w14:textId="77777777" w:rsidR="00E43BF2" w:rsidRDefault="00E43BF2" w:rsidP="00E43B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3BF2" w:rsidRPr="00C63FCF" w14:paraId="66E73AF6" w14:textId="77777777" w:rsidTr="00C63FCF">
        <w:trPr>
          <w:trHeight w:val="828"/>
        </w:trPr>
        <w:tc>
          <w:tcPr>
            <w:tcW w:w="4788" w:type="dxa"/>
            <w:tcBorders>
              <w:bottom w:val="single" w:sz="8" w:space="0" w:color="auto"/>
              <w:right w:val="double" w:sz="6" w:space="0" w:color="auto"/>
            </w:tcBorders>
            <w:shd w:val="clear" w:color="auto" w:fill="auto"/>
          </w:tcPr>
          <w:p w14:paraId="493D5021" w14:textId="77777777" w:rsidR="00E43BF2" w:rsidRDefault="00E43BF2" w:rsidP="00C63FCF">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14:paraId="5037D190" w14:textId="77777777" w:rsidR="00E43BF2" w:rsidRDefault="00E43BF2" w:rsidP="00E43BF2">
            <w:pPr>
              <w:pStyle w:val="OrderBody"/>
            </w:pPr>
            <w:r>
              <w:t xml:space="preserve">DOCKET NO. </w:t>
            </w:r>
            <w:bookmarkStart w:id="1" w:name="SSDocketNo"/>
            <w:bookmarkEnd w:id="1"/>
            <w:r>
              <w:t>20200226-SU</w:t>
            </w:r>
          </w:p>
          <w:p w14:paraId="086F5769" w14:textId="6A36BC16" w:rsidR="00E43BF2" w:rsidRDefault="00E43BF2" w:rsidP="00C63FCF">
            <w:pPr>
              <w:pStyle w:val="OrderBody"/>
              <w:tabs>
                <w:tab w:val="center" w:pos="4320"/>
                <w:tab w:val="right" w:pos="8640"/>
              </w:tabs>
              <w:jc w:val="left"/>
            </w:pPr>
            <w:r>
              <w:t xml:space="preserve">ORDER NO. </w:t>
            </w:r>
            <w:bookmarkStart w:id="2" w:name="OrderNo0323"/>
            <w:r w:rsidR="00BE744A">
              <w:t>PSC-2021-0323-PCO-SU</w:t>
            </w:r>
            <w:bookmarkEnd w:id="2"/>
          </w:p>
          <w:p w14:paraId="3278FF4F" w14:textId="50DA829D" w:rsidR="00E43BF2" w:rsidRDefault="00E43BF2" w:rsidP="00C63FCF">
            <w:pPr>
              <w:pStyle w:val="OrderBody"/>
              <w:tabs>
                <w:tab w:val="center" w:pos="4320"/>
                <w:tab w:val="right" w:pos="8640"/>
              </w:tabs>
              <w:jc w:val="left"/>
            </w:pPr>
            <w:r>
              <w:t xml:space="preserve">ISSUED: </w:t>
            </w:r>
            <w:r w:rsidR="00BE744A">
              <w:t>August 25, 2021</w:t>
            </w:r>
          </w:p>
        </w:tc>
      </w:tr>
    </w:tbl>
    <w:p w14:paraId="4FCDD139" w14:textId="77777777" w:rsidR="006943F4" w:rsidRDefault="006943F4" w:rsidP="00E43BF2">
      <w:pPr>
        <w:pStyle w:val="CenterUnderline"/>
      </w:pPr>
      <w:bookmarkStart w:id="3" w:name="Commissioners"/>
      <w:bookmarkEnd w:id="3"/>
    </w:p>
    <w:p w14:paraId="25E05A17" w14:textId="77777777" w:rsidR="006943F4" w:rsidRDefault="006943F4" w:rsidP="00E43BF2">
      <w:pPr>
        <w:pStyle w:val="CenterUnderline"/>
      </w:pPr>
    </w:p>
    <w:p w14:paraId="2AECEACA" w14:textId="77777777" w:rsidR="00E43BF2" w:rsidRDefault="00E43BF2" w:rsidP="00E43BF2">
      <w:pPr>
        <w:pStyle w:val="CenterUnderline"/>
      </w:pPr>
      <w:r>
        <w:t>ORDER</w:t>
      </w:r>
      <w:bookmarkStart w:id="4" w:name="OrderTitle"/>
      <w:r>
        <w:t xml:space="preserve"> ESTABLISHING PROCEDURE </w:t>
      </w:r>
      <w:bookmarkEnd w:id="4"/>
    </w:p>
    <w:p w14:paraId="5DF81754" w14:textId="77777777" w:rsidR="00E43BF2" w:rsidRDefault="00E43BF2" w:rsidP="00E43BF2">
      <w:pPr>
        <w:pStyle w:val="CenterUnderline"/>
      </w:pPr>
    </w:p>
    <w:p w14:paraId="11A3EA74" w14:textId="77777777" w:rsidR="00E43BF2" w:rsidRDefault="00E43BF2" w:rsidP="00E43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Pr>
          <w:b/>
          <w:bCs/>
        </w:rPr>
        <w:t>I.</w:t>
      </w:r>
      <w:r>
        <w:rPr>
          <w:b/>
          <w:bCs/>
        </w:rPr>
        <w:tab/>
      </w:r>
      <w:r>
        <w:rPr>
          <w:b/>
          <w:bCs/>
          <w:u w:val="single"/>
        </w:rPr>
        <w:t>Case Background</w:t>
      </w:r>
    </w:p>
    <w:p w14:paraId="58661E0F" w14:textId="77777777" w:rsidR="00B575C7" w:rsidRPr="00B575C7" w:rsidRDefault="00E43BF2" w:rsidP="00B575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
    <w:p w14:paraId="5DF65086" w14:textId="7A36995B" w:rsidR="00B575C7" w:rsidRPr="00B575C7" w:rsidRDefault="00B575C7" w:rsidP="00456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B575C7">
        <w:t>On October 13, 2020, pursuant to Sections 367.031 and 367.045, Florida Statutes (F.S.),</w:t>
      </w:r>
      <w:r w:rsidR="00AB6DFD">
        <w:t xml:space="preserve"> </w:t>
      </w:r>
      <w:r w:rsidRPr="00B575C7">
        <w:t>and Rule 25-30.033, Florida Administrative Code (F.A.C.)</w:t>
      </w:r>
      <w:r>
        <w:t xml:space="preserve">, </w:t>
      </w:r>
      <w:r w:rsidRPr="00B575C7">
        <w:t>Environmental Utilities, LLC</w:t>
      </w:r>
      <w:r w:rsidR="00A07DD6">
        <w:t>.</w:t>
      </w:r>
      <w:r w:rsidRPr="00B575C7">
        <w:t xml:space="preserve"> (EU or Utility) filed </w:t>
      </w:r>
      <w:r>
        <w:t>an</w:t>
      </w:r>
      <w:r w:rsidRPr="00B575C7">
        <w:t xml:space="preserve"> application for an original wastewater certificate in Charlotte County. With its application, EU filed a petition for temporary waiver of portions of Rule 25-30.033, </w:t>
      </w:r>
      <w:r>
        <w:t>F.A.C.</w:t>
      </w:r>
      <w:r w:rsidRPr="00B575C7">
        <w:t>, so that the Utility's initial rates and charges might be set at a date subsequent to the granting of the certificate of authorization. This petition for temporary rule waiver was denied</w:t>
      </w:r>
      <w:r w:rsidR="009F5216">
        <w:t>.</w:t>
      </w:r>
      <w:r w:rsidR="009F5216">
        <w:rPr>
          <w:rStyle w:val="FootnoteReference"/>
        </w:rPr>
        <w:footnoteReference w:id="1"/>
      </w:r>
      <w:r w:rsidRPr="00B575C7">
        <w:t xml:space="preserve"> Pursuant to Rule 25-30.030, F.A.C., EU published notice in the proposed service area, and provided notice by mail to property owners in the service area EU proposes to serve. Timely objections to EU’s application have</w:t>
      </w:r>
      <w:r>
        <w:t xml:space="preserve"> been filed with the Commission. In </w:t>
      </w:r>
      <w:r w:rsidRPr="00B575C7">
        <w:t xml:space="preserve">order to resolve </w:t>
      </w:r>
      <w:r>
        <w:t xml:space="preserve">these </w:t>
      </w:r>
      <w:r w:rsidRPr="00B575C7">
        <w:t>objection</w:t>
      </w:r>
      <w:r>
        <w:t>s</w:t>
      </w:r>
      <w:r w:rsidRPr="00B575C7">
        <w:t xml:space="preserve"> and move forward with the</w:t>
      </w:r>
      <w:r>
        <w:t xml:space="preserve"> </w:t>
      </w:r>
      <w:r w:rsidRPr="00B575C7">
        <w:t xml:space="preserve">application, this matter is set for hearing on </w:t>
      </w:r>
      <w:r>
        <w:t>February</w:t>
      </w:r>
      <w:r w:rsidR="00701073">
        <w:t xml:space="preserve"> 8-9</w:t>
      </w:r>
      <w:r>
        <w:t>, 2022</w:t>
      </w:r>
      <w:r w:rsidRPr="00B575C7">
        <w:t>.</w:t>
      </w:r>
    </w:p>
    <w:p w14:paraId="4D7C1320" w14:textId="77777777" w:rsidR="00B575C7" w:rsidRDefault="00B575C7" w:rsidP="00456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BF6826D" w14:textId="77777777" w:rsidR="00E43BF2" w:rsidRDefault="00E43BF2" w:rsidP="00456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This Order is issued pursuant to the authority granted by Rule 28-106.211, </w:t>
      </w:r>
      <w:r w:rsidR="0019562E">
        <w:t>F.A.C.</w:t>
      </w:r>
      <w:r>
        <w:t>, which provides that the presiding officer before whom a case is pending may issue any orders necessary to effectuate discovery, prevent delay, and promote the just, speedy, and inexpensive determination of all aspects of the case.</w:t>
      </w:r>
    </w:p>
    <w:p w14:paraId="2AF6543C" w14:textId="16518499" w:rsidR="00E43BF2" w:rsidRPr="00F25469" w:rsidRDefault="00E43BF2" w:rsidP="00E43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14:paraId="470A43F5" w14:textId="77777777" w:rsidR="00E43BF2" w:rsidRDefault="00E43BF2" w:rsidP="00E43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14:paraId="6FDDF6C0" w14:textId="4E30C42B" w:rsidR="00E43BF2" w:rsidRDefault="00E43BF2" w:rsidP="00E43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502168" w14:textId="7C0DC944" w:rsidR="00E43BF2" w:rsidRPr="00C7570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rsidR="00921088">
        <w:t xml:space="preserve">. </w:t>
      </w:r>
      <w:r>
        <w:t>If filing via</w:t>
      </w:r>
      <w:r w:rsidRPr="00C75702">
        <w:t xml:space="preserve"> mail, hand delivery, or courier service</w:t>
      </w:r>
      <w:r>
        <w:t xml:space="preserve">, the filing should be </w:t>
      </w:r>
      <w:r w:rsidRPr="00C75702">
        <w:t>addressed to:</w:t>
      </w:r>
    </w:p>
    <w:p w14:paraId="6A1E5DC8" w14:textId="77777777" w:rsidR="00E43BF2" w:rsidRPr="00C7570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A00BB0B" w14:textId="77777777" w:rsidR="00E43BF2" w:rsidRPr="00C7570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14:paraId="7914525C" w14:textId="77777777" w:rsidR="00E43BF2" w:rsidRPr="00C7570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14:paraId="1BA88A8F" w14:textId="77777777" w:rsidR="00E43BF2" w:rsidRPr="00C7570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14:paraId="2BD86299" w14:textId="77777777" w:rsidR="00E43BF2" w:rsidRPr="00C7570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14:paraId="274B4879" w14:textId="77777777" w:rsidR="00E43BF2" w:rsidRPr="00C7570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E2808FA"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00921088">
        <w:t xml:space="preserve"> </w:t>
      </w:r>
      <w:r w:rsidRPr="00C75702">
        <w:t xml:space="preserve">The </w:t>
      </w:r>
      <w:r w:rsidRPr="00C75702">
        <w:lastRenderedPageBreak/>
        <w:t xml:space="preserve">filing party is responsible for ensuring that no information protected by privacy or confidentiality laws is contained in any </w:t>
      </w:r>
      <w:r>
        <w:t xml:space="preserve">electronic </w:t>
      </w:r>
      <w:r w:rsidR="009653CB">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14:paraId="30ED0915" w14:textId="77777777" w:rsidR="009653CB" w:rsidRDefault="009653CB"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822F31" w14:textId="77777777" w:rsidR="00E43BF2" w:rsidRDefault="00E43BF2" w:rsidP="009653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Pr>
          <w:b/>
        </w:rPr>
        <w:tab/>
      </w:r>
      <w:r>
        <w:rPr>
          <w:b/>
          <w:u w:val="single"/>
        </w:rPr>
        <w:t>Prefiled Testimony and Exhibits</w:t>
      </w:r>
    </w:p>
    <w:p w14:paraId="6D5925FE"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136E26" w14:textId="77777777" w:rsidR="00E43BF2" w:rsidRPr="00C7570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the schedule set forth in Section</w:t>
      </w:r>
      <w:r w:rsidR="00320C4F">
        <w:t xml:space="preserve"> VIII </w:t>
      </w:r>
      <w:r w:rsidRPr="00C75702">
        <w:t>of this Order.</w:t>
      </w:r>
      <w:r w:rsidR="00320C4F">
        <w:t xml:space="preserve"> </w:t>
      </w:r>
      <w:r>
        <w:t>Testimony and exhibit</w:t>
      </w:r>
      <w:r w:rsidR="00320C4F">
        <w:t xml:space="preserve">s may be filed electronically.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Failure of a party to timely prefile exhibits and testimony from any witness in accordance with the foregoing requirements may bar admission of such exhibits and testimony. </w:t>
      </w:r>
    </w:p>
    <w:p w14:paraId="5475586F" w14:textId="77777777" w:rsidR="00E43BF2" w:rsidRPr="00C7570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4CE6FBE"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14:paraId="6EA1A88F" w14:textId="77777777" w:rsidR="00E43BF2" w:rsidRDefault="00E43BF2" w:rsidP="00E43BF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14:paraId="4ACC5C4D" w14:textId="77777777" w:rsidR="00E43BF2" w:rsidRDefault="00E43BF2" w:rsidP="00E43BF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320C4F">
        <w:tab/>
      </w:r>
      <w:r>
        <w:t>Each exhibit sponsored by a witness in support of his or her prefiled testimony shall be:</w:t>
      </w:r>
    </w:p>
    <w:p w14:paraId="1CFDD49C" w14:textId="77777777" w:rsidR="00E43BF2" w:rsidRDefault="00E43BF2" w:rsidP="00E43BF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50D227F5" w14:textId="77777777" w:rsidR="00E43BF2" w:rsidRDefault="00E43BF2" w:rsidP="00E43BF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14:paraId="2953C031" w14:textId="77777777" w:rsidR="00E43BF2" w:rsidRPr="00C75702" w:rsidRDefault="00E43BF2" w:rsidP="00E43BF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14:paraId="0D00D7A5" w14:textId="77777777" w:rsidR="00E43BF2" w:rsidRDefault="00E43BF2" w:rsidP="00E43BF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14:paraId="745D7F20" w14:textId="77777777" w:rsidR="00E43BF2" w:rsidRDefault="00E43BF2" w:rsidP="00E43BF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14:paraId="41E2D294" w14:textId="77777777" w:rsidR="00E43BF2" w:rsidRDefault="00E43BF2" w:rsidP="00E43BF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14:paraId="35B55D98" w14:textId="77777777" w:rsidR="00E43BF2" w:rsidRDefault="00E43BF2" w:rsidP="00E43BF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09D4644B" w14:textId="77777777" w:rsidR="00E43BF2" w:rsidRDefault="00E43BF2" w:rsidP="00E43BF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971989">
        <w:tab/>
      </w:r>
      <w:r>
        <w:t>An example of the information to appear in the upper right-hand corner of the exhibit is as follows:</w:t>
      </w:r>
    </w:p>
    <w:p w14:paraId="34183D15"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0EC0C13"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14:paraId="1A97E648"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14:paraId="506A2688"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14:paraId="13550919"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4AC7D1"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14:paraId="0FE07E90"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64016D" w14:textId="77777777" w:rsidR="0073704B" w:rsidRDefault="0073704B"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41978565"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9653CB">
        <w:rPr>
          <w:b/>
        </w:rPr>
        <w:t>V</w:t>
      </w:r>
      <w:r>
        <w:rPr>
          <w:b/>
        </w:rPr>
        <w:t>.</w:t>
      </w:r>
      <w:r>
        <w:rPr>
          <w:b/>
        </w:rPr>
        <w:tab/>
      </w:r>
      <w:r>
        <w:rPr>
          <w:b/>
          <w:u w:val="single"/>
        </w:rPr>
        <w:t>Discovery Procedures</w:t>
      </w:r>
    </w:p>
    <w:p w14:paraId="6CE54283"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359F17"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14:paraId="4E2506CD"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82D151"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w:t>
      </w:r>
      <w:r w:rsidR="00971989">
        <w:t>F.S.</w:t>
      </w:r>
      <w:r>
        <w:t>, and the relevant provisions of Chapter</w:t>
      </w:r>
      <w:r w:rsidR="00971989">
        <w:t xml:space="preserve"> 367, F.S.</w:t>
      </w:r>
      <w:r>
        <w:t>, Rules 25-22, 25-40, and 28-106, F.A.C., and the Florida Rules of Civil Procedure (as applicable), as modified herein or as may be subsequently modified by the Prehearing Officer.</w:t>
      </w:r>
    </w:p>
    <w:p w14:paraId="1EA51161" w14:textId="77777777" w:rsidR="00E43BF2" w:rsidRDefault="00E43BF2" w:rsidP="00E43BF2">
      <w:pPr>
        <w:jc w:val="both"/>
        <w:rPr>
          <w:rFonts w:cs="Courier New"/>
        </w:rPr>
      </w:pPr>
    </w:p>
    <w:p w14:paraId="3D9880F1"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1E977B10"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458E2AA" w14:textId="77777777" w:rsidR="00E43BF2" w:rsidRDefault="00E43BF2" w:rsidP="00E43BF2">
      <w:pPr>
        <w:spacing w:line="2" w:lineRule="exact"/>
        <w:jc w:val="both"/>
      </w:pPr>
    </w:p>
    <w:p w14:paraId="50FC6308" w14:textId="6EBEFC9F" w:rsidR="00E43BF2" w:rsidRDefault="00E43BF2" w:rsidP="00E43BF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96661E">
        <w:t>January 21</w:t>
      </w:r>
      <w:r w:rsidR="0094751F">
        <w:t>, 2022</w:t>
      </w:r>
      <w:r>
        <w:t>.</w:t>
      </w:r>
    </w:p>
    <w:p w14:paraId="7D700A7C" w14:textId="77777777" w:rsidR="00E43BF2" w:rsidRPr="007659C3" w:rsidRDefault="00E43BF2" w:rsidP="00E43BF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w:t>
      </w:r>
      <w:r>
        <w:t xml:space="preserve"> </w:t>
      </w:r>
      <w:r w:rsidRPr="00C75702">
        <w:t>Discovery served via e-mail shall be limited to 5 MB per attachment, shall indicate how many e-mails are being sent related to the discovery (such as 1 of 6 e-mails), and shall be numbered sequentially.</w:t>
      </w:r>
      <w:r w:rsidR="00971989">
        <w:t xml:space="preserve"> </w:t>
      </w:r>
      <w:r w:rsidRPr="007659C3">
        <w:t>Documents provided in response to a document request may be provided via a CD, DVD, or flash drive if not served electronically.</w:t>
      </w:r>
    </w:p>
    <w:p w14:paraId="4E4F3C6B" w14:textId="77777777" w:rsidR="00E43BF2" w:rsidRDefault="00E43BF2" w:rsidP="00E43BF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14:paraId="50CDBAFF" w14:textId="77777777" w:rsidR="00E43BF2" w:rsidRDefault="00E43BF2" w:rsidP="00E43BF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14:paraId="7F8BB893" w14:textId="77777777" w:rsidR="00E43BF2" w:rsidRDefault="00E43BF2" w:rsidP="00E43BF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14:paraId="2E34EDD8" w14:textId="5BF85CDD" w:rsidR="00E43BF2" w:rsidRPr="007659C3" w:rsidRDefault="00E43BF2" w:rsidP="00E43BF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w:t>
      </w:r>
      <w:r w:rsidR="00971989">
        <w:t>ade prior to the filing of the U</w:t>
      </w:r>
      <w:r w:rsidRPr="007659C3">
        <w:t xml:space="preserve">tility’s rebuttal testimony, discovery responses shall be served within 30 days (inclusive of mailing) of receipt of the discovery request. For discovery </w:t>
      </w:r>
      <w:r w:rsidRPr="00E35B57">
        <w:t>requests</w:t>
      </w:r>
      <w:r w:rsidRPr="007659C3">
        <w:t xml:space="preserve"> related to matters addressed in the utility’s rebuttal testimony, discovery responses shall be served within</w:t>
      </w:r>
      <w:r w:rsidRPr="007475AE">
        <w:rPr>
          <w:b/>
        </w:rPr>
        <w:t xml:space="preserve"> </w:t>
      </w:r>
      <w:r w:rsidR="00CB4A69">
        <w:t>14</w:t>
      </w:r>
      <w:r w:rsidRPr="007659C3">
        <w:t xml:space="preserve"> days of receipt of the discovery request.</w:t>
      </w:r>
    </w:p>
    <w:p w14:paraId="3F95367C" w14:textId="5B087F2D" w:rsidR="00E43BF2" w:rsidRDefault="00E43BF2" w:rsidP="00E43BF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w:t>
      </w:r>
      <w:r w:rsidR="00E35B57">
        <w:t xml:space="preserve"> of sequential identification. </w:t>
      </w:r>
      <w:r>
        <w:t>Parties should number produced documents in an unbroken sequence through the final hearing.</w:t>
      </w:r>
    </w:p>
    <w:p w14:paraId="5A5803AB" w14:textId="77777777" w:rsidR="00E43BF2" w:rsidRPr="007E338F" w:rsidRDefault="00E43BF2" w:rsidP="00E43BF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In addition, copies of all responses to requests for production of documents shall be provided to the Commission staff at its Tallahassee office unless otherwise agreed.</w:t>
      </w:r>
    </w:p>
    <w:p w14:paraId="7D91A20A" w14:textId="77777777" w:rsidR="00E43BF2" w:rsidRPr="00972F91" w:rsidRDefault="00E43BF2" w:rsidP="00E43BF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14:paraId="5702618D"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1D3A27" w14:textId="77777777" w:rsidR="0094751F"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11654B3F" w14:textId="278D3E93" w:rsidR="00E43BF2" w:rsidRDefault="0094751F"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43BF2">
        <w:t>Unless subsequently modified by the Prehearing Officer, the following shall apply:</w:t>
      </w:r>
    </w:p>
    <w:p w14:paraId="76046E60"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0B4573" w14:textId="77777777" w:rsidR="00E43BF2" w:rsidRDefault="00E43BF2" w:rsidP="00E43BF2">
      <w:pPr>
        <w:spacing w:line="2" w:lineRule="exact"/>
        <w:jc w:val="both"/>
      </w:pPr>
    </w:p>
    <w:p w14:paraId="027407E6" w14:textId="6E76E007" w:rsidR="00E43BF2" w:rsidRDefault="00E43BF2" w:rsidP="00E43BF2">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CB4A69">
        <w:t>150</w:t>
      </w:r>
      <w:r>
        <w:t>.</w:t>
      </w:r>
    </w:p>
    <w:p w14:paraId="385FC218" w14:textId="26B38029" w:rsidR="00E43BF2" w:rsidRDefault="00E43BF2" w:rsidP="00E43BF2">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CB4A69">
        <w:t>150</w:t>
      </w:r>
      <w:r>
        <w:t>.</w:t>
      </w:r>
    </w:p>
    <w:p w14:paraId="4CA5EDC2" w14:textId="402AAEB1" w:rsidR="00E43BF2" w:rsidRDefault="00E43BF2" w:rsidP="00E43BF2">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CB4A69" w:rsidRPr="00CB4A69">
        <w:t>75</w:t>
      </w:r>
      <w:r>
        <w:t>.</w:t>
      </w:r>
    </w:p>
    <w:p w14:paraId="149F108F" w14:textId="77777777" w:rsidR="00E43BF2" w:rsidRDefault="00E43BF2" w:rsidP="00E43BF2">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354AF2B3" w14:textId="2087E545" w:rsidR="00E43BF2" w:rsidRDefault="00E43BF2" w:rsidP="00E43BF2">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CB4A69">
        <w:rPr>
          <w:rFonts w:cs="Courier New"/>
        </w:rPr>
        <w:t>5</w:t>
      </w:r>
      <w:r>
        <w:rPr>
          <w:rFonts w:cs="Courier New"/>
        </w:rPr>
        <w:t xml:space="preserve"> days of ser</w:t>
      </w:r>
      <w:r w:rsidR="00CB4A69">
        <w:rPr>
          <w:rFonts w:cs="Courier New"/>
        </w:rPr>
        <w:t xml:space="preserve">vice of the discovery request. </w:t>
      </w:r>
      <w:r w:rsidRPr="00CB4A69">
        <w:rPr>
          <w:rFonts w:cs="Courier New"/>
        </w:rPr>
        <w:t xml:space="preserve">For discovery requests served after the date for rebuttal testimony, such clarification must be requested within </w:t>
      </w:r>
      <w:r w:rsidR="00CB4A69" w:rsidRPr="00CB4A69">
        <w:rPr>
          <w:rFonts w:cs="Courier New"/>
        </w:rPr>
        <w:t>3</w:t>
      </w:r>
      <w:r w:rsidRPr="00CB4A69">
        <w:rPr>
          <w:rFonts w:cs="Courier New"/>
        </w:rPr>
        <w:t xml:space="preserve"> days.</w:t>
      </w:r>
      <w:r w:rsidR="00CB4A69" w:rsidRPr="00CB4A69">
        <w:rPr>
          <w:rFonts w:cs="Courier New"/>
          <w:b/>
          <w:i/>
        </w:rPr>
        <w:t xml:space="preserve"> </w:t>
      </w:r>
      <w:r w:rsidRPr="00CB4A69">
        <w:rPr>
          <w:rFonts w:cs="Courier New"/>
        </w:rPr>
        <w:t>T</w:t>
      </w:r>
      <w:r>
        <w:rPr>
          <w:rFonts w:cs="Courier New"/>
        </w:rPr>
        <w:t>his procedure is intended to reduce delay in resolving discovery disputes.</w:t>
      </w:r>
    </w:p>
    <w:p w14:paraId="174D9213" w14:textId="77777777" w:rsidR="00E43BF2" w:rsidRDefault="00E43BF2" w:rsidP="00E43BF2">
      <w:pPr>
        <w:ind w:firstLine="720"/>
        <w:jc w:val="both"/>
        <w:rPr>
          <w:rFonts w:cs="Courier New"/>
        </w:rPr>
      </w:pPr>
    </w:p>
    <w:p w14:paraId="15E99C9A" w14:textId="77777777" w:rsidR="00E43BF2" w:rsidRDefault="00E43BF2" w:rsidP="00E43BF2">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14:paraId="3E296E2D" w14:textId="77777777" w:rsidR="00E43BF2" w:rsidRDefault="00E43BF2" w:rsidP="00E43BF2">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567490F5"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w:t>
      </w:r>
      <w:r w:rsidR="00E35B57">
        <w:t xml:space="preserve"> 367.156</w:t>
      </w:r>
      <w:r>
        <w:t>, F.S., and Rule 25-22.006, F.A.C., shall be treated by t</w:t>
      </w:r>
      <w:r w:rsidR="00E35B57">
        <w:t xml:space="preserve">he Commission as confidential. </w:t>
      </w:r>
      <w:r>
        <w:t>The information shall be exempt from Section 119.07(1), F.S., pending a formal ruling on such request by the Commission or pending return of the information to the per</w:t>
      </w:r>
      <w:r w:rsidR="00E35B57">
        <w:t xml:space="preserve">son providing the information. </w:t>
      </w:r>
      <w:r>
        <w:t>If no determination of confidentiality has been made and the information has not been made a part of the evidentiary record in this proceeding, it shall be returned to the per</w:t>
      </w:r>
      <w:r w:rsidR="00E35B57">
        <w:t xml:space="preserve">son providing the information. </w:t>
      </w:r>
      <w:r>
        <w:t>If a determination of confidentiality has been made and the information was not entered into the record of this proceeding, it shall be returned to the person providing the information within the time period set forth in Section</w:t>
      </w:r>
      <w:r w:rsidR="00E35B57">
        <w:t xml:space="preserve"> 367.156</w:t>
      </w:r>
      <w:r>
        <w:t>, F.S.  The Commission may determine that continued possession of the information is necessary for the Commission to conduct its business.</w:t>
      </w:r>
    </w:p>
    <w:p w14:paraId="50E9F453"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A4EEE84" w14:textId="77777777" w:rsidR="00E43BF2" w:rsidRPr="00AD5F83"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01211A0B"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F0D489"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70941DC3" w14:textId="2EF8E9A3" w:rsidR="009E52D0" w:rsidRDefault="009E52D0"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B1682FB" w14:textId="00B79F47" w:rsidR="00E43BF2" w:rsidRDefault="009E52D0"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43BF2">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0C623175" w14:textId="77777777" w:rsidR="00E43BF2" w:rsidRDefault="009653CB"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E43BF2">
        <w:rPr>
          <w:b/>
          <w:bCs/>
        </w:rPr>
        <w:t>.</w:t>
      </w:r>
      <w:r w:rsidR="00E43BF2">
        <w:tab/>
      </w:r>
      <w:r w:rsidR="00E43BF2">
        <w:rPr>
          <w:b/>
          <w:bCs/>
          <w:u w:val="single"/>
        </w:rPr>
        <w:t>Prehearing Procedures</w:t>
      </w:r>
    </w:p>
    <w:p w14:paraId="2E100430"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77D5F22"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14:paraId="5FB76FF2"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4E7387"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00E35B57">
        <w:t xml:space="preserve">VIII of this Order. </w:t>
      </w:r>
      <w:r w:rsidRPr="0015392D">
        <w:t>Each</w:t>
      </w:r>
      <w:r>
        <w:t xml:space="preserve"> Prehearing Statement shall be filed with the Office of Commission Clerk</w:t>
      </w:r>
      <w:r w:rsidR="00E35B57">
        <w:t xml:space="preserve"> by 5:00 p.m. on the date due. </w:t>
      </w:r>
      <w:r>
        <w:t>A copy</w:t>
      </w:r>
      <w:r w:rsidRPr="0015392D">
        <w:t>, whether paper or electronic,</w:t>
      </w:r>
      <w:r>
        <w:t xml:space="preserve"> of the Prehearing Statement shall be served on all other parties and staff no later than the date it is filed with the Commission.</w:t>
      </w:r>
    </w:p>
    <w:p w14:paraId="2BB2C900"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4D5DF5E"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14:paraId="1BE6CEE0"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9B23EC"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14:paraId="5ABDBF38"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C5DA0CF"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14:paraId="6EEF05DB"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E43BF2" w14:paraId="79C28454" w14:textId="77777777" w:rsidTr="0008263C">
        <w:tc>
          <w:tcPr>
            <w:tcW w:w="3060" w:type="dxa"/>
            <w:shd w:val="clear" w:color="auto" w:fill="auto"/>
          </w:tcPr>
          <w:p w14:paraId="62C08889" w14:textId="77777777" w:rsidR="00E43BF2" w:rsidRPr="004306A8"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14:paraId="0F42D1DB" w14:textId="77777777" w:rsidR="00E43BF2" w:rsidRPr="004306A8"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14:paraId="1179691F" w14:textId="77777777" w:rsidR="00E43BF2" w:rsidRPr="004306A8"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E43BF2" w14:paraId="3AAADD67" w14:textId="77777777" w:rsidTr="0008263C">
        <w:tc>
          <w:tcPr>
            <w:tcW w:w="3060" w:type="dxa"/>
            <w:shd w:val="clear" w:color="auto" w:fill="auto"/>
          </w:tcPr>
          <w:p w14:paraId="365B81F4" w14:textId="77777777" w:rsidR="00E43BF2" w:rsidRPr="004306A8"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14:paraId="6F9535CB" w14:textId="77777777" w:rsidR="00E43BF2" w:rsidRPr="00A2428E"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4A3DA9E0" w14:textId="77777777" w:rsidR="00E43BF2" w:rsidRPr="00A2428E"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43BF2" w14:paraId="18827D8C" w14:textId="77777777" w:rsidTr="0008263C">
        <w:tc>
          <w:tcPr>
            <w:tcW w:w="3060" w:type="dxa"/>
            <w:shd w:val="clear" w:color="auto" w:fill="auto"/>
          </w:tcPr>
          <w:p w14:paraId="47FC88E4" w14:textId="77777777" w:rsidR="00E43BF2" w:rsidRPr="00A2428E"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14:paraId="3E1C6FD1" w14:textId="77777777" w:rsidR="00E43BF2" w:rsidRPr="00A2428E"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14:paraId="63FA685C" w14:textId="77777777" w:rsidR="00E43BF2" w:rsidRPr="00A2428E"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14:paraId="61171B74"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E8528CD"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14:paraId="657B1D62"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F231B6F"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14:paraId="40E03B34"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E43BF2" w:rsidRPr="00B95E83" w14:paraId="5ECCE8BD" w14:textId="77777777" w:rsidTr="0008263C">
        <w:tc>
          <w:tcPr>
            <w:tcW w:w="974" w:type="dxa"/>
            <w:shd w:val="clear" w:color="auto" w:fill="auto"/>
          </w:tcPr>
          <w:p w14:paraId="754C1779" w14:textId="77777777" w:rsidR="00E43BF2" w:rsidRPr="00B95E83"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14:paraId="032D7825" w14:textId="77777777" w:rsidR="00E43BF2" w:rsidRPr="00B95E83" w:rsidRDefault="00E43BF2" w:rsidP="0008263C">
            <w:pPr>
              <w:rPr>
                <w:b/>
              </w:rPr>
            </w:pPr>
            <w:r w:rsidRPr="00B95E83">
              <w:rPr>
                <w:b/>
              </w:rPr>
              <w:t>Proffered By</w:t>
            </w:r>
          </w:p>
        </w:tc>
        <w:tc>
          <w:tcPr>
            <w:tcW w:w="1505" w:type="dxa"/>
            <w:shd w:val="clear" w:color="auto" w:fill="auto"/>
          </w:tcPr>
          <w:p w14:paraId="0266C83C" w14:textId="77777777" w:rsidR="00E43BF2" w:rsidRPr="00B95E83" w:rsidRDefault="00E43BF2" w:rsidP="0008263C">
            <w:pPr>
              <w:rPr>
                <w:b/>
              </w:rPr>
            </w:pPr>
            <w:r w:rsidRPr="00B95E83">
              <w:rPr>
                <w:b/>
              </w:rPr>
              <w:t>Exhibit No.</w:t>
            </w:r>
          </w:p>
        </w:tc>
        <w:tc>
          <w:tcPr>
            <w:tcW w:w="2123" w:type="dxa"/>
            <w:shd w:val="clear" w:color="auto" w:fill="auto"/>
          </w:tcPr>
          <w:p w14:paraId="3C1C6065" w14:textId="77777777" w:rsidR="00E43BF2" w:rsidRPr="00B95E83"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14:paraId="27AACED1" w14:textId="77777777" w:rsidR="00E43BF2" w:rsidRPr="00B95E83" w:rsidRDefault="00E43BF2" w:rsidP="0008263C">
            <w:pPr>
              <w:rPr>
                <w:b/>
              </w:rPr>
            </w:pPr>
            <w:r w:rsidRPr="00B95E83">
              <w:rPr>
                <w:b/>
              </w:rPr>
              <w:t>Issue  #</w:t>
            </w:r>
          </w:p>
        </w:tc>
      </w:tr>
      <w:tr w:rsidR="00E43BF2" w:rsidRPr="00B95E83" w14:paraId="08551101" w14:textId="77777777" w:rsidTr="0008263C">
        <w:tc>
          <w:tcPr>
            <w:tcW w:w="974" w:type="dxa"/>
            <w:shd w:val="clear" w:color="auto" w:fill="auto"/>
          </w:tcPr>
          <w:p w14:paraId="76097911" w14:textId="77777777" w:rsidR="00E43BF2" w:rsidRPr="00B95E83" w:rsidRDefault="00E43BF2" w:rsidP="0008263C">
            <w:pPr>
              <w:jc w:val="center"/>
              <w:rPr>
                <w:b/>
              </w:rPr>
            </w:pPr>
            <w:r w:rsidRPr="00B95E83">
              <w:rPr>
                <w:b/>
              </w:rPr>
              <w:t>Direct</w:t>
            </w:r>
          </w:p>
        </w:tc>
        <w:tc>
          <w:tcPr>
            <w:tcW w:w="2086" w:type="dxa"/>
            <w:tcBorders>
              <w:top w:val="single" w:sz="4" w:space="0" w:color="auto"/>
            </w:tcBorders>
            <w:shd w:val="clear" w:color="auto" w:fill="auto"/>
          </w:tcPr>
          <w:p w14:paraId="64767C48" w14:textId="77777777" w:rsidR="00E43BF2" w:rsidRPr="00B95E83" w:rsidRDefault="00E43BF2" w:rsidP="0008263C"/>
        </w:tc>
        <w:tc>
          <w:tcPr>
            <w:tcW w:w="1505" w:type="dxa"/>
            <w:shd w:val="clear" w:color="auto" w:fill="auto"/>
          </w:tcPr>
          <w:p w14:paraId="308AC0C8" w14:textId="77777777" w:rsidR="00E43BF2" w:rsidRPr="00B95E83"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56127E57" w14:textId="77777777" w:rsidR="00E43BF2" w:rsidRPr="00B95E83"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1E85A699" w14:textId="77777777" w:rsidR="00E43BF2" w:rsidRPr="00B95E83"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43BF2" w:rsidRPr="00B95E83" w14:paraId="70DD96AD" w14:textId="77777777" w:rsidTr="0008263C">
        <w:tc>
          <w:tcPr>
            <w:tcW w:w="974" w:type="dxa"/>
            <w:shd w:val="clear" w:color="auto" w:fill="auto"/>
          </w:tcPr>
          <w:p w14:paraId="427A0989" w14:textId="77777777" w:rsidR="00E43BF2" w:rsidRPr="00B95E83" w:rsidRDefault="00E43BF2" w:rsidP="0008263C">
            <w:r w:rsidRPr="00B95E83">
              <w:t>John Smith</w:t>
            </w:r>
          </w:p>
        </w:tc>
        <w:tc>
          <w:tcPr>
            <w:tcW w:w="2086" w:type="dxa"/>
            <w:shd w:val="clear" w:color="auto" w:fill="auto"/>
          </w:tcPr>
          <w:p w14:paraId="5ECCB31F" w14:textId="77777777" w:rsidR="00E43BF2" w:rsidRPr="00B95E83" w:rsidRDefault="00E43BF2" w:rsidP="0008263C">
            <w:r w:rsidRPr="00B95E83">
              <w:t>Party/Utility Name</w:t>
            </w:r>
          </w:p>
        </w:tc>
        <w:tc>
          <w:tcPr>
            <w:tcW w:w="1505" w:type="dxa"/>
            <w:shd w:val="clear" w:color="auto" w:fill="auto"/>
          </w:tcPr>
          <w:p w14:paraId="6E008ABE" w14:textId="77777777" w:rsidR="00E43BF2" w:rsidRPr="00B95E83" w:rsidRDefault="00E43BF2" w:rsidP="0008263C">
            <w:r w:rsidRPr="00B95E83">
              <w:t>ABC-1</w:t>
            </w:r>
          </w:p>
        </w:tc>
        <w:tc>
          <w:tcPr>
            <w:tcW w:w="2123" w:type="dxa"/>
            <w:shd w:val="clear" w:color="auto" w:fill="auto"/>
          </w:tcPr>
          <w:p w14:paraId="25D79D1A" w14:textId="77777777" w:rsidR="00E43BF2" w:rsidRPr="00B95E83" w:rsidRDefault="00E43BF2" w:rsidP="0008263C">
            <w:r w:rsidRPr="00B95E83">
              <w:t>Title ......</w:t>
            </w:r>
          </w:p>
        </w:tc>
        <w:tc>
          <w:tcPr>
            <w:tcW w:w="1862" w:type="dxa"/>
            <w:shd w:val="clear" w:color="auto" w:fill="auto"/>
          </w:tcPr>
          <w:p w14:paraId="5BB2AE82" w14:textId="77777777" w:rsidR="00E43BF2" w:rsidRPr="00B95E83" w:rsidRDefault="00E43BF2" w:rsidP="000826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14:paraId="7FEA68CC"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EC36759"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960AA4F"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14:paraId="5C725E88" w14:textId="7E254B10"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w:t>
      </w:r>
      <w:r w:rsidR="00BF2DF1">
        <w:t xml:space="preserve">) who will address each issue. </w:t>
      </w:r>
      <w:r>
        <w:t>Parties who wish to maintain “no position at this time” on any particular issue or issues should refer to the requirements of subsection C, below;</w:t>
      </w:r>
    </w:p>
    <w:p w14:paraId="2AA16C56"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14:paraId="0DC5EC6C"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14:paraId="7D0BA227"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14:paraId="4258B7D7"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w:t>
      </w:r>
      <w:r w:rsidR="00BF2DF1">
        <w:t xml:space="preserve">’ qualifications as an expert. </w:t>
      </w:r>
      <w:r>
        <w:t>The objection shall identify each witness the party wishes to voir dire as well as state with specificity the portions of that witness’s prefiled testimony, by page and line number, and/or exhibits, by page and line numbe</w:t>
      </w:r>
      <w:r w:rsidR="00BF2DF1">
        <w:t xml:space="preserve">r, to which the party objects. </w:t>
      </w:r>
      <w:r>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60918EBE" w14:textId="77777777" w:rsidR="00E43BF2" w:rsidRDefault="00E43BF2" w:rsidP="00E43BF2">
      <w:pPr>
        <w:spacing w:line="2" w:lineRule="exact"/>
        <w:jc w:val="both"/>
      </w:pPr>
    </w:p>
    <w:p w14:paraId="4B1DEE7B"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14:paraId="5652CE42"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14:paraId="41BF9131"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31EF1F"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Failure of a party to timely file a Prehearing Statement shall be a waiver of any issue not raised by other</w:t>
      </w:r>
      <w:r w:rsidR="00BF2DF1">
        <w:t xml:space="preserve"> parties or by the Commission. </w:t>
      </w:r>
      <w:r>
        <w:t xml:space="preserve">In addition, such failure shall preclude the party from presenting testimony in support of its position on each such issue.  </w:t>
      </w:r>
    </w:p>
    <w:p w14:paraId="2FAF6ECD"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83A6FBB"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14:paraId="74DD6126"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E4F7B2"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167996">
        <w:t>January 26, 2022</w:t>
      </w:r>
      <w:r>
        <w:t>, at the Betty Easley Conference Center, 4075 Esplanade Way, Tallahassee, Florida. Unless excused by the Prehearing Officer for good cause shown, each party (or designated representative) shall personally appear</w:t>
      </w:r>
      <w:r w:rsidR="00BF2DF1">
        <w:t xml:space="preserve"> at the Prehearing Conference. </w:t>
      </w:r>
      <w:r>
        <w:t>Failure of a party (or that party’s representative) to appear shall constitute waiver of that party’s issues and positions, and that party may be dismissed from the proceeding.</w:t>
      </w:r>
    </w:p>
    <w:p w14:paraId="49FF6279"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718AB4"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14:paraId="4FE317EC"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198E3A"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issue not raised by a party either before or during the Prehearing Conference shall be waived by that party</w:t>
      </w:r>
      <w:r w:rsidR="00BF2DF1">
        <w:t xml:space="preserve">, except for good cause shown. </w:t>
      </w:r>
      <w:r>
        <w:t xml:space="preserve">A party seeking to raise a new issue after the Prehearing Conference shall address each of the following: </w:t>
      </w:r>
    </w:p>
    <w:p w14:paraId="2D722A94" w14:textId="77777777" w:rsidR="00E43BF2" w:rsidRDefault="00E43BF2" w:rsidP="00E43BF2">
      <w:pPr>
        <w:spacing w:line="2" w:lineRule="exact"/>
        <w:jc w:val="both"/>
      </w:pPr>
    </w:p>
    <w:p w14:paraId="0FD82BA3" w14:textId="77777777" w:rsidR="00E43BF2" w:rsidRDefault="00E43BF2" w:rsidP="00E43BF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14:paraId="730EC4B5" w14:textId="77777777" w:rsidR="00E43BF2" w:rsidRDefault="00E43BF2" w:rsidP="00E43BF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14:paraId="189D524F" w14:textId="77777777" w:rsidR="00E43BF2" w:rsidRDefault="00E43BF2" w:rsidP="00E43BF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14:paraId="666B7298" w14:textId="77777777" w:rsidR="00E43BF2" w:rsidRDefault="00E43BF2" w:rsidP="00E43BF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14:paraId="43181F83" w14:textId="77777777" w:rsidR="00E43BF2" w:rsidRDefault="00E43BF2" w:rsidP="00E43BF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14:paraId="68273ACD" w14:textId="1EA95B39"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14:paraId="4407B240"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64E0AAD"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w:t>
      </w:r>
      <w:r w:rsidR="00BF2DF1">
        <w:t xml:space="preserve">ted by the Prehearing Officer. </w:t>
      </w:r>
      <w:r>
        <w:t>If a party is unable through diligence and good faith efforts to take a position on a matter at issue for that party, it shall explicitly state in its Prehearing Statement</w:t>
      </w:r>
      <w:r w:rsidR="00BF2DF1">
        <w:t xml:space="preserve"> why it cannot take a position.</w:t>
      </w:r>
      <w:r>
        <w:t xml:space="preserve">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w:t>
      </w:r>
      <w:r w:rsidR="00BF2DF1">
        <w:t xml:space="preserve">t-hearing statement of issues. </w:t>
      </w:r>
      <w:r>
        <w:t>In the absence of such a finding by the Prehearing Officer, the party shall have waived the entire issue, and the party’s position shall be shown as “no posi</w:t>
      </w:r>
      <w:r w:rsidR="00BF2DF1">
        <w:t xml:space="preserve">tion” in the Prehearing Order. </w:t>
      </w:r>
      <w:r>
        <w:t>A party who takes no position on an issue by the time of the Prehearing Conference, or by such later time as may be permitted by the Prehearing Officer, waives its opportunity to conduct cross-examination on the issue as well as file a po</w:t>
      </w:r>
      <w:r w:rsidR="00BF2DF1">
        <w:t xml:space="preserve">st-hearing brief on the issue. </w:t>
      </w:r>
      <w:r>
        <w:t>Commission staff may take “no position at this time” or a similar position on any issue without having to make the showing described above and without waiver of cross-examination.</w:t>
      </w:r>
    </w:p>
    <w:p w14:paraId="2AFC8F5A"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61436F4" w14:textId="77777777" w:rsidR="00E43BF2" w:rsidRDefault="00E43BF2" w:rsidP="00E43BF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14:paraId="408CFE84" w14:textId="77777777" w:rsidR="00E43BF2" w:rsidRDefault="00E43BF2" w:rsidP="00E43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0CD98D" w14:textId="3D5BDB29" w:rsidR="00E43BF2" w:rsidRDefault="00E43BF2" w:rsidP="00E43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w:t>
      </w:r>
      <w:r w:rsidR="00310EFB">
        <w:t>han the Prehearing Conference.</w:t>
      </w:r>
      <w:r w:rsidR="00BF2DF1">
        <w:t xml:space="preserve"> </w:t>
      </w:r>
      <w:r>
        <w:t>Motions to strike any portion of prefiled testimony and related portions of exhibits at hearing shall be considered untimely, absent good cause shown.</w:t>
      </w:r>
    </w:p>
    <w:p w14:paraId="140300FE"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49D309" w14:textId="77777777" w:rsidR="00E43BF2" w:rsidRDefault="00E43BF2" w:rsidP="00E43BF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14:paraId="7531D409" w14:textId="77777777" w:rsidR="00E43BF2" w:rsidRDefault="00E43BF2" w:rsidP="00E43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A06052" w14:textId="77777777" w:rsidR="00E43BF2" w:rsidRDefault="00E43BF2" w:rsidP="00E43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14:paraId="0A9BF7CB" w14:textId="77777777" w:rsidR="00E43BF2" w:rsidRDefault="00E43BF2" w:rsidP="00E43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EA895B4" w14:textId="663BC0D0"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14:paraId="54841FD6"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C641E9" w14:textId="00227110" w:rsidR="00E43BF2" w:rsidRDefault="00E43BF2" w:rsidP="00E43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staff in writing no later than </w:t>
      </w:r>
      <w:r w:rsidRPr="00CB4A69">
        <w:t>two business days</w:t>
      </w:r>
      <w:r w:rsidR="00CB4A69">
        <w:t xml:space="preserve"> </w:t>
      </w:r>
      <w:r>
        <w:t>prior to the</w:t>
      </w:r>
      <w:r w:rsidR="00BF2DF1">
        <w:t xml:space="preserve"> first scheduled hearing date. </w:t>
      </w:r>
      <w:r>
        <w:t>Such notification shall identify all materials for which the party seeks official recognition, and such materials shall be provided along with the notification.</w:t>
      </w:r>
    </w:p>
    <w:p w14:paraId="2FDB7A70" w14:textId="77777777" w:rsidR="00E43BF2" w:rsidRDefault="00E43BF2" w:rsidP="00E43BF2"/>
    <w:p w14:paraId="11F4D8A8" w14:textId="0C2CF7AA" w:rsidR="00E43BF2" w:rsidRPr="00205CA9" w:rsidRDefault="00E43BF2" w:rsidP="00E43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14:paraId="792860D2"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17568C" w14:textId="77777777" w:rsidR="00E43BF2" w:rsidRDefault="00E43BF2" w:rsidP="00E43BF2">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BF2DF1">
        <w:t xml:space="preserve">VIII of this Order. </w:t>
      </w:r>
      <w:r>
        <w:t>The Notice shall include the following information for each deposition:</w:t>
      </w:r>
    </w:p>
    <w:p w14:paraId="235FEEE2" w14:textId="77777777" w:rsidR="00E43BF2" w:rsidRDefault="00E43BF2" w:rsidP="003167C5">
      <w:pPr>
        <w:pStyle w:val="ListParagraph"/>
        <w:ind w:left="0"/>
        <w:jc w:val="both"/>
      </w:pPr>
    </w:p>
    <w:p w14:paraId="325C2C85" w14:textId="77777777" w:rsidR="00E43BF2" w:rsidRDefault="00E43BF2" w:rsidP="00E43BF2">
      <w:pPr>
        <w:pStyle w:val="ListParagraph"/>
        <w:numPr>
          <w:ilvl w:val="0"/>
          <w:numId w:val="8"/>
        </w:numPr>
        <w:jc w:val="both"/>
      </w:pPr>
      <w:r>
        <w:t>Name of witness deposed;</w:t>
      </w:r>
    </w:p>
    <w:p w14:paraId="1524AAAF" w14:textId="77777777" w:rsidR="00E43BF2" w:rsidRDefault="00E43BF2" w:rsidP="00E43BF2">
      <w:pPr>
        <w:pStyle w:val="ListParagraph"/>
        <w:numPr>
          <w:ilvl w:val="0"/>
          <w:numId w:val="8"/>
        </w:numPr>
        <w:jc w:val="both"/>
      </w:pPr>
      <w:r>
        <w:t>Date deposition was taken; and</w:t>
      </w:r>
    </w:p>
    <w:p w14:paraId="3AB4B02D" w14:textId="2BCC0AE9" w:rsidR="00E43BF2" w:rsidRDefault="00E43BF2" w:rsidP="00E43BF2">
      <w:pPr>
        <w:pStyle w:val="ListParagraph"/>
        <w:numPr>
          <w:ilvl w:val="0"/>
          <w:numId w:val="8"/>
        </w:numPr>
        <w:jc w:val="both"/>
      </w:pPr>
      <w:r>
        <w:t>Page and line numbers of each deposition the party seeks to introduc</w:t>
      </w:r>
      <w:r w:rsidRPr="00CB4A69">
        <w:t>e.</w:t>
      </w:r>
      <w:r>
        <w:t xml:space="preserve"> </w:t>
      </w:r>
    </w:p>
    <w:p w14:paraId="40D77574" w14:textId="77777777" w:rsidR="00E43BF2" w:rsidRDefault="00E43BF2" w:rsidP="00E43BF2"/>
    <w:p w14:paraId="24C1CB71" w14:textId="77777777" w:rsidR="00E43BF2" w:rsidRDefault="00E43BF2" w:rsidP="00E43BF2">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14:paraId="39A681E5" w14:textId="77777777" w:rsidR="00E43BF2" w:rsidRDefault="00E43BF2" w:rsidP="00E43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D211D9" w14:textId="77777777" w:rsidR="00E43BF2" w:rsidRDefault="009653CB"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E43BF2">
        <w:rPr>
          <w:b/>
          <w:bCs/>
        </w:rPr>
        <w:t>I.</w:t>
      </w:r>
      <w:r w:rsidR="00E43BF2">
        <w:rPr>
          <w:b/>
          <w:bCs/>
        </w:rPr>
        <w:tab/>
      </w:r>
      <w:r w:rsidR="00E43BF2">
        <w:rPr>
          <w:b/>
          <w:bCs/>
          <w:u w:val="single"/>
        </w:rPr>
        <w:t>Hearing Procedures</w:t>
      </w:r>
    </w:p>
    <w:p w14:paraId="6D037BA2"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AAF2D5"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14:paraId="6E32AE51"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9564A92"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excused by the Presiding Officer for good cause shown, each party (or designated representative) shall per</w:t>
      </w:r>
      <w:r w:rsidR="00BF2DF1">
        <w:t xml:space="preserve">sonally appear at the hearing. </w:t>
      </w:r>
      <w:r>
        <w:t xml:space="preserve">Failure of a party, or that party’s representative, to appear shall constitute waiver of that party’s issues, and that party may be dismissed from the proceeding. </w:t>
      </w:r>
    </w:p>
    <w:p w14:paraId="6E77814D"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9A86500"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14:paraId="4C379EEB"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CD88932" w14:textId="77777777" w:rsidR="00E43BF2" w:rsidRDefault="00E43BF2" w:rsidP="00E43BF2">
      <w:pPr>
        <w:spacing w:line="2" w:lineRule="exact"/>
        <w:jc w:val="both"/>
      </w:pPr>
    </w:p>
    <w:p w14:paraId="6A140540" w14:textId="77777777" w:rsidR="00E43BF2" w:rsidRDefault="00E43BF2" w:rsidP="00E43BF2">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14:paraId="1D1A4A09" w14:textId="77777777" w:rsidR="00E43BF2" w:rsidRDefault="00E43BF2" w:rsidP="00E43BF2">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14:paraId="1496F052"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8E4457"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14:paraId="55E0B38B"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854B1BE"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14:paraId="54337C1F"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2D90A5"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parties shall avoid duplicative or </w:t>
      </w:r>
      <w:r w:rsidR="00BF2DF1">
        <w:t xml:space="preserve">repetitious cross-examination. </w:t>
      </w:r>
      <w:r>
        <w:t xml:space="preserve">Further, friendly cross-examination will not be allowed. Cross-examination shall be limited to witnesses whose testimony is adverse to the party desiring </w:t>
      </w:r>
      <w:r w:rsidR="00BF2DF1">
        <w:t xml:space="preserve">to cross-examine. </w:t>
      </w:r>
      <w:r>
        <w:t>Any party conducting what appears to be a friendly cross-examination of a witness should be prepared to indicate why that witness's direct testimony is adverse to its interests.</w:t>
      </w:r>
    </w:p>
    <w:p w14:paraId="2D12EC8C"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A099232"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6C3A721C"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938963C"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14:paraId="2AE82B3A"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7CF2916"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BF2DF1">
        <w:t xml:space="preserve"> 367.156</w:t>
      </w:r>
      <w:r>
        <w:t>, F.S., to protect proprietary confidential business information from disclosure outside the proceeding.  Therefore, any party wishing to use at the hearing any proprietary confidential business information, as that term is defined in Section</w:t>
      </w:r>
      <w:r w:rsidR="00BF2DF1">
        <w:t xml:space="preserve"> 367.156</w:t>
      </w:r>
      <w:r>
        <w:t>, F.S., shall adhere to the following:</w:t>
      </w:r>
    </w:p>
    <w:p w14:paraId="516802BD"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E3DED05" w14:textId="77777777" w:rsidR="00E43BF2" w:rsidRDefault="00E43BF2" w:rsidP="00E43BF2">
      <w:pPr>
        <w:spacing w:line="2" w:lineRule="exact"/>
        <w:jc w:val="both"/>
      </w:pPr>
    </w:p>
    <w:p w14:paraId="48BAA2EC" w14:textId="77777777" w:rsidR="00E43BF2" w:rsidRDefault="00E43BF2" w:rsidP="00E43BF2">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w:t>
      </w:r>
      <w:r w:rsidR="00BF2DF1">
        <w:t xml:space="preserve">th the nature of the contents.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3B0903DD"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3E5FDBD" w14:textId="77777777" w:rsidR="00E43BF2" w:rsidRDefault="00E43BF2" w:rsidP="00E43BF2">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w:t>
      </w:r>
      <w:r w:rsidR="00DD20BA">
        <w:t xml:space="preserve">ld compromise confidentiality. </w:t>
      </w:r>
      <w:r>
        <w:t>Therefore, confidential information should be presented by written exhibit when reasonably possible.</w:t>
      </w:r>
    </w:p>
    <w:p w14:paraId="09442E4E" w14:textId="3EAD1A6B"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B1165E"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w:t>
      </w:r>
      <w:r w:rsidR="001E6B52">
        <w:t xml:space="preserve">urned to the proffering party. </w:t>
      </w:r>
      <w:r>
        <w:t>If a confidential exhibit has been admitted into evidence, the copy provided to the court reporter shall be retained in the Office of Commissi</w:t>
      </w:r>
      <w:r w:rsidR="001E6B52">
        <w:t xml:space="preserve">on Clerk’s confidential files. </w:t>
      </w:r>
      <w:r>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7FB3D82E" w14:textId="77777777" w:rsidR="00E43BF2" w:rsidRPr="003167C5"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14:paraId="31795A38" w14:textId="55A4AEC9" w:rsidR="00E43BF2" w:rsidRDefault="009653CB"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E43BF2">
        <w:rPr>
          <w:b/>
          <w:bCs/>
        </w:rPr>
        <w:t>I.</w:t>
      </w:r>
      <w:r w:rsidR="00E43BF2">
        <w:rPr>
          <w:b/>
          <w:bCs/>
        </w:rPr>
        <w:tab/>
      </w:r>
      <w:r w:rsidR="00E43BF2">
        <w:rPr>
          <w:b/>
          <w:bCs/>
          <w:u w:val="single"/>
        </w:rPr>
        <w:t>Post-Hearing Procedures</w:t>
      </w:r>
    </w:p>
    <w:p w14:paraId="1786D36A"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A693E69" w14:textId="6DDAEB15"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w:t>
      </w:r>
      <w:r w:rsidR="00DE0AA4">
        <w:t xml:space="preserve">assigned panel </w:t>
      </w:r>
      <w:r>
        <w:t xml:space="preserve">does not render a bench decision at the hearing, it may allow each party to file a post-hearing statement of issues and positions pursuant to the schedule set forth in Section </w:t>
      </w:r>
      <w:r w:rsidR="001E6B52">
        <w:t xml:space="preserve">VIII of this Order. </w:t>
      </w:r>
      <w:r>
        <w:t xml:space="preserve">In such event, a summary of each position of no more than 75 words, set off with asterisks, shall </w:t>
      </w:r>
      <w:r w:rsidR="001E6B52">
        <w:t xml:space="preserve">be included in that statement. </w:t>
      </w:r>
      <w:r>
        <w:t>If a party’s position has not changed since the issuance of the Prehearing Order, the post-hearing statement may simply re</w:t>
      </w:r>
      <w:r w:rsidR="001E6B52">
        <w:t xml:space="preserve">state the prehearing position. </w:t>
      </w:r>
      <w:r>
        <w:t>However, the position must be red</w:t>
      </w:r>
      <w:r w:rsidR="001E6B52">
        <w:t xml:space="preserve">uced to no more than 75 words. </w:t>
      </w:r>
      <w:r>
        <w:t>If a post-hearing statement is required and a party fails to file in conformance with Rule 28-106.215, F.A.C., that party shall have waived all issues and may be dismissed from the proceeding.</w:t>
      </w:r>
    </w:p>
    <w:p w14:paraId="02796CA2" w14:textId="77777777" w:rsidR="00082809" w:rsidRDefault="00082809"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B956A7" w14:textId="099B84CF"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CB4A69">
        <w:t xml:space="preserve">40 </w:t>
      </w:r>
      <w:r>
        <w:t xml:space="preserve">pages and shall be filed at the same time, unless modified by the Presiding Officer. </w:t>
      </w:r>
    </w:p>
    <w:p w14:paraId="343E4060" w14:textId="0568ED35"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3387884" w14:textId="77777777" w:rsidR="00E43BF2" w:rsidRDefault="009653CB"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E43BF2">
        <w:rPr>
          <w:b/>
          <w:bCs/>
        </w:rPr>
        <w:t>.</w:t>
      </w:r>
      <w:r w:rsidR="00E43BF2">
        <w:rPr>
          <w:b/>
          <w:bCs/>
        </w:rPr>
        <w:tab/>
      </w:r>
      <w:r w:rsidR="00E43BF2">
        <w:rPr>
          <w:b/>
          <w:bCs/>
          <w:u w:val="single"/>
        </w:rPr>
        <w:t>Controlling Dates</w:t>
      </w:r>
    </w:p>
    <w:p w14:paraId="38745165"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6369AE"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14:paraId="3DDA17D2"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E43BF2" w14:paraId="5B26CD77" w14:textId="77777777" w:rsidTr="0008263C">
        <w:trPr>
          <w:cantSplit/>
        </w:trPr>
        <w:tc>
          <w:tcPr>
            <w:tcW w:w="630" w:type="dxa"/>
            <w:tcBorders>
              <w:top w:val="nil"/>
              <w:left w:val="nil"/>
              <w:bottom w:val="nil"/>
              <w:right w:val="nil"/>
            </w:tcBorders>
          </w:tcPr>
          <w:p w14:paraId="72D0A46F" w14:textId="77777777" w:rsidR="00E43BF2" w:rsidRDefault="00E43BF2" w:rsidP="0008263C">
            <w:pPr>
              <w:numPr>
                <w:ilvl w:val="12"/>
                <w:numId w:val="0"/>
              </w:numPr>
              <w:tabs>
                <w:tab w:val="left" w:pos="0"/>
              </w:tabs>
              <w:spacing w:before="120" w:after="57"/>
              <w:jc w:val="both"/>
            </w:pPr>
            <w:r>
              <w:t>(1)</w:t>
            </w:r>
          </w:p>
        </w:tc>
        <w:tc>
          <w:tcPr>
            <w:tcW w:w="5310" w:type="dxa"/>
            <w:tcBorders>
              <w:top w:val="nil"/>
              <w:left w:val="nil"/>
              <w:bottom w:val="nil"/>
              <w:right w:val="nil"/>
            </w:tcBorders>
          </w:tcPr>
          <w:p w14:paraId="49412BA9" w14:textId="77777777" w:rsidR="00E43BF2" w:rsidRDefault="00E43BF2" w:rsidP="000826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14:paraId="6434DD9D" w14:textId="7BB35FF0" w:rsidR="00E43BF2" w:rsidRDefault="00CB4A69" w:rsidP="0008263C">
            <w:pPr>
              <w:numPr>
                <w:ilvl w:val="12"/>
                <w:numId w:val="0"/>
              </w:numPr>
              <w:tabs>
                <w:tab w:val="left" w:pos="0"/>
                <w:tab w:val="left" w:pos="720"/>
                <w:tab w:val="left" w:pos="1440"/>
                <w:tab w:val="left" w:pos="2160"/>
                <w:tab w:val="left" w:pos="2880"/>
              </w:tabs>
              <w:spacing w:before="120" w:after="57"/>
              <w:jc w:val="both"/>
            </w:pPr>
            <w:r>
              <w:t>September 13, 2021</w:t>
            </w:r>
          </w:p>
        </w:tc>
      </w:tr>
      <w:tr w:rsidR="00E43BF2" w14:paraId="11ADBAD9" w14:textId="77777777" w:rsidTr="0008263C">
        <w:trPr>
          <w:cantSplit/>
        </w:trPr>
        <w:tc>
          <w:tcPr>
            <w:tcW w:w="630" w:type="dxa"/>
            <w:tcBorders>
              <w:top w:val="nil"/>
              <w:left w:val="nil"/>
              <w:bottom w:val="nil"/>
              <w:right w:val="nil"/>
            </w:tcBorders>
          </w:tcPr>
          <w:p w14:paraId="7AA52A9D" w14:textId="77777777" w:rsidR="00E43BF2" w:rsidRDefault="00E43BF2" w:rsidP="0008263C">
            <w:pPr>
              <w:numPr>
                <w:ilvl w:val="12"/>
                <w:numId w:val="0"/>
              </w:numPr>
              <w:tabs>
                <w:tab w:val="left" w:pos="0"/>
              </w:tabs>
              <w:spacing w:before="120" w:after="57"/>
              <w:jc w:val="both"/>
            </w:pPr>
            <w:r>
              <w:t>(2)</w:t>
            </w:r>
          </w:p>
        </w:tc>
        <w:tc>
          <w:tcPr>
            <w:tcW w:w="5310" w:type="dxa"/>
            <w:tcBorders>
              <w:top w:val="nil"/>
              <w:left w:val="nil"/>
              <w:bottom w:val="nil"/>
              <w:right w:val="nil"/>
            </w:tcBorders>
          </w:tcPr>
          <w:p w14:paraId="2D60C7D1" w14:textId="77777777" w:rsidR="00E43BF2" w:rsidRDefault="00E43BF2" w:rsidP="000826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14:paraId="74DE5D49" w14:textId="40C9A769" w:rsidR="00E43BF2" w:rsidRDefault="00CB4A69" w:rsidP="0008263C">
            <w:pPr>
              <w:numPr>
                <w:ilvl w:val="12"/>
                <w:numId w:val="0"/>
              </w:numPr>
              <w:tabs>
                <w:tab w:val="left" w:pos="0"/>
                <w:tab w:val="left" w:pos="720"/>
                <w:tab w:val="left" w:pos="1440"/>
                <w:tab w:val="left" w:pos="2160"/>
                <w:tab w:val="left" w:pos="2880"/>
              </w:tabs>
              <w:spacing w:before="120" w:after="57"/>
              <w:jc w:val="both"/>
            </w:pPr>
            <w:r>
              <w:t>November 24, 2021</w:t>
            </w:r>
          </w:p>
        </w:tc>
      </w:tr>
      <w:tr w:rsidR="00E43BF2" w14:paraId="4A879CAC" w14:textId="77777777" w:rsidTr="0008263C">
        <w:trPr>
          <w:cantSplit/>
        </w:trPr>
        <w:tc>
          <w:tcPr>
            <w:tcW w:w="630" w:type="dxa"/>
            <w:tcBorders>
              <w:top w:val="nil"/>
              <w:left w:val="nil"/>
              <w:bottom w:val="nil"/>
              <w:right w:val="nil"/>
            </w:tcBorders>
          </w:tcPr>
          <w:p w14:paraId="50E5DE17" w14:textId="77777777" w:rsidR="00E43BF2" w:rsidRDefault="00E43BF2" w:rsidP="0008263C">
            <w:pPr>
              <w:numPr>
                <w:ilvl w:val="12"/>
                <w:numId w:val="0"/>
              </w:numPr>
              <w:tabs>
                <w:tab w:val="left" w:pos="0"/>
              </w:tabs>
              <w:spacing w:before="120" w:after="57"/>
              <w:jc w:val="both"/>
            </w:pPr>
            <w:r>
              <w:t>(3)</w:t>
            </w:r>
          </w:p>
        </w:tc>
        <w:tc>
          <w:tcPr>
            <w:tcW w:w="5310" w:type="dxa"/>
            <w:tcBorders>
              <w:top w:val="nil"/>
              <w:left w:val="nil"/>
              <w:bottom w:val="nil"/>
              <w:right w:val="nil"/>
            </w:tcBorders>
          </w:tcPr>
          <w:p w14:paraId="1D85E83B" w14:textId="77777777" w:rsidR="00E43BF2" w:rsidRDefault="00E43BF2" w:rsidP="000826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14:paraId="352AEB0A" w14:textId="50097979" w:rsidR="00E43BF2" w:rsidRDefault="00CB4A69" w:rsidP="0008263C">
            <w:pPr>
              <w:numPr>
                <w:ilvl w:val="12"/>
                <w:numId w:val="0"/>
              </w:numPr>
              <w:tabs>
                <w:tab w:val="left" w:pos="0"/>
                <w:tab w:val="left" w:pos="720"/>
                <w:tab w:val="left" w:pos="1440"/>
                <w:tab w:val="left" w:pos="2160"/>
                <w:tab w:val="left" w:pos="2880"/>
              </w:tabs>
              <w:spacing w:before="120" w:after="57"/>
              <w:jc w:val="both"/>
            </w:pPr>
            <w:r>
              <w:t>November 30, 2021</w:t>
            </w:r>
          </w:p>
        </w:tc>
      </w:tr>
      <w:tr w:rsidR="00E43BF2" w14:paraId="1CE27A97" w14:textId="77777777" w:rsidTr="0008263C">
        <w:trPr>
          <w:cantSplit/>
        </w:trPr>
        <w:tc>
          <w:tcPr>
            <w:tcW w:w="630" w:type="dxa"/>
            <w:tcBorders>
              <w:top w:val="nil"/>
              <w:left w:val="nil"/>
              <w:bottom w:val="nil"/>
              <w:right w:val="nil"/>
            </w:tcBorders>
          </w:tcPr>
          <w:p w14:paraId="4F925B9C" w14:textId="77777777" w:rsidR="00E43BF2" w:rsidRDefault="00E43BF2" w:rsidP="0008263C">
            <w:pPr>
              <w:numPr>
                <w:ilvl w:val="12"/>
                <w:numId w:val="0"/>
              </w:numPr>
              <w:tabs>
                <w:tab w:val="left" w:pos="0"/>
              </w:tabs>
              <w:spacing w:before="120" w:after="57"/>
              <w:jc w:val="both"/>
            </w:pPr>
            <w:r>
              <w:t>(4)</w:t>
            </w:r>
          </w:p>
        </w:tc>
        <w:tc>
          <w:tcPr>
            <w:tcW w:w="5310" w:type="dxa"/>
            <w:tcBorders>
              <w:top w:val="nil"/>
              <w:left w:val="nil"/>
              <w:bottom w:val="nil"/>
              <w:right w:val="nil"/>
            </w:tcBorders>
          </w:tcPr>
          <w:p w14:paraId="3CD14371" w14:textId="77777777" w:rsidR="00E43BF2" w:rsidRDefault="00E43BF2" w:rsidP="000826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14:paraId="431522BD" w14:textId="7FFA6C24" w:rsidR="00E43BF2" w:rsidRDefault="00CB4A69" w:rsidP="0008263C">
            <w:pPr>
              <w:numPr>
                <w:ilvl w:val="12"/>
                <w:numId w:val="0"/>
              </w:numPr>
              <w:tabs>
                <w:tab w:val="left" w:pos="0"/>
                <w:tab w:val="left" w:pos="720"/>
                <w:tab w:val="left" w:pos="1440"/>
                <w:tab w:val="left" w:pos="2160"/>
                <w:tab w:val="left" w:pos="2880"/>
              </w:tabs>
              <w:spacing w:before="120" w:after="57"/>
              <w:jc w:val="both"/>
            </w:pPr>
            <w:r>
              <w:t>January 3, 2022</w:t>
            </w:r>
          </w:p>
        </w:tc>
      </w:tr>
      <w:tr w:rsidR="00E43BF2" w14:paraId="4B7BD987" w14:textId="77777777" w:rsidTr="0008263C">
        <w:trPr>
          <w:cantSplit/>
        </w:trPr>
        <w:tc>
          <w:tcPr>
            <w:tcW w:w="630" w:type="dxa"/>
            <w:tcBorders>
              <w:top w:val="nil"/>
              <w:left w:val="nil"/>
              <w:bottom w:val="nil"/>
              <w:right w:val="nil"/>
            </w:tcBorders>
          </w:tcPr>
          <w:p w14:paraId="3785A2BC" w14:textId="77777777" w:rsidR="00E43BF2" w:rsidRDefault="00E43BF2" w:rsidP="0008263C">
            <w:pPr>
              <w:numPr>
                <w:ilvl w:val="12"/>
                <w:numId w:val="0"/>
              </w:numPr>
              <w:tabs>
                <w:tab w:val="left" w:pos="0"/>
              </w:tabs>
              <w:spacing w:before="120" w:after="57"/>
              <w:jc w:val="both"/>
            </w:pPr>
            <w:r>
              <w:t>(5)</w:t>
            </w:r>
          </w:p>
        </w:tc>
        <w:tc>
          <w:tcPr>
            <w:tcW w:w="5310" w:type="dxa"/>
            <w:tcBorders>
              <w:top w:val="nil"/>
              <w:left w:val="nil"/>
              <w:bottom w:val="nil"/>
              <w:right w:val="nil"/>
            </w:tcBorders>
          </w:tcPr>
          <w:p w14:paraId="1CC0E2C3" w14:textId="77777777" w:rsidR="00E43BF2" w:rsidRDefault="00E43BF2" w:rsidP="000826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14:paraId="2EC80BDD" w14:textId="77777777" w:rsidR="00E43BF2" w:rsidRDefault="00167996" w:rsidP="0008263C">
            <w:pPr>
              <w:numPr>
                <w:ilvl w:val="12"/>
                <w:numId w:val="0"/>
              </w:numPr>
              <w:tabs>
                <w:tab w:val="left" w:pos="0"/>
                <w:tab w:val="left" w:pos="720"/>
                <w:tab w:val="left" w:pos="1440"/>
                <w:tab w:val="left" w:pos="2160"/>
                <w:tab w:val="left" w:pos="2880"/>
              </w:tabs>
              <w:spacing w:before="120" w:after="57"/>
              <w:jc w:val="both"/>
            </w:pPr>
            <w:r>
              <w:t>January 12, 2022</w:t>
            </w:r>
          </w:p>
        </w:tc>
      </w:tr>
      <w:tr w:rsidR="00E43BF2" w14:paraId="5ACAA125" w14:textId="77777777" w:rsidTr="0008263C">
        <w:trPr>
          <w:cantSplit/>
        </w:trPr>
        <w:tc>
          <w:tcPr>
            <w:tcW w:w="630" w:type="dxa"/>
            <w:tcBorders>
              <w:top w:val="nil"/>
              <w:left w:val="nil"/>
              <w:bottom w:val="nil"/>
              <w:right w:val="nil"/>
            </w:tcBorders>
          </w:tcPr>
          <w:p w14:paraId="6954EB61" w14:textId="77777777" w:rsidR="00E43BF2" w:rsidRDefault="00E43BF2" w:rsidP="0008263C">
            <w:pPr>
              <w:numPr>
                <w:ilvl w:val="12"/>
                <w:numId w:val="0"/>
              </w:numPr>
              <w:tabs>
                <w:tab w:val="left" w:pos="0"/>
              </w:tabs>
              <w:spacing w:before="120" w:after="57"/>
              <w:jc w:val="both"/>
            </w:pPr>
            <w:r>
              <w:t>(6)</w:t>
            </w:r>
          </w:p>
        </w:tc>
        <w:tc>
          <w:tcPr>
            <w:tcW w:w="5310" w:type="dxa"/>
            <w:tcBorders>
              <w:top w:val="nil"/>
              <w:left w:val="nil"/>
              <w:bottom w:val="nil"/>
              <w:right w:val="nil"/>
            </w:tcBorders>
          </w:tcPr>
          <w:p w14:paraId="79D6D22F" w14:textId="1E16D837" w:rsidR="00E43BF2" w:rsidRDefault="00505490" w:rsidP="000826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14:paraId="414A4F22" w14:textId="2FA46151" w:rsidR="00E43BF2" w:rsidRDefault="00505490" w:rsidP="0008263C">
            <w:pPr>
              <w:numPr>
                <w:ilvl w:val="12"/>
                <w:numId w:val="0"/>
              </w:numPr>
              <w:tabs>
                <w:tab w:val="left" w:pos="0"/>
                <w:tab w:val="left" w:pos="720"/>
                <w:tab w:val="left" w:pos="1440"/>
                <w:tab w:val="left" w:pos="2160"/>
                <w:tab w:val="left" w:pos="2880"/>
              </w:tabs>
              <w:spacing w:before="120" w:after="57"/>
              <w:jc w:val="both"/>
            </w:pPr>
            <w:r>
              <w:t>January 21</w:t>
            </w:r>
            <w:r w:rsidR="00CB1A9D">
              <w:t>, 2022</w:t>
            </w:r>
          </w:p>
        </w:tc>
      </w:tr>
      <w:tr w:rsidR="00E43BF2" w14:paraId="38EE74C7" w14:textId="77777777" w:rsidTr="0008263C">
        <w:trPr>
          <w:cantSplit/>
        </w:trPr>
        <w:tc>
          <w:tcPr>
            <w:tcW w:w="630" w:type="dxa"/>
            <w:tcBorders>
              <w:top w:val="nil"/>
              <w:left w:val="nil"/>
              <w:bottom w:val="nil"/>
              <w:right w:val="nil"/>
            </w:tcBorders>
          </w:tcPr>
          <w:p w14:paraId="2A94E175" w14:textId="77777777" w:rsidR="00E43BF2" w:rsidRDefault="00E43BF2" w:rsidP="0008263C">
            <w:pPr>
              <w:numPr>
                <w:ilvl w:val="12"/>
                <w:numId w:val="0"/>
              </w:numPr>
              <w:tabs>
                <w:tab w:val="left" w:pos="0"/>
              </w:tabs>
              <w:spacing w:before="120" w:after="57"/>
              <w:jc w:val="both"/>
            </w:pPr>
            <w:r>
              <w:t>(7)</w:t>
            </w:r>
          </w:p>
        </w:tc>
        <w:tc>
          <w:tcPr>
            <w:tcW w:w="5310" w:type="dxa"/>
            <w:tcBorders>
              <w:top w:val="nil"/>
              <w:left w:val="nil"/>
              <w:bottom w:val="nil"/>
              <w:right w:val="nil"/>
            </w:tcBorders>
          </w:tcPr>
          <w:p w14:paraId="2C9A1741" w14:textId="1D98B039" w:rsidR="00E43BF2" w:rsidRDefault="00505490" w:rsidP="000826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14:paraId="2E7AD29C" w14:textId="3B6EA878" w:rsidR="00E43BF2" w:rsidRDefault="00CB4A69" w:rsidP="0008263C">
            <w:pPr>
              <w:numPr>
                <w:ilvl w:val="12"/>
                <w:numId w:val="0"/>
              </w:numPr>
              <w:tabs>
                <w:tab w:val="left" w:pos="0"/>
                <w:tab w:val="left" w:pos="720"/>
                <w:tab w:val="left" w:pos="1440"/>
                <w:tab w:val="left" w:pos="2160"/>
                <w:tab w:val="left" w:pos="2880"/>
              </w:tabs>
              <w:spacing w:before="120" w:after="57"/>
              <w:jc w:val="both"/>
            </w:pPr>
            <w:r>
              <w:t>January 26, 2022</w:t>
            </w:r>
          </w:p>
        </w:tc>
      </w:tr>
      <w:tr w:rsidR="00E43BF2" w14:paraId="3C4E8729" w14:textId="77777777" w:rsidTr="0008263C">
        <w:trPr>
          <w:cantSplit/>
          <w:trHeight w:val="454"/>
        </w:trPr>
        <w:tc>
          <w:tcPr>
            <w:tcW w:w="630" w:type="dxa"/>
            <w:tcBorders>
              <w:top w:val="nil"/>
              <w:left w:val="nil"/>
              <w:bottom w:val="nil"/>
              <w:right w:val="nil"/>
            </w:tcBorders>
          </w:tcPr>
          <w:p w14:paraId="2F02C26C" w14:textId="77777777" w:rsidR="00E43BF2" w:rsidRDefault="00E43BF2" w:rsidP="0008263C">
            <w:pPr>
              <w:numPr>
                <w:ilvl w:val="12"/>
                <w:numId w:val="0"/>
              </w:numPr>
              <w:tabs>
                <w:tab w:val="left" w:pos="0"/>
              </w:tabs>
              <w:spacing w:before="120" w:after="57"/>
              <w:jc w:val="both"/>
            </w:pPr>
            <w:r>
              <w:t>(8)</w:t>
            </w:r>
          </w:p>
        </w:tc>
        <w:tc>
          <w:tcPr>
            <w:tcW w:w="5310" w:type="dxa"/>
            <w:tcBorders>
              <w:top w:val="nil"/>
              <w:left w:val="nil"/>
              <w:bottom w:val="nil"/>
              <w:right w:val="nil"/>
            </w:tcBorders>
          </w:tcPr>
          <w:p w14:paraId="17E971B1" w14:textId="77777777" w:rsidR="00E43BF2" w:rsidRDefault="00E43BF2" w:rsidP="000826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14:paraId="71BB5F93" w14:textId="77777777" w:rsidR="00E43BF2" w:rsidRDefault="00CB1A9D" w:rsidP="0008263C">
            <w:pPr>
              <w:numPr>
                <w:ilvl w:val="12"/>
                <w:numId w:val="0"/>
              </w:numPr>
              <w:tabs>
                <w:tab w:val="left" w:pos="0"/>
                <w:tab w:val="left" w:pos="720"/>
                <w:tab w:val="left" w:pos="1440"/>
                <w:tab w:val="left" w:pos="2160"/>
                <w:tab w:val="left" w:pos="2880"/>
              </w:tabs>
              <w:spacing w:before="120" w:after="57"/>
              <w:jc w:val="both"/>
            </w:pPr>
            <w:r>
              <w:t>February 8-9, 2022</w:t>
            </w:r>
          </w:p>
        </w:tc>
      </w:tr>
      <w:tr w:rsidR="00E43BF2" w14:paraId="717D7178" w14:textId="77777777" w:rsidTr="0008263C">
        <w:trPr>
          <w:cantSplit/>
        </w:trPr>
        <w:tc>
          <w:tcPr>
            <w:tcW w:w="630" w:type="dxa"/>
            <w:tcBorders>
              <w:top w:val="nil"/>
              <w:left w:val="nil"/>
              <w:bottom w:val="nil"/>
              <w:right w:val="nil"/>
            </w:tcBorders>
          </w:tcPr>
          <w:p w14:paraId="2BA3F402" w14:textId="77777777" w:rsidR="00E43BF2" w:rsidRDefault="00E43BF2" w:rsidP="0008263C">
            <w:pPr>
              <w:numPr>
                <w:ilvl w:val="12"/>
                <w:numId w:val="0"/>
              </w:numPr>
              <w:tabs>
                <w:tab w:val="left" w:pos="0"/>
              </w:tabs>
              <w:spacing w:before="120" w:after="57"/>
              <w:jc w:val="both"/>
            </w:pPr>
            <w:r>
              <w:t>(9)</w:t>
            </w:r>
          </w:p>
        </w:tc>
        <w:tc>
          <w:tcPr>
            <w:tcW w:w="5310" w:type="dxa"/>
            <w:tcBorders>
              <w:top w:val="nil"/>
              <w:left w:val="nil"/>
              <w:bottom w:val="nil"/>
              <w:right w:val="nil"/>
            </w:tcBorders>
          </w:tcPr>
          <w:p w14:paraId="4BD4A879" w14:textId="77777777" w:rsidR="00E43BF2" w:rsidRDefault="00E43BF2" w:rsidP="000826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14:paraId="38500931" w14:textId="3BFD5C00" w:rsidR="00E43BF2" w:rsidRDefault="00BA14AC" w:rsidP="0008263C">
            <w:pPr>
              <w:numPr>
                <w:ilvl w:val="12"/>
                <w:numId w:val="0"/>
              </w:numPr>
              <w:tabs>
                <w:tab w:val="left" w:pos="0"/>
                <w:tab w:val="left" w:pos="720"/>
                <w:tab w:val="left" w:pos="1440"/>
                <w:tab w:val="left" w:pos="2160"/>
                <w:tab w:val="left" w:pos="2880"/>
              </w:tabs>
              <w:spacing w:before="120" w:after="57"/>
              <w:jc w:val="both"/>
            </w:pPr>
            <w:r>
              <w:t>March 16</w:t>
            </w:r>
            <w:r w:rsidR="00167996">
              <w:t>, 2022</w:t>
            </w:r>
          </w:p>
        </w:tc>
      </w:tr>
    </w:tbl>
    <w:p w14:paraId="7476EC2C"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7EDEEC3" w14:textId="1DE8EDD2"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w:t>
      </w:r>
      <w:r w:rsidR="001E6B52">
        <w:t xml:space="preserve">parties as deemed appropriate. </w:t>
      </w:r>
      <w:r>
        <w:t xml:space="preserve">Such meetings will be properly noticed to afford the parties an opportunity to attend. </w:t>
      </w:r>
    </w:p>
    <w:p w14:paraId="0BF86284" w14:textId="77777777" w:rsidR="003167C5" w:rsidRDefault="003167C5"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ED63E3"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14:paraId="471DEC62"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2023B40" w14:textId="77777777"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ORDERED by Commissioner </w:t>
      </w:r>
      <w:r w:rsidR="00D94DDC">
        <w:t>Mike La Rosa</w:t>
      </w:r>
      <w:r>
        <w:t>, as Prehearing Officer, that the provisions of this Order shall govern this proceeding unless modified by the Commission.</w:t>
      </w:r>
    </w:p>
    <w:p w14:paraId="0AA7E351" w14:textId="754F5504" w:rsidR="00E43BF2" w:rsidRDefault="00E43BF2" w:rsidP="00E43B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59D329" w14:textId="2D4B53F1" w:rsidR="00822BEA" w:rsidRDefault="00E43BF2" w:rsidP="00E43BF2">
      <w:pPr>
        <w:keepNext/>
        <w:keepLines/>
        <w:jc w:val="both"/>
      </w:pPr>
      <w:r w:rsidRPr="00E43BF2">
        <w:tab/>
        <w:t xml:space="preserve">By ORDER of Commissioner </w:t>
      </w:r>
      <w:r w:rsidR="00D94DDC">
        <w:t>Mike La Rosa</w:t>
      </w:r>
      <w:r w:rsidRPr="00E43BF2">
        <w:t xml:space="preserve">, as Prehearing Officer, this </w:t>
      </w:r>
      <w:bookmarkStart w:id="6" w:name="replaceDate"/>
      <w:bookmarkEnd w:id="6"/>
      <w:r w:rsidR="00822BEA">
        <w:rPr>
          <w:u w:val="single"/>
        </w:rPr>
        <w:t>25th</w:t>
      </w:r>
      <w:r w:rsidR="00822BEA">
        <w:t xml:space="preserve"> day of </w:t>
      </w:r>
      <w:r w:rsidR="00822BEA">
        <w:rPr>
          <w:u w:val="single"/>
        </w:rPr>
        <w:t>August</w:t>
      </w:r>
      <w:r w:rsidR="00822BEA">
        <w:t xml:space="preserve">, </w:t>
      </w:r>
      <w:r w:rsidR="00822BEA">
        <w:rPr>
          <w:u w:val="single"/>
        </w:rPr>
        <w:t>2021</w:t>
      </w:r>
      <w:r w:rsidR="00822BEA">
        <w:t>.</w:t>
      </w:r>
    </w:p>
    <w:p w14:paraId="3DE01CE4" w14:textId="77777777" w:rsidR="00822BEA" w:rsidRPr="00822BEA" w:rsidRDefault="00822BEA" w:rsidP="00E43BF2">
      <w:pPr>
        <w:keepNext/>
        <w:keepLines/>
        <w:jc w:val="both"/>
      </w:pPr>
    </w:p>
    <w:p w14:paraId="31EFAF58" w14:textId="77777777" w:rsidR="00E43BF2" w:rsidRPr="00E43BF2" w:rsidRDefault="00E43BF2" w:rsidP="00E43BF2">
      <w:pPr>
        <w:keepNext/>
        <w:keepLines/>
        <w:jc w:val="both"/>
      </w:pPr>
    </w:p>
    <w:p w14:paraId="53268B46" w14:textId="77777777" w:rsidR="00E43BF2" w:rsidRPr="00E43BF2" w:rsidRDefault="00E43BF2" w:rsidP="00E43BF2">
      <w:pPr>
        <w:keepNext/>
        <w:keepLines/>
        <w:jc w:val="both"/>
      </w:pPr>
    </w:p>
    <w:p w14:paraId="08B9E123" w14:textId="77777777" w:rsidR="00E43BF2" w:rsidRPr="00E43BF2" w:rsidRDefault="00E43BF2" w:rsidP="00E43BF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43BF2" w:rsidRPr="00E43BF2" w14:paraId="664CC059" w14:textId="77777777" w:rsidTr="00E43BF2">
        <w:tc>
          <w:tcPr>
            <w:tcW w:w="720" w:type="dxa"/>
            <w:shd w:val="clear" w:color="auto" w:fill="auto"/>
          </w:tcPr>
          <w:p w14:paraId="5DFEB3FC" w14:textId="77777777" w:rsidR="00E43BF2" w:rsidRPr="00E43BF2" w:rsidRDefault="00E43BF2" w:rsidP="00E43BF2">
            <w:pPr>
              <w:keepNext/>
              <w:keepLines/>
              <w:jc w:val="both"/>
            </w:pPr>
            <w:bookmarkStart w:id="7" w:name="bkmrkSignature" w:colFirst="0" w:colLast="0"/>
          </w:p>
        </w:tc>
        <w:tc>
          <w:tcPr>
            <w:tcW w:w="4320" w:type="dxa"/>
            <w:tcBorders>
              <w:bottom w:val="single" w:sz="4" w:space="0" w:color="auto"/>
            </w:tcBorders>
            <w:shd w:val="clear" w:color="auto" w:fill="auto"/>
          </w:tcPr>
          <w:p w14:paraId="0F4BB433" w14:textId="51C7EF71" w:rsidR="00E43BF2" w:rsidRPr="00E43BF2" w:rsidRDefault="00166685" w:rsidP="00E43BF2">
            <w:pPr>
              <w:keepNext/>
              <w:keepLines/>
              <w:jc w:val="both"/>
            </w:pPr>
            <w:r>
              <w:t>/s/ Mike La Rosa</w:t>
            </w:r>
            <w:bookmarkStart w:id="8" w:name="_GoBack"/>
            <w:bookmarkEnd w:id="8"/>
          </w:p>
        </w:tc>
      </w:tr>
      <w:bookmarkEnd w:id="7"/>
      <w:tr w:rsidR="00E43BF2" w:rsidRPr="00E43BF2" w14:paraId="1DAEFDEB" w14:textId="77777777" w:rsidTr="00E43BF2">
        <w:tc>
          <w:tcPr>
            <w:tcW w:w="720" w:type="dxa"/>
            <w:shd w:val="clear" w:color="auto" w:fill="auto"/>
          </w:tcPr>
          <w:p w14:paraId="297BFC89" w14:textId="77777777" w:rsidR="00E43BF2" w:rsidRPr="00E43BF2" w:rsidRDefault="00E43BF2" w:rsidP="00E43BF2">
            <w:pPr>
              <w:keepNext/>
              <w:keepLines/>
              <w:jc w:val="both"/>
            </w:pPr>
          </w:p>
        </w:tc>
        <w:tc>
          <w:tcPr>
            <w:tcW w:w="4320" w:type="dxa"/>
            <w:tcBorders>
              <w:top w:val="single" w:sz="4" w:space="0" w:color="auto"/>
            </w:tcBorders>
            <w:shd w:val="clear" w:color="auto" w:fill="auto"/>
          </w:tcPr>
          <w:p w14:paraId="1493E452" w14:textId="77777777" w:rsidR="00E43BF2" w:rsidRPr="00E43BF2" w:rsidRDefault="00D94DDC" w:rsidP="00E43BF2">
            <w:pPr>
              <w:keepNext/>
              <w:keepLines/>
              <w:jc w:val="both"/>
            </w:pPr>
            <w:r>
              <w:t>MIKE LA ROSA</w:t>
            </w:r>
          </w:p>
          <w:p w14:paraId="08AADB62" w14:textId="77777777" w:rsidR="00E43BF2" w:rsidRPr="00E43BF2" w:rsidRDefault="00E43BF2" w:rsidP="00E43BF2">
            <w:pPr>
              <w:keepNext/>
              <w:keepLines/>
              <w:jc w:val="both"/>
            </w:pPr>
            <w:r w:rsidRPr="00E43BF2">
              <w:t>Commissioner and Prehearing Officer</w:t>
            </w:r>
          </w:p>
        </w:tc>
      </w:tr>
    </w:tbl>
    <w:p w14:paraId="5D4FE681" w14:textId="77777777" w:rsidR="00E43BF2" w:rsidRDefault="00E43BF2" w:rsidP="00E43BF2">
      <w:pPr>
        <w:pStyle w:val="OrderSigInfo"/>
        <w:keepNext/>
        <w:keepLines/>
      </w:pPr>
      <w:r>
        <w:t>Florida Public Service Commission</w:t>
      </w:r>
    </w:p>
    <w:p w14:paraId="5D4ABD4D" w14:textId="77777777" w:rsidR="00E43BF2" w:rsidRDefault="00E43BF2" w:rsidP="00E43BF2">
      <w:pPr>
        <w:pStyle w:val="OrderSigInfo"/>
        <w:keepNext/>
        <w:keepLines/>
      </w:pPr>
      <w:r>
        <w:t>2540 Shumard Oak Boulevard</w:t>
      </w:r>
    </w:p>
    <w:p w14:paraId="174D1608" w14:textId="77777777" w:rsidR="00E43BF2" w:rsidRDefault="00E43BF2" w:rsidP="00E43BF2">
      <w:pPr>
        <w:pStyle w:val="OrderSigInfo"/>
        <w:keepNext/>
        <w:keepLines/>
      </w:pPr>
      <w:r>
        <w:t>Tallahassee, Florida 32399</w:t>
      </w:r>
    </w:p>
    <w:p w14:paraId="0352E955" w14:textId="77777777" w:rsidR="00E43BF2" w:rsidRDefault="00E43BF2" w:rsidP="00E43BF2">
      <w:pPr>
        <w:pStyle w:val="OrderSigInfo"/>
        <w:keepNext/>
        <w:keepLines/>
      </w:pPr>
      <w:r>
        <w:t>(850) 413</w:t>
      </w:r>
      <w:r>
        <w:noBreakHyphen/>
        <w:t>6770</w:t>
      </w:r>
    </w:p>
    <w:p w14:paraId="1ECE0CBE" w14:textId="77777777" w:rsidR="00E43BF2" w:rsidRDefault="00E43BF2" w:rsidP="00E43BF2">
      <w:pPr>
        <w:pStyle w:val="OrderSigInfo"/>
        <w:keepNext/>
        <w:keepLines/>
      </w:pPr>
      <w:r>
        <w:t>www.floridapsc.com</w:t>
      </w:r>
    </w:p>
    <w:p w14:paraId="61CB849A" w14:textId="77777777" w:rsidR="00E43BF2" w:rsidRDefault="00E43BF2" w:rsidP="00E43BF2">
      <w:pPr>
        <w:pStyle w:val="OrderSigInfo"/>
        <w:keepNext/>
        <w:keepLines/>
      </w:pPr>
    </w:p>
    <w:p w14:paraId="57AB05E6" w14:textId="77777777" w:rsidR="00E43BF2" w:rsidRDefault="00E43BF2" w:rsidP="00E43BF2">
      <w:pPr>
        <w:pStyle w:val="OrderSigInfo"/>
        <w:keepNext/>
        <w:keepLines/>
      </w:pPr>
      <w:r>
        <w:t>Copies furnished:  A copy of this document is provided to the parties of record at the time of issuance and, if applicable, interested persons.</w:t>
      </w:r>
    </w:p>
    <w:p w14:paraId="570E2F5B" w14:textId="77777777" w:rsidR="00E43BF2" w:rsidRDefault="00E43BF2" w:rsidP="00E43BF2">
      <w:pPr>
        <w:pStyle w:val="OrderBody"/>
        <w:keepNext/>
        <w:keepLines/>
      </w:pPr>
    </w:p>
    <w:p w14:paraId="563B97FD" w14:textId="77777777" w:rsidR="00E43BF2" w:rsidRPr="00E43BF2" w:rsidRDefault="009653CB" w:rsidP="00E43BF2">
      <w:pPr>
        <w:keepNext/>
        <w:keepLines/>
        <w:jc w:val="both"/>
      </w:pPr>
      <w:r>
        <w:t>SF</w:t>
      </w:r>
      <w:r w:rsidR="00E43BF2" w:rsidRPr="00E43BF2">
        <w:t>O</w:t>
      </w:r>
    </w:p>
    <w:p w14:paraId="4742AE42" w14:textId="77777777" w:rsidR="00E43BF2" w:rsidRPr="00E43BF2" w:rsidRDefault="00E43BF2" w:rsidP="00E43BF2">
      <w:pPr>
        <w:jc w:val="both"/>
      </w:pPr>
    </w:p>
    <w:p w14:paraId="642402A6" w14:textId="77777777" w:rsidR="00E43BF2" w:rsidRDefault="00E43BF2" w:rsidP="00E43BF2">
      <w:pPr>
        <w:pStyle w:val="CenterUnderline"/>
      </w:pPr>
      <w:r>
        <w:t>NOTICE OF FURTHER PROCEEDINGS OR JUDICIAL REVIEW</w:t>
      </w:r>
    </w:p>
    <w:p w14:paraId="548690FD" w14:textId="77777777" w:rsidR="00E43BF2" w:rsidRDefault="00E43BF2" w:rsidP="00E43BF2">
      <w:pPr>
        <w:pStyle w:val="CenterUnderline"/>
      </w:pPr>
    </w:p>
    <w:p w14:paraId="49752F53" w14:textId="77777777" w:rsidR="00E43BF2" w:rsidRDefault="00E43BF2" w:rsidP="00E43BF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FA54ED5" w14:textId="77777777" w:rsidR="00E43BF2" w:rsidRDefault="00E43BF2" w:rsidP="00E43BF2">
      <w:pPr>
        <w:pStyle w:val="OrderBody"/>
      </w:pPr>
    </w:p>
    <w:p w14:paraId="73CE0663" w14:textId="77777777" w:rsidR="00E43BF2" w:rsidRDefault="00E43BF2" w:rsidP="00E43BF2">
      <w:pPr>
        <w:pStyle w:val="OrderBody"/>
      </w:pPr>
      <w:r>
        <w:tab/>
        <w:t>Mediation may be available on a case-by-case basis.  If mediation is conducted, it does not affect a substantially interested person's right to a hearing.</w:t>
      </w:r>
    </w:p>
    <w:p w14:paraId="41D7E8F8" w14:textId="77777777" w:rsidR="00E43BF2" w:rsidRDefault="00E43BF2" w:rsidP="00E43BF2">
      <w:pPr>
        <w:pStyle w:val="OrderBody"/>
      </w:pPr>
    </w:p>
    <w:p w14:paraId="1311463E" w14:textId="77777777" w:rsidR="00E43BF2" w:rsidRDefault="00E43BF2" w:rsidP="00E43BF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82B9FDD" w14:textId="77777777" w:rsidR="00E43BF2" w:rsidRDefault="00E43BF2" w:rsidP="00E43BF2">
      <w:pPr>
        <w:pStyle w:val="OrderBody"/>
      </w:pPr>
    </w:p>
    <w:sectPr w:rsidR="00E43BF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4537F" w14:textId="77777777" w:rsidR="00E43BF2" w:rsidRDefault="00E43BF2">
      <w:r>
        <w:separator/>
      </w:r>
    </w:p>
  </w:endnote>
  <w:endnote w:type="continuationSeparator" w:id="0">
    <w:p w14:paraId="105FDE98" w14:textId="77777777" w:rsidR="00E43BF2" w:rsidRDefault="00E4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2218" w14:textId="77777777" w:rsidR="00FA6EFD" w:rsidRDefault="00FA6EFD">
    <w:pPr>
      <w:pStyle w:val="Footer"/>
    </w:pPr>
  </w:p>
  <w:p w14:paraId="5A14C5A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FF51A" w14:textId="77777777" w:rsidR="00E43BF2" w:rsidRDefault="00E43BF2">
      <w:r>
        <w:separator/>
      </w:r>
    </w:p>
  </w:footnote>
  <w:footnote w:type="continuationSeparator" w:id="0">
    <w:p w14:paraId="6578E065" w14:textId="77777777" w:rsidR="00E43BF2" w:rsidRDefault="00E43BF2">
      <w:r>
        <w:continuationSeparator/>
      </w:r>
    </w:p>
  </w:footnote>
  <w:footnote w:id="1">
    <w:p w14:paraId="76D51FBC" w14:textId="32DC35D0" w:rsidR="009F5216" w:rsidRPr="009F5216" w:rsidRDefault="009F5216" w:rsidP="00EB7772">
      <w:pPr>
        <w:pStyle w:val="FootnoteText"/>
      </w:pPr>
      <w:r>
        <w:rPr>
          <w:rStyle w:val="FootnoteReference"/>
        </w:rPr>
        <w:footnoteRef/>
      </w:r>
      <w:r>
        <w:t xml:space="preserve"> </w:t>
      </w:r>
      <w:r w:rsidRPr="009F5216">
        <w:t>Order No. PSC-2021-0066-P</w:t>
      </w:r>
      <w:r w:rsidR="00EB7772">
        <w:t xml:space="preserve">AA-SU, issued February 2, 2021, </w:t>
      </w:r>
      <w:r w:rsidR="00EB7772" w:rsidRPr="00EB7772">
        <w:t xml:space="preserve">in Docket No. 20200226-SU, </w:t>
      </w:r>
      <w:r w:rsidR="00EB7772" w:rsidRPr="00EB7772">
        <w:rPr>
          <w:i/>
          <w:iCs/>
        </w:rPr>
        <w:t>In re: Application for certificate to provide</w:t>
      </w:r>
      <w:r w:rsidR="00EB7772">
        <w:rPr>
          <w:i/>
          <w:iCs/>
        </w:rPr>
        <w:t xml:space="preserve"> </w:t>
      </w:r>
      <w:r w:rsidR="00EB7772" w:rsidRPr="00EB7772">
        <w:rPr>
          <w:i/>
          <w:iCs/>
        </w:rPr>
        <w:t>wastewater service in Charlotte County, by</w:t>
      </w:r>
      <w:r w:rsidR="00EB7772">
        <w:rPr>
          <w:i/>
          <w:iCs/>
        </w:rPr>
        <w:t xml:space="preserve"> </w:t>
      </w:r>
      <w:r w:rsidR="00EB7772" w:rsidRPr="00EB7772">
        <w:rPr>
          <w:i/>
          <w:iCs/>
        </w:rPr>
        <w:t>Environmental Utilities, LLC.</w:t>
      </w:r>
    </w:p>
    <w:p w14:paraId="692F727E" w14:textId="77777777" w:rsidR="009F5216" w:rsidRDefault="009F52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9261" w14:textId="6E0A5F75" w:rsidR="00FA6EFD" w:rsidRDefault="00FA6EFD">
    <w:pPr>
      <w:pStyle w:val="OrderHeader"/>
    </w:pPr>
    <w:r>
      <w:t xml:space="preserve">ORDER NO. </w:t>
    </w:r>
    <w:r w:rsidR="00166685">
      <w:fldChar w:fldCharType="begin"/>
    </w:r>
    <w:r w:rsidR="00166685">
      <w:instrText xml:space="preserve"> REF OrderNo0323 </w:instrText>
    </w:r>
    <w:r w:rsidR="00166685">
      <w:fldChar w:fldCharType="separate"/>
    </w:r>
    <w:r w:rsidR="00822BEA">
      <w:t>PSC-2021-0323-PCO-SU</w:t>
    </w:r>
    <w:r w:rsidR="00166685">
      <w:fldChar w:fldCharType="end"/>
    </w:r>
  </w:p>
  <w:p w14:paraId="47C08594" w14:textId="77777777" w:rsidR="00FA6EFD" w:rsidRDefault="00E43BF2">
    <w:pPr>
      <w:pStyle w:val="OrderHeader"/>
    </w:pPr>
    <w:bookmarkStart w:id="9" w:name="HeaderDocketNo"/>
    <w:bookmarkEnd w:id="9"/>
    <w:r>
      <w:t>DOCKET NO. 20200226-SU</w:t>
    </w:r>
  </w:p>
  <w:p w14:paraId="3FD15FCC" w14:textId="3AEB066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6685">
      <w:rPr>
        <w:rStyle w:val="PageNumber"/>
        <w:noProof/>
      </w:rPr>
      <w:t>11</w:t>
    </w:r>
    <w:r>
      <w:rPr>
        <w:rStyle w:val="PageNumber"/>
      </w:rPr>
      <w:fldChar w:fldCharType="end"/>
    </w:r>
  </w:p>
  <w:p w14:paraId="5E54F790"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6-SU"/>
  </w:docVars>
  <w:rsids>
    <w:rsidRoot w:val="00E43BF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82809"/>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685"/>
    <w:rsid w:val="00167996"/>
    <w:rsid w:val="00187E32"/>
    <w:rsid w:val="00194A97"/>
    <w:rsid w:val="00194E81"/>
    <w:rsid w:val="0019562E"/>
    <w:rsid w:val="0019719D"/>
    <w:rsid w:val="001A15E7"/>
    <w:rsid w:val="001A33C9"/>
    <w:rsid w:val="001A58F3"/>
    <w:rsid w:val="001B034E"/>
    <w:rsid w:val="001C2847"/>
    <w:rsid w:val="001C3BB5"/>
    <w:rsid w:val="001C3F8C"/>
    <w:rsid w:val="001C6097"/>
    <w:rsid w:val="001C7126"/>
    <w:rsid w:val="001D008A"/>
    <w:rsid w:val="001E0152"/>
    <w:rsid w:val="001E0FF5"/>
    <w:rsid w:val="001E6B52"/>
    <w:rsid w:val="001F36B0"/>
    <w:rsid w:val="001F4CA3"/>
    <w:rsid w:val="001F59E0"/>
    <w:rsid w:val="001F6A25"/>
    <w:rsid w:val="002002ED"/>
    <w:rsid w:val="002044DD"/>
    <w:rsid w:val="002170E5"/>
    <w:rsid w:val="00220D57"/>
    <w:rsid w:val="0022721A"/>
    <w:rsid w:val="00230BB9"/>
    <w:rsid w:val="002403A5"/>
    <w:rsid w:val="00241CEF"/>
    <w:rsid w:val="0025124E"/>
    <w:rsid w:val="00252B30"/>
    <w:rsid w:val="002613E4"/>
    <w:rsid w:val="00262B48"/>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4E39"/>
    <w:rsid w:val="002D7D15"/>
    <w:rsid w:val="002E1B2E"/>
    <w:rsid w:val="002E27EB"/>
    <w:rsid w:val="002E4EF4"/>
    <w:rsid w:val="002F2A9D"/>
    <w:rsid w:val="002F2E1A"/>
    <w:rsid w:val="002F31C2"/>
    <w:rsid w:val="002F7BF6"/>
    <w:rsid w:val="00303FDE"/>
    <w:rsid w:val="00310EFB"/>
    <w:rsid w:val="00313C5B"/>
    <w:rsid w:val="003140E8"/>
    <w:rsid w:val="003167C5"/>
    <w:rsid w:val="00320C4F"/>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6CDE"/>
    <w:rsid w:val="00457DC7"/>
    <w:rsid w:val="004640B3"/>
    <w:rsid w:val="00472BCC"/>
    <w:rsid w:val="004A25CD"/>
    <w:rsid w:val="004A26CC"/>
    <w:rsid w:val="004A55DE"/>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5490"/>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5F73"/>
    <w:rsid w:val="005E751B"/>
    <w:rsid w:val="005F1247"/>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43F4"/>
    <w:rsid w:val="006A0BF3"/>
    <w:rsid w:val="006B0036"/>
    <w:rsid w:val="006B0DA6"/>
    <w:rsid w:val="006C547E"/>
    <w:rsid w:val="006D2B51"/>
    <w:rsid w:val="006D5575"/>
    <w:rsid w:val="006D7191"/>
    <w:rsid w:val="006E21C4"/>
    <w:rsid w:val="006E42BE"/>
    <w:rsid w:val="006E5D4D"/>
    <w:rsid w:val="006E6D16"/>
    <w:rsid w:val="00701073"/>
    <w:rsid w:val="00703F2A"/>
    <w:rsid w:val="00704C5D"/>
    <w:rsid w:val="007072BC"/>
    <w:rsid w:val="00715275"/>
    <w:rsid w:val="00721B44"/>
    <w:rsid w:val="007232A2"/>
    <w:rsid w:val="00726366"/>
    <w:rsid w:val="00733B6B"/>
    <w:rsid w:val="0073704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2BEA"/>
    <w:rsid w:val="008278FE"/>
    <w:rsid w:val="00832598"/>
    <w:rsid w:val="0083397E"/>
    <w:rsid w:val="0083534B"/>
    <w:rsid w:val="00842035"/>
    <w:rsid w:val="00842602"/>
    <w:rsid w:val="008449F0"/>
    <w:rsid w:val="00847B45"/>
    <w:rsid w:val="0085223D"/>
    <w:rsid w:val="00863A66"/>
    <w:rsid w:val="008703D7"/>
    <w:rsid w:val="00874429"/>
    <w:rsid w:val="00875D22"/>
    <w:rsid w:val="00883D9A"/>
    <w:rsid w:val="008919EF"/>
    <w:rsid w:val="00892B20"/>
    <w:rsid w:val="008931BC"/>
    <w:rsid w:val="0089586E"/>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088"/>
    <w:rsid w:val="00921BD3"/>
    <w:rsid w:val="009228C7"/>
    <w:rsid w:val="00922A7F"/>
    <w:rsid w:val="00923A5E"/>
    <w:rsid w:val="00924FE7"/>
    <w:rsid w:val="00926E27"/>
    <w:rsid w:val="00931C8C"/>
    <w:rsid w:val="00943D21"/>
    <w:rsid w:val="0094504B"/>
    <w:rsid w:val="0094751F"/>
    <w:rsid w:val="00964A38"/>
    <w:rsid w:val="009653CB"/>
    <w:rsid w:val="0096661E"/>
    <w:rsid w:val="00966A9D"/>
    <w:rsid w:val="0096742B"/>
    <w:rsid w:val="009718C5"/>
    <w:rsid w:val="00971989"/>
    <w:rsid w:val="00976AFF"/>
    <w:rsid w:val="009924CF"/>
    <w:rsid w:val="00994100"/>
    <w:rsid w:val="009A6B17"/>
    <w:rsid w:val="009B052E"/>
    <w:rsid w:val="009D4C29"/>
    <w:rsid w:val="009E52D0"/>
    <w:rsid w:val="009E58E9"/>
    <w:rsid w:val="009F5216"/>
    <w:rsid w:val="009F6AD2"/>
    <w:rsid w:val="009F7C1B"/>
    <w:rsid w:val="00A00D8D"/>
    <w:rsid w:val="00A01BB6"/>
    <w:rsid w:val="00A07DD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B6DFD"/>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75C7"/>
    <w:rsid w:val="00B67A43"/>
    <w:rsid w:val="00B71D1F"/>
    <w:rsid w:val="00B72CFF"/>
    <w:rsid w:val="00B73DE6"/>
    <w:rsid w:val="00B761CD"/>
    <w:rsid w:val="00B76B66"/>
    <w:rsid w:val="00B86EF0"/>
    <w:rsid w:val="00B96969"/>
    <w:rsid w:val="00B97900"/>
    <w:rsid w:val="00BA1229"/>
    <w:rsid w:val="00BA14AC"/>
    <w:rsid w:val="00BA44A8"/>
    <w:rsid w:val="00BA49C5"/>
    <w:rsid w:val="00BB0182"/>
    <w:rsid w:val="00BC786E"/>
    <w:rsid w:val="00BD5C92"/>
    <w:rsid w:val="00BE50E6"/>
    <w:rsid w:val="00BE744A"/>
    <w:rsid w:val="00BE7A0C"/>
    <w:rsid w:val="00BF2928"/>
    <w:rsid w:val="00BF2DF1"/>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1A9D"/>
    <w:rsid w:val="00CB4A69"/>
    <w:rsid w:val="00CB5276"/>
    <w:rsid w:val="00CB5BFC"/>
    <w:rsid w:val="00CB68D7"/>
    <w:rsid w:val="00CB785B"/>
    <w:rsid w:val="00CC0798"/>
    <w:rsid w:val="00CC7E68"/>
    <w:rsid w:val="00CD3D74"/>
    <w:rsid w:val="00CD5EB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4DDC"/>
    <w:rsid w:val="00DA4EDD"/>
    <w:rsid w:val="00DA6B78"/>
    <w:rsid w:val="00DB122B"/>
    <w:rsid w:val="00DC1D94"/>
    <w:rsid w:val="00DC42CF"/>
    <w:rsid w:val="00DD20BA"/>
    <w:rsid w:val="00DD382A"/>
    <w:rsid w:val="00DE057F"/>
    <w:rsid w:val="00DE0AA4"/>
    <w:rsid w:val="00DE2082"/>
    <w:rsid w:val="00DE2289"/>
    <w:rsid w:val="00DF09A7"/>
    <w:rsid w:val="00DF2B51"/>
    <w:rsid w:val="00E001D6"/>
    <w:rsid w:val="00E03A76"/>
    <w:rsid w:val="00E04410"/>
    <w:rsid w:val="00E07484"/>
    <w:rsid w:val="00E11351"/>
    <w:rsid w:val="00E35B57"/>
    <w:rsid w:val="00E4225C"/>
    <w:rsid w:val="00E43BF2"/>
    <w:rsid w:val="00E44879"/>
    <w:rsid w:val="00E64A92"/>
    <w:rsid w:val="00E72914"/>
    <w:rsid w:val="00E75AE0"/>
    <w:rsid w:val="00E83C1F"/>
    <w:rsid w:val="00E85684"/>
    <w:rsid w:val="00E8794B"/>
    <w:rsid w:val="00E97656"/>
    <w:rsid w:val="00EA172C"/>
    <w:rsid w:val="00EA259B"/>
    <w:rsid w:val="00EA35A3"/>
    <w:rsid w:val="00EA3E6A"/>
    <w:rsid w:val="00EB18EF"/>
    <w:rsid w:val="00EB58F4"/>
    <w:rsid w:val="00EB7772"/>
    <w:rsid w:val="00EB7951"/>
    <w:rsid w:val="00ED6A79"/>
    <w:rsid w:val="00EE0D83"/>
    <w:rsid w:val="00EE17DF"/>
    <w:rsid w:val="00EF1482"/>
    <w:rsid w:val="00EF4621"/>
    <w:rsid w:val="00EF4D52"/>
    <w:rsid w:val="00EF6312"/>
    <w:rsid w:val="00F038B0"/>
    <w:rsid w:val="00F05F34"/>
    <w:rsid w:val="00F22B27"/>
    <w:rsid w:val="00F234A7"/>
    <w:rsid w:val="00F25469"/>
    <w:rsid w:val="00F277B6"/>
    <w:rsid w:val="00F27DA5"/>
    <w:rsid w:val="00F37E07"/>
    <w:rsid w:val="00F4182A"/>
    <w:rsid w:val="00F43BA8"/>
    <w:rsid w:val="00F54380"/>
    <w:rsid w:val="00F54B47"/>
    <w:rsid w:val="00F61247"/>
    <w:rsid w:val="00F61F61"/>
    <w:rsid w:val="00F63191"/>
    <w:rsid w:val="00F6702E"/>
    <w:rsid w:val="00F70E84"/>
    <w:rsid w:val="00FA092B"/>
    <w:rsid w:val="00FA4F6C"/>
    <w:rsid w:val="00FA6EFD"/>
    <w:rsid w:val="00FB3791"/>
    <w:rsid w:val="00FB5250"/>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E9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E43BF2"/>
    <w:pPr>
      <w:autoSpaceDE w:val="0"/>
      <w:autoSpaceDN w:val="0"/>
      <w:adjustRightInd w:val="0"/>
      <w:ind w:left="720"/>
    </w:pPr>
    <w:rPr>
      <w:sz w:val="24"/>
      <w:szCs w:val="24"/>
    </w:rPr>
  </w:style>
  <w:style w:type="paragraph" w:customStyle="1" w:styleId="Level2">
    <w:name w:val="Level 2"/>
    <w:rsid w:val="00E43BF2"/>
    <w:pPr>
      <w:autoSpaceDE w:val="0"/>
      <w:autoSpaceDN w:val="0"/>
      <w:adjustRightInd w:val="0"/>
      <w:ind w:left="1440"/>
    </w:pPr>
    <w:rPr>
      <w:sz w:val="24"/>
      <w:szCs w:val="24"/>
    </w:rPr>
  </w:style>
  <w:style w:type="character" w:styleId="Hyperlink">
    <w:name w:val="Hyperlink"/>
    <w:uiPriority w:val="99"/>
    <w:unhideWhenUsed/>
    <w:rsid w:val="00E43BF2"/>
    <w:rPr>
      <w:color w:val="0000FF"/>
      <w:u w:val="single"/>
    </w:rPr>
  </w:style>
  <w:style w:type="paragraph" w:styleId="ListParagraph">
    <w:name w:val="List Paragraph"/>
    <w:basedOn w:val="Normal"/>
    <w:uiPriority w:val="34"/>
    <w:qFormat/>
    <w:rsid w:val="00E43BF2"/>
    <w:pPr>
      <w:ind w:left="720"/>
      <w:contextualSpacing/>
    </w:pPr>
  </w:style>
  <w:style w:type="character" w:styleId="CommentReference">
    <w:name w:val="annotation reference"/>
    <w:basedOn w:val="DefaultParagraphFont"/>
    <w:semiHidden/>
    <w:unhideWhenUsed/>
    <w:rsid w:val="0089586E"/>
    <w:rPr>
      <w:sz w:val="16"/>
      <w:szCs w:val="16"/>
    </w:rPr>
  </w:style>
  <w:style w:type="paragraph" w:styleId="CommentText">
    <w:name w:val="annotation text"/>
    <w:basedOn w:val="Normal"/>
    <w:link w:val="CommentTextChar"/>
    <w:semiHidden/>
    <w:unhideWhenUsed/>
    <w:rsid w:val="0089586E"/>
    <w:rPr>
      <w:sz w:val="20"/>
      <w:szCs w:val="20"/>
    </w:rPr>
  </w:style>
  <w:style w:type="character" w:customStyle="1" w:styleId="CommentTextChar">
    <w:name w:val="Comment Text Char"/>
    <w:basedOn w:val="DefaultParagraphFont"/>
    <w:link w:val="CommentText"/>
    <w:semiHidden/>
    <w:rsid w:val="0089586E"/>
  </w:style>
  <w:style w:type="paragraph" w:styleId="CommentSubject">
    <w:name w:val="annotation subject"/>
    <w:basedOn w:val="CommentText"/>
    <w:next w:val="CommentText"/>
    <w:link w:val="CommentSubjectChar"/>
    <w:semiHidden/>
    <w:unhideWhenUsed/>
    <w:rsid w:val="0089586E"/>
    <w:rPr>
      <w:b/>
      <w:bCs/>
    </w:rPr>
  </w:style>
  <w:style w:type="character" w:customStyle="1" w:styleId="CommentSubjectChar">
    <w:name w:val="Comment Subject Char"/>
    <w:basedOn w:val="CommentTextChar"/>
    <w:link w:val="CommentSubject"/>
    <w:semiHidden/>
    <w:rsid w:val="0089586E"/>
    <w:rPr>
      <w:b/>
      <w:bCs/>
    </w:rPr>
  </w:style>
  <w:style w:type="paragraph" w:styleId="BalloonText">
    <w:name w:val="Balloon Text"/>
    <w:basedOn w:val="Normal"/>
    <w:link w:val="BalloonTextChar"/>
    <w:semiHidden/>
    <w:unhideWhenUsed/>
    <w:rsid w:val="0089586E"/>
    <w:rPr>
      <w:rFonts w:ascii="Segoe UI" w:hAnsi="Segoe UI" w:cs="Segoe UI"/>
      <w:sz w:val="18"/>
      <w:szCs w:val="18"/>
    </w:rPr>
  </w:style>
  <w:style w:type="character" w:customStyle="1" w:styleId="BalloonTextChar">
    <w:name w:val="Balloon Text Char"/>
    <w:basedOn w:val="DefaultParagraphFont"/>
    <w:link w:val="BalloonText"/>
    <w:semiHidden/>
    <w:rsid w:val="00895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6368A-654A-44BE-B0FF-B810C932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11</Pages>
  <Words>3970</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2021-08-25T13:43:00Z</dcterms:created>
  <dcterms:modified xsi:type="dcterms:W3CDTF">2021-08-25T14:33:00Z</dcterms:modified>
</cp:coreProperties>
</file>