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B202F" w:rsidP="00FB202F">
      <w:pPr>
        <w:pStyle w:val="OrderHeading"/>
      </w:pPr>
      <w:r>
        <w:t>BEFORE THE FLORIDA PUBLIC SERVICE COMMISSION</w:t>
      </w:r>
    </w:p>
    <w:p w:rsidR="00FB202F" w:rsidRDefault="00FB202F" w:rsidP="00FB202F">
      <w:pPr>
        <w:pStyle w:val="OrderBody"/>
      </w:pPr>
    </w:p>
    <w:p w:rsidR="00FB202F" w:rsidRDefault="00FB202F" w:rsidP="00FB202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B202F" w:rsidRPr="00C63FCF" w:rsidTr="00FA641F">
        <w:trPr>
          <w:trHeight w:val="828"/>
        </w:trPr>
        <w:tc>
          <w:tcPr>
            <w:tcW w:w="4788" w:type="dxa"/>
            <w:tcBorders>
              <w:bottom w:val="single" w:sz="8" w:space="0" w:color="auto"/>
              <w:right w:val="double" w:sz="6" w:space="0" w:color="auto"/>
            </w:tcBorders>
            <w:shd w:val="clear" w:color="auto" w:fill="auto"/>
          </w:tcPr>
          <w:p w:rsidR="00FB202F" w:rsidRDefault="00FB202F" w:rsidP="00FA641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FB202F" w:rsidRDefault="00FB202F" w:rsidP="00FB202F">
            <w:pPr>
              <w:pStyle w:val="OrderBody"/>
            </w:pPr>
            <w:r>
              <w:t xml:space="preserve">DOCKET NO. </w:t>
            </w:r>
            <w:bookmarkStart w:id="1" w:name="SSDocketNo"/>
            <w:bookmarkEnd w:id="1"/>
            <w:r>
              <w:t>20210015-EI</w:t>
            </w:r>
          </w:p>
          <w:p w:rsidR="00FB202F" w:rsidRDefault="00FB202F" w:rsidP="00FA641F">
            <w:pPr>
              <w:pStyle w:val="OrderBody"/>
              <w:tabs>
                <w:tab w:val="center" w:pos="4320"/>
                <w:tab w:val="right" w:pos="8640"/>
              </w:tabs>
              <w:jc w:val="left"/>
            </w:pPr>
            <w:r>
              <w:t xml:space="preserve">ORDER NO. </w:t>
            </w:r>
            <w:bookmarkStart w:id="2" w:name="OrderNo0362"/>
            <w:r w:rsidR="00526783">
              <w:t>PSC-2021-0362-PHO-EI</w:t>
            </w:r>
            <w:bookmarkEnd w:id="2"/>
          </w:p>
          <w:p w:rsidR="00FB202F" w:rsidRDefault="00FB202F" w:rsidP="00FA641F">
            <w:pPr>
              <w:pStyle w:val="OrderBody"/>
              <w:tabs>
                <w:tab w:val="center" w:pos="4320"/>
                <w:tab w:val="right" w:pos="8640"/>
              </w:tabs>
              <w:jc w:val="left"/>
            </w:pPr>
            <w:r>
              <w:t xml:space="preserve">ISSUED: </w:t>
            </w:r>
            <w:r w:rsidR="00526783">
              <w:t>September 16, 2021</w:t>
            </w:r>
          </w:p>
        </w:tc>
      </w:tr>
    </w:tbl>
    <w:p w:rsidR="00FB202F" w:rsidRDefault="00FB202F" w:rsidP="00FB202F"/>
    <w:p w:rsidR="00CB5276" w:rsidRDefault="00FB202F" w:rsidP="00FB202F">
      <w:pPr>
        <w:pStyle w:val="CenterUnderline"/>
      </w:pPr>
      <w:bookmarkStart w:id="3" w:name="Commissioners"/>
      <w:bookmarkStart w:id="4" w:name="OrderTitle"/>
      <w:bookmarkEnd w:id="3"/>
      <w:r>
        <w:t xml:space="preserve">SECOND PREHEARING ORDER  </w:t>
      </w:r>
      <w:bookmarkEnd w:id="4"/>
    </w:p>
    <w:p w:rsidR="005F2751" w:rsidRDefault="005F2751"/>
    <w:p w:rsidR="00FB202F" w:rsidRDefault="00FB202F" w:rsidP="00FB202F">
      <w:pPr>
        <w:jc w:val="both"/>
        <w:rPr>
          <w:b/>
          <w:u w:val="single"/>
        </w:rPr>
      </w:pPr>
      <w:r>
        <w:rPr>
          <w:b/>
        </w:rPr>
        <w:t>I.</w:t>
      </w:r>
      <w:r>
        <w:rPr>
          <w:b/>
        </w:rPr>
        <w:tab/>
      </w:r>
      <w:r>
        <w:rPr>
          <w:b/>
          <w:u w:val="single"/>
        </w:rPr>
        <w:t>Background</w:t>
      </w:r>
    </w:p>
    <w:p w:rsidR="00FB202F" w:rsidRDefault="00FB202F" w:rsidP="00FB202F">
      <w:pPr>
        <w:jc w:val="both"/>
        <w:rPr>
          <w:b/>
          <w:u w:val="single"/>
        </w:rPr>
      </w:pPr>
    </w:p>
    <w:p w:rsidR="00D548E2" w:rsidRDefault="00D548E2" w:rsidP="00D548E2">
      <w:pPr>
        <w:ind w:firstLine="720"/>
        <w:jc w:val="both"/>
      </w:pPr>
      <w:r>
        <w:t xml:space="preserve">On March 12, 2021, Florida Power &amp; Light Company (FPL) filed a petition, minimum filing requirements, and testimony for a base rate increase effective January 2022.  </w:t>
      </w:r>
      <w:r w:rsidRPr="00A72D1A">
        <w:t>As part of its request, FPL is seeking to consolidate its rates with those of Gulf Power Company (Gulf), recently acquired by FPL’s parent company.</w:t>
      </w:r>
      <w:r>
        <w:t xml:space="preserve">  Pursuant to Order No. PSC-2021-0116-PCO-EI, issued March 24, 2021, the hearing for the FPL rate case was scheduled for August 16 through August 27, 2021.  </w:t>
      </w:r>
    </w:p>
    <w:p w:rsidR="00D548E2" w:rsidRDefault="00D548E2" w:rsidP="00D548E2">
      <w:pPr>
        <w:ind w:firstLine="720"/>
        <w:jc w:val="both"/>
      </w:pPr>
    </w:p>
    <w:p w:rsidR="00D548E2" w:rsidRDefault="00D548E2" w:rsidP="00D548E2">
      <w:pPr>
        <w:ind w:firstLine="720"/>
        <w:jc w:val="both"/>
      </w:pPr>
      <w:r>
        <w:t>OPC’s intervention has been acknowledged.</w:t>
      </w:r>
      <w:r>
        <w:rPr>
          <w:rStyle w:val="FootnoteReference"/>
        </w:rPr>
        <w:footnoteReference w:id="1"/>
      </w:r>
      <w:r>
        <w:t xml:space="preserve">  Florida Executive Agencies (FEA), Florida Industrial Power Users Group (FIPUG), Florida Internet &amp; Television, Inc. (FIT), Florida Retail Federation (FRF), Southern Alliance for Clean Energy (SACE) and Vote Solar have been granted intervention on an associational standing basis.</w:t>
      </w:r>
      <w:r>
        <w:rPr>
          <w:rStyle w:val="FootnoteReference"/>
        </w:rPr>
        <w:footnoteReference w:id="2"/>
      </w:r>
      <w:r>
        <w:t xml:space="preserve"> Walmart, Inc. (Walmart) and Daniel and Alexandria Larson (Larsons) have been granted intervention on an individual standing basis.</w:t>
      </w:r>
      <w:r>
        <w:rPr>
          <w:rStyle w:val="FootnoteReference"/>
        </w:rPr>
        <w:footnoteReference w:id="3"/>
      </w:r>
      <w:r>
        <w:t xml:space="preserve">  CLEO Institute, Inc. (CLEO) and Florida Rising (Fla. Rising) have been granted intervention on an individual standing basis and provisional intervention on an associational standing basis.</w:t>
      </w:r>
      <w:r>
        <w:rPr>
          <w:rStyle w:val="FootnoteReference"/>
        </w:rPr>
        <w:footnoteReference w:id="4"/>
      </w:r>
      <w:r>
        <w:t xml:space="preserve">  Floridians Against Increased Rates, Inc. (FAIR), League of United Latin American Citizens (LULAC) and </w:t>
      </w:r>
      <w:r w:rsidRPr="00171EAC">
        <w:rPr>
          <w:rFonts w:eastAsia="MS Mincho"/>
          <w:lang w:eastAsia="ar-SA"/>
        </w:rPr>
        <w:t>Environmental Confederation of Southwest Florida</w:t>
      </w:r>
      <w:r>
        <w:t xml:space="preserve"> (ECOSWF) have been granted provisional intervention on an associational standing basis.</w:t>
      </w:r>
    </w:p>
    <w:p w:rsidR="00D548E2" w:rsidRDefault="00D548E2" w:rsidP="00D548E2">
      <w:pPr>
        <w:ind w:firstLine="720"/>
        <w:jc w:val="both"/>
      </w:pPr>
    </w:p>
    <w:p w:rsidR="0056088D" w:rsidRDefault="00D548E2" w:rsidP="00D548E2">
      <w:pPr>
        <w:ind w:firstLine="720"/>
        <w:jc w:val="both"/>
      </w:pPr>
      <w:r>
        <w:t xml:space="preserve">On August 10, 2021, FPL, OPC, FRF, FIPUG, and SACE, filed a Joint Motion for Approval of </w:t>
      </w:r>
      <w:r w:rsidR="002129B5">
        <w:t xml:space="preserve">Stipulation and </w:t>
      </w:r>
      <w:r>
        <w:t>Settlement Agreement</w:t>
      </w:r>
      <w:r w:rsidR="002129B5">
        <w:t xml:space="preserve"> (2021 Settlement)</w:t>
      </w:r>
      <w:r>
        <w:t xml:space="preserve">.  On August 12, 2021, the hearing scheduled </w:t>
      </w:r>
      <w:r w:rsidR="002129B5">
        <w:t xml:space="preserve">to commence on </w:t>
      </w:r>
      <w:r>
        <w:t xml:space="preserve">August 16 was continued until Wednesday, August 18, 2021, in order to allow FPL and Gulf to appropriately respond to service issues associated with Tropical Storm Fred’s landfall in </w:t>
      </w:r>
      <w:r w:rsidR="002129B5">
        <w:t>its Panhandle service area.</w:t>
      </w:r>
      <w:r w:rsidR="002129B5">
        <w:rPr>
          <w:rStyle w:val="FootnoteReference"/>
        </w:rPr>
        <w:footnoteReference w:id="5"/>
      </w:r>
      <w:r w:rsidR="002129B5">
        <w:t xml:space="preserve">   At the August 18, 2021, hearing the procedures for conducting a full hearing at a later date on the petition for rate increase and the 2021 Settlement were discussed.  Order No. PSC-2021-0314-PCO-EI, issued on August 20, </w:t>
      </w:r>
      <w:r w:rsidR="002129B5">
        <w:lastRenderedPageBreak/>
        <w:t xml:space="preserve">2021, </w:t>
      </w:r>
      <w:r w:rsidR="0056088D">
        <w:t xml:space="preserve">set 2021 Settlement testimony filing dates and </w:t>
      </w:r>
      <w:r w:rsidR="002129B5">
        <w:t>a new hearing date of September 20-22, 2021</w:t>
      </w:r>
      <w:r w:rsidR="0056088D">
        <w:t>,</w:t>
      </w:r>
      <w:r w:rsidR="002129B5">
        <w:t xml:space="preserve"> for the rate case and the 2021 Settlement.</w:t>
      </w:r>
      <w:r w:rsidR="0056088D">
        <w:t xml:space="preserve">  </w:t>
      </w:r>
    </w:p>
    <w:p w:rsidR="0056088D" w:rsidRDefault="0056088D" w:rsidP="00D548E2">
      <w:pPr>
        <w:ind w:firstLine="720"/>
        <w:jc w:val="both"/>
      </w:pPr>
    </w:p>
    <w:p w:rsidR="00904BB6" w:rsidRDefault="0056088D" w:rsidP="00904BB6">
      <w:pPr>
        <w:jc w:val="both"/>
        <w:rPr>
          <w:b/>
        </w:rPr>
      </w:pPr>
      <w:r>
        <w:rPr>
          <w:b/>
        </w:rPr>
        <w:t>II.</w:t>
      </w:r>
      <w:r w:rsidR="00904BB6">
        <w:rPr>
          <w:b/>
        </w:rPr>
        <w:tab/>
      </w:r>
      <w:r w:rsidR="00904BB6" w:rsidRPr="00904BB6">
        <w:rPr>
          <w:b/>
          <w:u w:val="single"/>
        </w:rPr>
        <w:t>Jurisdiction</w:t>
      </w:r>
    </w:p>
    <w:p w:rsidR="00904BB6" w:rsidRDefault="00904BB6" w:rsidP="00904BB6">
      <w:pPr>
        <w:jc w:val="both"/>
        <w:rPr>
          <w:b/>
        </w:rPr>
      </w:pPr>
    </w:p>
    <w:p w:rsidR="00904BB6" w:rsidRPr="00701945" w:rsidRDefault="00904BB6" w:rsidP="00904BB6">
      <w:pPr>
        <w:jc w:val="both"/>
      </w:pPr>
      <w:r>
        <w:tab/>
      </w:r>
      <w:r w:rsidRPr="00701945">
        <w:t>This Commission is vested with jurisdiction over the subject matter by the provisions of Chapter</w:t>
      </w:r>
      <w:r>
        <w:t>s 120 and</w:t>
      </w:r>
      <w:r w:rsidRPr="00701945">
        <w:t xml:space="preserve"> </w:t>
      </w:r>
      <w:r>
        <w:t>366</w:t>
      </w:r>
      <w:r w:rsidRPr="00701945">
        <w:t xml:space="preserve">, </w:t>
      </w:r>
      <w:r>
        <w:t>Florida Statutes (F.S</w:t>
      </w:r>
      <w:r w:rsidRPr="00701945">
        <w:t>.</w:t>
      </w:r>
      <w:r>
        <w:t>).</w:t>
      </w:r>
      <w:r w:rsidRPr="00701945">
        <w:t xml:space="preserve">  This hearing will be governed by said Chapter and Chapter</w:t>
      </w:r>
      <w:r>
        <w:t>s 25-6</w:t>
      </w:r>
      <w:r w:rsidRPr="00701945">
        <w:t xml:space="preserve">, 25-22, and 28-106, </w:t>
      </w:r>
      <w:r>
        <w:t>F.A.C., as well as any other applicable provisions of law</w:t>
      </w:r>
      <w:r w:rsidRPr="00701945">
        <w:t>.</w:t>
      </w:r>
    </w:p>
    <w:p w:rsidR="00904BB6" w:rsidRDefault="00904BB6" w:rsidP="00904BB6">
      <w:pPr>
        <w:jc w:val="both"/>
        <w:rPr>
          <w:b/>
        </w:rPr>
      </w:pPr>
    </w:p>
    <w:p w:rsidR="00236A92" w:rsidRDefault="00904BB6" w:rsidP="00904BB6">
      <w:pPr>
        <w:jc w:val="both"/>
        <w:rPr>
          <w:b/>
        </w:rPr>
      </w:pPr>
      <w:r w:rsidRPr="00904BB6">
        <w:rPr>
          <w:b/>
        </w:rPr>
        <w:t>III.</w:t>
      </w:r>
      <w:r w:rsidRPr="00904BB6">
        <w:rPr>
          <w:b/>
        </w:rPr>
        <w:tab/>
      </w:r>
      <w:r w:rsidR="00236A92" w:rsidRPr="00236A92">
        <w:rPr>
          <w:b/>
          <w:u w:val="single"/>
        </w:rPr>
        <w:t>Conduct of Proceedings</w:t>
      </w:r>
    </w:p>
    <w:p w:rsidR="00236A92" w:rsidRDefault="00236A92" w:rsidP="00904BB6">
      <w:pPr>
        <w:jc w:val="both"/>
        <w:rPr>
          <w:b/>
        </w:rPr>
      </w:pPr>
    </w:p>
    <w:p w:rsidR="005C77A1" w:rsidRDefault="00236A92" w:rsidP="00904BB6">
      <w:pPr>
        <w:jc w:val="both"/>
      </w:pPr>
      <w:r>
        <w:rPr>
          <w:b/>
        </w:rPr>
        <w:tab/>
      </w:r>
      <w:r w:rsidR="008A03EA" w:rsidRPr="008A03EA">
        <w:t xml:space="preserve">The hearing will be conducted </w:t>
      </w:r>
      <w:r w:rsidR="008A03EA">
        <w:t>in two parts: the first will address FPL’s petition for rate increase (Rate Case); the second will address the joint motion for approval of the 2021 Settlement (Settlement Case).</w:t>
      </w:r>
      <w:r w:rsidR="005C77A1">
        <w:t xml:space="preserve">  If both the Rate Case and the Settlement Case cannot be concluded in the time set aside in September, the hearing will be continued at the conclusion of the Rate Case and reconvened at a later date for full presentation of the Settlement Case.</w:t>
      </w:r>
      <w:r w:rsidR="005C77A1" w:rsidRPr="008A03EA">
        <w:t xml:space="preserve"> </w:t>
      </w:r>
    </w:p>
    <w:p w:rsidR="005C77A1" w:rsidRDefault="005C77A1" w:rsidP="00904BB6">
      <w:pPr>
        <w:jc w:val="both"/>
      </w:pPr>
    </w:p>
    <w:p w:rsidR="00F90689" w:rsidRDefault="005C77A1" w:rsidP="00904BB6">
      <w:pPr>
        <w:jc w:val="both"/>
      </w:pPr>
      <w:r>
        <w:tab/>
        <w:t>The FPL witnesses in the Rate Case will testify to both their prefiled Rate Case direct and rebuttal testimony filed on March 12 and July 12, 2021, respectively.  The Intervenor witnesses in the Rate Case will testify to their direct testimony filed on June 21, 2021.</w:t>
      </w:r>
      <w:r w:rsidR="00E74458">
        <w:t xml:space="preserve">  At the conclusion of the Rate Case portion of the hearing, all exhibits associated with the Rate Case, not already stipulated to by all the parties</w:t>
      </w:r>
      <w:r w:rsidR="00916D19">
        <w:t xml:space="preserve"> or admitted into the record</w:t>
      </w:r>
      <w:r w:rsidR="00E74458">
        <w:t>, shall be tendered for inclusion in the record.</w:t>
      </w:r>
      <w:r>
        <w:t xml:space="preserve"> </w:t>
      </w:r>
      <w:r w:rsidR="00E74458">
        <w:t xml:space="preserve">  In the Settlement Case</w:t>
      </w:r>
      <w:r w:rsidR="002E24A0">
        <w:t>,</w:t>
      </w:r>
      <w:r w:rsidR="00E74458">
        <w:t xml:space="preserve"> all </w:t>
      </w:r>
      <w:r w:rsidR="00F90689">
        <w:t xml:space="preserve">Intervenor </w:t>
      </w:r>
      <w:r w:rsidR="00E74458">
        <w:t>witnesses will testify to their testimony filed on September 13, 2021, and all FPL witnesses will testify to their testimony filed on August 26, 2021, and give oral rebuttal</w:t>
      </w:r>
      <w:r w:rsidR="00183911">
        <w:t xml:space="preserve"> to the September 13, 2021 Intervenor testimony</w:t>
      </w:r>
      <w:r w:rsidR="00E74458">
        <w:t>.  At the conclusion of the Settlement Case portion of the hearing, all exhibits associated with the Settlement Case not already stipulated to by all the parties</w:t>
      </w:r>
      <w:r w:rsidR="00815F53">
        <w:t xml:space="preserve"> or admitted into the record</w:t>
      </w:r>
      <w:r w:rsidR="00E74458">
        <w:t xml:space="preserve">, shall be tendered for inclusion in the record and ruled upon. </w:t>
      </w:r>
    </w:p>
    <w:p w:rsidR="002B44DE" w:rsidRDefault="002B44DE" w:rsidP="00904BB6">
      <w:pPr>
        <w:jc w:val="both"/>
      </w:pPr>
    </w:p>
    <w:p w:rsidR="002B44DE" w:rsidRDefault="002B44DE" w:rsidP="00904BB6">
      <w:pPr>
        <w:jc w:val="both"/>
      </w:pPr>
      <w:r>
        <w:tab/>
        <w:t xml:space="preserve">Summaries of </w:t>
      </w:r>
      <w:r w:rsidR="007D37AD">
        <w:t xml:space="preserve">prefiled </w:t>
      </w:r>
      <w:r>
        <w:t>testimony in the Rate Case</w:t>
      </w:r>
      <w:r w:rsidR="00741042">
        <w:t>,</w:t>
      </w:r>
      <w:r>
        <w:t xml:space="preserve"> if any, shall be limited to five minutes</w:t>
      </w:r>
      <w:r w:rsidR="007B493C">
        <w:t xml:space="preserve"> for each witness. </w:t>
      </w:r>
      <w:r w:rsidR="00741042">
        <w:t xml:space="preserve">  Summaries of </w:t>
      </w:r>
      <w:r w:rsidR="007D37AD">
        <w:t xml:space="preserve">prefiled </w:t>
      </w:r>
      <w:r w:rsidR="00741042">
        <w:t xml:space="preserve">testimony </w:t>
      </w:r>
      <w:r w:rsidR="007D37AD">
        <w:t xml:space="preserve">and oral rebuttal </w:t>
      </w:r>
      <w:r w:rsidR="00741042">
        <w:t xml:space="preserve">in the Settlement Case, </w:t>
      </w:r>
      <w:r w:rsidR="00490843">
        <w:t xml:space="preserve">if any, </w:t>
      </w:r>
      <w:r w:rsidR="00741042">
        <w:t xml:space="preserve">shall be limited to five minutes for each witness.   </w:t>
      </w:r>
      <w:r w:rsidR="007B493C">
        <w:t xml:space="preserve"> </w:t>
      </w:r>
    </w:p>
    <w:p w:rsidR="00D548E2" w:rsidRPr="008A03EA" w:rsidRDefault="00E74458" w:rsidP="00904BB6">
      <w:pPr>
        <w:jc w:val="both"/>
      </w:pPr>
      <w:r>
        <w:t xml:space="preserve">   </w:t>
      </w:r>
      <w:r w:rsidR="005C77A1">
        <w:t xml:space="preserve"> </w:t>
      </w:r>
      <w:r w:rsidR="002129B5" w:rsidRPr="008A03EA">
        <w:t xml:space="preserve">   </w:t>
      </w:r>
      <w:r w:rsidR="00D548E2" w:rsidRPr="008A03EA">
        <w:t xml:space="preserve">   </w:t>
      </w:r>
    </w:p>
    <w:p w:rsidR="00C27A1B" w:rsidRDefault="005C77A1" w:rsidP="00FB202F">
      <w:pPr>
        <w:jc w:val="both"/>
        <w:rPr>
          <w:b/>
          <w:u w:val="single"/>
        </w:rPr>
      </w:pPr>
      <w:r>
        <w:rPr>
          <w:b/>
        </w:rPr>
        <w:t>I</w:t>
      </w:r>
      <w:r w:rsidR="00C27A1B">
        <w:rPr>
          <w:b/>
        </w:rPr>
        <w:t>V.</w:t>
      </w:r>
      <w:r w:rsidR="00C27A1B">
        <w:rPr>
          <w:b/>
        </w:rPr>
        <w:tab/>
      </w:r>
      <w:r w:rsidR="00C27A1B">
        <w:rPr>
          <w:b/>
          <w:u w:val="single"/>
        </w:rPr>
        <w:t>Order of Witnesses</w:t>
      </w:r>
    </w:p>
    <w:p w:rsidR="00916D19" w:rsidRDefault="00916D19" w:rsidP="00FB202F">
      <w:pPr>
        <w:jc w:val="both"/>
        <w:rPr>
          <w:b/>
          <w:u w:val="single"/>
        </w:rPr>
      </w:pPr>
    </w:p>
    <w:p w:rsidR="00916D19" w:rsidRDefault="00916D19" w:rsidP="00916D19">
      <w:pPr>
        <w:jc w:val="center"/>
        <w:rPr>
          <w:b/>
          <w:u w:val="single"/>
        </w:rPr>
      </w:pPr>
      <w:r w:rsidRPr="00916D19">
        <w:rPr>
          <w:b/>
          <w:u w:val="single"/>
        </w:rPr>
        <w:t>Rate Case</w:t>
      </w:r>
    </w:p>
    <w:p w:rsidR="00C27A1B" w:rsidRDefault="00C27A1B" w:rsidP="00FB202F">
      <w:pPr>
        <w:jc w:val="both"/>
        <w:rPr>
          <w:b/>
          <w:u w:val="single"/>
        </w:rPr>
      </w:pPr>
    </w:p>
    <w:p w:rsidR="00C27A1B" w:rsidRDefault="00C27A1B" w:rsidP="00FB202F">
      <w:pPr>
        <w:jc w:val="both"/>
      </w:pPr>
      <w:r w:rsidRPr="005C77A1">
        <w:rPr>
          <w:u w:val="single"/>
        </w:rPr>
        <w:t>Witness</w:t>
      </w:r>
      <w:r w:rsidRPr="005C77A1">
        <w:tab/>
      </w:r>
      <w:r w:rsidRPr="005C77A1">
        <w:tab/>
      </w:r>
      <w:r w:rsidRPr="005C77A1">
        <w:tab/>
      </w:r>
      <w:r w:rsidRPr="005C77A1">
        <w:tab/>
      </w:r>
      <w:r w:rsidRPr="005C77A1">
        <w:rPr>
          <w:u w:val="single"/>
        </w:rPr>
        <w:t>Proffered By</w:t>
      </w:r>
      <w:r w:rsidR="005C77A1" w:rsidRPr="005C77A1">
        <w:tab/>
      </w:r>
      <w:r w:rsidR="005C77A1" w:rsidRPr="005C77A1">
        <w:tab/>
      </w:r>
      <w:r w:rsidR="005C77A1" w:rsidRPr="005C77A1">
        <w:rPr>
          <w:u w:val="single"/>
        </w:rPr>
        <w:t>Issues</w:t>
      </w:r>
      <w:r w:rsidRPr="005C77A1">
        <w:tab/>
      </w:r>
      <w:r w:rsidRPr="005C77A1">
        <w:tab/>
      </w:r>
    </w:p>
    <w:p w:rsidR="005C77A1" w:rsidRDefault="005C77A1" w:rsidP="00FB202F">
      <w:pPr>
        <w:jc w:val="both"/>
      </w:pPr>
    </w:p>
    <w:p w:rsidR="00F90689" w:rsidRDefault="00F90689" w:rsidP="00FB202F">
      <w:pPr>
        <w:jc w:val="both"/>
        <w:rPr>
          <w:u w:val="single"/>
        </w:rPr>
      </w:pPr>
      <w:r w:rsidRPr="00F90689">
        <w:rPr>
          <w:u w:val="single"/>
        </w:rPr>
        <w:t>Direct/Rebuttal</w:t>
      </w:r>
    </w:p>
    <w:p w:rsidR="00F90689" w:rsidRPr="00F90689" w:rsidRDefault="00F90689" w:rsidP="00FB202F">
      <w:pPr>
        <w:jc w:val="both"/>
        <w:rPr>
          <w:u w:val="single"/>
        </w:rPr>
      </w:pPr>
    </w:p>
    <w:p w:rsidR="00916D19" w:rsidRDefault="00916D19" w:rsidP="00916D19">
      <w:pPr>
        <w:jc w:val="both"/>
      </w:pPr>
      <w:r>
        <w:t>Eric Silagy</w:t>
      </w:r>
      <w:r>
        <w:tab/>
      </w:r>
      <w:r>
        <w:tab/>
      </w:r>
      <w:r>
        <w:tab/>
      </w:r>
      <w:r>
        <w:tab/>
        <w:t>FPL</w:t>
      </w:r>
      <w:r>
        <w:tab/>
      </w:r>
      <w:r>
        <w:tab/>
      </w:r>
      <w:r>
        <w:tab/>
        <w:t>25</w:t>
      </w:r>
      <w:r w:rsidR="00273369">
        <w:t>*</w:t>
      </w:r>
    </w:p>
    <w:p w:rsidR="00916D19" w:rsidRDefault="00916D19" w:rsidP="00916D19">
      <w:pPr>
        <w:jc w:val="both"/>
      </w:pPr>
    </w:p>
    <w:p w:rsidR="00916D19" w:rsidRDefault="00916D19" w:rsidP="00916D19">
      <w:pPr>
        <w:jc w:val="both"/>
      </w:pPr>
      <w:r>
        <w:t>James M. Coyne</w:t>
      </w:r>
      <w:r>
        <w:tab/>
      </w:r>
      <w:r>
        <w:tab/>
      </w:r>
      <w:r>
        <w:tab/>
        <w:t>FPL</w:t>
      </w:r>
      <w:r>
        <w:tab/>
      </w:r>
      <w:r>
        <w:tab/>
      </w:r>
      <w:r>
        <w:tab/>
        <w:t>70, 72</w:t>
      </w:r>
    </w:p>
    <w:p w:rsidR="00916D19" w:rsidRDefault="00916D19" w:rsidP="00916D19">
      <w:pPr>
        <w:jc w:val="both"/>
      </w:pPr>
    </w:p>
    <w:p w:rsidR="00916D19" w:rsidRDefault="00916D19" w:rsidP="00916D19">
      <w:pPr>
        <w:jc w:val="both"/>
      </w:pPr>
      <w:r>
        <w:lastRenderedPageBreak/>
        <w:t>Robert E. Barrett</w:t>
      </w:r>
      <w:r>
        <w:tab/>
      </w:r>
      <w:r>
        <w:tab/>
      </w:r>
      <w:r>
        <w:tab/>
        <w:t>FPL</w:t>
      </w:r>
      <w:r>
        <w:tab/>
      </w:r>
      <w:r>
        <w:tab/>
      </w:r>
      <w:r>
        <w:tab/>
        <w:t xml:space="preserve">31, 67, 68, 70-73, 90, 130, 131, 133, </w:t>
      </w:r>
      <w:r>
        <w:tab/>
      </w:r>
      <w:r>
        <w:tab/>
      </w:r>
      <w:r>
        <w:tab/>
      </w:r>
      <w:r>
        <w:tab/>
      </w:r>
      <w:r>
        <w:tab/>
      </w:r>
      <w:r>
        <w:tab/>
      </w:r>
      <w:r>
        <w:tab/>
      </w:r>
      <w:r>
        <w:tab/>
      </w:r>
      <w:r>
        <w:tab/>
        <w:t>134, 137</w:t>
      </w:r>
    </w:p>
    <w:p w:rsidR="00916D19" w:rsidRDefault="00916D19" w:rsidP="00916D19">
      <w:pPr>
        <w:jc w:val="both"/>
      </w:pPr>
    </w:p>
    <w:p w:rsidR="00F90689" w:rsidRPr="00F90689" w:rsidRDefault="00F90689" w:rsidP="00916D19">
      <w:pPr>
        <w:jc w:val="both"/>
        <w:rPr>
          <w:u w:val="single"/>
        </w:rPr>
      </w:pPr>
      <w:r w:rsidRPr="00F90689">
        <w:rPr>
          <w:u w:val="single"/>
        </w:rPr>
        <w:t>Intervenor</w:t>
      </w:r>
    </w:p>
    <w:p w:rsidR="00F90689" w:rsidRPr="00F90689" w:rsidRDefault="00F90689" w:rsidP="00916D19">
      <w:pPr>
        <w:jc w:val="both"/>
        <w:rPr>
          <w:u w:val="single"/>
        </w:rPr>
      </w:pPr>
    </w:p>
    <w:p w:rsidR="00916D19" w:rsidRDefault="009B1AF7" w:rsidP="00916D19">
      <w:pPr>
        <w:jc w:val="both"/>
      </w:pPr>
      <w:r>
        <w:t>John Thomas Herndon</w:t>
      </w:r>
      <w:r>
        <w:tab/>
      </w:r>
      <w:r>
        <w:tab/>
        <w:t>FAIR/FL Rising</w:t>
      </w:r>
      <w:r>
        <w:tab/>
        <w:t>9, 29, 70-72, 107, 122-127</w:t>
      </w:r>
    </w:p>
    <w:p w:rsidR="009B1AF7" w:rsidRDefault="009B1AF7" w:rsidP="00916D19">
      <w:pPr>
        <w:jc w:val="both"/>
      </w:pPr>
    </w:p>
    <w:p w:rsidR="009B1AF7" w:rsidRDefault="009B1AF7" w:rsidP="00916D19">
      <w:pPr>
        <w:jc w:val="both"/>
      </w:pPr>
      <w:r>
        <w:t>Nancy H. Watkins</w:t>
      </w:r>
      <w:r>
        <w:tab/>
      </w:r>
      <w:r>
        <w:tab/>
      </w:r>
      <w:r>
        <w:tab/>
        <w:t>FAIR/FL Rising</w:t>
      </w:r>
      <w:r>
        <w:tab/>
        <w:t>9</w:t>
      </w:r>
    </w:p>
    <w:p w:rsidR="009B1AF7" w:rsidRDefault="009B1AF7" w:rsidP="00916D19">
      <w:pPr>
        <w:jc w:val="both"/>
      </w:pPr>
    </w:p>
    <w:p w:rsidR="009B1AF7" w:rsidRDefault="009B1AF7" w:rsidP="00916D19">
      <w:pPr>
        <w:jc w:val="both"/>
      </w:pPr>
      <w:r>
        <w:t>Breandan Mac Mathuna</w:t>
      </w:r>
      <w:r>
        <w:tab/>
      </w:r>
      <w:r>
        <w:tab/>
        <w:t>FAIR/FL Rising</w:t>
      </w:r>
      <w:r>
        <w:tab/>
        <w:t>65-73, 107</w:t>
      </w:r>
    </w:p>
    <w:p w:rsidR="009B1AF7" w:rsidRDefault="009B1AF7" w:rsidP="00916D19">
      <w:pPr>
        <w:jc w:val="both"/>
      </w:pPr>
    </w:p>
    <w:p w:rsidR="009B1AF7" w:rsidRDefault="009B1AF7" w:rsidP="00916D19">
      <w:pPr>
        <w:jc w:val="both"/>
      </w:pPr>
      <w:r>
        <w:t>Timothy J. Devlin</w:t>
      </w:r>
      <w:r>
        <w:tab/>
      </w:r>
      <w:r>
        <w:tab/>
      </w:r>
      <w:r>
        <w:tab/>
        <w:t>FAIR/FL Rising</w:t>
      </w:r>
      <w:r>
        <w:tab/>
        <w:t>2, 29, 30, 130</w:t>
      </w:r>
    </w:p>
    <w:p w:rsidR="00D52A4F" w:rsidRDefault="00D52A4F" w:rsidP="00916D19">
      <w:pPr>
        <w:jc w:val="both"/>
      </w:pPr>
    </w:p>
    <w:p w:rsidR="00D52A4F" w:rsidRDefault="00D52A4F" w:rsidP="00D52A4F">
      <w:pPr>
        <w:jc w:val="both"/>
      </w:pPr>
      <w:r>
        <w:t xml:space="preserve">* These issues are listed in the Prehearing Order, Order No. PSC-2021-0302-PHO-EI, issued August 10, 2021, on pages 41-208. </w:t>
      </w:r>
    </w:p>
    <w:p w:rsidR="00D52A4F" w:rsidRDefault="00D52A4F" w:rsidP="00916D19">
      <w:pPr>
        <w:jc w:val="both"/>
      </w:pPr>
    </w:p>
    <w:p w:rsidR="00916D19" w:rsidRDefault="00D52A4F" w:rsidP="009B1AF7">
      <w:pPr>
        <w:jc w:val="center"/>
        <w:rPr>
          <w:b/>
          <w:u w:val="single"/>
        </w:rPr>
      </w:pPr>
      <w:r>
        <w:rPr>
          <w:b/>
          <w:u w:val="single"/>
        </w:rPr>
        <w:t>S</w:t>
      </w:r>
      <w:r w:rsidR="009B1AF7">
        <w:rPr>
          <w:b/>
          <w:u w:val="single"/>
        </w:rPr>
        <w:t>ettlement Case</w:t>
      </w:r>
    </w:p>
    <w:p w:rsidR="009B1AF7" w:rsidRDefault="009B1AF7" w:rsidP="009B1AF7">
      <w:pPr>
        <w:jc w:val="center"/>
        <w:rPr>
          <w:b/>
          <w:u w:val="single"/>
        </w:rPr>
      </w:pPr>
    </w:p>
    <w:p w:rsidR="00F90689" w:rsidRDefault="00F90689" w:rsidP="009B1AF7">
      <w:pPr>
        <w:jc w:val="both"/>
        <w:rPr>
          <w:u w:val="single"/>
        </w:rPr>
      </w:pPr>
      <w:r>
        <w:rPr>
          <w:u w:val="single"/>
        </w:rPr>
        <w:t>Intervenor</w:t>
      </w:r>
    </w:p>
    <w:p w:rsidR="00F90689" w:rsidRPr="00F90689" w:rsidRDefault="00F90689" w:rsidP="009B1AF7">
      <w:pPr>
        <w:jc w:val="both"/>
        <w:rPr>
          <w:u w:val="single"/>
        </w:rPr>
      </w:pPr>
    </w:p>
    <w:p w:rsidR="009B1AF7" w:rsidRDefault="009B1AF7" w:rsidP="009B1AF7">
      <w:pPr>
        <w:jc w:val="both"/>
      </w:pPr>
      <w:r>
        <w:t>Breandan Mac Mathuna</w:t>
      </w:r>
      <w:r>
        <w:tab/>
      </w:r>
      <w:r>
        <w:tab/>
        <w:t>FAIR/FL Rising</w:t>
      </w:r>
      <w:r w:rsidR="00A51A42">
        <w:tab/>
      </w:r>
      <w:r w:rsidR="000E22D5">
        <w:t>Paragraph 3 - ROE</w:t>
      </w:r>
      <w:r w:rsidR="00273369">
        <w:tab/>
      </w:r>
    </w:p>
    <w:p w:rsidR="009B1AF7" w:rsidRDefault="009B1AF7" w:rsidP="009B1AF7">
      <w:pPr>
        <w:jc w:val="both"/>
      </w:pPr>
    </w:p>
    <w:p w:rsidR="009B1AF7" w:rsidRDefault="009B1AF7" w:rsidP="009B1AF7">
      <w:pPr>
        <w:jc w:val="both"/>
      </w:pPr>
      <w:r>
        <w:t>John Thomas Herndon</w:t>
      </w:r>
      <w:r>
        <w:tab/>
      </w:r>
      <w:r>
        <w:tab/>
        <w:t>FAIR/FL Rising</w:t>
      </w:r>
      <w:r w:rsidR="00A51A42">
        <w:tab/>
      </w:r>
      <w:r w:rsidR="00B64EA5">
        <w:t xml:space="preserve">Paragraph 3 – ROE; </w:t>
      </w:r>
      <w:r w:rsidR="002A5F78">
        <w:t xml:space="preserve">Paragraph 4 – </w:t>
      </w:r>
      <w:r w:rsidR="002A5F78">
        <w:tab/>
      </w:r>
      <w:r w:rsidR="002A5F78">
        <w:tab/>
      </w:r>
      <w:r w:rsidR="002A5F78">
        <w:tab/>
      </w:r>
      <w:r w:rsidR="002A5F78">
        <w:tab/>
      </w:r>
      <w:r w:rsidR="002A5F78">
        <w:tab/>
      </w:r>
      <w:r w:rsidR="002A5F78">
        <w:tab/>
      </w:r>
      <w:r w:rsidR="002A5F78">
        <w:tab/>
      </w:r>
      <w:r w:rsidR="002A5F78">
        <w:tab/>
      </w:r>
      <w:r w:rsidR="002A5F78">
        <w:tab/>
        <w:t xml:space="preserve">Rate increases; Paragraph 16 – </w:t>
      </w:r>
      <w:r w:rsidR="002A5F78">
        <w:tab/>
      </w:r>
      <w:r w:rsidR="002A5F78">
        <w:tab/>
      </w:r>
      <w:r w:rsidR="002A5F78">
        <w:tab/>
      </w:r>
      <w:r w:rsidR="002A5F78">
        <w:tab/>
      </w:r>
      <w:r w:rsidR="002A5F78">
        <w:tab/>
      </w:r>
      <w:r w:rsidR="002A5F78">
        <w:tab/>
      </w:r>
      <w:r w:rsidR="002A5F78">
        <w:tab/>
      </w:r>
      <w:r w:rsidR="002A5F78">
        <w:tab/>
      </w:r>
      <w:r w:rsidR="002A5F78">
        <w:tab/>
        <w:t xml:space="preserve">RSAM  </w:t>
      </w:r>
    </w:p>
    <w:p w:rsidR="009B1AF7" w:rsidRDefault="009B1AF7" w:rsidP="009B1AF7">
      <w:pPr>
        <w:jc w:val="both"/>
      </w:pPr>
    </w:p>
    <w:p w:rsidR="009B1AF7" w:rsidRDefault="009B1AF7" w:rsidP="009B1AF7">
      <w:pPr>
        <w:jc w:val="both"/>
      </w:pPr>
      <w:r>
        <w:t>Timothy J. Devlin</w:t>
      </w:r>
      <w:r>
        <w:tab/>
      </w:r>
      <w:r>
        <w:tab/>
      </w:r>
      <w:r>
        <w:tab/>
        <w:t>FAIR/FL Rising</w:t>
      </w:r>
      <w:r w:rsidR="00A51A42">
        <w:tab/>
      </w:r>
      <w:r w:rsidR="002A5F78">
        <w:t xml:space="preserve">Paragraph 16 –RSAM; </w:t>
      </w:r>
    </w:p>
    <w:p w:rsidR="009B1AF7" w:rsidRDefault="009B1AF7" w:rsidP="009B1AF7">
      <w:pPr>
        <w:jc w:val="both"/>
      </w:pPr>
    </w:p>
    <w:p w:rsidR="001C0F06" w:rsidRDefault="009B1AF7" w:rsidP="009B1AF7">
      <w:pPr>
        <w:jc w:val="both"/>
      </w:pPr>
      <w:r>
        <w:t>Karl Rabago</w:t>
      </w:r>
      <w:r>
        <w:tab/>
      </w:r>
      <w:r>
        <w:tab/>
      </w:r>
      <w:r>
        <w:tab/>
      </w:r>
      <w:r>
        <w:tab/>
        <w:t xml:space="preserve">FL Rising, LULAC </w:t>
      </w:r>
      <w:r w:rsidR="00A51A42">
        <w:tab/>
      </w:r>
      <w:r w:rsidR="002A5F78">
        <w:t xml:space="preserve">Paragraph </w:t>
      </w:r>
      <w:r w:rsidR="00422FB9">
        <w:t xml:space="preserve">3 – ROE; Paragraph 16- </w:t>
      </w:r>
      <w:r w:rsidR="00422FB9">
        <w:tab/>
      </w:r>
      <w:r w:rsidR="00422FB9">
        <w:tab/>
      </w:r>
      <w:r w:rsidR="00422FB9">
        <w:tab/>
      </w:r>
      <w:r w:rsidR="00422FB9">
        <w:tab/>
      </w:r>
      <w:r w:rsidR="00422FB9">
        <w:tab/>
      </w:r>
      <w:r w:rsidR="00422FB9">
        <w:tab/>
        <w:t>&amp; ECOSWF</w:t>
      </w:r>
      <w:r w:rsidR="00422FB9">
        <w:tab/>
      </w:r>
      <w:r w:rsidR="00422FB9">
        <w:tab/>
        <w:t xml:space="preserve">RSAM; Paragraph 4 – Rate </w:t>
      </w:r>
      <w:r w:rsidR="00422FB9">
        <w:tab/>
      </w:r>
      <w:r w:rsidR="00422FB9">
        <w:tab/>
      </w:r>
      <w:r w:rsidR="00422FB9">
        <w:tab/>
      </w:r>
      <w:r w:rsidR="00422FB9">
        <w:tab/>
      </w:r>
      <w:r w:rsidR="00422FB9">
        <w:tab/>
      </w:r>
      <w:r w:rsidR="00422FB9">
        <w:tab/>
      </w:r>
      <w:r w:rsidR="00422FB9">
        <w:tab/>
      </w:r>
      <w:r w:rsidR="00422FB9">
        <w:tab/>
      </w:r>
      <w:r w:rsidR="00422FB9">
        <w:tab/>
      </w:r>
      <w:r w:rsidR="00422FB9">
        <w:tab/>
        <w:t>increases; Paragraph 20 –</w:t>
      </w:r>
      <w:r w:rsidR="00422FB9">
        <w:tab/>
      </w:r>
      <w:r w:rsidR="00422FB9">
        <w:tab/>
      </w:r>
      <w:r w:rsidR="00422FB9">
        <w:tab/>
      </w:r>
      <w:r w:rsidR="00422FB9">
        <w:tab/>
      </w:r>
      <w:r w:rsidR="00422FB9">
        <w:tab/>
      </w:r>
      <w:r w:rsidR="00422FB9">
        <w:tab/>
      </w:r>
      <w:r w:rsidR="00422FB9">
        <w:tab/>
      </w:r>
      <w:r w:rsidR="00422FB9">
        <w:tab/>
      </w:r>
      <w:r w:rsidR="00422FB9">
        <w:tab/>
      </w:r>
      <w:r w:rsidR="00422FB9">
        <w:tab/>
        <w:t xml:space="preserve">SolarTogether; Paragraph 22 – Solar </w:t>
      </w:r>
      <w:r w:rsidR="00422FB9">
        <w:tab/>
      </w:r>
      <w:r w:rsidR="00422FB9">
        <w:tab/>
      </w:r>
      <w:r w:rsidR="00422FB9">
        <w:tab/>
      </w:r>
      <w:r w:rsidR="00422FB9">
        <w:tab/>
      </w:r>
      <w:r w:rsidR="00422FB9">
        <w:tab/>
      </w:r>
      <w:r w:rsidR="00422FB9">
        <w:tab/>
      </w:r>
      <w:r w:rsidR="00422FB9">
        <w:tab/>
      </w:r>
      <w:r w:rsidR="00422FB9">
        <w:tab/>
      </w:r>
      <w:r w:rsidR="00422FB9">
        <w:tab/>
        <w:t xml:space="preserve">programs, monetizing RECs; </w:t>
      </w:r>
      <w:r w:rsidR="001C0F06">
        <w:tab/>
      </w:r>
      <w:r w:rsidR="001C0F06">
        <w:tab/>
      </w:r>
      <w:r w:rsidR="001C0F06">
        <w:tab/>
      </w:r>
      <w:r w:rsidR="001C0F06">
        <w:tab/>
      </w:r>
      <w:r w:rsidR="001C0F06">
        <w:tab/>
      </w:r>
      <w:r w:rsidR="001C0F06">
        <w:tab/>
      </w:r>
      <w:r w:rsidR="001C0F06">
        <w:tab/>
      </w:r>
      <w:r w:rsidR="001C0F06">
        <w:tab/>
      </w:r>
      <w:r w:rsidR="001C0F06">
        <w:tab/>
      </w:r>
      <w:r w:rsidR="001C0F06">
        <w:tab/>
      </w:r>
      <w:r w:rsidR="00422FB9">
        <w:t xml:space="preserve">Paragraph </w:t>
      </w:r>
      <w:r w:rsidR="001C0F06">
        <w:t xml:space="preserve">6 - $25 minimum fee; </w:t>
      </w:r>
      <w:r w:rsidR="001C0F06">
        <w:tab/>
      </w:r>
      <w:r w:rsidR="001C0F06">
        <w:tab/>
      </w:r>
      <w:r w:rsidR="001C0F06">
        <w:tab/>
      </w:r>
      <w:r w:rsidR="001C0F06">
        <w:tab/>
      </w:r>
      <w:r w:rsidR="001C0F06">
        <w:tab/>
      </w:r>
      <w:r w:rsidR="001C0F06">
        <w:tab/>
      </w:r>
      <w:r w:rsidR="001C0F06">
        <w:tab/>
      </w:r>
      <w:r w:rsidR="001C0F06">
        <w:tab/>
      </w:r>
      <w:r w:rsidR="001C0F06">
        <w:tab/>
        <w:t>Paragraph 26 – Amortization period</w:t>
      </w:r>
    </w:p>
    <w:p w:rsidR="00F90689" w:rsidRDefault="001C0F06" w:rsidP="00FB202F">
      <w:pPr>
        <w:jc w:val="both"/>
        <w:rPr>
          <w:u w:val="single"/>
        </w:rPr>
      </w:pPr>
      <w:r>
        <w:tab/>
      </w:r>
      <w:r>
        <w:tab/>
      </w:r>
      <w:r>
        <w:tab/>
      </w:r>
      <w:r>
        <w:tab/>
      </w:r>
      <w:r>
        <w:tab/>
      </w:r>
      <w:r>
        <w:tab/>
      </w:r>
      <w:r>
        <w:tab/>
      </w:r>
      <w:r>
        <w:tab/>
        <w:t>extension</w:t>
      </w:r>
      <w:r w:rsidR="00422FB9">
        <w:t xml:space="preserve">  </w:t>
      </w:r>
      <w:r w:rsidR="009B1AF7">
        <w:tab/>
      </w:r>
      <w:r w:rsidR="009B1AF7">
        <w:tab/>
      </w:r>
      <w:r w:rsidR="009B1AF7">
        <w:tab/>
      </w:r>
      <w:r w:rsidR="009B1AF7">
        <w:tab/>
        <w:t xml:space="preserve"> </w:t>
      </w:r>
      <w:r w:rsidR="00F90689" w:rsidRPr="00F90689">
        <w:rPr>
          <w:u w:val="single"/>
        </w:rPr>
        <w:t>Direct/Rebuttal</w:t>
      </w:r>
    </w:p>
    <w:p w:rsidR="00F90689" w:rsidRPr="00F90689" w:rsidRDefault="00F90689" w:rsidP="00FB202F">
      <w:pPr>
        <w:jc w:val="both"/>
        <w:rPr>
          <w:u w:val="single"/>
        </w:rPr>
      </w:pPr>
    </w:p>
    <w:p w:rsidR="009B1AF7" w:rsidRDefault="009B1AF7" w:rsidP="00FB202F">
      <w:pPr>
        <w:jc w:val="both"/>
      </w:pPr>
      <w:r>
        <w:t>Robert E. Barrett</w:t>
      </w:r>
      <w:r>
        <w:tab/>
      </w:r>
      <w:r>
        <w:tab/>
      </w:r>
      <w:r>
        <w:tab/>
        <w:t>FPL</w:t>
      </w:r>
      <w:r w:rsidR="00273369">
        <w:tab/>
      </w:r>
      <w:r w:rsidR="00273369">
        <w:tab/>
      </w:r>
      <w:r w:rsidR="00273369">
        <w:tab/>
        <w:t xml:space="preserve">Paragraph 12 – Solar Base Rate </w:t>
      </w:r>
      <w:r w:rsidR="00273369">
        <w:tab/>
      </w:r>
      <w:r w:rsidR="00273369">
        <w:tab/>
      </w:r>
      <w:r w:rsidR="00273369">
        <w:tab/>
      </w:r>
      <w:r w:rsidR="00273369">
        <w:tab/>
      </w:r>
      <w:r w:rsidR="00273369">
        <w:tab/>
      </w:r>
      <w:r w:rsidR="00273369">
        <w:tab/>
      </w:r>
      <w:r w:rsidR="00273369">
        <w:tab/>
      </w:r>
      <w:r w:rsidR="00273369">
        <w:tab/>
      </w:r>
      <w:r w:rsidR="00273369">
        <w:tab/>
        <w:t xml:space="preserve">Adjustment Mechanism; </w:t>
      </w:r>
      <w:r w:rsidR="007E3A27">
        <w:t xml:space="preserve">Paragraph </w:t>
      </w:r>
      <w:r w:rsidR="007E3A27">
        <w:tab/>
      </w:r>
      <w:r w:rsidR="007E3A27">
        <w:tab/>
      </w:r>
      <w:r w:rsidR="007E3A27">
        <w:tab/>
      </w:r>
      <w:r w:rsidR="007E3A27">
        <w:tab/>
      </w:r>
      <w:r w:rsidR="007E3A27">
        <w:tab/>
      </w:r>
      <w:r w:rsidR="007E3A27">
        <w:tab/>
      </w:r>
      <w:r w:rsidR="007E3A27">
        <w:tab/>
      </w:r>
      <w:r w:rsidR="007E3A27">
        <w:tab/>
      </w:r>
      <w:r w:rsidR="007E3A27">
        <w:tab/>
        <w:t xml:space="preserve">16 – Reserve Surplus Amortization </w:t>
      </w:r>
      <w:r w:rsidR="007E3A27">
        <w:tab/>
      </w:r>
      <w:r w:rsidR="007E3A27">
        <w:tab/>
      </w:r>
      <w:r w:rsidR="007E3A27">
        <w:tab/>
      </w:r>
      <w:r w:rsidR="007E3A27">
        <w:tab/>
      </w:r>
      <w:r w:rsidR="007E3A27">
        <w:tab/>
      </w:r>
      <w:r w:rsidR="007E3A27">
        <w:tab/>
      </w:r>
      <w:r w:rsidR="007E3A27">
        <w:tab/>
      </w:r>
      <w:r w:rsidR="007E3A27">
        <w:tab/>
      </w:r>
      <w:r w:rsidR="007E3A27">
        <w:tab/>
        <w:t xml:space="preserve">Mechanism; Paragraph 10 – Storm </w:t>
      </w:r>
      <w:r w:rsidR="007E3A27">
        <w:tab/>
      </w:r>
      <w:r w:rsidR="007E3A27">
        <w:tab/>
      </w:r>
      <w:r w:rsidR="007E3A27">
        <w:tab/>
      </w:r>
      <w:r w:rsidR="007E3A27">
        <w:tab/>
      </w:r>
      <w:r w:rsidR="007E3A27">
        <w:tab/>
      </w:r>
      <w:r w:rsidR="007E3A27">
        <w:tab/>
      </w:r>
      <w:r w:rsidR="007E3A27">
        <w:tab/>
      </w:r>
      <w:r w:rsidR="007E3A27">
        <w:tab/>
      </w:r>
      <w:r w:rsidR="007E3A27">
        <w:tab/>
        <w:t xml:space="preserve">Cost Recovery Mechanism; </w:t>
      </w:r>
      <w:r w:rsidR="007E3A27">
        <w:tab/>
      </w:r>
      <w:r w:rsidR="007E3A27">
        <w:tab/>
      </w:r>
      <w:r w:rsidR="007E3A27">
        <w:tab/>
      </w:r>
      <w:r w:rsidR="007E3A27">
        <w:tab/>
      </w:r>
      <w:r w:rsidR="007E3A27">
        <w:tab/>
      </w:r>
      <w:r w:rsidR="007E3A27">
        <w:tab/>
      </w:r>
      <w:r w:rsidR="007E3A27">
        <w:tab/>
      </w:r>
      <w:r w:rsidR="007E3A27">
        <w:tab/>
      </w:r>
      <w:r w:rsidR="007E3A27">
        <w:tab/>
      </w:r>
      <w:r w:rsidR="007E3A27">
        <w:tab/>
        <w:t xml:space="preserve">Paragraph 3 – ROE Trigger </w:t>
      </w:r>
      <w:r w:rsidR="007E3A27">
        <w:tab/>
      </w:r>
      <w:r w:rsidR="007E3A27">
        <w:tab/>
      </w:r>
      <w:r w:rsidR="007E3A27">
        <w:lastRenderedPageBreak/>
        <w:tab/>
      </w:r>
      <w:r w:rsidR="007E3A27">
        <w:tab/>
      </w:r>
      <w:r w:rsidR="007E3A27">
        <w:tab/>
      </w:r>
      <w:r w:rsidR="007E3A27">
        <w:tab/>
      </w:r>
      <w:r w:rsidR="007E3A27">
        <w:tab/>
      </w:r>
      <w:r w:rsidR="007E3A27">
        <w:tab/>
      </w:r>
      <w:r w:rsidR="007E3A27">
        <w:tab/>
      </w:r>
      <w:r w:rsidR="007E3A27">
        <w:tab/>
        <w:t xml:space="preserve">Mechanism; Paragraph </w:t>
      </w:r>
      <w:r w:rsidR="005164CF">
        <w:t xml:space="preserve">27 – Natural </w:t>
      </w:r>
      <w:r w:rsidR="005164CF">
        <w:tab/>
      </w:r>
      <w:r w:rsidR="005164CF">
        <w:tab/>
      </w:r>
      <w:r w:rsidR="005164CF">
        <w:tab/>
      </w:r>
      <w:r w:rsidR="005164CF">
        <w:tab/>
      </w:r>
      <w:r w:rsidR="005164CF">
        <w:tab/>
      </w:r>
      <w:r w:rsidR="005164CF">
        <w:tab/>
      </w:r>
      <w:r w:rsidR="005164CF">
        <w:tab/>
      </w:r>
      <w:r w:rsidR="005164CF">
        <w:tab/>
      </w:r>
      <w:r w:rsidR="005164CF">
        <w:tab/>
        <w:t>Gas Hedging</w:t>
      </w:r>
      <w:r w:rsidR="007E3A27">
        <w:t xml:space="preserve">  </w:t>
      </w:r>
      <w:r w:rsidR="00273369">
        <w:t xml:space="preserve">  </w:t>
      </w:r>
      <w:r w:rsidR="00273369">
        <w:tab/>
      </w:r>
      <w:r w:rsidR="00273369">
        <w:tab/>
      </w:r>
      <w:r w:rsidR="00273369">
        <w:tab/>
      </w:r>
    </w:p>
    <w:p w:rsidR="009B1AF7" w:rsidRDefault="009B1AF7" w:rsidP="00FB202F">
      <w:pPr>
        <w:jc w:val="both"/>
      </w:pPr>
    </w:p>
    <w:p w:rsidR="009B1AF7" w:rsidRDefault="009B1AF7" w:rsidP="00FB202F">
      <w:pPr>
        <w:jc w:val="both"/>
      </w:pPr>
      <w:r>
        <w:t>Scott R. Bores</w:t>
      </w:r>
      <w:r>
        <w:tab/>
      </w:r>
      <w:r>
        <w:tab/>
      </w:r>
      <w:r>
        <w:tab/>
      </w:r>
      <w:r>
        <w:tab/>
        <w:t>FPL</w:t>
      </w:r>
      <w:r w:rsidR="005164CF">
        <w:tab/>
      </w:r>
      <w:r w:rsidR="005164CF">
        <w:tab/>
      </w:r>
      <w:r w:rsidR="005164CF">
        <w:tab/>
        <w:t xml:space="preserve">Paragraph 20- Extended Solar </w:t>
      </w:r>
      <w:r w:rsidR="005164CF">
        <w:tab/>
      </w:r>
      <w:r w:rsidR="005164CF">
        <w:tab/>
      </w:r>
      <w:r w:rsidR="005164CF">
        <w:tab/>
      </w:r>
      <w:r w:rsidR="005164CF">
        <w:tab/>
      </w:r>
      <w:r w:rsidR="005164CF">
        <w:tab/>
      </w:r>
      <w:r w:rsidR="005164CF">
        <w:tab/>
      </w:r>
      <w:r w:rsidR="005164CF">
        <w:tab/>
      </w:r>
      <w:r w:rsidR="005164CF">
        <w:tab/>
      </w:r>
      <w:r w:rsidR="005164CF">
        <w:tab/>
        <w:t>Together Program; Paragraph 26 –</w:t>
      </w:r>
      <w:r w:rsidR="005164CF">
        <w:tab/>
      </w:r>
      <w:r w:rsidR="005164CF">
        <w:tab/>
      </w:r>
      <w:r w:rsidR="005164CF">
        <w:tab/>
      </w:r>
      <w:r w:rsidR="005164CF">
        <w:tab/>
      </w:r>
      <w:r w:rsidR="005164CF">
        <w:tab/>
      </w:r>
      <w:r w:rsidR="005164CF">
        <w:tab/>
      </w:r>
      <w:r w:rsidR="005164CF">
        <w:tab/>
      </w:r>
      <w:r w:rsidR="005164CF">
        <w:tab/>
      </w:r>
      <w:r w:rsidR="005164CF">
        <w:tab/>
        <w:t xml:space="preserve">Amortization of Accumulated </w:t>
      </w:r>
      <w:r w:rsidR="005164CF">
        <w:tab/>
      </w:r>
      <w:r w:rsidR="005164CF">
        <w:tab/>
      </w:r>
      <w:r w:rsidR="005164CF">
        <w:tab/>
      </w:r>
      <w:r w:rsidR="005164CF">
        <w:tab/>
      </w:r>
      <w:r w:rsidR="005164CF">
        <w:tab/>
      </w:r>
      <w:r w:rsidR="005164CF">
        <w:tab/>
      </w:r>
      <w:r w:rsidR="005164CF">
        <w:tab/>
      </w:r>
      <w:r w:rsidR="005164CF">
        <w:tab/>
      </w:r>
      <w:r w:rsidR="005164CF">
        <w:tab/>
        <w:t xml:space="preserve">Deferred Income Taxes; Paragraph </w:t>
      </w:r>
      <w:r w:rsidR="005164CF">
        <w:tab/>
      </w:r>
      <w:r w:rsidR="005164CF">
        <w:tab/>
      </w:r>
      <w:r w:rsidR="005164CF">
        <w:tab/>
      </w:r>
      <w:r w:rsidR="005164CF">
        <w:tab/>
      </w:r>
      <w:r w:rsidR="005164CF">
        <w:tab/>
      </w:r>
      <w:r w:rsidR="005164CF">
        <w:tab/>
      </w:r>
      <w:r w:rsidR="005164CF">
        <w:tab/>
      </w:r>
      <w:r w:rsidR="005164CF">
        <w:tab/>
      </w:r>
      <w:r w:rsidR="005164CF">
        <w:tab/>
        <w:t xml:space="preserve">13- Tax Reform Mechanism; </w:t>
      </w:r>
      <w:r w:rsidR="005164CF">
        <w:tab/>
      </w:r>
      <w:r w:rsidR="005164CF">
        <w:tab/>
      </w:r>
      <w:r w:rsidR="005164CF">
        <w:tab/>
      </w:r>
      <w:r w:rsidR="005164CF">
        <w:tab/>
      </w:r>
      <w:r w:rsidR="005164CF">
        <w:tab/>
      </w:r>
      <w:r w:rsidR="005164CF">
        <w:tab/>
      </w:r>
      <w:r w:rsidR="005164CF">
        <w:tab/>
      </w:r>
      <w:r w:rsidR="005164CF">
        <w:tab/>
      </w:r>
      <w:r w:rsidR="005164CF">
        <w:tab/>
      </w:r>
      <w:r w:rsidR="005164CF">
        <w:tab/>
        <w:t xml:space="preserve">Paragraph 26 – EADIT; Exhibit E – </w:t>
      </w:r>
      <w:r w:rsidR="005164CF">
        <w:tab/>
      </w:r>
      <w:r w:rsidR="005164CF">
        <w:tab/>
      </w:r>
      <w:r w:rsidR="005164CF">
        <w:tab/>
      </w:r>
      <w:r w:rsidR="005164CF">
        <w:tab/>
      </w:r>
      <w:r w:rsidR="005164CF">
        <w:tab/>
      </w:r>
      <w:r w:rsidR="005164CF">
        <w:tab/>
      </w:r>
      <w:r w:rsidR="005164CF">
        <w:tab/>
      </w:r>
      <w:r w:rsidR="005164CF">
        <w:tab/>
      </w:r>
      <w:r w:rsidR="005164CF">
        <w:tab/>
        <w:t xml:space="preserve">revised Dismantlement Accrual; </w:t>
      </w:r>
      <w:r w:rsidR="009834A8">
        <w:tab/>
      </w:r>
      <w:r w:rsidR="009834A8">
        <w:tab/>
      </w:r>
      <w:r w:rsidR="009834A8">
        <w:tab/>
      </w:r>
      <w:r w:rsidR="009834A8">
        <w:tab/>
      </w:r>
      <w:r w:rsidR="009834A8">
        <w:tab/>
      </w:r>
      <w:r w:rsidR="009834A8">
        <w:tab/>
      </w:r>
      <w:r w:rsidR="009834A8">
        <w:tab/>
      </w:r>
      <w:r w:rsidR="009834A8">
        <w:tab/>
      </w:r>
      <w:r w:rsidR="009834A8">
        <w:tab/>
      </w:r>
      <w:r w:rsidR="005164CF">
        <w:t xml:space="preserve">Paragraphs 17-18 </w:t>
      </w:r>
      <w:r w:rsidR="009834A8">
        <w:t xml:space="preserve">–Depreciation and </w:t>
      </w:r>
      <w:r w:rsidR="009834A8">
        <w:tab/>
      </w:r>
      <w:r w:rsidR="009834A8">
        <w:tab/>
      </w:r>
      <w:r w:rsidR="009834A8">
        <w:tab/>
      </w:r>
      <w:r w:rsidR="009834A8">
        <w:tab/>
      </w:r>
      <w:r w:rsidR="009834A8">
        <w:tab/>
      </w:r>
      <w:r w:rsidR="009834A8">
        <w:tab/>
      </w:r>
      <w:r w:rsidR="009834A8">
        <w:tab/>
      </w:r>
      <w:r w:rsidR="009834A8">
        <w:tab/>
      </w:r>
      <w:r w:rsidR="009834A8">
        <w:tab/>
        <w:t xml:space="preserve">Dismantlement Studies </w:t>
      </w:r>
      <w:r w:rsidR="005164CF">
        <w:t xml:space="preserve">   </w:t>
      </w:r>
    </w:p>
    <w:p w:rsidR="009B1AF7" w:rsidRDefault="009B1AF7" w:rsidP="00FB202F">
      <w:pPr>
        <w:jc w:val="both"/>
      </w:pPr>
    </w:p>
    <w:p w:rsidR="009B1AF7" w:rsidRDefault="009B1AF7" w:rsidP="00FB202F">
      <w:pPr>
        <w:jc w:val="both"/>
      </w:pPr>
      <w:r>
        <w:t>Matthew Valle</w:t>
      </w:r>
      <w:r>
        <w:tab/>
      </w:r>
      <w:r>
        <w:tab/>
      </w:r>
      <w:r>
        <w:tab/>
      </w:r>
      <w:r>
        <w:tab/>
        <w:t>FPL</w:t>
      </w:r>
      <w:r w:rsidR="009834A8">
        <w:tab/>
      </w:r>
      <w:r w:rsidR="009834A8">
        <w:tab/>
      </w:r>
      <w:r w:rsidR="009834A8">
        <w:tab/>
        <w:t xml:space="preserve">Paragraph 20 – Solar Together </w:t>
      </w:r>
      <w:r w:rsidR="009834A8">
        <w:tab/>
      </w:r>
      <w:r w:rsidR="009834A8">
        <w:tab/>
      </w:r>
      <w:r w:rsidR="009834A8">
        <w:tab/>
      </w:r>
      <w:r w:rsidR="009834A8">
        <w:tab/>
      </w:r>
      <w:r w:rsidR="009834A8">
        <w:tab/>
      </w:r>
      <w:r w:rsidR="009834A8">
        <w:tab/>
      </w:r>
      <w:r w:rsidR="009834A8">
        <w:tab/>
      </w:r>
      <w:r w:rsidR="009834A8">
        <w:tab/>
      </w:r>
      <w:r w:rsidR="009834A8">
        <w:tab/>
        <w:t xml:space="preserve">Program; Paragraph 22 – EV </w:t>
      </w:r>
      <w:r w:rsidR="009834A8">
        <w:tab/>
      </w:r>
      <w:r w:rsidR="009834A8">
        <w:tab/>
      </w:r>
      <w:r w:rsidR="009834A8">
        <w:tab/>
      </w:r>
      <w:r w:rsidR="009834A8">
        <w:tab/>
      </w:r>
      <w:r w:rsidR="009834A8">
        <w:tab/>
      </w:r>
      <w:r w:rsidR="009834A8">
        <w:tab/>
      </w:r>
      <w:r w:rsidR="009834A8">
        <w:tab/>
      </w:r>
      <w:r w:rsidR="009834A8">
        <w:tab/>
      </w:r>
      <w:r w:rsidR="009834A8">
        <w:tab/>
      </w:r>
      <w:r w:rsidR="009834A8">
        <w:tab/>
        <w:t xml:space="preserve">Programs; Paragraph 23 –Solar </w:t>
      </w:r>
      <w:r w:rsidR="009834A8">
        <w:tab/>
      </w:r>
      <w:r w:rsidR="009834A8">
        <w:tab/>
      </w:r>
      <w:r w:rsidR="009834A8">
        <w:tab/>
      </w:r>
      <w:r w:rsidR="009834A8">
        <w:tab/>
      </w:r>
      <w:r w:rsidR="009834A8">
        <w:tab/>
      </w:r>
      <w:r w:rsidR="009834A8">
        <w:tab/>
      </w:r>
      <w:r w:rsidR="009834A8">
        <w:tab/>
      </w:r>
      <w:r w:rsidR="009834A8">
        <w:tab/>
      </w:r>
      <w:r w:rsidR="009834A8">
        <w:tab/>
        <w:t xml:space="preserve">Power Facilities Pilot Program </w:t>
      </w:r>
    </w:p>
    <w:p w:rsidR="009B1AF7" w:rsidRDefault="009B1AF7" w:rsidP="00FB202F">
      <w:pPr>
        <w:jc w:val="both"/>
      </w:pPr>
    </w:p>
    <w:p w:rsidR="00D52A4F" w:rsidRDefault="009B1AF7" w:rsidP="00FB202F">
      <w:pPr>
        <w:jc w:val="both"/>
      </w:pPr>
      <w:r>
        <w:t>Tiffany C.</w:t>
      </w:r>
      <w:r w:rsidR="007D37AD">
        <w:t xml:space="preserve"> </w:t>
      </w:r>
      <w:r>
        <w:t>Cohen</w:t>
      </w:r>
      <w:r>
        <w:tab/>
      </w:r>
      <w:r>
        <w:tab/>
      </w:r>
      <w:r>
        <w:tab/>
        <w:t>FPL</w:t>
      </w:r>
      <w:r w:rsidR="009834A8">
        <w:tab/>
      </w:r>
      <w:r w:rsidR="009834A8">
        <w:tab/>
      </w:r>
      <w:r w:rsidR="009834A8">
        <w:tab/>
        <w:t>Rates</w:t>
      </w:r>
    </w:p>
    <w:p w:rsidR="00D52A4F" w:rsidRDefault="00D52A4F" w:rsidP="00FB202F">
      <w:pPr>
        <w:jc w:val="both"/>
      </w:pPr>
    </w:p>
    <w:p w:rsidR="00D52A4F" w:rsidRDefault="00D52A4F" w:rsidP="00FB202F">
      <w:pPr>
        <w:jc w:val="both"/>
      </w:pPr>
    </w:p>
    <w:p w:rsidR="005C77A1" w:rsidRPr="009834A8" w:rsidRDefault="00D52A4F" w:rsidP="00FB202F">
      <w:pPr>
        <w:jc w:val="both"/>
      </w:pPr>
      <w:r>
        <w:tab/>
        <w:t xml:space="preserve">FPL reserves the right to add additional oral rebuttal witnesses to the Settlement Case panel.   </w:t>
      </w:r>
      <w:r w:rsidR="009834A8">
        <w:t xml:space="preserve">   </w:t>
      </w:r>
    </w:p>
    <w:p w:rsidR="005C77A1" w:rsidRDefault="005C77A1" w:rsidP="00FB202F">
      <w:pPr>
        <w:jc w:val="both"/>
        <w:rPr>
          <w:b/>
          <w:u w:val="single"/>
        </w:rPr>
      </w:pPr>
    </w:p>
    <w:p w:rsidR="00D23CC5" w:rsidRPr="00DF6632" w:rsidRDefault="009B4883" w:rsidP="00D23CC5">
      <w:r w:rsidRPr="00D23CC5">
        <w:rPr>
          <w:b/>
        </w:rPr>
        <w:t>V.</w:t>
      </w:r>
      <w:r w:rsidRPr="00D23CC5">
        <w:rPr>
          <w:b/>
        </w:rPr>
        <w:tab/>
      </w:r>
      <w:r w:rsidRPr="00D23CC5">
        <w:rPr>
          <w:b/>
          <w:u w:val="single"/>
        </w:rPr>
        <w:t>Exhibit List</w:t>
      </w:r>
      <w:r w:rsidR="00D23CC5" w:rsidRPr="00D23CC5">
        <w:rPr>
          <w:rStyle w:val="FootnoteReference"/>
          <w:b/>
        </w:rPr>
        <w:footnoteReference w:id="6"/>
      </w:r>
    </w:p>
    <w:p w:rsidR="009B4883" w:rsidRDefault="009B4883" w:rsidP="00FB202F">
      <w:pPr>
        <w:jc w:val="both"/>
        <w:rPr>
          <w:b/>
          <w:u w:val="single"/>
        </w:rPr>
      </w:pPr>
    </w:p>
    <w:p w:rsidR="00DF6632" w:rsidRPr="00DF6632" w:rsidRDefault="00DF6632" w:rsidP="00DF6632">
      <w:pPr>
        <w:jc w:val="center"/>
        <w:rPr>
          <w:b/>
          <w:u w:val="single"/>
        </w:rPr>
      </w:pPr>
      <w:r w:rsidRPr="00DF6632">
        <w:rPr>
          <w:b/>
          <w:u w:val="single"/>
        </w:rPr>
        <w:t>Rate Case</w:t>
      </w:r>
    </w:p>
    <w:p w:rsidR="009B4883" w:rsidRPr="00701945" w:rsidRDefault="009B4883" w:rsidP="009B4883">
      <w:pPr>
        <w:jc w:val="both"/>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9B4883" w:rsidRPr="00701945" w:rsidTr="00FA641F">
        <w:trPr>
          <w:cantSplit/>
          <w:trHeight w:val="373"/>
          <w:tblHeader/>
        </w:trPr>
        <w:tc>
          <w:tcPr>
            <w:tcW w:w="3198" w:type="dxa"/>
          </w:tcPr>
          <w:p w:rsidR="009B4883" w:rsidRPr="00701945" w:rsidRDefault="009B4883" w:rsidP="00FA641F">
            <w:pPr>
              <w:jc w:val="both"/>
            </w:pPr>
            <w:r w:rsidRPr="00701945">
              <w:rPr>
                <w:u w:val="single"/>
              </w:rPr>
              <w:t>Witness</w:t>
            </w:r>
          </w:p>
        </w:tc>
        <w:tc>
          <w:tcPr>
            <w:tcW w:w="1680" w:type="dxa"/>
          </w:tcPr>
          <w:p w:rsidR="009B4883" w:rsidRPr="00701945" w:rsidRDefault="009B4883" w:rsidP="00FA641F">
            <w:pPr>
              <w:jc w:val="center"/>
            </w:pPr>
            <w:r w:rsidRPr="00701945">
              <w:rPr>
                <w:u w:val="single"/>
              </w:rPr>
              <w:t>Proffered By</w:t>
            </w:r>
          </w:p>
        </w:tc>
        <w:tc>
          <w:tcPr>
            <w:tcW w:w="1482" w:type="dxa"/>
          </w:tcPr>
          <w:p w:rsidR="009B4883" w:rsidRPr="004515FB" w:rsidRDefault="009B4883" w:rsidP="00FA641F">
            <w:pPr>
              <w:jc w:val="center"/>
            </w:pPr>
          </w:p>
        </w:tc>
        <w:tc>
          <w:tcPr>
            <w:tcW w:w="3205" w:type="dxa"/>
          </w:tcPr>
          <w:p w:rsidR="009B4883" w:rsidRPr="00701945" w:rsidRDefault="009B4883" w:rsidP="00FA641F">
            <w:pPr>
              <w:jc w:val="both"/>
            </w:pPr>
            <w:r w:rsidRPr="00701945">
              <w:rPr>
                <w:u w:val="single"/>
              </w:rPr>
              <w:t>Description</w:t>
            </w:r>
          </w:p>
        </w:tc>
      </w:tr>
      <w:tr w:rsidR="009B4883" w:rsidRPr="00701945" w:rsidTr="00FA641F">
        <w:trPr>
          <w:cantSplit/>
          <w:trHeight w:val="353"/>
        </w:trPr>
        <w:tc>
          <w:tcPr>
            <w:tcW w:w="3198" w:type="dxa"/>
          </w:tcPr>
          <w:p w:rsidR="009B4883" w:rsidRPr="00701945" w:rsidRDefault="009B4883" w:rsidP="00FA641F">
            <w:pPr>
              <w:jc w:val="both"/>
            </w:pPr>
            <w:r w:rsidRPr="00701945">
              <w:tab/>
            </w:r>
            <w:r w:rsidRPr="00701945">
              <w:rPr>
                <w:u w:val="single"/>
              </w:rPr>
              <w:t>Direct</w:t>
            </w:r>
            <w:r w:rsidR="00BF0EA4">
              <w:rPr>
                <w:u w:val="single"/>
              </w:rPr>
              <w:t>/Rebuttal</w:t>
            </w:r>
          </w:p>
        </w:tc>
        <w:tc>
          <w:tcPr>
            <w:tcW w:w="1680" w:type="dxa"/>
          </w:tcPr>
          <w:p w:rsidR="009B4883" w:rsidRPr="00701945" w:rsidRDefault="009B4883" w:rsidP="00FA641F">
            <w:pPr>
              <w:jc w:val="center"/>
            </w:pPr>
          </w:p>
        </w:tc>
        <w:tc>
          <w:tcPr>
            <w:tcW w:w="1482" w:type="dxa"/>
          </w:tcPr>
          <w:p w:rsidR="009B4883" w:rsidRPr="004515FB" w:rsidRDefault="009B4883" w:rsidP="00FA641F">
            <w:pPr>
              <w:jc w:val="center"/>
            </w:pPr>
          </w:p>
        </w:tc>
        <w:tc>
          <w:tcPr>
            <w:tcW w:w="3205" w:type="dxa"/>
          </w:tcPr>
          <w:p w:rsidR="009B4883" w:rsidRPr="00701945" w:rsidRDefault="009B4883" w:rsidP="00FA641F"/>
        </w:tc>
      </w:tr>
      <w:tr w:rsidR="009B4883" w:rsidRPr="00701945" w:rsidTr="00FA641F">
        <w:trPr>
          <w:cantSplit/>
          <w:trHeight w:val="417"/>
        </w:trPr>
        <w:tc>
          <w:tcPr>
            <w:tcW w:w="3198" w:type="dxa"/>
          </w:tcPr>
          <w:p w:rsidR="009B4883" w:rsidRPr="005C361B" w:rsidRDefault="009B4883" w:rsidP="00FA641F">
            <w:pPr>
              <w:jc w:val="both"/>
            </w:pPr>
            <w:r w:rsidRPr="005C361B">
              <w:t>Eric Silagy</w:t>
            </w:r>
          </w:p>
        </w:tc>
        <w:tc>
          <w:tcPr>
            <w:tcW w:w="1680" w:type="dxa"/>
          </w:tcPr>
          <w:p w:rsidR="009B4883" w:rsidRPr="00701945" w:rsidRDefault="009B4883" w:rsidP="00FA641F">
            <w:pPr>
              <w:jc w:val="center"/>
            </w:pPr>
            <w:r>
              <w:t>FPL</w:t>
            </w:r>
          </w:p>
        </w:tc>
        <w:tc>
          <w:tcPr>
            <w:tcW w:w="1482" w:type="dxa"/>
          </w:tcPr>
          <w:p w:rsidR="009B4883" w:rsidRPr="004515FB" w:rsidRDefault="009B4883" w:rsidP="00FA641F">
            <w:pPr>
              <w:jc w:val="center"/>
            </w:pPr>
            <w:r>
              <w:t>ES-1</w:t>
            </w:r>
          </w:p>
        </w:tc>
        <w:tc>
          <w:tcPr>
            <w:tcW w:w="3205" w:type="dxa"/>
          </w:tcPr>
          <w:p w:rsidR="009B4883" w:rsidRPr="00701945" w:rsidRDefault="009B4883" w:rsidP="00FA641F">
            <w:r w:rsidRPr="005C361B">
              <w:t>Eric Silagy Biography</w:t>
            </w:r>
          </w:p>
        </w:tc>
      </w:tr>
      <w:tr w:rsidR="009B4883" w:rsidRPr="00701945" w:rsidTr="00FA641F">
        <w:trPr>
          <w:cantSplit/>
          <w:trHeight w:val="353"/>
        </w:trPr>
        <w:tc>
          <w:tcPr>
            <w:tcW w:w="3198" w:type="dxa"/>
          </w:tcPr>
          <w:p w:rsidR="009B4883" w:rsidRPr="00701945" w:rsidRDefault="009B4883" w:rsidP="00FA641F">
            <w:pPr>
              <w:jc w:val="both"/>
            </w:pPr>
            <w:r>
              <w:t>Eric Silagy</w:t>
            </w:r>
          </w:p>
        </w:tc>
        <w:tc>
          <w:tcPr>
            <w:tcW w:w="1680" w:type="dxa"/>
          </w:tcPr>
          <w:p w:rsidR="009B4883" w:rsidRPr="00701945" w:rsidRDefault="009B4883" w:rsidP="00FA641F">
            <w:pPr>
              <w:jc w:val="center"/>
            </w:pPr>
            <w:r>
              <w:t>FPL</w:t>
            </w:r>
          </w:p>
        </w:tc>
        <w:tc>
          <w:tcPr>
            <w:tcW w:w="1482" w:type="dxa"/>
          </w:tcPr>
          <w:p w:rsidR="009B4883" w:rsidRPr="004515FB" w:rsidRDefault="009B4883" w:rsidP="00FA641F">
            <w:pPr>
              <w:jc w:val="center"/>
            </w:pPr>
            <w:r>
              <w:t>ES-2</w:t>
            </w:r>
          </w:p>
        </w:tc>
        <w:tc>
          <w:tcPr>
            <w:tcW w:w="3205" w:type="dxa"/>
          </w:tcPr>
          <w:p w:rsidR="009B4883" w:rsidRPr="00701945" w:rsidRDefault="009B4883" w:rsidP="00FA641F">
            <w:r w:rsidRPr="005C361B">
              <w:t>Value Provided to FPL Customers</w:t>
            </w:r>
          </w:p>
        </w:tc>
      </w:tr>
      <w:tr w:rsidR="009B4883" w:rsidRPr="00701945" w:rsidTr="00FA641F">
        <w:trPr>
          <w:cantSplit/>
          <w:trHeight w:val="373"/>
        </w:trPr>
        <w:tc>
          <w:tcPr>
            <w:tcW w:w="3198" w:type="dxa"/>
          </w:tcPr>
          <w:p w:rsidR="009B4883" w:rsidRPr="00701945" w:rsidRDefault="009B4883" w:rsidP="00FA641F">
            <w:pPr>
              <w:jc w:val="both"/>
            </w:pPr>
            <w:r>
              <w:t>Eric Silagy</w:t>
            </w:r>
          </w:p>
        </w:tc>
        <w:tc>
          <w:tcPr>
            <w:tcW w:w="1680" w:type="dxa"/>
          </w:tcPr>
          <w:p w:rsidR="009B4883" w:rsidRPr="00701945" w:rsidRDefault="009B4883" w:rsidP="00FA641F">
            <w:pPr>
              <w:jc w:val="center"/>
            </w:pPr>
            <w:r>
              <w:t>FPL</w:t>
            </w:r>
          </w:p>
        </w:tc>
        <w:tc>
          <w:tcPr>
            <w:tcW w:w="1482" w:type="dxa"/>
          </w:tcPr>
          <w:p w:rsidR="009B4883" w:rsidRPr="004515FB" w:rsidRDefault="009B4883" w:rsidP="00FA641F">
            <w:pPr>
              <w:jc w:val="center"/>
            </w:pPr>
            <w:r>
              <w:t>ES-3</w:t>
            </w:r>
          </w:p>
        </w:tc>
        <w:tc>
          <w:tcPr>
            <w:tcW w:w="3205" w:type="dxa"/>
          </w:tcPr>
          <w:p w:rsidR="009B4883" w:rsidRPr="00701945" w:rsidRDefault="009B4883" w:rsidP="00FA641F">
            <w:r w:rsidRPr="005C361B">
              <w:t>Typical Residential 1,000 kWh Bill</w:t>
            </w:r>
            <w:r>
              <w:t xml:space="preserve"> </w:t>
            </w:r>
            <w:r w:rsidRPr="005C361B">
              <w:t>Comparisons</w:t>
            </w:r>
          </w:p>
        </w:tc>
      </w:tr>
      <w:tr w:rsidR="009B4883" w:rsidRPr="00701945" w:rsidTr="00FA641F">
        <w:trPr>
          <w:cantSplit/>
          <w:trHeight w:val="353"/>
        </w:trPr>
        <w:tc>
          <w:tcPr>
            <w:tcW w:w="3198" w:type="dxa"/>
          </w:tcPr>
          <w:p w:rsidR="009B4883" w:rsidRPr="00701945" w:rsidRDefault="009B4883" w:rsidP="00FA641F">
            <w:pPr>
              <w:jc w:val="both"/>
            </w:pPr>
            <w:r>
              <w:t>Eric Silagy</w:t>
            </w:r>
          </w:p>
        </w:tc>
        <w:tc>
          <w:tcPr>
            <w:tcW w:w="1680" w:type="dxa"/>
          </w:tcPr>
          <w:p w:rsidR="009B4883" w:rsidRPr="00701945" w:rsidRDefault="009B4883" w:rsidP="00FA641F">
            <w:pPr>
              <w:jc w:val="center"/>
            </w:pPr>
            <w:r>
              <w:t>FPL</w:t>
            </w:r>
          </w:p>
        </w:tc>
        <w:tc>
          <w:tcPr>
            <w:tcW w:w="1482" w:type="dxa"/>
          </w:tcPr>
          <w:p w:rsidR="009B4883" w:rsidRPr="004515FB" w:rsidRDefault="009B4883" w:rsidP="00FA641F">
            <w:pPr>
              <w:jc w:val="center"/>
            </w:pPr>
            <w:r>
              <w:t>ES-4</w:t>
            </w:r>
          </w:p>
        </w:tc>
        <w:tc>
          <w:tcPr>
            <w:tcW w:w="3205" w:type="dxa"/>
          </w:tcPr>
          <w:p w:rsidR="009B4883" w:rsidRPr="005C361B" w:rsidRDefault="009B4883" w:rsidP="00FA641F">
            <w:r w:rsidRPr="005C361B">
              <w:t>Gulf Power Operational</w:t>
            </w:r>
          </w:p>
          <w:p w:rsidR="009B4883" w:rsidRPr="00701945" w:rsidRDefault="009B4883" w:rsidP="00FA641F">
            <w:r w:rsidRPr="005C361B">
              <w:t>Improvements</w:t>
            </w:r>
          </w:p>
        </w:tc>
      </w:tr>
      <w:tr w:rsidR="009B4883" w:rsidRPr="00701945" w:rsidTr="00FA641F">
        <w:trPr>
          <w:cantSplit/>
          <w:trHeight w:val="353"/>
        </w:trPr>
        <w:tc>
          <w:tcPr>
            <w:tcW w:w="3198" w:type="dxa"/>
          </w:tcPr>
          <w:p w:rsidR="009B4883" w:rsidRPr="00701945" w:rsidRDefault="009B4883" w:rsidP="00FA641F">
            <w:pPr>
              <w:jc w:val="both"/>
            </w:pPr>
            <w:r>
              <w:lastRenderedPageBreak/>
              <w:t>Eric Silagy</w:t>
            </w:r>
          </w:p>
        </w:tc>
        <w:tc>
          <w:tcPr>
            <w:tcW w:w="1680" w:type="dxa"/>
          </w:tcPr>
          <w:p w:rsidR="009B4883" w:rsidRPr="00701945" w:rsidRDefault="009B4883" w:rsidP="00FA641F">
            <w:pPr>
              <w:jc w:val="center"/>
            </w:pPr>
            <w:r>
              <w:t>FPL</w:t>
            </w:r>
          </w:p>
        </w:tc>
        <w:tc>
          <w:tcPr>
            <w:tcW w:w="1482" w:type="dxa"/>
          </w:tcPr>
          <w:p w:rsidR="009B4883" w:rsidRPr="004515FB" w:rsidRDefault="009B4883" w:rsidP="00FA641F">
            <w:pPr>
              <w:jc w:val="center"/>
            </w:pPr>
            <w:r>
              <w:t>ES-5</w:t>
            </w:r>
          </w:p>
        </w:tc>
        <w:tc>
          <w:tcPr>
            <w:tcW w:w="3205" w:type="dxa"/>
          </w:tcPr>
          <w:p w:rsidR="009B4883" w:rsidRPr="005C361B" w:rsidRDefault="009B4883" w:rsidP="00FA641F">
            <w:r w:rsidRPr="005C361B">
              <w:t>Gulf Power Adjusted O&amp;M</w:t>
            </w:r>
          </w:p>
          <w:p w:rsidR="009B4883" w:rsidRPr="00701945" w:rsidRDefault="009B4883" w:rsidP="00FA641F">
            <w:r w:rsidRPr="005C361B">
              <w:t>Improvements</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both"/>
            </w:pPr>
            <w:r w:rsidRPr="008A43B3">
              <w:t>James M. Coyne</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JMC-1</w:t>
            </w:r>
          </w:p>
        </w:tc>
        <w:tc>
          <w:tcPr>
            <w:tcW w:w="3205" w:type="dxa"/>
            <w:tcBorders>
              <w:top w:val="single" w:sz="4" w:space="0" w:color="auto"/>
              <w:left w:val="single" w:sz="4" w:space="0" w:color="auto"/>
              <w:bottom w:val="single" w:sz="4" w:space="0" w:color="auto"/>
              <w:right w:val="single" w:sz="4" w:space="0" w:color="auto"/>
            </w:tcBorders>
          </w:tcPr>
          <w:p w:rsidR="00DF6632" w:rsidRPr="00701945" w:rsidRDefault="00DF6632" w:rsidP="00FA641F">
            <w:r w:rsidRPr="008A43B3">
              <w:t>Resume and Testimony Listing of</w:t>
            </w:r>
            <w:r>
              <w:t xml:space="preserve"> </w:t>
            </w:r>
            <w:r w:rsidRPr="008A43B3">
              <w:t>James M. Coyne</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both"/>
            </w:pPr>
            <w:r>
              <w:t>James M. Coyne</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JMC-2</w:t>
            </w:r>
          </w:p>
        </w:tc>
        <w:tc>
          <w:tcPr>
            <w:tcW w:w="3205" w:type="dxa"/>
            <w:tcBorders>
              <w:top w:val="single" w:sz="4" w:space="0" w:color="auto"/>
              <w:left w:val="single" w:sz="4" w:space="0" w:color="auto"/>
              <w:bottom w:val="single" w:sz="4" w:space="0" w:color="auto"/>
              <w:right w:val="single" w:sz="4" w:space="0" w:color="auto"/>
            </w:tcBorders>
          </w:tcPr>
          <w:p w:rsidR="00DF6632" w:rsidRPr="00701945" w:rsidRDefault="00DF6632" w:rsidP="00FA641F">
            <w:r w:rsidRPr="008A43B3">
              <w:t>Comprehensive Summary of ROE</w:t>
            </w:r>
            <w:r>
              <w:t xml:space="preserve"> </w:t>
            </w:r>
            <w:r w:rsidRPr="008A43B3">
              <w:t>Results</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both"/>
            </w:pPr>
            <w:r>
              <w:t>James M. Coyne</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JMC-3</w:t>
            </w:r>
          </w:p>
        </w:tc>
        <w:tc>
          <w:tcPr>
            <w:tcW w:w="3205" w:type="dxa"/>
            <w:tcBorders>
              <w:top w:val="single" w:sz="4" w:space="0" w:color="auto"/>
              <w:left w:val="single" w:sz="4" w:space="0" w:color="auto"/>
              <w:bottom w:val="single" w:sz="4" w:space="0" w:color="auto"/>
              <w:right w:val="single" w:sz="4" w:space="0" w:color="auto"/>
            </w:tcBorders>
          </w:tcPr>
          <w:p w:rsidR="00DF6632" w:rsidRPr="00701945" w:rsidRDefault="00DF6632" w:rsidP="00FA641F">
            <w:r w:rsidRPr="008A43B3">
              <w:t>Proxy Group Screening Analysis</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both"/>
            </w:pPr>
            <w:r>
              <w:t>James M. Coyne</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JMC-4</w:t>
            </w:r>
          </w:p>
        </w:tc>
        <w:tc>
          <w:tcPr>
            <w:tcW w:w="3205" w:type="dxa"/>
            <w:tcBorders>
              <w:top w:val="single" w:sz="4" w:space="0" w:color="auto"/>
              <w:left w:val="single" w:sz="4" w:space="0" w:color="auto"/>
              <w:bottom w:val="single" w:sz="4" w:space="0" w:color="auto"/>
              <w:right w:val="single" w:sz="4" w:space="0" w:color="auto"/>
            </w:tcBorders>
          </w:tcPr>
          <w:p w:rsidR="00DF6632" w:rsidRPr="00701945" w:rsidRDefault="00DF6632" w:rsidP="00FA641F">
            <w:r w:rsidRPr="008A43B3">
              <w:t>Constant Growth DCF Analysis</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both"/>
            </w:pPr>
            <w:r>
              <w:t>James M. Coyne</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JMC-5.1</w:t>
            </w:r>
          </w:p>
        </w:tc>
        <w:tc>
          <w:tcPr>
            <w:tcW w:w="3205" w:type="dxa"/>
            <w:tcBorders>
              <w:top w:val="single" w:sz="4" w:space="0" w:color="auto"/>
              <w:left w:val="single" w:sz="4" w:space="0" w:color="auto"/>
              <w:bottom w:val="single" w:sz="4" w:space="0" w:color="auto"/>
              <w:right w:val="single" w:sz="4" w:space="0" w:color="auto"/>
            </w:tcBorders>
          </w:tcPr>
          <w:p w:rsidR="00DF6632" w:rsidRPr="00701945" w:rsidRDefault="00DF6632" w:rsidP="00FA641F">
            <w:r w:rsidRPr="008A43B3">
              <w:t>Market Risk Premium</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both"/>
            </w:pPr>
            <w:r>
              <w:t>James M. Coyne</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JMC-5.2</w:t>
            </w:r>
          </w:p>
        </w:tc>
        <w:tc>
          <w:tcPr>
            <w:tcW w:w="3205" w:type="dxa"/>
            <w:tcBorders>
              <w:top w:val="single" w:sz="4" w:space="0" w:color="auto"/>
              <w:left w:val="single" w:sz="4" w:space="0" w:color="auto"/>
              <w:bottom w:val="single" w:sz="4" w:space="0" w:color="auto"/>
              <w:right w:val="single" w:sz="4" w:space="0" w:color="auto"/>
            </w:tcBorders>
          </w:tcPr>
          <w:p w:rsidR="00DF6632" w:rsidRPr="00701945" w:rsidRDefault="00DF6632" w:rsidP="00FA641F">
            <w:r w:rsidRPr="008A43B3">
              <w:t>CAPM Analysis</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both"/>
            </w:pPr>
            <w:r>
              <w:t>James M. Coyne</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JMC-6</w:t>
            </w:r>
          </w:p>
        </w:tc>
        <w:tc>
          <w:tcPr>
            <w:tcW w:w="3205" w:type="dxa"/>
            <w:tcBorders>
              <w:top w:val="single" w:sz="4" w:space="0" w:color="auto"/>
              <w:left w:val="single" w:sz="4" w:space="0" w:color="auto"/>
              <w:bottom w:val="single" w:sz="4" w:space="0" w:color="auto"/>
              <w:right w:val="single" w:sz="4" w:space="0" w:color="auto"/>
            </w:tcBorders>
          </w:tcPr>
          <w:p w:rsidR="00DF6632" w:rsidRPr="00701945" w:rsidRDefault="00DF6632" w:rsidP="00FA641F">
            <w:r w:rsidRPr="008A43B3">
              <w:t>Risk Premium Analysis</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both"/>
            </w:pPr>
            <w:r>
              <w:t>James M. Coyne</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rsidRPr="008A43B3">
              <w:t>JMC-</w:t>
            </w:r>
            <w:r>
              <w:t>7</w:t>
            </w:r>
          </w:p>
        </w:tc>
        <w:tc>
          <w:tcPr>
            <w:tcW w:w="3205" w:type="dxa"/>
            <w:tcBorders>
              <w:top w:val="single" w:sz="4" w:space="0" w:color="auto"/>
              <w:left w:val="single" w:sz="4" w:space="0" w:color="auto"/>
              <w:bottom w:val="single" w:sz="4" w:space="0" w:color="auto"/>
              <w:right w:val="single" w:sz="4" w:space="0" w:color="auto"/>
            </w:tcBorders>
          </w:tcPr>
          <w:p w:rsidR="00DF6632" w:rsidRPr="00701945" w:rsidRDefault="00DF6632" w:rsidP="00FA641F">
            <w:r w:rsidRPr="008A43B3">
              <w:t>Expected Earnings Analysis</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both"/>
            </w:pPr>
            <w:r>
              <w:t>James M. Coyne</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JMC-8</w:t>
            </w:r>
          </w:p>
        </w:tc>
        <w:tc>
          <w:tcPr>
            <w:tcW w:w="3205" w:type="dxa"/>
            <w:tcBorders>
              <w:top w:val="single" w:sz="4" w:space="0" w:color="auto"/>
              <w:left w:val="single" w:sz="4" w:space="0" w:color="auto"/>
              <w:bottom w:val="single" w:sz="4" w:space="0" w:color="auto"/>
              <w:right w:val="single" w:sz="4" w:space="0" w:color="auto"/>
            </w:tcBorders>
          </w:tcPr>
          <w:p w:rsidR="00DF6632" w:rsidRPr="00701945" w:rsidRDefault="00DF6632" w:rsidP="00FA641F">
            <w:r w:rsidRPr="0026608A">
              <w:t>Capital Expenditures Analysis</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both"/>
            </w:pPr>
            <w:r>
              <w:t>James M. Coyne</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JMC-9</w:t>
            </w:r>
          </w:p>
        </w:tc>
        <w:tc>
          <w:tcPr>
            <w:tcW w:w="3205" w:type="dxa"/>
            <w:tcBorders>
              <w:top w:val="single" w:sz="4" w:space="0" w:color="auto"/>
              <w:left w:val="single" w:sz="4" w:space="0" w:color="auto"/>
              <w:bottom w:val="single" w:sz="4" w:space="0" w:color="auto"/>
              <w:right w:val="single" w:sz="4" w:space="0" w:color="auto"/>
            </w:tcBorders>
          </w:tcPr>
          <w:p w:rsidR="00DF6632" w:rsidRPr="00701945" w:rsidRDefault="00DF6632" w:rsidP="00FA641F">
            <w:r w:rsidRPr="0026608A">
              <w:t>Regulatory Risk Assessment</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both"/>
            </w:pPr>
            <w:r>
              <w:t>James M. Coyne</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JMC-10</w:t>
            </w:r>
          </w:p>
        </w:tc>
        <w:tc>
          <w:tcPr>
            <w:tcW w:w="3205" w:type="dxa"/>
            <w:tcBorders>
              <w:top w:val="single" w:sz="4" w:space="0" w:color="auto"/>
              <w:left w:val="single" w:sz="4" w:space="0" w:color="auto"/>
              <w:bottom w:val="single" w:sz="4" w:space="0" w:color="auto"/>
              <w:right w:val="single" w:sz="4" w:space="0" w:color="auto"/>
            </w:tcBorders>
          </w:tcPr>
          <w:p w:rsidR="00DF6632" w:rsidRPr="00701945" w:rsidRDefault="00DF6632" w:rsidP="00FA641F">
            <w:r w:rsidRPr="0026608A">
              <w:t>Flotation Cost Analysis</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both"/>
            </w:pPr>
            <w:r>
              <w:t>James M. Coyne</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JMC-11</w:t>
            </w:r>
          </w:p>
        </w:tc>
        <w:tc>
          <w:tcPr>
            <w:tcW w:w="3205" w:type="dxa"/>
            <w:tcBorders>
              <w:top w:val="single" w:sz="4" w:space="0" w:color="auto"/>
              <w:left w:val="single" w:sz="4" w:space="0" w:color="auto"/>
              <w:bottom w:val="single" w:sz="4" w:space="0" w:color="auto"/>
              <w:right w:val="single" w:sz="4" w:space="0" w:color="auto"/>
            </w:tcBorders>
          </w:tcPr>
          <w:p w:rsidR="00DF6632" w:rsidRPr="00701945" w:rsidRDefault="00DF6632" w:rsidP="00FA641F">
            <w:r w:rsidRPr="0026608A">
              <w:t>Capital Structure Analysis</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5C361B" w:rsidRDefault="00DF6632" w:rsidP="00FA641F">
            <w:pPr>
              <w:jc w:val="both"/>
            </w:pPr>
            <w:r w:rsidRPr="005C361B">
              <w:t>Robert E. Barrett</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REB-1</w:t>
            </w:r>
          </w:p>
        </w:tc>
        <w:tc>
          <w:tcPr>
            <w:tcW w:w="3205" w:type="dxa"/>
            <w:tcBorders>
              <w:top w:val="single" w:sz="4" w:space="0" w:color="auto"/>
              <w:left w:val="single" w:sz="4" w:space="0" w:color="auto"/>
              <w:bottom w:val="single" w:sz="4" w:space="0" w:color="auto"/>
              <w:right w:val="single" w:sz="4" w:space="0" w:color="auto"/>
            </w:tcBorders>
          </w:tcPr>
          <w:p w:rsidR="00DF6632" w:rsidRPr="00701945" w:rsidRDefault="00DF6632" w:rsidP="00FA641F">
            <w:r w:rsidRPr="005C361B">
              <w:t>Consolidated MFRs Sponsored or</w:t>
            </w:r>
            <w:r>
              <w:t xml:space="preserve"> </w:t>
            </w:r>
            <w:r w:rsidRPr="005C361B">
              <w:t>Co-sponsored by Robert E. Barrett</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both"/>
            </w:pPr>
            <w:r>
              <w:t>Robert E. Barrett</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REB-2</w:t>
            </w:r>
          </w:p>
        </w:tc>
        <w:tc>
          <w:tcPr>
            <w:tcW w:w="3205" w:type="dxa"/>
            <w:tcBorders>
              <w:top w:val="single" w:sz="4" w:space="0" w:color="auto"/>
              <w:left w:val="single" w:sz="4" w:space="0" w:color="auto"/>
              <w:bottom w:val="single" w:sz="4" w:space="0" w:color="auto"/>
              <w:right w:val="single" w:sz="4" w:space="0" w:color="auto"/>
            </w:tcBorders>
          </w:tcPr>
          <w:p w:rsidR="00DF6632" w:rsidRPr="005C361B" w:rsidRDefault="00DF6632" w:rsidP="00FA641F">
            <w:r w:rsidRPr="005C361B">
              <w:t>Supplemental FPL and Gulf</w:t>
            </w:r>
          </w:p>
          <w:p w:rsidR="00DF6632" w:rsidRPr="00701945" w:rsidRDefault="00DF6632" w:rsidP="00FA641F">
            <w:r w:rsidRPr="005C361B">
              <w:t>Standalone Information in MFR</w:t>
            </w:r>
            <w:r>
              <w:t xml:space="preserve"> </w:t>
            </w:r>
            <w:r w:rsidRPr="005C361B">
              <w:t>Format Sponsored or Co-Sponsored</w:t>
            </w:r>
            <w:r>
              <w:t xml:space="preserve"> </w:t>
            </w:r>
            <w:r w:rsidRPr="005C361B">
              <w:t>by Robert E. Barrett</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both"/>
            </w:pPr>
            <w:r>
              <w:t>Robert E. Barrett</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REB-3</w:t>
            </w:r>
          </w:p>
        </w:tc>
        <w:tc>
          <w:tcPr>
            <w:tcW w:w="3205" w:type="dxa"/>
            <w:tcBorders>
              <w:top w:val="single" w:sz="4" w:space="0" w:color="auto"/>
              <w:left w:val="single" w:sz="4" w:space="0" w:color="auto"/>
              <w:bottom w:val="single" w:sz="4" w:space="0" w:color="auto"/>
              <w:right w:val="single" w:sz="4" w:space="0" w:color="auto"/>
            </w:tcBorders>
          </w:tcPr>
          <w:p w:rsidR="00DF6632" w:rsidRPr="00701945" w:rsidRDefault="00DF6632" w:rsidP="00FA641F">
            <w:r w:rsidRPr="005C361B">
              <w:t>FPL’s Virtuous Circle</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both"/>
            </w:pPr>
            <w:r>
              <w:t>Robert E. Barrett</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center"/>
            </w:pPr>
            <w:r w:rsidRPr="005C361B">
              <w:t>FPL</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REB-4</w:t>
            </w:r>
          </w:p>
        </w:tc>
        <w:tc>
          <w:tcPr>
            <w:tcW w:w="3205" w:type="dxa"/>
            <w:tcBorders>
              <w:top w:val="single" w:sz="4" w:space="0" w:color="auto"/>
              <w:left w:val="single" w:sz="4" w:space="0" w:color="auto"/>
              <w:bottom w:val="single" w:sz="4" w:space="0" w:color="auto"/>
              <w:right w:val="single" w:sz="4" w:space="0" w:color="auto"/>
            </w:tcBorders>
          </w:tcPr>
          <w:p w:rsidR="00DF6632" w:rsidRPr="005C361B" w:rsidRDefault="00DF6632" w:rsidP="00FA641F">
            <w:r w:rsidRPr="005C361B">
              <w:t>Average Annual Capital</w:t>
            </w:r>
          </w:p>
          <w:p w:rsidR="00DF6632" w:rsidRPr="00701945" w:rsidRDefault="00DF6632" w:rsidP="00FA641F">
            <w:r w:rsidRPr="005C361B">
              <w:t>Expenditures by Industry</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both"/>
            </w:pPr>
            <w:r>
              <w:lastRenderedPageBreak/>
              <w:t>Robert E. Barrett</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REB-5</w:t>
            </w:r>
          </w:p>
        </w:tc>
        <w:tc>
          <w:tcPr>
            <w:tcW w:w="3205" w:type="dxa"/>
            <w:tcBorders>
              <w:top w:val="single" w:sz="4" w:space="0" w:color="auto"/>
              <w:left w:val="single" w:sz="4" w:space="0" w:color="auto"/>
              <w:bottom w:val="single" w:sz="4" w:space="0" w:color="auto"/>
              <w:right w:val="single" w:sz="4" w:space="0" w:color="auto"/>
            </w:tcBorders>
          </w:tcPr>
          <w:p w:rsidR="00DF6632" w:rsidRPr="00701945" w:rsidRDefault="00DF6632" w:rsidP="00FA641F">
            <w:r w:rsidRPr="005C361B">
              <w:t>PP&amp;E Replenishment Profile</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both"/>
            </w:pPr>
            <w:r>
              <w:t>Robert E. Barrett</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REB-6</w:t>
            </w:r>
          </w:p>
        </w:tc>
        <w:tc>
          <w:tcPr>
            <w:tcW w:w="3205" w:type="dxa"/>
            <w:tcBorders>
              <w:top w:val="single" w:sz="4" w:space="0" w:color="auto"/>
              <w:left w:val="single" w:sz="4" w:space="0" w:color="auto"/>
              <w:bottom w:val="single" w:sz="4" w:space="0" w:color="auto"/>
              <w:right w:val="single" w:sz="4" w:space="0" w:color="auto"/>
            </w:tcBorders>
          </w:tcPr>
          <w:p w:rsidR="00DF6632" w:rsidRPr="00701945" w:rsidRDefault="00DF6632" w:rsidP="00FA641F">
            <w:r w:rsidRPr="005C361B">
              <w:t>Historical Hurricane Probabilities by</w:t>
            </w:r>
            <w:r>
              <w:t xml:space="preserve"> </w:t>
            </w:r>
            <w:r w:rsidRPr="005C361B">
              <w:t>State</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both"/>
            </w:pPr>
            <w:r>
              <w:t>Robert E. Barrett</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REB-7</w:t>
            </w:r>
          </w:p>
        </w:tc>
        <w:tc>
          <w:tcPr>
            <w:tcW w:w="3205" w:type="dxa"/>
            <w:tcBorders>
              <w:top w:val="single" w:sz="4" w:space="0" w:color="auto"/>
              <w:left w:val="single" w:sz="4" w:space="0" w:color="auto"/>
              <w:bottom w:val="single" w:sz="4" w:space="0" w:color="auto"/>
              <w:right w:val="single" w:sz="4" w:space="0" w:color="auto"/>
            </w:tcBorders>
          </w:tcPr>
          <w:p w:rsidR="00DF6632" w:rsidRPr="00701945" w:rsidRDefault="00DF6632" w:rsidP="00FA641F">
            <w:r w:rsidRPr="005C361B">
              <w:t>Annual Average Number of Storms</w:t>
            </w:r>
            <w:r>
              <w:t xml:space="preserve"> </w:t>
            </w:r>
            <w:r w:rsidRPr="005C361B">
              <w:t>by Decade</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both"/>
            </w:pPr>
            <w:r>
              <w:t>Robert E. Barrett</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REB-8</w:t>
            </w:r>
          </w:p>
        </w:tc>
        <w:tc>
          <w:tcPr>
            <w:tcW w:w="3205" w:type="dxa"/>
            <w:tcBorders>
              <w:top w:val="single" w:sz="4" w:space="0" w:color="auto"/>
              <w:left w:val="single" w:sz="4" w:space="0" w:color="auto"/>
              <w:bottom w:val="single" w:sz="4" w:space="0" w:color="auto"/>
              <w:right w:val="single" w:sz="4" w:space="0" w:color="auto"/>
            </w:tcBorders>
          </w:tcPr>
          <w:p w:rsidR="00DF6632" w:rsidRPr="001E14D5" w:rsidRDefault="00DF6632" w:rsidP="00FA641F">
            <w:r w:rsidRPr="001E14D5">
              <w:t>Regional Comparison: Key</w:t>
            </w:r>
          </w:p>
          <w:p w:rsidR="00DF6632" w:rsidRPr="00701945" w:rsidRDefault="00DF6632" w:rsidP="00FA641F">
            <w:r w:rsidRPr="001E14D5">
              <w:t>Performance Metrics</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both"/>
            </w:pPr>
            <w:r>
              <w:t>Robert E. Barrett</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REB-9</w:t>
            </w:r>
          </w:p>
        </w:tc>
        <w:tc>
          <w:tcPr>
            <w:tcW w:w="3205" w:type="dxa"/>
            <w:tcBorders>
              <w:top w:val="single" w:sz="4" w:space="0" w:color="auto"/>
              <w:left w:val="single" w:sz="4" w:space="0" w:color="auto"/>
              <w:bottom w:val="single" w:sz="4" w:space="0" w:color="auto"/>
              <w:right w:val="single" w:sz="4" w:space="0" w:color="auto"/>
            </w:tcBorders>
          </w:tcPr>
          <w:p w:rsidR="00DF6632" w:rsidRPr="00701945" w:rsidRDefault="00DF6632" w:rsidP="00FA641F">
            <w:r w:rsidRPr="001E14D5">
              <w:t>Non-Fuel O&amp;M per Retail MWh</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both"/>
            </w:pPr>
            <w:r w:rsidRPr="001E14D5">
              <w:t>Robert E. Barrett</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REB-10</w:t>
            </w:r>
          </w:p>
        </w:tc>
        <w:tc>
          <w:tcPr>
            <w:tcW w:w="3205" w:type="dxa"/>
            <w:tcBorders>
              <w:top w:val="single" w:sz="4" w:space="0" w:color="auto"/>
              <w:left w:val="single" w:sz="4" w:space="0" w:color="auto"/>
              <w:bottom w:val="single" w:sz="4" w:space="0" w:color="auto"/>
              <w:right w:val="single" w:sz="4" w:space="0" w:color="auto"/>
            </w:tcBorders>
          </w:tcPr>
          <w:p w:rsidR="00DF6632" w:rsidRPr="00701945" w:rsidRDefault="00DF6632" w:rsidP="00FA641F">
            <w:r w:rsidRPr="001E14D5">
              <w:t>Storm Cost Recovery Mechanism</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Default="00DF6632" w:rsidP="00FA641F">
            <w:pPr>
              <w:jc w:val="both"/>
            </w:pPr>
            <w:r>
              <w:t>Robert E. Barrett</w:t>
            </w:r>
          </w:p>
          <w:p w:rsidR="00DF6632" w:rsidRPr="00701945" w:rsidRDefault="00DF6632" w:rsidP="00FA641F">
            <w:pPr>
              <w:jc w:val="both"/>
            </w:pPr>
            <w:r>
              <w:t>Keith Ferguson</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REB-11</w:t>
            </w:r>
          </w:p>
        </w:tc>
        <w:tc>
          <w:tcPr>
            <w:tcW w:w="3205" w:type="dxa"/>
            <w:tcBorders>
              <w:top w:val="single" w:sz="4" w:space="0" w:color="auto"/>
              <w:left w:val="single" w:sz="4" w:space="0" w:color="auto"/>
              <w:bottom w:val="single" w:sz="4" w:space="0" w:color="auto"/>
              <w:right w:val="single" w:sz="4" w:space="0" w:color="auto"/>
            </w:tcBorders>
          </w:tcPr>
          <w:p w:rsidR="00DF6632" w:rsidRPr="001E14D5" w:rsidRDefault="00DF6632" w:rsidP="00FA641F">
            <w:r w:rsidRPr="001E14D5">
              <w:t>Reserve Surplus Amortization</w:t>
            </w:r>
          </w:p>
          <w:p w:rsidR="00DF6632" w:rsidRPr="00701945" w:rsidRDefault="00DF6632" w:rsidP="00FA641F">
            <w:r w:rsidRPr="001E14D5">
              <w:t>Mechanism</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Default="00DF6632" w:rsidP="00FA641F">
            <w:pPr>
              <w:jc w:val="both"/>
            </w:pPr>
            <w:r>
              <w:t>Robert E. Barrett</w:t>
            </w:r>
          </w:p>
          <w:p w:rsidR="00DF6632" w:rsidRDefault="00DF6632" w:rsidP="00FA641F">
            <w:pPr>
              <w:jc w:val="both"/>
            </w:pPr>
            <w:r>
              <w:t>Liz Fuentes,</w:t>
            </w:r>
          </w:p>
          <w:p w:rsidR="00DF6632" w:rsidRDefault="00DF6632" w:rsidP="00FA641F">
            <w:pPr>
              <w:jc w:val="both"/>
            </w:pPr>
            <w:r>
              <w:t>Matthew Valle,</w:t>
            </w:r>
          </w:p>
          <w:p w:rsidR="00DF6632" w:rsidRPr="00701945" w:rsidRDefault="00DF6632" w:rsidP="00FA641F">
            <w:pPr>
              <w:jc w:val="both"/>
            </w:pPr>
            <w:r>
              <w:t>Tiffany C. Cohen</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center"/>
            </w:pPr>
            <w:r w:rsidRPr="001E14D5">
              <w:t>FPL</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REB-12</w:t>
            </w:r>
          </w:p>
        </w:tc>
        <w:tc>
          <w:tcPr>
            <w:tcW w:w="3205" w:type="dxa"/>
            <w:tcBorders>
              <w:top w:val="single" w:sz="4" w:space="0" w:color="auto"/>
              <w:left w:val="single" w:sz="4" w:space="0" w:color="auto"/>
              <w:bottom w:val="single" w:sz="4" w:space="0" w:color="auto"/>
              <w:right w:val="single" w:sz="4" w:space="0" w:color="auto"/>
            </w:tcBorders>
          </w:tcPr>
          <w:p w:rsidR="00DF6632" w:rsidRPr="001E14D5" w:rsidRDefault="00DF6632" w:rsidP="00FA641F">
            <w:r w:rsidRPr="001E14D5">
              <w:t>Solar Base Rate Adjustment</w:t>
            </w:r>
          </w:p>
          <w:p w:rsidR="00DF6632" w:rsidRPr="00701945" w:rsidRDefault="00DF6632" w:rsidP="00FA641F">
            <w:r w:rsidRPr="001E14D5">
              <w:t>Mechanism</w:t>
            </w:r>
          </w:p>
        </w:tc>
      </w:tr>
      <w:tr w:rsidR="00BF0EA4"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BF0EA4" w:rsidRPr="00BF0EA4" w:rsidRDefault="00BF0EA4" w:rsidP="00BF0EA4">
            <w:pPr>
              <w:jc w:val="center"/>
              <w:rPr>
                <w:u w:val="single"/>
              </w:rPr>
            </w:pPr>
            <w:r w:rsidRPr="00BF0EA4">
              <w:rPr>
                <w:u w:val="single"/>
              </w:rPr>
              <w:t>Intervenor</w:t>
            </w:r>
          </w:p>
        </w:tc>
        <w:tc>
          <w:tcPr>
            <w:tcW w:w="1680" w:type="dxa"/>
            <w:tcBorders>
              <w:top w:val="single" w:sz="4" w:space="0" w:color="auto"/>
              <w:left w:val="single" w:sz="4" w:space="0" w:color="auto"/>
              <w:bottom w:val="single" w:sz="4" w:space="0" w:color="auto"/>
              <w:right w:val="single" w:sz="4" w:space="0" w:color="auto"/>
            </w:tcBorders>
          </w:tcPr>
          <w:p w:rsidR="00BF0EA4" w:rsidRDefault="00BF0EA4" w:rsidP="00FA641F">
            <w:pPr>
              <w:jc w:val="center"/>
            </w:pPr>
          </w:p>
        </w:tc>
        <w:tc>
          <w:tcPr>
            <w:tcW w:w="1482" w:type="dxa"/>
            <w:tcBorders>
              <w:top w:val="single" w:sz="4" w:space="0" w:color="auto"/>
              <w:left w:val="single" w:sz="4" w:space="0" w:color="auto"/>
              <w:bottom w:val="single" w:sz="4" w:space="0" w:color="auto"/>
              <w:right w:val="single" w:sz="4" w:space="0" w:color="auto"/>
            </w:tcBorders>
          </w:tcPr>
          <w:p w:rsidR="00BF0EA4" w:rsidRDefault="00BF0EA4" w:rsidP="00FA641F">
            <w:pPr>
              <w:jc w:val="center"/>
            </w:pPr>
          </w:p>
        </w:tc>
        <w:tc>
          <w:tcPr>
            <w:tcW w:w="3205" w:type="dxa"/>
            <w:tcBorders>
              <w:top w:val="single" w:sz="4" w:space="0" w:color="auto"/>
              <w:left w:val="single" w:sz="4" w:space="0" w:color="auto"/>
              <w:bottom w:val="single" w:sz="4" w:space="0" w:color="auto"/>
              <w:right w:val="single" w:sz="4" w:space="0" w:color="auto"/>
            </w:tcBorders>
          </w:tcPr>
          <w:p w:rsidR="00BF0EA4" w:rsidRPr="00C8628F" w:rsidRDefault="00BF0EA4" w:rsidP="00FA641F"/>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C8628F" w:rsidRDefault="00DF6632" w:rsidP="00FA641F">
            <w:pPr>
              <w:jc w:val="both"/>
            </w:pPr>
            <w:r w:rsidRPr="00C8628F">
              <w:t>John Thomas Herndon</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center"/>
            </w:pPr>
            <w:r>
              <w:t>FAIR</w:t>
            </w:r>
            <w:r w:rsidR="00FA641F">
              <w:t>/FL Rising</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JTH-1</w:t>
            </w:r>
          </w:p>
        </w:tc>
        <w:tc>
          <w:tcPr>
            <w:tcW w:w="3205" w:type="dxa"/>
            <w:tcBorders>
              <w:top w:val="single" w:sz="4" w:space="0" w:color="auto"/>
              <w:left w:val="single" w:sz="4" w:space="0" w:color="auto"/>
              <w:bottom w:val="single" w:sz="4" w:space="0" w:color="auto"/>
              <w:right w:val="single" w:sz="4" w:space="0" w:color="auto"/>
            </w:tcBorders>
          </w:tcPr>
          <w:p w:rsidR="00DF6632" w:rsidRPr="00701945" w:rsidRDefault="00DF6632" w:rsidP="00FA641F">
            <w:r w:rsidRPr="00C8628F">
              <w:t>Résumé of John Thomas Herndon</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C8628F" w:rsidRDefault="00DF6632" w:rsidP="00FA641F">
            <w:pPr>
              <w:jc w:val="both"/>
            </w:pPr>
            <w:r w:rsidRPr="00C8628F">
              <w:t>John Thomas Herndon</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center"/>
            </w:pPr>
            <w:r>
              <w:t>FAIR</w:t>
            </w:r>
            <w:r w:rsidR="00FA641F">
              <w:t>/FL Rising</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JTH-2</w:t>
            </w:r>
          </w:p>
        </w:tc>
        <w:tc>
          <w:tcPr>
            <w:tcW w:w="3205" w:type="dxa"/>
            <w:tcBorders>
              <w:top w:val="single" w:sz="4" w:space="0" w:color="auto"/>
              <w:left w:val="single" w:sz="4" w:space="0" w:color="auto"/>
              <w:bottom w:val="single" w:sz="4" w:space="0" w:color="auto"/>
              <w:right w:val="single" w:sz="4" w:space="0" w:color="auto"/>
            </w:tcBorders>
          </w:tcPr>
          <w:p w:rsidR="00DF6632" w:rsidRPr="00701945" w:rsidRDefault="00DF6632" w:rsidP="00FA641F">
            <w:r w:rsidRPr="00C8628F">
              <w:t>PSC Rate Case History Report</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C8628F" w:rsidRDefault="00DF6632" w:rsidP="00FA641F">
            <w:pPr>
              <w:jc w:val="both"/>
            </w:pPr>
            <w:r w:rsidRPr="00C8628F">
              <w:t>John Thomas Herndon</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center"/>
            </w:pPr>
            <w:r>
              <w:t>FAIR</w:t>
            </w:r>
            <w:r w:rsidR="00FA641F">
              <w:t>/FL Rising</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JTH-3</w:t>
            </w:r>
          </w:p>
        </w:tc>
        <w:tc>
          <w:tcPr>
            <w:tcW w:w="3205" w:type="dxa"/>
            <w:tcBorders>
              <w:top w:val="single" w:sz="4" w:space="0" w:color="auto"/>
              <w:left w:val="single" w:sz="4" w:space="0" w:color="auto"/>
              <w:bottom w:val="single" w:sz="4" w:space="0" w:color="auto"/>
              <w:right w:val="single" w:sz="4" w:space="0" w:color="auto"/>
            </w:tcBorders>
          </w:tcPr>
          <w:p w:rsidR="00DF6632" w:rsidRPr="00701945" w:rsidRDefault="00DF6632" w:rsidP="00FA641F">
            <w:r w:rsidRPr="00C8628F">
              <w:t>FAIR’s Articles of Incorporation</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C8628F" w:rsidRDefault="00DF6632" w:rsidP="00FA641F">
            <w:pPr>
              <w:jc w:val="both"/>
            </w:pPr>
            <w:r w:rsidRPr="00C8628F">
              <w:t>John Thomas Herndon</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center"/>
            </w:pPr>
            <w:r>
              <w:t>FAIR</w:t>
            </w:r>
            <w:r w:rsidR="00FA641F">
              <w:t>/FL Rising</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JTH-4</w:t>
            </w:r>
          </w:p>
        </w:tc>
        <w:tc>
          <w:tcPr>
            <w:tcW w:w="3205" w:type="dxa"/>
            <w:tcBorders>
              <w:top w:val="single" w:sz="4" w:space="0" w:color="auto"/>
              <w:left w:val="single" w:sz="4" w:space="0" w:color="auto"/>
              <w:bottom w:val="single" w:sz="4" w:space="0" w:color="auto"/>
              <w:right w:val="single" w:sz="4" w:space="0" w:color="auto"/>
            </w:tcBorders>
          </w:tcPr>
          <w:p w:rsidR="00DF6632" w:rsidRPr="00701945" w:rsidRDefault="00DF6632" w:rsidP="00FA641F">
            <w:r w:rsidRPr="00C8628F">
              <w:t>FAIR’s Membership Application</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C8628F" w:rsidRDefault="00DF6632" w:rsidP="00FA641F">
            <w:pPr>
              <w:jc w:val="both"/>
            </w:pPr>
            <w:r w:rsidRPr="00C8628F">
              <w:t>John Thomas Herndon</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center"/>
            </w:pPr>
            <w:r>
              <w:t>FAIR</w:t>
            </w:r>
            <w:r w:rsidR="00FA641F">
              <w:t>/FL Rising</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JTH-5</w:t>
            </w:r>
          </w:p>
        </w:tc>
        <w:tc>
          <w:tcPr>
            <w:tcW w:w="3205" w:type="dxa"/>
            <w:tcBorders>
              <w:top w:val="single" w:sz="4" w:space="0" w:color="auto"/>
              <w:left w:val="single" w:sz="4" w:space="0" w:color="auto"/>
              <w:bottom w:val="single" w:sz="4" w:space="0" w:color="auto"/>
              <w:right w:val="single" w:sz="4" w:space="0" w:color="auto"/>
            </w:tcBorders>
          </w:tcPr>
          <w:p w:rsidR="00DF6632" w:rsidRPr="00701945" w:rsidRDefault="00DF6632" w:rsidP="00FA641F">
            <w:r w:rsidRPr="00C8628F">
              <w:t>FPL’s Proposed Rate Increases, Annually and Cumulative 2022-2025</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C8628F" w:rsidRDefault="00DF6632" w:rsidP="00FA641F">
            <w:pPr>
              <w:jc w:val="both"/>
            </w:pPr>
            <w:r w:rsidRPr="00C8628F">
              <w:t>Nancy H. Watkins</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DF6632" w:rsidP="00FA641F">
            <w:pPr>
              <w:jc w:val="center"/>
            </w:pPr>
            <w:r>
              <w:t>FAIR</w:t>
            </w:r>
            <w:r w:rsidR="00FA641F">
              <w:t>/FL Rising</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NHW-1</w:t>
            </w:r>
          </w:p>
        </w:tc>
        <w:tc>
          <w:tcPr>
            <w:tcW w:w="3205" w:type="dxa"/>
            <w:tcBorders>
              <w:top w:val="single" w:sz="4" w:space="0" w:color="auto"/>
              <w:left w:val="single" w:sz="4" w:space="0" w:color="auto"/>
              <w:bottom w:val="single" w:sz="4" w:space="0" w:color="auto"/>
              <w:right w:val="single" w:sz="4" w:space="0" w:color="auto"/>
            </w:tcBorders>
          </w:tcPr>
          <w:p w:rsidR="00DF6632" w:rsidRPr="00701945" w:rsidRDefault="00DF6632" w:rsidP="00FA641F">
            <w:r w:rsidRPr="00C8628F">
              <w:t>Résumé of Nancy H. Watkins</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C8628F" w:rsidRDefault="00DF6632" w:rsidP="00FA641F">
            <w:pPr>
              <w:jc w:val="both"/>
            </w:pPr>
            <w:r w:rsidRPr="00C8628F">
              <w:t>Nancy H. Watkins</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FA641F" w:rsidP="00FA641F">
            <w:pPr>
              <w:jc w:val="center"/>
            </w:pPr>
            <w:r>
              <w:t>FAIR/FL Rising</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NHW-2</w:t>
            </w:r>
          </w:p>
        </w:tc>
        <w:tc>
          <w:tcPr>
            <w:tcW w:w="3205" w:type="dxa"/>
            <w:tcBorders>
              <w:top w:val="single" w:sz="4" w:space="0" w:color="auto"/>
              <w:left w:val="single" w:sz="4" w:space="0" w:color="auto"/>
              <w:bottom w:val="single" w:sz="4" w:space="0" w:color="auto"/>
              <w:right w:val="single" w:sz="4" w:space="0" w:color="auto"/>
            </w:tcBorders>
          </w:tcPr>
          <w:p w:rsidR="00DF6632" w:rsidRPr="00701945" w:rsidRDefault="00DF6632" w:rsidP="00FA641F">
            <w:r w:rsidRPr="00C8628F">
              <w:t>FAIR’s Articles of Incorporation</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C8628F" w:rsidRDefault="00DF6632" w:rsidP="00FA641F">
            <w:pPr>
              <w:jc w:val="both"/>
            </w:pPr>
            <w:r w:rsidRPr="00C8628F">
              <w:lastRenderedPageBreak/>
              <w:t>Nancy H. Watkins</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FA641F" w:rsidP="00FA641F">
            <w:pPr>
              <w:jc w:val="center"/>
            </w:pPr>
            <w:r>
              <w:t>FAIR/FL Rising</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NHW-3</w:t>
            </w:r>
          </w:p>
        </w:tc>
        <w:tc>
          <w:tcPr>
            <w:tcW w:w="3205" w:type="dxa"/>
            <w:tcBorders>
              <w:top w:val="single" w:sz="4" w:space="0" w:color="auto"/>
              <w:left w:val="single" w:sz="4" w:space="0" w:color="auto"/>
              <w:bottom w:val="single" w:sz="4" w:space="0" w:color="auto"/>
              <w:right w:val="single" w:sz="4" w:space="0" w:color="auto"/>
            </w:tcBorders>
          </w:tcPr>
          <w:p w:rsidR="00DF6632" w:rsidRPr="00701945" w:rsidRDefault="00DF6632" w:rsidP="00FA641F">
            <w:r w:rsidRPr="00C8628F">
              <w:t>FAIR’s Membership Roster as of June 15, 2021 (REDACTED)</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C8628F" w:rsidRDefault="00DF6632" w:rsidP="00FA641F">
            <w:pPr>
              <w:jc w:val="both"/>
            </w:pPr>
            <w:r w:rsidRPr="00C8628F">
              <w:t>Nancy H. Watkins</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FA641F" w:rsidP="00FA641F">
            <w:pPr>
              <w:jc w:val="center"/>
            </w:pPr>
            <w:r>
              <w:t>FAIR/FL Rising</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NHW-4</w:t>
            </w:r>
          </w:p>
        </w:tc>
        <w:tc>
          <w:tcPr>
            <w:tcW w:w="3205" w:type="dxa"/>
            <w:tcBorders>
              <w:top w:val="single" w:sz="4" w:space="0" w:color="auto"/>
              <w:left w:val="single" w:sz="4" w:space="0" w:color="auto"/>
              <w:bottom w:val="single" w:sz="4" w:space="0" w:color="auto"/>
              <w:right w:val="single" w:sz="4" w:space="0" w:color="auto"/>
            </w:tcBorders>
          </w:tcPr>
          <w:p w:rsidR="00DF6632" w:rsidRPr="00701945" w:rsidRDefault="00DF6632" w:rsidP="00FA641F">
            <w:r w:rsidRPr="00C8628F">
              <w:t>Sample Form of FAIR’s Membership Application (Paper)</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C8628F" w:rsidRDefault="00DF6632" w:rsidP="00FA641F">
            <w:pPr>
              <w:jc w:val="both"/>
            </w:pPr>
            <w:r w:rsidRPr="00C8628F">
              <w:t>Nancy H. Watkins</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FA641F" w:rsidP="00FA641F">
            <w:pPr>
              <w:jc w:val="center"/>
            </w:pPr>
            <w:r>
              <w:t>FAIR/FL Rising</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NHW-5</w:t>
            </w:r>
          </w:p>
        </w:tc>
        <w:tc>
          <w:tcPr>
            <w:tcW w:w="3205" w:type="dxa"/>
            <w:tcBorders>
              <w:top w:val="single" w:sz="4" w:space="0" w:color="auto"/>
              <w:left w:val="single" w:sz="4" w:space="0" w:color="auto"/>
              <w:bottom w:val="single" w:sz="4" w:space="0" w:color="auto"/>
              <w:right w:val="single" w:sz="4" w:space="0" w:color="auto"/>
            </w:tcBorders>
          </w:tcPr>
          <w:p w:rsidR="00DF6632" w:rsidRPr="00701945" w:rsidRDefault="00DF6632" w:rsidP="00FA641F">
            <w:r w:rsidRPr="00C8628F">
              <w:t>Sample Form of FAIR’s Membership Application (Electronic)</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C8628F" w:rsidRDefault="00DF6632" w:rsidP="00FA641F">
            <w:pPr>
              <w:jc w:val="both"/>
            </w:pPr>
            <w:r w:rsidRPr="00C8628F">
              <w:t>Breandan Mac Mathuna</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FA641F" w:rsidP="00FA641F">
            <w:pPr>
              <w:jc w:val="center"/>
            </w:pPr>
            <w:r>
              <w:t>FAIR/FL Rising</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BTM-1</w:t>
            </w:r>
          </w:p>
        </w:tc>
        <w:tc>
          <w:tcPr>
            <w:tcW w:w="3205" w:type="dxa"/>
            <w:tcBorders>
              <w:top w:val="single" w:sz="4" w:space="0" w:color="auto"/>
              <w:left w:val="single" w:sz="4" w:space="0" w:color="auto"/>
              <w:bottom w:val="single" w:sz="4" w:space="0" w:color="auto"/>
              <w:right w:val="single" w:sz="4" w:space="0" w:color="auto"/>
            </w:tcBorders>
          </w:tcPr>
          <w:p w:rsidR="00DF6632" w:rsidRPr="00701945" w:rsidRDefault="00DF6632" w:rsidP="00FA641F">
            <w:r w:rsidRPr="00C8628F">
              <w:t>Professional Qualifications of Breandan T. Mac Mathuna</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C8628F" w:rsidRDefault="00DF6632" w:rsidP="00FA641F">
            <w:pPr>
              <w:jc w:val="both"/>
            </w:pPr>
            <w:r w:rsidRPr="00C8628F">
              <w:t>Breandan Mac Mathuna</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FA641F" w:rsidP="00FA641F">
            <w:pPr>
              <w:jc w:val="center"/>
            </w:pPr>
            <w:r>
              <w:t>FAIR/FL Rising</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BTM-2</w:t>
            </w:r>
          </w:p>
        </w:tc>
        <w:tc>
          <w:tcPr>
            <w:tcW w:w="3205" w:type="dxa"/>
            <w:tcBorders>
              <w:top w:val="single" w:sz="4" w:space="0" w:color="auto"/>
              <w:left w:val="single" w:sz="4" w:space="0" w:color="auto"/>
              <w:bottom w:val="single" w:sz="4" w:space="0" w:color="auto"/>
              <w:right w:val="single" w:sz="4" w:space="0" w:color="auto"/>
            </w:tcBorders>
          </w:tcPr>
          <w:p w:rsidR="00DF6632" w:rsidRPr="00701945" w:rsidRDefault="00DF6632" w:rsidP="00FA641F">
            <w:r w:rsidRPr="00C8628F">
              <w:t>DCF Model Analysis</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C8628F" w:rsidRDefault="00DF6632" w:rsidP="00FA641F">
            <w:pPr>
              <w:jc w:val="both"/>
            </w:pPr>
            <w:r w:rsidRPr="00C8628F">
              <w:t>Breandan Mac Mathuna</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FA641F" w:rsidP="00FA641F">
            <w:pPr>
              <w:jc w:val="center"/>
            </w:pPr>
            <w:r>
              <w:t>FAIR/FL Rising</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BTM-3</w:t>
            </w:r>
          </w:p>
        </w:tc>
        <w:tc>
          <w:tcPr>
            <w:tcW w:w="3205" w:type="dxa"/>
            <w:tcBorders>
              <w:top w:val="single" w:sz="4" w:space="0" w:color="auto"/>
              <w:left w:val="single" w:sz="4" w:space="0" w:color="auto"/>
              <w:bottom w:val="single" w:sz="4" w:space="0" w:color="auto"/>
              <w:right w:val="single" w:sz="4" w:space="0" w:color="auto"/>
            </w:tcBorders>
          </w:tcPr>
          <w:p w:rsidR="00DF6632" w:rsidRPr="00701945" w:rsidRDefault="00DF6632" w:rsidP="00FA641F">
            <w:r w:rsidRPr="00C8628F">
              <w:t>Sensitivity DCF Analysis</w:t>
            </w:r>
          </w:p>
        </w:tc>
      </w:tr>
      <w:tr w:rsidR="00DF6632" w:rsidRPr="00C8628F"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C8628F" w:rsidRDefault="00DF6632" w:rsidP="00FA641F">
            <w:pPr>
              <w:jc w:val="both"/>
            </w:pPr>
            <w:r w:rsidRPr="00C8628F">
              <w:t>Breandan Mac Mathuna</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FA641F" w:rsidP="00FA641F">
            <w:pPr>
              <w:jc w:val="center"/>
            </w:pPr>
            <w:r>
              <w:t>FAIR/FL Rising</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BTM-4</w:t>
            </w:r>
          </w:p>
        </w:tc>
        <w:tc>
          <w:tcPr>
            <w:tcW w:w="3205" w:type="dxa"/>
            <w:tcBorders>
              <w:top w:val="single" w:sz="4" w:space="0" w:color="auto"/>
              <w:left w:val="single" w:sz="4" w:space="0" w:color="auto"/>
              <w:bottom w:val="single" w:sz="4" w:space="0" w:color="auto"/>
              <w:right w:val="single" w:sz="4" w:space="0" w:color="auto"/>
            </w:tcBorders>
          </w:tcPr>
          <w:p w:rsidR="00DF6632" w:rsidRPr="00C8628F" w:rsidRDefault="00DF6632" w:rsidP="00FA641F">
            <w:r w:rsidRPr="00C8628F">
              <w:t>Market-to-Book Ratios</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C8628F" w:rsidRDefault="00DF6632" w:rsidP="00FA641F">
            <w:pPr>
              <w:jc w:val="both"/>
            </w:pPr>
            <w:r w:rsidRPr="00C8628F">
              <w:t>Breandan Mac Mathuna</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FA641F" w:rsidP="00FA641F">
            <w:pPr>
              <w:jc w:val="center"/>
            </w:pPr>
            <w:r>
              <w:t>FAIR/FL Rising</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BTM-5</w:t>
            </w:r>
          </w:p>
        </w:tc>
        <w:tc>
          <w:tcPr>
            <w:tcW w:w="3205" w:type="dxa"/>
            <w:tcBorders>
              <w:top w:val="single" w:sz="4" w:space="0" w:color="auto"/>
              <w:left w:val="single" w:sz="4" w:space="0" w:color="auto"/>
              <w:bottom w:val="single" w:sz="4" w:space="0" w:color="auto"/>
              <w:right w:val="single" w:sz="4" w:space="0" w:color="auto"/>
            </w:tcBorders>
          </w:tcPr>
          <w:p w:rsidR="00DF6632" w:rsidRPr="00701945" w:rsidRDefault="00DF6632" w:rsidP="00FA641F">
            <w:r w:rsidRPr="00C8628F">
              <w:t>Modifications to Exhibit JMC-5.2</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C8628F" w:rsidRDefault="00DF6632" w:rsidP="00FA641F">
            <w:pPr>
              <w:jc w:val="both"/>
            </w:pPr>
            <w:r w:rsidRPr="00C8628F">
              <w:t>Breandan Mac Mathuna</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FA641F" w:rsidP="00FA641F">
            <w:pPr>
              <w:jc w:val="center"/>
            </w:pPr>
            <w:r>
              <w:t>FAIR/FL Rising</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BTM-6</w:t>
            </w:r>
          </w:p>
        </w:tc>
        <w:tc>
          <w:tcPr>
            <w:tcW w:w="3205" w:type="dxa"/>
            <w:tcBorders>
              <w:top w:val="single" w:sz="4" w:space="0" w:color="auto"/>
              <w:left w:val="single" w:sz="4" w:space="0" w:color="auto"/>
              <w:bottom w:val="single" w:sz="4" w:space="0" w:color="auto"/>
              <w:right w:val="single" w:sz="4" w:space="0" w:color="auto"/>
            </w:tcBorders>
          </w:tcPr>
          <w:p w:rsidR="00DF6632" w:rsidRPr="00701945" w:rsidRDefault="00DF6632" w:rsidP="00FA641F">
            <w:r w:rsidRPr="00C8628F">
              <w:t>Common Equity Ratio Analysis</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C8628F" w:rsidRDefault="00DF6632" w:rsidP="00FA641F">
            <w:pPr>
              <w:jc w:val="both"/>
            </w:pPr>
            <w:r w:rsidRPr="00C8628F">
              <w:t>Breandan Mac Mathuna</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FA641F" w:rsidP="00FA641F">
            <w:pPr>
              <w:jc w:val="center"/>
            </w:pPr>
            <w:r>
              <w:t>FAIR/FL Rising</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BTM-7.1</w:t>
            </w:r>
          </w:p>
        </w:tc>
        <w:tc>
          <w:tcPr>
            <w:tcW w:w="3205" w:type="dxa"/>
            <w:tcBorders>
              <w:top w:val="single" w:sz="4" w:space="0" w:color="auto"/>
              <w:left w:val="single" w:sz="4" w:space="0" w:color="auto"/>
              <w:bottom w:val="single" w:sz="4" w:space="0" w:color="auto"/>
              <w:right w:val="single" w:sz="4" w:space="0" w:color="auto"/>
            </w:tcBorders>
          </w:tcPr>
          <w:p w:rsidR="00DF6632" w:rsidRPr="00701945" w:rsidRDefault="00DF6632" w:rsidP="00FA641F">
            <w:r w:rsidRPr="00C8628F">
              <w:t>Credit Metrics ROE 8.56%</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C8628F" w:rsidRDefault="00DF6632" w:rsidP="00FA641F">
            <w:pPr>
              <w:jc w:val="both"/>
            </w:pPr>
            <w:r w:rsidRPr="00C8628F">
              <w:t>Breandan Mac Mathuna</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FA641F" w:rsidP="00FA641F">
            <w:pPr>
              <w:jc w:val="center"/>
            </w:pPr>
            <w:r>
              <w:t>FAIR/FL Rising</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BTM-7.2</w:t>
            </w:r>
          </w:p>
        </w:tc>
        <w:tc>
          <w:tcPr>
            <w:tcW w:w="3205" w:type="dxa"/>
            <w:tcBorders>
              <w:top w:val="single" w:sz="4" w:space="0" w:color="auto"/>
              <w:left w:val="single" w:sz="4" w:space="0" w:color="auto"/>
              <w:bottom w:val="single" w:sz="4" w:space="0" w:color="auto"/>
              <w:right w:val="single" w:sz="4" w:space="0" w:color="auto"/>
            </w:tcBorders>
          </w:tcPr>
          <w:p w:rsidR="00DF6632" w:rsidRPr="00701945" w:rsidRDefault="00DF6632" w:rsidP="00FA641F">
            <w:r w:rsidRPr="00C8628F">
              <w:t>Credit Metrics ROE 8.56% Eq. Ratio 55.4%</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C8628F" w:rsidRDefault="00DF6632" w:rsidP="00FA641F">
            <w:pPr>
              <w:jc w:val="both"/>
            </w:pPr>
            <w:r w:rsidRPr="00C8628F">
              <w:t>Breandan Mac Mathuna</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FA641F" w:rsidP="00FA641F">
            <w:pPr>
              <w:jc w:val="center"/>
            </w:pPr>
            <w:r>
              <w:t>FAIR/FL Rising</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BTM-7.3</w:t>
            </w:r>
          </w:p>
        </w:tc>
        <w:tc>
          <w:tcPr>
            <w:tcW w:w="3205" w:type="dxa"/>
            <w:tcBorders>
              <w:top w:val="single" w:sz="4" w:space="0" w:color="auto"/>
              <w:left w:val="single" w:sz="4" w:space="0" w:color="auto"/>
              <w:bottom w:val="single" w:sz="4" w:space="0" w:color="auto"/>
              <w:right w:val="single" w:sz="4" w:space="0" w:color="auto"/>
            </w:tcBorders>
          </w:tcPr>
          <w:p w:rsidR="00DF6632" w:rsidRPr="00701945" w:rsidRDefault="00DF6632" w:rsidP="00FA641F">
            <w:r w:rsidRPr="00C8628F">
              <w:t>Credit Metrics ROE 11.50% Eq. Ratio 55.4%</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C8628F" w:rsidRDefault="00DF6632" w:rsidP="00FA641F">
            <w:pPr>
              <w:jc w:val="both"/>
            </w:pPr>
            <w:r w:rsidRPr="00C8628F">
              <w:t>Breandan Mac Mathuna</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FA641F" w:rsidP="00FA641F">
            <w:pPr>
              <w:jc w:val="center"/>
            </w:pPr>
            <w:r>
              <w:t>FAIR/FL Rising</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BTM-7.4</w:t>
            </w:r>
          </w:p>
        </w:tc>
        <w:tc>
          <w:tcPr>
            <w:tcW w:w="3205" w:type="dxa"/>
            <w:tcBorders>
              <w:top w:val="single" w:sz="4" w:space="0" w:color="auto"/>
              <w:left w:val="single" w:sz="4" w:space="0" w:color="auto"/>
              <w:bottom w:val="single" w:sz="4" w:space="0" w:color="auto"/>
              <w:right w:val="single" w:sz="4" w:space="0" w:color="auto"/>
            </w:tcBorders>
          </w:tcPr>
          <w:p w:rsidR="00DF6632" w:rsidRPr="00701945" w:rsidRDefault="00DF6632" w:rsidP="00FA641F">
            <w:r w:rsidRPr="00C8628F">
              <w:t>Credit Metrics ROE 8.56% Eq. Ratio 55.4% COD+0.28%</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C8628F" w:rsidRDefault="00DF6632" w:rsidP="00FA641F">
            <w:pPr>
              <w:jc w:val="both"/>
            </w:pPr>
            <w:r w:rsidRPr="00C8628F">
              <w:t>Breandan Mac Mathuna</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FA641F" w:rsidP="00FA641F">
            <w:pPr>
              <w:jc w:val="center"/>
            </w:pPr>
            <w:r>
              <w:t>FAIR/FL Rising</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BTM-8.1</w:t>
            </w:r>
          </w:p>
        </w:tc>
        <w:tc>
          <w:tcPr>
            <w:tcW w:w="3205" w:type="dxa"/>
            <w:tcBorders>
              <w:top w:val="single" w:sz="4" w:space="0" w:color="auto"/>
              <w:left w:val="single" w:sz="4" w:space="0" w:color="auto"/>
              <w:bottom w:val="single" w:sz="4" w:space="0" w:color="auto"/>
              <w:right w:val="single" w:sz="4" w:space="0" w:color="auto"/>
            </w:tcBorders>
          </w:tcPr>
          <w:p w:rsidR="00DF6632" w:rsidRPr="00701945" w:rsidRDefault="00DF6632" w:rsidP="00FA641F">
            <w:r w:rsidRPr="00C8628F">
              <w:t>Data Verification Workpapers</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C8628F" w:rsidRDefault="00DF6632" w:rsidP="00FA641F">
            <w:pPr>
              <w:jc w:val="both"/>
            </w:pPr>
            <w:r w:rsidRPr="00C8628F">
              <w:t>Breandan Mac Mathuna</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FA641F" w:rsidP="00FA641F">
            <w:pPr>
              <w:jc w:val="center"/>
            </w:pPr>
            <w:r>
              <w:t>FAIR/FL Rising</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BTM-8.2</w:t>
            </w:r>
          </w:p>
        </w:tc>
        <w:tc>
          <w:tcPr>
            <w:tcW w:w="3205" w:type="dxa"/>
            <w:tcBorders>
              <w:top w:val="single" w:sz="4" w:space="0" w:color="auto"/>
              <w:left w:val="single" w:sz="4" w:space="0" w:color="auto"/>
              <w:bottom w:val="single" w:sz="4" w:space="0" w:color="auto"/>
              <w:right w:val="single" w:sz="4" w:space="0" w:color="auto"/>
            </w:tcBorders>
          </w:tcPr>
          <w:p w:rsidR="00DF6632" w:rsidRPr="00701945" w:rsidRDefault="00DF6632" w:rsidP="00FA641F">
            <w:r w:rsidRPr="00C8628F">
              <w:t>Other Workpapers</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C8628F" w:rsidRDefault="00DF6632" w:rsidP="00FA641F">
            <w:pPr>
              <w:jc w:val="both"/>
            </w:pPr>
            <w:r w:rsidRPr="00C8628F">
              <w:lastRenderedPageBreak/>
              <w:t>Timothy J. Devlin</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FA641F" w:rsidP="00FA641F">
            <w:pPr>
              <w:jc w:val="center"/>
            </w:pPr>
            <w:r>
              <w:t>FAIR/FL Rising</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TJD-1</w:t>
            </w:r>
          </w:p>
        </w:tc>
        <w:tc>
          <w:tcPr>
            <w:tcW w:w="3205" w:type="dxa"/>
            <w:tcBorders>
              <w:top w:val="single" w:sz="4" w:space="0" w:color="auto"/>
              <w:left w:val="single" w:sz="4" w:space="0" w:color="auto"/>
              <w:bottom w:val="single" w:sz="4" w:space="0" w:color="auto"/>
              <w:right w:val="single" w:sz="4" w:space="0" w:color="auto"/>
            </w:tcBorders>
          </w:tcPr>
          <w:p w:rsidR="00DF6632" w:rsidRPr="00701945" w:rsidRDefault="00DF6632" w:rsidP="00FA641F">
            <w:r w:rsidRPr="00C8628F">
              <w:t>Résumé of Timothy J. Devlin</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C8628F" w:rsidRDefault="00DF6632" w:rsidP="00FA641F">
            <w:pPr>
              <w:jc w:val="both"/>
            </w:pPr>
            <w:r w:rsidRPr="00C8628F">
              <w:t>Timothy J. Devlin</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FA641F" w:rsidP="00FA641F">
            <w:pPr>
              <w:jc w:val="center"/>
            </w:pPr>
            <w:r>
              <w:t>FAIR/FL Rising</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TJD-2</w:t>
            </w:r>
          </w:p>
        </w:tc>
        <w:tc>
          <w:tcPr>
            <w:tcW w:w="3205" w:type="dxa"/>
            <w:tcBorders>
              <w:top w:val="single" w:sz="4" w:space="0" w:color="auto"/>
              <w:left w:val="single" w:sz="4" w:space="0" w:color="auto"/>
              <w:bottom w:val="single" w:sz="4" w:space="0" w:color="auto"/>
              <w:right w:val="single" w:sz="4" w:space="0" w:color="auto"/>
            </w:tcBorders>
          </w:tcPr>
          <w:p w:rsidR="00DF6632" w:rsidRPr="00701945" w:rsidRDefault="00DF6632" w:rsidP="00FA641F">
            <w:r w:rsidRPr="00C8628F">
              <w:t>Comparison of Authorized ROE to Achieved ROE, 2017-2021 (YTD)</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C8628F" w:rsidRDefault="00DF6632" w:rsidP="00FA641F">
            <w:pPr>
              <w:jc w:val="both"/>
            </w:pPr>
            <w:r w:rsidRPr="00C8628F">
              <w:t>Timothy J. Devlin</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FA641F" w:rsidP="00FA641F">
            <w:pPr>
              <w:jc w:val="center"/>
            </w:pPr>
            <w:r>
              <w:t>FAIR/FL Rising</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TJD-3</w:t>
            </w:r>
          </w:p>
        </w:tc>
        <w:tc>
          <w:tcPr>
            <w:tcW w:w="3205" w:type="dxa"/>
            <w:tcBorders>
              <w:top w:val="single" w:sz="4" w:space="0" w:color="auto"/>
              <w:left w:val="single" w:sz="4" w:space="0" w:color="auto"/>
              <w:bottom w:val="single" w:sz="4" w:space="0" w:color="auto"/>
              <w:right w:val="single" w:sz="4" w:space="0" w:color="auto"/>
            </w:tcBorders>
          </w:tcPr>
          <w:p w:rsidR="00DF6632" w:rsidRPr="00701945" w:rsidRDefault="00DF6632" w:rsidP="00FA641F">
            <w:r w:rsidRPr="00C8628F">
              <w:t>FPL’s Past Use of the RSAM, 2017-2021 (YTD)</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C8628F" w:rsidRDefault="00DF6632" w:rsidP="00FA641F">
            <w:pPr>
              <w:jc w:val="both"/>
            </w:pPr>
            <w:r w:rsidRPr="00C8628F">
              <w:t>Timothy J. Devlin</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FA641F" w:rsidP="00FA641F">
            <w:pPr>
              <w:jc w:val="center"/>
            </w:pPr>
            <w:r>
              <w:t>FAIR/FL Rising</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TJD-4</w:t>
            </w:r>
          </w:p>
        </w:tc>
        <w:tc>
          <w:tcPr>
            <w:tcW w:w="3205" w:type="dxa"/>
            <w:tcBorders>
              <w:top w:val="single" w:sz="4" w:space="0" w:color="auto"/>
              <w:left w:val="single" w:sz="4" w:space="0" w:color="auto"/>
              <w:bottom w:val="single" w:sz="4" w:space="0" w:color="auto"/>
              <w:right w:val="single" w:sz="4" w:space="0" w:color="auto"/>
            </w:tcBorders>
          </w:tcPr>
          <w:p w:rsidR="00DF6632" w:rsidRPr="00701945" w:rsidRDefault="00DF6632" w:rsidP="00FA641F">
            <w:r w:rsidRPr="00C8628F">
              <w:t>Effects of RSAM on FPL’s Revenue Requirements, 2017-2020</w:t>
            </w:r>
          </w:p>
        </w:tc>
      </w:tr>
      <w:tr w:rsidR="00DF6632" w:rsidRPr="00701945" w:rsidTr="00DF6632">
        <w:trPr>
          <w:cantSplit/>
          <w:trHeight w:val="353"/>
        </w:trPr>
        <w:tc>
          <w:tcPr>
            <w:tcW w:w="3198" w:type="dxa"/>
            <w:tcBorders>
              <w:top w:val="single" w:sz="4" w:space="0" w:color="auto"/>
              <w:left w:val="single" w:sz="4" w:space="0" w:color="auto"/>
              <w:bottom w:val="single" w:sz="4" w:space="0" w:color="auto"/>
              <w:right w:val="single" w:sz="4" w:space="0" w:color="auto"/>
            </w:tcBorders>
          </w:tcPr>
          <w:p w:rsidR="00DF6632" w:rsidRPr="00C8628F" w:rsidRDefault="00DF6632" w:rsidP="00FA641F">
            <w:pPr>
              <w:jc w:val="both"/>
            </w:pPr>
            <w:r w:rsidRPr="00C8628F">
              <w:t>Timothy J. Devlin</w:t>
            </w:r>
          </w:p>
        </w:tc>
        <w:tc>
          <w:tcPr>
            <w:tcW w:w="1680" w:type="dxa"/>
            <w:tcBorders>
              <w:top w:val="single" w:sz="4" w:space="0" w:color="auto"/>
              <w:left w:val="single" w:sz="4" w:space="0" w:color="auto"/>
              <w:bottom w:val="single" w:sz="4" w:space="0" w:color="auto"/>
              <w:right w:val="single" w:sz="4" w:space="0" w:color="auto"/>
            </w:tcBorders>
          </w:tcPr>
          <w:p w:rsidR="00DF6632" w:rsidRPr="00701945" w:rsidRDefault="00FA641F" w:rsidP="00FA641F">
            <w:pPr>
              <w:jc w:val="center"/>
            </w:pPr>
            <w:r>
              <w:t>FAIR/FL Rising</w:t>
            </w:r>
          </w:p>
        </w:tc>
        <w:tc>
          <w:tcPr>
            <w:tcW w:w="1482" w:type="dxa"/>
            <w:tcBorders>
              <w:top w:val="single" w:sz="4" w:space="0" w:color="auto"/>
              <w:left w:val="single" w:sz="4" w:space="0" w:color="auto"/>
              <w:bottom w:val="single" w:sz="4" w:space="0" w:color="auto"/>
              <w:right w:val="single" w:sz="4" w:space="0" w:color="auto"/>
            </w:tcBorders>
          </w:tcPr>
          <w:p w:rsidR="00DF6632" w:rsidRPr="004515FB" w:rsidRDefault="00DF6632" w:rsidP="00FA641F">
            <w:pPr>
              <w:jc w:val="center"/>
            </w:pPr>
            <w:r>
              <w:t>TJD-5</w:t>
            </w:r>
          </w:p>
        </w:tc>
        <w:tc>
          <w:tcPr>
            <w:tcW w:w="3205" w:type="dxa"/>
            <w:tcBorders>
              <w:top w:val="single" w:sz="4" w:space="0" w:color="auto"/>
              <w:left w:val="single" w:sz="4" w:space="0" w:color="auto"/>
              <w:bottom w:val="single" w:sz="4" w:space="0" w:color="auto"/>
              <w:right w:val="single" w:sz="4" w:space="0" w:color="auto"/>
            </w:tcBorders>
          </w:tcPr>
          <w:p w:rsidR="00DF6632" w:rsidRPr="00701945" w:rsidRDefault="00DF6632" w:rsidP="00FA641F">
            <w:r w:rsidRPr="00C8628F">
              <w:t>Effects of RSAM on Future FPL Revenue Requirements, 2022-2025</w:t>
            </w:r>
          </w:p>
        </w:tc>
      </w:tr>
    </w:tbl>
    <w:p w:rsidR="009B4883" w:rsidRDefault="009B4883" w:rsidP="00FB202F">
      <w:pPr>
        <w:jc w:val="both"/>
        <w:rPr>
          <w:b/>
          <w:u w:val="single"/>
        </w:rPr>
      </w:pPr>
    </w:p>
    <w:p w:rsidR="00DF6632" w:rsidRPr="00DF6632" w:rsidRDefault="00DF6632" w:rsidP="00DF6632">
      <w:pPr>
        <w:jc w:val="center"/>
        <w:rPr>
          <w:b/>
          <w:u w:val="single"/>
        </w:rPr>
      </w:pPr>
      <w:r w:rsidRPr="00DF6632">
        <w:rPr>
          <w:b/>
          <w:u w:val="single"/>
        </w:rPr>
        <w:t>Settlement Case</w:t>
      </w:r>
    </w:p>
    <w:p w:rsidR="00DF6632" w:rsidRDefault="00DF6632" w:rsidP="00FB202F">
      <w:pPr>
        <w:jc w:val="both"/>
        <w:rPr>
          <w:b/>
          <w:u w:val="single"/>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FA641F" w:rsidRPr="00701945" w:rsidTr="00FA641F">
        <w:trPr>
          <w:cantSplit/>
          <w:trHeight w:val="353"/>
        </w:trPr>
        <w:tc>
          <w:tcPr>
            <w:tcW w:w="3198" w:type="dxa"/>
            <w:tcBorders>
              <w:top w:val="single" w:sz="4" w:space="0" w:color="auto"/>
              <w:left w:val="single" w:sz="4" w:space="0" w:color="auto"/>
              <w:bottom w:val="single" w:sz="4" w:space="0" w:color="auto"/>
              <w:right w:val="single" w:sz="4" w:space="0" w:color="auto"/>
            </w:tcBorders>
          </w:tcPr>
          <w:p w:rsidR="00FA641F" w:rsidRPr="00FA641F" w:rsidRDefault="00FA641F" w:rsidP="00FA641F">
            <w:pPr>
              <w:jc w:val="both"/>
              <w:rPr>
                <w:u w:val="single"/>
              </w:rPr>
            </w:pPr>
            <w:r w:rsidRPr="00FA641F">
              <w:rPr>
                <w:u w:val="single"/>
              </w:rPr>
              <w:t>Witness</w:t>
            </w:r>
          </w:p>
        </w:tc>
        <w:tc>
          <w:tcPr>
            <w:tcW w:w="1680" w:type="dxa"/>
            <w:tcBorders>
              <w:top w:val="single" w:sz="4" w:space="0" w:color="auto"/>
              <w:left w:val="single" w:sz="4" w:space="0" w:color="auto"/>
              <w:bottom w:val="single" w:sz="4" w:space="0" w:color="auto"/>
              <w:right w:val="single" w:sz="4" w:space="0" w:color="auto"/>
            </w:tcBorders>
          </w:tcPr>
          <w:p w:rsidR="00FA641F" w:rsidRPr="00FA641F" w:rsidRDefault="00FA641F" w:rsidP="00FA641F">
            <w:pPr>
              <w:rPr>
                <w:u w:val="single"/>
              </w:rPr>
            </w:pPr>
            <w:r w:rsidRPr="00FA641F">
              <w:rPr>
                <w:u w:val="single"/>
              </w:rPr>
              <w:t>Proffered By</w:t>
            </w:r>
          </w:p>
        </w:tc>
        <w:tc>
          <w:tcPr>
            <w:tcW w:w="1482" w:type="dxa"/>
            <w:tcBorders>
              <w:top w:val="single" w:sz="4" w:space="0" w:color="auto"/>
              <w:left w:val="single" w:sz="4" w:space="0" w:color="auto"/>
              <w:bottom w:val="single" w:sz="4" w:space="0" w:color="auto"/>
              <w:right w:val="single" w:sz="4" w:space="0" w:color="auto"/>
            </w:tcBorders>
          </w:tcPr>
          <w:p w:rsidR="00FA641F" w:rsidRPr="004515FB" w:rsidRDefault="00FA641F" w:rsidP="00FA641F">
            <w:pPr>
              <w:jc w:val="center"/>
            </w:pPr>
          </w:p>
        </w:tc>
        <w:tc>
          <w:tcPr>
            <w:tcW w:w="3205" w:type="dxa"/>
            <w:tcBorders>
              <w:top w:val="single" w:sz="4" w:space="0" w:color="auto"/>
              <w:left w:val="single" w:sz="4" w:space="0" w:color="auto"/>
              <w:bottom w:val="single" w:sz="4" w:space="0" w:color="auto"/>
              <w:right w:val="single" w:sz="4" w:space="0" w:color="auto"/>
            </w:tcBorders>
          </w:tcPr>
          <w:p w:rsidR="00FA641F" w:rsidRPr="00FA641F" w:rsidRDefault="00FA641F" w:rsidP="00FA641F">
            <w:pPr>
              <w:rPr>
                <w:u w:val="single"/>
              </w:rPr>
            </w:pPr>
            <w:r w:rsidRPr="00FA641F">
              <w:rPr>
                <w:u w:val="single"/>
              </w:rPr>
              <w:t>Description</w:t>
            </w:r>
          </w:p>
        </w:tc>
      </w:tr>
      <w:tr w:rsidR="00BF0EA4" w:rsidRPr="00701945" w:rsidTr="00FA641F">
        <w:trPr>
          <w:cantSplit/>
          <w:trHeight w:val="353"/>
        </w:trPr>
        <w:tc>
          <w:tcPr>
            <w:tcW w:w="3198" w:type="dxa"/>
            <w:tcBorders>
              <w:top w:val="single" w:sz="4" w:space="0" w:color="auto"/>
              <w:left w:val="single" w:sz="4" w:space="0" w:color="auto"/>
              <w:bottom w:val="single" w:sz="4" w:space="0" w:color="auto"/>
              <w:right w:val="single" w:sz="4" w:space="0" w:color="auto"/>
            </w:tcBorders>
          </w:tcPr>
          <w:p w:rsidR="00BF0EA4" w:rsidRPr="00BF0EA4" w:rsidRDefault="00BF0EA4" w:rsidP="00BF0EA4">
            <w:pPr>
              <w:jc w:val="center"/>
              <w:rPr>
                <w:u w:val="single"/>
              </w:rPr>
            </w:pPr>
            <w:r w:rsidRPr="00BF0EA4">
              <w:rPr>
                <w:u w:val="single"/>
              </w:rPr>
              <w:t>Non-signatories</w:t>
            </w:r>
          </w:p>
        </w:tc>
        <w:tc>
          <w:tcPr>
            <w:tcW w:w="1680" w:type="dxa"/>
            <w:tcBorders>
              <w:top w:val="single" w:sz="4" w:space="0" w:color="auto"/>
              <w:left w:val="single" w:sz="4" w:space="0" w:color="auto"/>
              <w:bottom w:val="single" w:sz="4" w:space="0" w:color="auto"/>
              <w:right w:val="single" w:sz="4" w:space="0" w:color="auto"/>
            </w:tcBorders>
          </w:tcPr>
          <w:p w:rsidR="00BF0EA4" w:rsidRDefault="00BF0EA4" w:rsidP="00FA641F">
            <w:pPr>
              <w:jc w:val="center"/>
            </w:pPr>
          </w:p>
        </w:tc>
        <w:tc>
          <w:tcPr>
            <w:tcW w:w="1482" w:type="dxa"/>
            <w:tcBorders>
              <w:top w:val="single" w:sz="4" w:space="0" w:color="auto"/>
              <w:left w:val="single" w:sz="4" w:space="0" w:color="auto"/>
              <w:bottom w:val="single" w:sz="4" w:space="0" w:color="auto"/>
              <w:right w:val="single" w:sz="4" w:space="0" w:color="auto"/>
            </w:tcBorders>
          </w:tcPr>
          <w:p w:rsidR="00BF0EA4" w:rsidRPr="004515FB" w:rsidRDefault="00BF0EA4" w:rsidP="00FA641F">
            <w:pPr>
              <w:jc w:val="center"/>
            </w:pPr>
          </w:p>
        </w:tc>
        <w:tc>
          <w:tcPr>
            <w:tcW w:w="3205" w:type="dxa"/>
            <w:tcBorders>
              <w:top w:val="single" w:sz="4" w:space="0" w:color="auto"/>
              <w:left w:val="single" w:sz="4" w:space="0" w:color="auto"/>
              <w:bottom w:val="single" w:sz="4" w:space="0" w:color="auto"/>
              <w:right w:val="single" w:sz="4" w:space="0" w:color="auto"/>
            </w:tcBorders>
          </w:tcPr>
          <w:p w:rsidR="00BF0EA4" w:rsidRPr="00FA641F" w:rsidRDefault="00BF0EA4" w:rsidP="00FA641F">
            <w:pPr>
              <w:rPr>
                <w:u w:val="single"/>
              </w:rPr>
            </w:pPr>
          </w:p>
        </w:tc>
      </w:tr>
      <w:tr w:rsidR="00FA641F" w:rsidRPr="00701945" w:rsidTr="00FA641F">
        <w:trPr>
          <w:cantSplit/>
          <w:trHeight w:val="353"/>
        </w:trPr>
        <w:tc>
          <w:tcPr>
            <w:tcW w:w="3198" w:type="dxa"/>
            <w:tcBorders>
              <w:top w:val="single" w:sz="4" w:space="0" w:color="auto"/>
              <w:left w:val="single" w:sz="4" w:space="0" w:color="auto"/>
              <w:bottom w:val="single" w:sz="4" w:space="0" w:color="auto"/>
              <w:right w:val="single" w:sz="4" w:space="0" w:color="auto"/>
            </w:tcBorders>
          </w:tcPr>
          <w:p w:rsidR="00FA641F" w:rsidRPr="00FA641F" w:rsidRDefault="00FA641F" w:rsidP="00FA641F">
            <w:pPr>
              <w:jc w:val="both"/>
              <w:rPr>
                <w:u w:val="single"/>
              </w:rPr>
            </w:pPr>
            <w:r w:rsidRPr="00C8628F">
              <w:t>Breandan Mac Mathuna</w:t>
            </w:r>
          </w:p>
        </w:tc>
        <w:tc>
          <w:tcPr>
            <w:tcW w:w="1680" w:type="dxa"/>
            <w:tcBorders>
              <w:top w:val="single" w:sz="4" w:space="0" w:color="auto"/>
              <w:left w:val="single" w:sz="4" w:space="0" w:color="auto"/>
              <w:bottom w:val="single" w:sz="4" w:space="0" w:color="auto"/>
              <w:right w:val="single" w:sz="4" w:space="0" w:color="auto"/>
            </w:tcBorders>
          </w:tcPr>
          <w:p w:rsidR="00FA641F" w:rsidRPr="00FA641F" w:rsidRDefault="00BF0EA4" w:rsidP="00FA641F">
            <w:pPr>
              <w:jc w:val="center"/>
            </w:pPr>
            <w:r>
              <w:t>FAIR/FL Rising</w:t>
            </w:r>
          </w:p>
        </w:tc>
        <w:tc>
          <w:tcPr>
            <w:tcW w:w="1482" w:type="dxa"/>
            <w:tcBorders>
              <w:top w:val="single" w:sz="4" w:space="0" w:color="auto"/>
              <w:left w:val="single" w:sz="4" w:space="0" w:color="auto"/>
              <w:bottom w:val="single" w:sz="4" w:space="0" w:color="auto"/>
              <w:right w:val="single" w:sz="4" w:space="0" w:color="auto"/>
            </w:tcBorders>
          </w:tcPr>
          <w:p w:rsidR="00FA641F" w:rsidRPr="004515FB" w:rsidRDefault="00C43880" w:rsidP="00FA641F">
            <w:pPr>
              <w:jc w:val="center"/>
            </w:pPr>
            <w:r>
              <w:t>BTM-9</w:t>
            </w:r>
          </w:p>
        </w:tc>
        <w:tc>
          <w:tcPr>
            <w:tcW w:w="3205" w:type="dxa"/>
            <w:tcBorders>
              <w:top w:val="single" w:sz="4" w:space="0" w:color="auto"/>
              <w:left w:val="single" w:sz="4" w:space="0" w:color="auto"/>
              <w:bottom w:val="single" w:sz="4" w:space="0" w:color="auto"/>
              <w:right w:val="single" w:sz="4" w:space="0" w:color="auto"/>
            </w:tcBorders>
          </w:tcPr>
          <w:p w:rsidR="00FA641F" w:rsidRPr="000E22D5" w:rsidRDefault="000E22D5" w:rsidP="00FA641F">
            <w:r w:rsidRPr="000E22D5">
              <w:t>Revenue Requirement Analysis</w:t>
            </w:r>
          </w:p>
        </w:tc>
      </w:tr>
      <w:tr w:rsidR="00C43880" w:rsidRPr="00701945" w:rsidTr="00FA641F">
        <w:trPr>
          <w:cantSplit/>
          <w:trHeight w:val="353"/>
        </w:trPr>
        <w:tc>
          <w:tcPr>
            <w:tcW w:w="3198" w:type="dxa"/>
            <w:tcBorders>
              <w:top w:val="single" w:sz="4" w:space="0" w:color="auto"/>
              <w:left w:val="single" w:sz="4" w:space="0" w:color="auto"/>
              <w:bottom w:val="single" w:sz="4" w:space="0" w:color="auto"/>
              <w:right w:val="single" w:sz="4" w:space="0" w:color="auto"/>
            </w:tcBorders>
          </w:tcPr>
          <w:p w:rsidR="00C43880" w:rsidRPr="00FA641F" w:rsidRDefault="00C43880" w:rsidP="00C43880">
            <w:pPr>
              <w:jc w:val="both"/>
              <w:rPr>
                <w:u w:val="single"/>
              </w:rPr>
            </w:pPr>
            <w:r w:rsidRPr="00C8628F">
              <w:t>Breandan Mac Mathuna</w:t>
            </w:r>
          </w:p>
        </w:tc>
        <w:tc>
          <w:tcPr>
            <w:tcW w:w="1680" w:type="dxa"/>
            <w:tcBorders>
              <w:top w:val="single" w:sz="4" w:space="0" w:color="auto"/>
              <w:left w:val="single" w:sz="4" w:space="0" w:color="auto"/>
              <w:bottom w:val="single" w:sz="4" w:space="0" w:color="auto"/>
              <w:right w:val="single" w:sz="4" w:space="0" w:color="auto"/>
            </w:tcBorders>
          </w:tcPr>
          <w:p w:rsidR="00C43880" w:rsidRPr="00FA641F" w:rsidRDefault="00C43880" w:rsidP="00C43880">
            <w:pPr>
              <w:jc w:val="center"/>
            </w:pPr>
            <w:r>
              <w:t>FAIR/FL Rising</w:t>
            </w:r>
          </w:p>
        </w:tc>
        <w:tc>
          <w:tcPr>
            <w:tcW w:w="1482" w:type="dxa"/>
            <w:tcBorders>
              <w:top w:val="single" w:sz="4" w:space="0" w:color="auto"/>
              <w:left w:val="single" w:sz="4" w:space="0" w:color="auto"/>
              <w:bottom w:val="single" w:sz="4" w:space="0" w:color="auto"/>
              <w:right w:val="single" w:sz="4" w:space="0" w:color="auto"/>
            </w:tcBorders>
          </w:tcPr>
          <w:p w:rsidR="00C43880" w:rsidRPr="004515FB" w:rsidRDefault="00C43880" w:rsidP="00C43880">
            <w:pPr>
              <w:jc w:val="center"/>
            </w:pPr>
            <w:r>
              <w:t>BTM-10</w:t>
            </w:r>
          </w:p>
        </w:tc>
        <w:tc>
          <w:tcPr>
            <w:tcW w:w="3205" w:type="dxa"/>
            <w:tcBorders>
              <w:top w:val="single" w:sz="4" w:space="0" w:color="auto"/>
              <w:left w:val="single" w:sz="4" w:space="0" w:color="auto"/>
              <w:bottom w:val="single" w:sz="4" w:space="0" w:color="auto"/>
              <w:right w:val="single" w:sz="4" w:space="0" w:color="auto"/>
            </w:tcBorders>
          </w:tcPr>
          <w:p w:rsidR="00C43880" w:rsidRPr="000E22D5" w:rsidRDefault="000E22D5" w:rsidP="00C43880">
            <w:r w:rsidRPr="000E22D5">
              <w:t>Referenced Articles and Reports</w:t>
            </w:r>
          </w:p>
        </w:tc>
      </w:tr>
      <w:tr w:rsidR="00C43880" w:rsidRPr="00701945" w:rsidTr="00FA641F">
        <w:trPr>
          <w:cantSplit/>
          <w:trHeight w:val="353"/>
        </w:trPr>
        <w:tc>
          <w:tcPr>
            <w:tcW w:w="3198" w:type="dxa"/>
            <w:tcBorders>
              <w:top w:val="single" w:sz="4" w:space="0" w:color="auto"/>
              <w:left w:val="single" w:sz="4" w:space="0" w:color="auto"/>
              <w:bottom w:val="single" w:sz="4" w:space="0" w:color="auto"/>
              <w:right w:val="single" w:sz="4" w:space="0" w:color="auto"/>
            </w:tcBorders>
          </w:tcPr>
          <w:p w:rsidR="00C43880" w:rsidRPr="00FA641F" w:rsidRDefault="00C43880" w:rsidP="00C43880">
            <w:pPr>
              <w:jc w:val="both"/>
              <w:rPr>
                <w:u w:val="single"/>
              </w:rPr>
            </w:pPr>
            <w:r w:rsidRPr="00C8628F">
              <w:t>John Thomas Herndon</w:t>
            </w:r>
          </w:p>
        </w:tc>
        <w:tc>
          <w:tcPr>
            <w:tcW w:w="1680" w:type="dxa"/>
            <w:tcBorders>
              <w:top w:val="single" w:sz="4" w:space="0" w:color="auto"/>
              <w:left w:val="single" w:sz="4" w:space="0" w:color="auto"/>
              <w:bottom w:val="single" w:sz="4" w:space="0" w:color="auto"/>
              <w:right w:val="single" w:sz="4" w:space="0" w:color="auto"/>
            </w:tcBorders>
          </w:tcPr>
          <w:p w:rsidR="00C43880" w:rsidRPr="00FA641F" w:rsidRDefault="00C43880" w:rsidP="00C43880">
            <w:pPr>
              <w:jc w:val="center"/>
              <w:rPr>
                <w:u w:val="single"/>
              </w:rPr>
            </w:pPr>
            <w:r>
              <w:t>FAIR/FL Rising</w:t>
            </w:r>
          </w:p>
        </w:tc>
        <w:tc>
          <w:tcPr>
            <w:tcW w:w="1482" w:type="dxa"/>
            <w:tcBorders>
              <w:top w:val="single" w:sz="4" w:space="0" w:color="auto"/>
              <w:left w:val="single" w:sz="4" w:space="0" w:color="auto"/>
              <w:bottom w:val="single" w:sz="4" w:space="0" w:color="auto"/>
              <w:right w:val="single" w:sz="4" w:space="0" w:color="auto"/>
            </w:tcBorders>
          </w:tcPr>
          <w:p w:rsidR="00C43880" w:rsidRPr="004515FB" w:rsidRDefault="00C43880" w:rsidP="00C43880">
            <w:pPr>
              <w:jc w:val="center"/>
            </w:pPr>
            <w:r>
              <w:t>JTH-6</w:t>
            </w:r>
          </w:p>
        </w:tc>
        <w:tc>
          <w:tcPr>
            <w:tcW w:w="3205" w:type="dxa"/>
            <w:tcBorders>
              <w:top w:val="single" w:sz="4" w:space="0" w:color="auto"/>
              <w:left w:val="single" w:sz="4" w:space="0" w:color="auto"/>
              <w:bottom w:val="single" w:sz="4" w:space="0" w:color="auto"/>
              <w:right w:val="single" w:sz="4" w:space="0" w:color="auto"/>
            </w:tcBorders>
          </w:tcPr>
          <w:p w:rsidR="00C43880" w:rsidRPr="00E81433" w:rsidRDefault="00E81433" w:rsidP="00C43880">
            <w:r>
              <w:t>FPL’s Test Year Notification Letter</w:t>
            </w:r>
          </w:p>
        </w:tc>
      </w:tr>
      <w:tr w:rsidR="00C43880" w:rsidRPr="00701945" w:rsidTr="00FA641F">
        <w:trPr>
          <w:cantSplit/>
          <w:trHeight w:val="353"/>
        </w:trPr>
        <w:tc>
          <w:tcPr>
            <w:tcW w:w="3198" w:type="dxa"/>
            <w:tcBorders>
              <w:top w:val="single" w:sz="4" w:space="0" w:color="auto"/>
              <w:left w:val="single" w:sz="4" w:space="0" w:color="auto"/>
              <w:bottom w:val="single" w:sz="4" w:space="0" w:color="auto"/>
              <w:right w:val="single" w:sz="4" w:space="0" w:color="auto"/>
            </w:tcBorders>
          </w:tcPr>
          <w:p w:rsidR="00C43880" w:rsidRPr="00FA641F" w:rsidRDefault="00C43880" w:rsidP="00C43880">
            <w:pPr>
              <w:jc w:val="both"/>
              <w:rPr>
                <w:u w:val="single"/>
              </w:rPr>
            </w:pPr>
            <w:r w:rsidRPr="00C8628F">
              <w:t>John Thomas Herndon</w:t>
            </w:r>
          </w:p>
        </w:tc>
        <w:tc>
          <w:tcPr>
            <w:tcW w:w="1680" w:type="dxa"/>
            <w:tcBorders>
              <w:top w:val="single" w:sz="4" w:space="0" w:color="auto"/>
              <w:left w:val="single" w:sz="4" w:space="0" w:color="auto"/>
              <w:bottom w:val="single" w:sz="4" w:space="0" w:color="auto"/>
              <w:right w:val="single" w:sz="4" w:space="0" w:color="auto"/>
            </w:tcBorders>
          </w:tcPr>
          <w:p w:rsidR="00C43880" w:rsidRPr="00FA641F" w:rsidRDefault="00C43880" w:rsidP="00C43880">
            <w:pPr>
              <w:jc w:val="center"/>
              <w:rPr>
                <w:u w:val="single"/>
              </w:rPr>
            </w:pPr>
            <w:r>
              <w:t>FAIR/FL Rising</w:t>
            </w:r>
          </w:p>
        </w:tc>
        <w:tc>
          <w:tcPr>
            <w:tcW w:w="1482" w:type="dxa"/>
            <w:tcBorders>
              <w:top w:val="single" w:sz="4" w:space="0" w:color="auto"/>
              <w:left w:val="single" w:sz="4" w:space="0" w:color="auto"/>
              <w:bottom w:val="single" w:sz="4" w:space="0" w:color="auto"/>
              <w:right w:val="single" w:sz="4" w:space="0" w:color="auto"/>
            </w:tcBorders>
          </w:tcPr>
          <w:p w:rsidR="00C43880" w:rsidRPr="004515FB" w:rsidRDefault="00C43880" w:rsidP="00C43880">
            <w:pPr>
              <w:jc w:val="center"/>
            </w:pPr>
            <w:r>
              <w:t>JTH-7</w:t>
            </w:r>
          </w:p>
        </w:tc>
        <w:tc>
          <w:tcPr>
            <w:tcW w:w="3205" w:type="dxa"/>
            <w:tcBorders>
              <w:top w:val="single" w:sz="4" w:space="0" w:color="auto"/>
              <w:left w:val="single" w:sz="4" w:space="0" w:color="auto"/>
              <w:bottom w:val="single" w:sz="4" w:space="0" w:color="auto"/>
              <w:right w:val="single" w:sz="4" w:space="0" w:color="auto"/>
            </w:tcBorders>
          </w:tcPr>
          <w:p w:rsidR="00C43880" w:rsidRPr="00E81433" w:rsidRDefault="00E81433" w:rsidP="00E81433">
            <w:r w:rsidRPr="00E81433">
              <w:t>U.S. Treasury Bond Yield Rat</w:t>
            </w:r>
            <w:r>
              <w:t>es, October 2016 and August 2021</w:t>
            </w:r>
          </w:p>
        </w:tc>
      </w:tr>
      <w:tr w:rsidR="00C43880" w:rsidRPr="00701945" w:rsidTr="00FA641F">
        <w:trPr>
          <w:cantSplit/>
          <w:trHeight w:val="353"/>
        </w:trPr>
        <w:tc>
          <w:tcPr>
            <w:tcW w:w="3198" w:type="dxa"/>
            <w:tcBorders>
              <w:top w:val="single" w:sz="4" w:space="0" w:color="auto"/>
              <w:left w:val="single" w:sz="4" w:space="0" w:color="auto"/>
              <w:bottom w:val="single" w:sz="4" w:space="0" w:color="auto"/>
              <w:right w:val="single" w:sz="4" w:space="0" w:color="auto"/>
            </w:tcBorders>
          </w:tcPr>
          <w:p w:rsidR="00C43880" w:rsidRPr="00FA641F" w:rsidRDefault="00C43880" w:rsidP="00C43880">
            <w:pPr>
              <w:jc w:val="both"/>
              <w:rPr>
                <w:u w:val="single"/>
              </w:rPr>
            </w:pPr>
            <w:r w:rsidRPr="00C8628F">
              <w:t>Timothy J. Devlin</w:t>
            </w:r>
          </w:p>
        </w:tc>
        <w:tc>
          <w:tcPr>
            <w:tcW w:w="1680" w:type="dxa"/>
            <w:tcBorders>
              <w:top w:val="single" w:sz="4" w:space="0" w:color="auto"/>
              <w:left w:val="single" w:sz="4" w:space="0" w:color="auto"/>
              <w:bottom w:val="single" w:sz="4" w:space="0" w:color="auto"/>
              <w:right w:val="single" w:sz="4" w:space="0" w:color="auto"/>
            </w:tcBorders>
          </w:tcPr>
          <w:p w:rsidR="00C43880" w:rsidRPr="00FA641F" w:rsidRDefault="00C43880" w:rsidP="00C43880">
            <w:pPr>
              <w:jc w:val="center"/>
              <w:rPr>
                <w:u w:val="single"/>
              </w:rPr>
            </w:pPr>
            <w:r>
              <w:t>FAIR/FL Rising</w:t>
            </w:r>
          </w:p>
        </w:tc>
        <w:tc>
          <w:tcPr>
            <w:tcW w:w="1482" w:type="dxa"/>
            <w:tcBorders>
              <w:top w:val="single" w:sz="4" w:space="0" w:color="auto"/>
              <w:left w:val="single" w:sz="4" w:space="0" w:color="auto"/>
              <w:bottom w:val="single" w:sz="4" w:space="0" w:color="auto"/>
              <w:right w:val="single" w:sz="4" w:space="0" w:color="auto"/>
            </w:tcBorders>
          </w:tcPr>
          <w:p w:rsidR="00C43880" w:rsidRPr="004515FB" w:rsidRDefault="00C43880" w:rsidP="00C43880">
            <w:pPr>
              <w:jc w:val="center"/>
            </w:pPr>
            <w:r>
              <w:t>TTD-6</w:t>
            </w:r>
          </w:p>
        </w:tc>
        <w:tc>
          <w:tcPr>
            <w:tcW w:w="3205" w:type="dxa"/>
            <w:tcBorders>
              <w:top w:val="single" w:sz="4" w:space="0" w:color="auto"/>
              <w:left w:val="single" w:sz="4" w:space="0" w:color="auto"/>
              <w:bottom w:val="single" w:sz="4" w:space="0" w:color="auto"/>
              <w:right w:val="single" w:sz="4" w:space="0" w:color="auto"/>
            </w:tcBorders>
          </w:tcPr>
          <w:p w:rsidR="00C43880" w:rsidRPr="000E22D5" w:rsidRDefault="000E22D5" w:rsidP="00C43880">
            <w:r w:rsidRPr="000E22D5">
              <w:t>Revised Effect</w:t>
            </w:r>
            <w:r>
              <w:t>s of RSAM on Further FPL Earnings, 2022-2025</w:t>
            </w:r>
          </w:p>
        </w:tc>
      </w:tr>
      <w:tr w:rsidR="00C43880" w:rsidRPr="00701945" w:rsidTr="00FA641F">
        <w:trPr>
          <w:cantSplit/>
          <w:trHeight w:val="353"/>
        </w:trPr>
        <w:tc>
          <w:tcPr>
            <w:tcW w:w="3198" w:type="dxa"/>
            <w:tcBorders>
              <w:top w:val="single" w:sz="4" w:space="0" w:color="auto"/>
              <w:left w:val="single" w:sz="4" w:space="0" w:color="auto"/>
              <w:bottom w:val="single" w:sz="4" w:space="0" w:color="auto"/>
              <w:right w:val="single" w:sz="4" w:space="0" w:color="auto"/>
            </w:tcBorders>
          </w:tcPr>
          <w:p w:rsidR="00C43880" w:rsidRPr="00C8628F" w:rsidRDefault="00C43880" w:rsidP="00C43880">
            <w:pPr>
              <w:jc w:val="both"/>
            </w:pPr>
            <w:r>
              <w:t>Karl Rabago</w:t>
            </w:r>
          </w:p>
        </w:tc>
        <w:tc>
          <w:tcPr>
            <w:tcW w:w="1680" w:type="dxa"/>
            <w:tcBorders>
              <w:top w:val="single" w:sz="4" w:space="0" w:color="auto"/>
              <w:left w:val="single" w:sz="4" w:space="0" w:color="auto"/>
              <w:bottom w:val="single" w:sz="4" w:space="0" w:color="auto"/>
              <w:right w:val="single" w:sz="4" w:space="0" w:color="auto"/>
            </w:tcBorders>
          </w:tcPr>
          <w:p w:rsidR="00C43880" w:rsidRDefault="00C43880" w:rsidP="00C43880">
            <w:pPr>
              <w:jc w:val="center"/>
            </w:pPr>
            <w:r>
              <w:t>FL Rising/</w:t>
            </w:r>
          </w:p>
          <w:p w:rsidR="00C43880" w:rsidRDefault="00C43880" w:rsidP="00C43880">
            <w:pPr>
              <w:jc w:val="center"/>
            </w:pPr>
            <w:r>
              <w:t>LULAC/</w:t>
            </w:r>
          </w:p>
          <w:p w:rsidR="00C43880" w:rsidRDefault="00C43880" w:rsidP="00C43880">
            <w:pPr>
              <w:jc w:val="center"/>
            </w:pPr>
            <w:r>
              <w:t>ECOSWF</w:t>
            </w:r>
          </w:p>
        </w:tc>
        <w:tc>
          <w:tcPr>
            <w:tcW w:w="1482" w:type="dxa"/>
            <w:tcBorders>
              <w:top w:val="single" w:sz="4" w:space="0" w:color="auto"/>
              <w:left w:val="single" w:sz="4" w:space="0" w:color="auto"/>
              <w:bottom w:val="single" w:sz="4" w:space="0" w:color="auto"/>
              <w:right w:val="single" w:sz="4" w:space="0" w:color="auto"/>
            </w:tcBorders>
          </w:tcPr>
          <w:p w:rsidR="00C43880" w:rsidRPr="004515FB" w:rsidRDefault="002E5A71" w:rsidP="00C43880">
            <w:pPr>
              <w:jc w:val="center"/>
            </w:pPr>
            <w:r>
              <w:t>KRR-7</w:t>
            </w:r>
          </w:p>
        </w:tc>
        <w:tc>
          <w:tcPr>
            <w:tcW w:w="3205" w:type="dxa"/>
            <w:tcBorders>
              <w:top w:val="single" w:sz="4" w:space="0" w:color="auto"/>
              <w:left w:val="single" w:sz="4" w:space="0" w:color="auto"/>
              <w:bottom w:val="single" w:sz="4" w:space="0" w:color="auto"/>
              <w:right w:val="single" w:sz="4" w:space="0" w:color="auto"/>
            </w:tcBorders>
          </w:tcPr>
          <w:p w:rsidR="00C43880" w:rsidRPr="002330D6" w:rsidRDefault="002E5A71" w:rsidP="002330D6">
            <w:pPr>
              <w:rPr>
                <w:b/>
              </w:rPr>
            </w:pPr>
            <w:r>
              <w:t xml:space="preserve">Direct testimony and exhibits of Karl R. Rabago </w:t>
            </w:r>
            <w:r w:rsidR="007D66E4">
              <w:t>– Docket No. 20210015-EI</w:t>
            </w:r>
          </w:p>
        </w:tc>
      </w:tr>
      <w:tr w:rsidR="00E81433" w:rsidRPr="00701945" w:rsidTr="00FA641F">
        <w:trPr>
          <w:cantSplit/>
          <w:trHeight w:val="353"/>
        </w:trPr>
        <w:tc>
          <w:tcPr>
            <w:tcW w:w="3198" w:type="dxa"/>
            <w:tcBorders>
              <w:top w:val="single" w:sz="4" w:space="0" w:color="auto"/>
              <w:left w:val="single" w:sz="4" w:space="0" w:color="auto"/>
              <w:bottom w:val="single" w:sz="4" w:space="0" w:color="auto"/>
              <w:right w:val="single" w:sz="4" w:space="0" w:color="auto"/>
            </w:tcBorders>
          </w:tcPr>
          <w:p w:rsidR="00E81433" w:rsidRPr="00C8628F" w:rsidRDefault="00E81433" w:rsidP="00E81433">
            <w:pPr>
              <w:jc w:val="both"/>
            </w:pPr>
            <w:r>
              <w:lastRenderedPageBreak/>
              <w:t>Karl Rabago</w:t>
            </w:r>
          </w:p>
        </w:tc>
        <w:tc>
          <w:tcPr>
            <w:tcW w:w="1680" w:type="dxa"/>
            <w:tcBorders>
              <w:top w:val="single" w:sz="4" w:space="0" w:color="auto"/>
              <w:left w:val="single" w:sz="4" w:space="0" w:color="auto"/>
              <w:bottom w:val="single" w:sz="4" w:space="0" w:color="auto"/>
              <w:right w:val="single" w:sz="4" w:space="0" w:color="auto"/>
            </w:tcBorders>
          </w:tcPr>
          <w:p w:rsidR="00E81433" w:rsidRDefault="00E81433" w:rsidP="00E81433">
            <w:pPr>
              <w:jc w:val="center"/>
            </w:pPr>
            <w:r>
              <w:t>FL Rising/</w:t>
            </w:r>
          </w:p>
          <w:p w:rsidR="00E81433" w:rsidRDefault="00E81433" w:rsidP="00E81433">
            <w:pPr>
              <w:jc w:val="center"/>
            </w:pPr>
            <w:r>
              <w:t>LULAC/</w:t>
            </w:r>
          </w:p>
          <w:p w:rsidR="00E81433" w:rsidRDefault="00E81433" w:rsidP="00E81433">
            <w:pPr>
              <w:jc w:val="center"/>
            </w:pPr>
            <w:r>
              <w:t>ECOSWF</w:t>
            </w:r>
          </w:p>
        </w:tc>
        <w:tc>
          <w:tcPr>
            <w:tcW w:w="1482" w:type="dxa"/>
            <w:tcBorders>
              <w:top w:val="single" w:sz="4" w:space="0" w:color="auto"/>
              <w:left w:val="single" w:sz="4" w:space="0" w:color="auto"/>
              <w:bottom w:val="single" w:sz="4" w:space="0" w:color="auto"/>
              <w:right w:val="single" w:sz="4" w:space="0" w:color="auto"/>
            </w:tcBorders>
          </w:tcPr>
          <w:p w:rsidR="00E81433" w:rsidRDefault="00E81433" w:rsidP="00E81433">
            <w:pPr>
              <w:jc w:val="center"/>
            </w:pPr>
            <w:r>
              <w:t>KRR-8</w:t>
            </w:r>
          </w:p>
        </w:tc>
        <w:tc>
          <w:tcPr>
            <w:tcW w:w="3205" w:type="dxa"/>
            <w:tcBorders>
              <w:top w:val="single" w:sz="4" w:space="0" w:color="auto"/>
              <w:left w:val="single" w:sz="4" w:space="0" w:color="auto"/>
              <w:bottom w:val="single" w:sz="4" w:space="0" w:color="auto"/>
              <w:right w:val="single" w:sz="4" w:space="0" w:color="auto"/>
            </w:tcBorders>
          </w:tcPr>
          <w:p w:rsidR="00E81433" w:rsidRDefault="00E81433" w:rsidP="00E81433">
            <w:r>
              <w:t>Direct testimony and exhibits of Karl R. Rabago – Docket No. 20200176-EI</w:t>
            </w:r>
          </w:p>
        </w:tc>
      </w:tr>
      <w:tr w:rsidR="00E81433" w:rsidRPr="00701945" w:rsidTr="00FA641F">
        <w:trPr>
          <w:cantSplit/>
          <w:trHeight w:val="353"/>
        </w:trPr>
        <w:tc>
          <w:tcPr>
            <w:tcW w:w="3198" w:type="dxa"/>
            <w:tcBorders>
              <w:top w:val="single" w:sz="4" w:space="0" w:color="auto"/>
              <w:left w:val="single" w:sz="4" w:space="0" w:color="auto"/>
              <w:bottom w:val="single" w:sz="4" w:space="0" w:color="auto"/>
              <w:right w:val="single" w:sz="4" w:space="0" w:color="auto"/>
            </w:tcBorders>
          </w:tcPr>
          <w:p w:rsidR="00E81433" w:rsidRPr="00C8628F" w:rsidRDefault="00E81433" w:rsidP="00E81433">
            <w:pPr>
              <w:jc w:val="both"/>
            </w:pPr>
            <w:r>
              <w:t>Karl Rabago</w:t>
            </w:r>
          </w:p>
        </w:tc>
        <w:tc>
          <w:tcPr>
            <w:tcW w:w="1680" w:type="dxa"/>
            <w:tcBorders>
              <w:top w:val="single" w:sz="4" w:space="0" w:color="auto"/>
              <w:left w:val="single" w:sz="4" w:space="0" w:color="auto"/>
              <w:bottom w:val="single" w:sz="4" w:space="0" w:color="auto"/>
              <w:right w:val="single" w:sz="4" w:space="0" w:color="auto"/>
            </w:tcBorders>
          </w:tcPr>
          <w:p w:rsidR="00E81433" w:rsidRDefault="00E81433" w:rsidP="00E81433">
            <w:pPr>
              <w:jc w:val="center"/>
            </w:pPr>
            <w:r>
              <w:t>FL Rising/</w:t>
            </w:r>
          </w:p>
          <w:p w:rsidR="00E81433" w:rsidRDefault="00E81433" w:rsidP="00E81433">
            <w:pPr>
              <w:jc w:val="center"/>
            </w:pPr>
            <w:r>
              <w:t>LULAC/</w:t>
            </w:r>
          </w:p>
          <w:p w:rsidR="00E81433" w:rsidRDefault="00E81433" w:rsidP="00E81433">
            <w:pPr>
              <w:jc w:val="center"/>
            </w:pPr>
            <w:r>
              <w:t>ECOSWF</w:t>
            </w:r>
          </w:p>
        </w:tc>
        <w:tc>
          <w:tcPr>
            <w:tcW w:w="1482" w:type="dxa"/>
            <w:tcBorders>
              <w:top w:val="single" w:sz="4" w:space="0" w:color="auto"/>
              <w:left w:val="single" w:sz="4" w:space="0" w:color="auto"/>
              <w:bottom w:val="single" w:sz="4" w:space="0" w:color="auto"/>
              <w:right w:val="single" w:sz="4" w:space="0" w:color="auto"/>
            </w:tcBorders>
          </w:tcPr>
          <w:p w:rsidR="00E81433" w:rsidRDefault="00E81433" w:rsidP="00E81433">
            <w:pPr>
              <w:jc w:val="center"/>
            </w:pPr>
            <w:r>
              <w:t>KRR-9</w:t>
            </w:r>
          </w:p>
        </w:tc>
        <w:tc>
          <w:tcPr>
            <w:tcW w:w="3205" w:type="dxa"/>
            <w:tcBorders>
              <w:top w:val="single" w:sz="4" w:space="0" w:color="auto"/>
              <w:left w:val="single" w:sz="4" w:space="0" w:color="auto"/>
              <w:bottom w:val="single" w:sz="4" w:space="0" w:color="auto"/>
              <w:right w:val="single" w:sz="4" w:space="0" w:color="auto"/>
            </w:tcBorders>
          </w:tcPr>
          <w:p w:rsidR="00E81433" w:rsidRDefault="00E81433" w:rsidP="00E81433">
            <w:r>
              <w:t>Staff’s Fifth Data Request No. 6 with Attachment</w:t>
            </w:r>
          </w:p>
        </w:tc>
      </w:tr>
      <w:tr w:rsidR="00E81433" w:rsidRPr="00701945" w:rsidTr="00FA641F">
        <w:trPr>
          <w:cantSplit/>
          <w:trHeight w:val="353"/>
        </w:trPr>
        <w:tc>
          <w:tcPr>
            <w:tcW w:w="3198" w:type="dxa"/>
            <w:tcBorders>
              <w:top w:val="single" w:sz="4" w:space="0" w:color="auto"/>
              <w:left w:val="single" w:sz="4" w:space="0" w:color="auto"/>
              <w:bottom w:val="single" w:sz="4" w:space="0" w:color="auto"/>
              <w:right w:val="single" w:sz="4" w:space="0" w:color="auto"/>
            </w:tcBorders>
          </w:tcPr>
          <w:p w:rsidR="00E81433" w:rsidRPr="00C8628F" w:rsidRDefault="00E81433" w:rsidP="00E81433">
            <w:pPr>
              <w:jc w:val="both"/>
            </w:pPr>
            <w:r>
              <w:t>Karl Rabago</w:t>
            </w:r>
          </w:p>
        </w:tc>
        <w:tc>
          <w:tcPr>
            <w:tcW w:w="1680" w:type="dxa"/>
            <w:tcBorders>
              <w:top w:val="single" w:sz="4" w:space="0" w:color="auto"/>
              <w:left w:val="single" w:sz="4" w:space="0" w:color="auto"/>
              <w:bottom w:val="single" w:sz="4" w:space="0" w:color="auto"/>
              <w:right w:val="single" w:sz="4" w:space="0" w:color="auto"/>
            </w:tcBorders>
          </w:tcPr>
          <w:p w:rsidR="00E81433" w:rsidRDefault="00E81433" w:rsidP="00E81433">
            <w:pPr>
              <w:jc w:val="center"/>
            </w:pPr>
            <w:r>
              <w:t>FL Rising/</w:t>
            </w:r>
          </w:p>
          <w:p w:rsidR="00E81433" w:rsidRDefault="00E81433" w:rsidP="00E81433">
            <w:pPr>
              <w:jc w:val="center"/>
            </w:pPr>
            <w:r>
              <w:t>LULAC/</w:t>
            </w:r>
          </w:p>
          <w:p w:rsidR="00E81433" w:rsidRDefault="00E81433" w:rsidP="00E81433">
            <w:pPr>
              <w:jc w:val="center"/>
            </w:pPr>
            <w:r>
              <w:t>ECOSWF</w:t>
            </w:r>
          </w:p>
        </w:tc>
        <w:tc>
          <w:tcPr>
            <w:tcW w:w="1482" w:type="dxa"/>
            <w:tcBorders>
              <w:top w:val="single" w:sz="4" w:space="0" w:color="auto"/>
              <w:left w:val="single" w:sz="4" w:space="0" w:color="auto"/>
              <w:bottom w:val="single" w:sz="4" w:space="0" w:color="auto"/>
              <w:right w:val="single" w:sz="4" w:space="0" w:color="auto"/>
            </w:tcBorders>
          </w:tcPr>
          <w:p w:rsidR="00E81433" w:rsidRDefault="00E81433" w:rsidP="00E81433">
            <w:pPr>
              <w:jc w:val="center"/>
            </w:pPr>
            <w:r>
              <w:t>KRR-10</w:t>
            </w:r>
          </w:p>
        </w:tc>
        <w:tc>
          <w:tcPr>
            <w:tcW w:w="3205" w:type="dxa"/>
            <w:tcBorders>
              <w:top w:val="single" w:sz="4" w:space="0" w:color="auto"/>
              <w:left w:val="single" w:sz="4" w:space="0" w:color="auto"/>
              <w:bottom w:val="single" w:sz="4" w:space="0" w:color="auto"/>
              <w:right w:val="single" w:sz="4" w:space="0" w:color="auto"/>
            </w:tcBorders>
          </w:tcPr>
          <w:p w:rsidR="00E81433" w:rsidRDefault="00E81433" w:rsidP="00E81433">
            <w:r>
              <w:t>Staff’s Eighth Data Request No. 6, Attachment 1</w:t>
            </w:r>
          </w:p>
        </w:tc>
      </w:tr>
      <w:tr w:rsidR="00E81433" w:rsidRPr="00701945" w:rsidTr="00FA641F">
        <w:trPr>
          <w:cantSplit/>
          <w:trHeight w:val="353"/>
        </w:trPr>
        <w:tc>
          <w:tcPr>
            <w:tcW w:w="3198" w:type="dxa"/>
            <w:tcBorders>
              <w:top w:val="single" w:sz="4" w:space="0" w:color="auto"/>
              <w:left w:val="single" w:sz="4" w:space="0" w:color="auto"/>
              <w:bottom w:val="single" w:sz="4" w:space="0" w:color="auto"/>
              <w:right w:val="single" w:sz="4" w:space="0" w:color="auto"/>
            </w:tcBorders>
          </w:tcPr>
          <w:p w:rsidR="00E81433" w:rsidRPr="00C8628F" w:rsidRDefault="00E81433" w:rsidP="00E81433">
            <w:pPr>
              <w:jc w:val="both"/>
            </w:pPr>
            <w:r>
              <w:t>Karl Rabago</w:t>
            </w:r>
          </w:p>
        </w:tc>
        <w:tc>
          <w:tcPr>
            <w:tcW w:w="1680" w:type="dxa"/>
            <w:tcBorders>
              <w:top w:val="single" w:sz="4" w:space="0" w:color="auto"/>
              <w:left w:val="single" w:sz="4" w:space="0" w:color="auto"/>
              <w:bottom w:val="single" w:sz="4" w:space="0" w:color="auto"/>
              <w:right w:val="single" w:sz="4" w:space="0" w:color="auto"/>
            </w:tcBorders>
          </w:tcPr>
          <w:p w:rsidR="00E81433" w:rsidRDefault="00E81433" w:rsidP="00E81433">
            <w:pPr>
              <w:jc w:val="center"/>
            </w:pPr>
            <w:r>
              <w:t>FL Rising/</w:t>
            </w:r>
          </w:p>
          <w:p w:rsidR="00E81433" w:rsidRDefault="00E81433" w:rsidP="00E81433">
            <w:pPr>
              <w:jc w:val="center"/>
            </w:pPr>
            <w:r>
              <w:t>LULAC/</w:t>
            </w:r>
          </w:p>
          <w:p w:rsidR="00E81433" w:rsidRDefault="00E81433" w:rsidP="00E81433">
            <w:pPr>
              <w:jc w:val="center"/>
            </w:pPr>
            <w:r>
              <w:t>ECOSWF</w:t>
            </w:r>
          </w:p>
        </w:tc>
        <w:tc>
          <w:tcPr>
            <w:tcW w:w="1482" w:type="dxa"/>
            <w:tcBorders>
              <w:top w:val="single" w:sz="4" w:space="0" w:color="auto"/>
              <w:left w:val="single" w:sz="4" w:space="0" w:color="auto"/>
              <w:bottom w:val="single" w:sz="4" w:space="0" w:color="auto"/>
              <w:right w:val="single" w:sz="4" w:space="0" w:color="auto"/>
            </w:tcBorders>
          </w:tcPr>
          <w:p w:rsidR="00E81433" w:rsidRDefault="00E81433" w:rsidP="00E81433">
            <w:pPr>
              <w:jc w:val="center"/>
            </w:pPr>
            <w:r>
              <w:t>KRR-11</w:t>
            </w:r>
          </w:p>
        </w:tc>
        <w:tc>
          <w:tcPr>
            <w:tcW w:w="3205" w:type="dxa"/>
            <w:tcBorders>
              <w:top w:val="single" w:sz="4" w:space="0" w:color="auto"/>
              <w:left w:val="single" w:sz="4" w:space="0" w:color="auto"/>
              <w:bottom w:val="single" w:sz="4" w:space="0" w:color="auto"/>
              <w:right w:val="single" w:sz="4" w:space="0" w:color="auto"/>
            </w:tcBorders>
          </w:tcPr>
          <w:p w:rsidR="00E81433" w:rsidRDefault="00E81433" w:rsidP="00E81433">
            <w:r>
              <w:t>Staff’s Eighth Data Request No. 6, Attachment 1 with 11.7% ROE by KRR</w:t>
            </w:r>
          </w:p>
        </w:tc>
      </w:tr>
      <w:tr w:rsidR="00E81433" w:rsidRPr="00701945" w:rsidTr="00FA641F">
        <w:trPr>
          <w:cantSplit/>
          <w:trHeight w:val="353"/>
        </w:trPr>
        <w:tc>
          <w:tcPr>
            <w:tcW w:w="3198" w:type="dxa"/>
            <w:tcBorders>
              <w:top w:val="single" w:sz="4" w:space="0" w:color="auto"/>
              <w:left w:val="single" w:sz="4" w:space="0" w:color="auto"/>
              <w:bottom w:val="single" w:sz="4" w:space="0" w:color="auto"/>
              <w:right w:val="single" w:sz="4" w:space="0" w:color="auto"/>
            </w:tcBorders>
          </w:tcPr>
          <w:p w:rsidR="00E81433" w:rsidRPr="00C8628F" w:rsidRDefault="00E81433" w:rsidP="00E81433">
            <w:pPr>
              <w:jc w:val="both"/>
            </w:pPr>
            <w:r>
              <w:t>Karl Rabago</w:t>
            </w:r>
          </w:p>
        </w:tc>
        <w:tc>
          <w:tcPr>
            <w:tcW w:w="1680" w:type="dxa"/>
            <w:tcBorders>
              <w:top w:val="single" w:sz="4" w:space="0" w:color="auto"/>
              <w:left w:val="single" w:sz="4" w:space="0" w:color="auto"/>
              <w:bottom w:val="single" w:sz="4" w:space="0" w:color="auto"/>
              <w:right w:val="single" w:sz="4" w:space="0" w:color="auto"/>
            </w:tcBorders>
          </w:tcPr>
          <w:p w:rsidR="00E81433" w:rsidRDefault="00E81433" w:rsidP="00E81433">
            <w:pPr>
              <w:jc w:val="center"/>
            </w:pPr>
            <w:r>
              <w:t>FL Rising/</w:t>
            </w:r>
          </w:p>
          <w:p w:rsidR="00E81433" w:rsidRDefault="00E81433" w:rsidP="00E81433">
            <w:pPr>
              <w:jc w:val="center"/>
            </w:pPr>
            <w:r>
              <w:t>LULAC/</w:t>
            </w:r>
          </w:p>
          <w:p w:rsidR="00E81433" w:rsidRDefault="00E81433" w:rsidP="00E81433">
            <w:pPr>
              <w:jc w:val="center"/>
            </w:pPr>
            <w:r>
              <w:t>ECOSWF</w:t>
            </w:r>
          </w:p>
        </w:tc>
        <w:tc>
          <w:tcPr>
            <w:tcW w:w="1482" w:type="dxa"/>
            <w:tcBorders>
              <w:top w:val="single" w:sz="4" w:space="0" w:color="auto"/>
              <w:left w:val="single" w:sz="4" w:space="0" w:color="auto"/>
              <w:bottom w:val="single" w:sz="4" w:space="0" w:color="auto"/>
              <w:right w:val="single" w:sz="4" w:space="0" w:color="auto"/>
            </w:tcBorders>
          </w:tcPr>
          <w:p w:rsidR="00E81433" w:rsidRDefault="00E81433" w:rsidP="00E81433">
            <w:pPr>
              <w:jc w:val="center"/>
            </w:pPr>
            <w:r>
              <w:t>KRR-12</w:t>
            </w:r>
          </w:p>
        </w:tc>
        <w:tc>
          <w:tcPr>
            <w:tcW w:w="3205" w:type="dxa"/>
            <w:tcBorders>
              <w:top w:val="single" w:sz="4" w:space="0" w:color="auto"/>
              <w:left w:val="single" w:sz="4" w:space="0" w:color="auto"/>
              <w:bottom w:val="single" w:sz="4" w:space="0" w:color="auto"/>
              <w:right w:val="single" w:sz="4" w:space="0" w:color="auto"/>
            </w:tcBorders>
          </w:tcPr>
          <w:p w:rsidR="00E81433" w:rsidRDefault="00E81433" w:rsidP="00E81433">
            <w:r>
              <w:t>SolarTogether CPVRR Summary from Docket No. 20190061-EI</w:t>
            </w:r>
          </w:p>
        </w:tc>
      </w:tr>
      <w:tr w:rsidR="00E81433" w:rsidRPr="00701945" w:rsidTr="00FA641F">
        <w:trPr>
          <w:cantSplit/>
          <w:trHeight w:val="353"/>
        </w:trPr>
        <w:tc>
          <w:tcPr>
            <w:tcW w:w="3198" w:type="dxa"/>
            <w:tcBorders>
              <w:top w:val="single" w:sz="4" w:space="0" w:color="auto"/>
              <w:left w:val="single" w:sz="4" w:space="0" w:color="auto"/>
              <w:bottom w:val="single" w:sz="4" w:space="0" w:color="auto"/>
              <w:right w:val="single" w:sz="4" w:space="0" w:color="auto"/>
            </w:tcBorders>
          </w:tcPr>
          <w:p w:rsidR="00E81433" w:rsidRPr="00C8628F" w:rsidRDefault="00E81433" w:rsidP="00E81433">
            <w:pPr>
              <w:jc w:val="both"/>
            </w:pPr>
            <w:r>
              <w:t>Karl Rabago</w:t>
            </w:r>
          </w:p>
        </w:tc>
        <w:tc>
          <w:tcPr>
            <w:tcW w:w="1680" w:type="dxa"/>
            <w:tcBorders>
              <w:top w:val="single" w:sz="4" w:space="0" w:color="auto"/>
              <w:left w:val="single" w:sz="4" w:space="0" w:color="auto"/>
              <w:bottom w:val="single" w:sz="4" w:space="0" w:color="auto"/>
              <w:right w:val="single" w:sz="4" w:space="0" w:color="auto"/>
            </w:tcBorders>
          </w:tcPr>
          <w:p w:rsidR="00E81433" w:rsidRDefault="00E81433" w:rsidP="00E81433">
            <w:pPr>
              <w:jc w:val="center"/>
            </w:pPr>
            <w:r>
              <w:t>FL Rising/</w:t>
            </w:r>
          </w:p>
          <w:p w:rsidR="00E81433" w:rsidRDefault="00E81433" w:rsidP="00E81433">
            <w:pPr>
              <w:jc w:val="center"/>
            </w:pPr>
            <w:r>
              <w:t>LULAC/</w:t>
            </w:r>
          </w:p>
          <w:p w:rsidR="00E81433" w:rsidRDefault="00E81433" w:rsidP="00E81433">
            <w:pPr>
              <w:jc w:val="center"/>
            </w:pPr>
            <w:r>
              <w:t>ECOSWF</w:t>
            </w:r>
          </w:p>
        </w:tc>
        <w:tc>
          <w:tcPr>
            <w:tcW w:w="1482" w:type="dxa"/>
            <w:tcBorders>
              <w:top w:val="single" w:sz="4" w:space="0" w:color="auto"/>
              <w:left w:val="single" w:sz="4" w:space="0" w:color="auto"/>
              <w:bottom w:val="single" w:sz="4" w:space="0" w:color="auto"/>
              <w:right w:val="single" w:sz="4" w:space="0" w:color="auto"/>
            </w:tcBorders>
          </w:tcPr>
          <w:p w:rsidR="00E81433" w:rsidRDefault="00E81433" w:rsidP="00E81433">
            <w:pPr>
              <w:jc w:val="center"/>
            </w:pPr>
            <w:r>
              <w:t>KRR-13</w:t>
            </w:r>
          </w:p>
        </w:tc>
        <w:tc>
          <w:tcPr>
            <w:tcW w:w="3205" w:type="dxa"/>
            <w:tcBorders>
              <w:top w:val="single" w:sz="4" w:space="0" w:color="auto"/>
              <w:left w:val="single" w:sz="4" w:space="0" w:color="auto"/>
              <w:bottom w:val="single" w:sz="4" w:space="0" w:color="auto"/>
              <w:right w:val="single" w:sz="4" w:space="0" w:color="auto"/>
            </w:tcBorders>
          </w:tcPr>
          <w:p w:rsidR="00E81433" w:rsidRDefault="00E81433" w:rsidP="00E81433">
            <w:r>
              <w:t>LULAC, et al. 4</w:t>
            </w:r>
            <w:r w:rsidRPr="00E81433">
              <w:rPr>
                <w:vertAlign w:val="superscript"/>
              </w:rPr>
              <w:t>th</w:t>
            </w:r>
            <w:r>
              <w:t xml:space="preserve"> POD, No. 33 – SolarTogether –High Level Bill Impacts</w:t>
            </w:r>
          </w:p>
        </w:tc>
      </w:tr>
      <w:tr w:rsidR="00E81433" w:rsidRPr="00701945" w:rsidTr="00FA641F">
        <w:trPr>
          <w:cantSplit/>
          <w:trHeight w:val="353"/>
        </w:trPr>
        <w:tc>
          <w:tcPr>
            <w:tcW w:w="3198" w:type="dxa"/>
            <w:tcBorders>
              <w:top w:val="single" w:sz="4" w:space="0" w:color="auto"/>
              <w:left w:val="single" w:sz="4" w:space="0" w:color="auto"/>
              <w:bottom w:val="single" w:sz="4" w:space="0" w:color="auto"/>
              <w:right w:val="single" w:sz="4" w:space="0" w:color="auto"/>
            </w:tcBorders>
          </w:tcPr>
          <w:p w:rsidR="00E81433" w:rsidRPr="00C8628F" w:rsidRDefault="00E81433" w:rsidP="00E81433">
            <w:pPr>
              <w:jc w:val="both"/>
            </w:pPr>
            <w:r>
              <w:t>Karl Rabago</w:t>
            </w:r>
          </w:p>
        </w:tc>
        <w:tc>
          <w:tcPr>
            <w:tcW w:w="1680" w:type="dxa"/>
            <w:tcBorders>
              <w:top w:val="single" w:sz="4" w:space="0" w:color="auto"/>
              <w:left w:val="single" w:sz="4" w:space="0" w:color="auto"/>
              <w:bottom w:val="single" w:sz="4" w:space="0" w:color="auto"/>
              <w:right w:val="single" w:sz="4" w:space="0" w:color="auto"/>
            </w:tcBorders>
          </w:tcPr>
          <w:p w:rsidR="00E81433" w:rsidRDefault="00E81433" w:rsidP="00E81433">
            <w:pPr>
              <w:jc w:val="center"/>
            </w:pPr>
            <w:r>
              <w:t>FL Rising/</w:t>
            </w:r>
          </w:p>
          <w:p w:rsidR="00E81433" w:rsidRDefault="00E81433" w:rsidP="00E81433">
            <w:pPr>
              <w:jc w:val="center"/>
            </w:pPr>
            <w:r>
              <w:t>LULAC/</w:t>
            </w:r>
          </w:p>
          <w:p w:rsidR="00E81433" w:rsidRDefault="00E81433" w:rsidP="00E81433">
            <w:pPr>
              <w:jc w:val="center"/>
            </w:pPr>
            <w:r>
              <w:t>ECOSWF</w:t>
            </w:r>
          </w:p>
        </w:tc>
        <w:tc>
          <w:tcPr>
            <w:tcW w:w="1482" w:type="dxa"/>
            <w:tcBorders>
              <w:top w:val="single" w:sz="4" w:space="0" w:color="auto"/>
              <w:left w:val="single" w:sz="4" w:space="0" w:color="auto"/>
              <w:bottom w:val="single" w:sz="4" w:space="0" w:color="auto"/>
              <w:right w:val="single" w:sz="4" w:space="0" w:color="auto"/>
            </w:tcBorders>
          </w:tcPr>
          <w:p w:rsidR="00E81433" w:rsidRDefault="00E81433" w:rsidP="00E81433">
            <w:pPr>
              <w:jc w:val="center"/>
            </w:pPr>
            <w:r>
              <w:t>KRR-14</w:t>
            </w:r>
          </w:p>
        </w:tc>
        <w:tc>
          <w:tcPr>
            <w:tcW w:w="3205" w:type="dxa"/>
            <w:tcBorders>
              <w:top w:val="single" w:sz="4" w:space="0" w:color="auto"/>
              <w:left w:val="single" w:sz="4" w:space="0" w:color="auto"/>
              <w:bottom w:val="single" w:sz="4" w:space="0" w:color="auto"/>
              <w:right w:val="single" w:sz="4" w:space="0" w:color="auto"/>
            </w:tcBorders>
          </w:tcPr>
          <w:p w:rsidR="00E81433" w:rsidRDefault="00E81433" w:rsidP="00E81433">
            <w:r>
              <w:t>LULAC, et al. 4</w:t>
            </w:r>
            <w:r w:rsidRPr="00E81433">
              <w:rPr>
                <w:vertAlign w:val="superscript"/>
              </w:rPr>
              <w:t>th</w:t>
            </w:r>
            <w:r>
              <w:t xml:space="preserve"> POD, No. 33 – SolarTogether –High Level Bill Impacts extended to 2026 by KRR</w:t>
            </w:r>
          </w:p>
        </w:tc>
      </w:tr>
      <w:tr w:rsidR="00E81433" w:rsidRPr="00701945" w:rsidTr="00FA641F">
        <w:trPr>
          <w:cantSplit/>
          <w:trHeight w:val="353"/>
        </w:trPr>
        <w:tc>
          <w:tcPr>
            <w:tcW w:w="3198" w:type="dxa"/>
            <w:tcBorders>
              <w:top w:val="single" w:sz="4" w:space="0" w:color="auto"/>
              <w:left w:val="single" w:sz="4" w:space="0" w:color="auto"/>
              <w:bottom w:val="single" w:sz="4" w:space="0" w:color="auto"/>
              <w:right w:val="single" w:sz="4" w:space="0" w:color="auto"/>
            </w:tcBorders>
          </w:tcPr>
          <w:p w:rsidR="00E81433" w:rsidRPr="00C8628F" w:rsidRDefault="00E81433" w:rsidP="00E81433">
            <w:pPr>
              <w:jc w:val="both"/>
            </w:pPr>
            <w:r>
              <w:t>Karl Rabago</w:t>
            </w:r>
          </w:p>
        </w:tc>
        <w:tc>
          <w:tcPr>
            <w:tcW w:w="1680" w:type="dxa"/>
            <w:tcBorders>
              <w:top w:val="single" w:sz="4" w:space="0" w:color="auto"/>
              <w:left w:val="single" w:sz="4" w:space="0" w:color="auto"/>
              <w:bottom w:val="single" w:sz="4" w:space="0" w:color="auto"/>
              <w:right w:val="single" w:sz="4" w:space="0" w:color="auto"/>
            </w:tcBorders>
          </w:tcPr>
          <w:p w:rsidR="00E81433" w:rsidRDefault="00E81433" w:rsidP="00E81433">
            <w:pPr>
              <w:jc w:val="center"/>
            </w:pPr>
            <w:r>
              <w:t>FL Rising/</w:t>
            </w:r>
          </w:p>
          <w:p w:rsidR="00E81433" w:rsidRDefault="00E81433" w:rsidP="00E81433">
            <w:pPr>
              <w:jc w:val="center"/>
            </w:pPr>
            <w:r>
              <w:t>LULAC/</w:t>
            </w:r>
          </w:p>
          <w:p w:rsidR="00E81433" w:rsidRDefault="00E81433" w:rsidP="00E81433">
            <w:pPr>
              <w:jc w:val="center"/>
            </w:pPr>
            <w:r>
              <w:t>ECOSWF</w:t>
            </w:r>
          </w:p>
        </w:tc>
        <w:tc>
          <w:tcPr>
            <w:tcW w:w="1482" w:type="dxa"/>
            <w:tcBorders>
              <w:top w:val="single" w:sz="4" w:space="0" w:color="auto"/>
              <w:left w:val="single" w:sz="4" w:space="0" w:color="auto"/>
              <w:bottom w:val="single" w:sz="4" w:space="0" w:color="auto"/>
              <w:right w:val="single" w:sz="4" w:space="0" w:color="auto"/>
            </w:tcBorders>
          </w:tcPr>
          <w:p w:rsidR="00E81433" w:rsidRDefault="00E81433" w:rsidP="00E81433">
            <w:pPr>
              <w:jc w:val="center"/>
            </w:pPr>
            <w:r>
              <w:t>KRR-15</w:t>
            </w:r>
          </w:p>
        </w:tc>
        <w:tc>
          <w:tcPr>
            <w:tcW w:w="3205" w:type="dxa"/>
            <w:tcBorders>
              <w:top w:val="single" w:sz="4" w:space="0" w:color="auto"/>
              <w:left w:val="single" w:sz="4" w:space="0" w:color="auto"/>
              <w:bottom w:val="single" w:sz="4" w:space="0" w:color="auto"/>
              <w:right w:val="single" w:sz="4" w:space="0" w:color="auto"/>
            </w:tcBorders>
          </w:tcPr>
          <w:p w:rsidR="00E81433" w:rsidRDefault="00E81433" w:rsidP="00E81433">
            <w:r>
              <w:t>LULAC et al. 4</w:t>
            </w:r>
            <w:r w:rsidRPr="00E81433">
              <w:rPr>
                <w:vertAlign w:val="superscript"/>
              </w:rPr>
              <w:t>th</w:t>
            </w:r>
            <w:r>
              <w:t xml:space="preserve"> POD, No. 39 – Attachment 1 – Minimum Bill</w:t>
            </w:r>
          </w:p>
        </w:tc>
      </w:tr>
      <w:tr w:rsidR="00E81433" w:rsidRPr="00701945" w:rsidTr="00FA641F">
        <w:trPr>
          <w:cantSplit/>
          <w:trHeight w:val="353"/>
        </w:trPr>
        <w:tc>
          <w:tcPr>
            <w:tcW w:w="3198" w:type="dxa"/>
            <w:tcBorders>
              <w:top w:val="single" w:sz="4" w:space="0" w:color="auto"/>
              <w:left w:val="single" w:sz="4" w:space="0" w:color="auto"/>
              <w:bottom w:val="single" w:sz="4" w:space="0" w:color="auto"/>
              <w:right w:val="single" w:sz="4" w:space="0" w:color="auto"/>
            </w:tcBorders>
          </w:tcPr>
          <w:p w:rsidR="00E81433" w:rsidRPr="00BF0EA4" w:rsidRDefault="00E81433" w:rsidP="00E81433">
            <w:pPr>
              <w:jc w:val="center"/>
              <w:rPr>
                <w:u w:val="single"/>
              </w:rPr>
            </w:pPr>
            <w:r>
              <w:rPr>
                <w:u w:val="single"/>
              </w:rPr>
              <w:t>Signatories</w:t>
            </w:r>
          </w:p>
        </w:tc>
        <w:tc>
          <w:tcPr>
            <w:tcW w:w="1680" w:type="dxa"/>
            <w:tcBorders>
              <w:top w:val="single" w:sz="4" w:space="0" w:color="auto"/>
              <w:left w:val="single" w:sz="4" w:space="0" w:color="auto"/>
              <w:bottom w:val="single" w:sz="4" w:space="0" w:color="auto"/>
              <w:right w:val="single" w:sz="4" w:space="0" w:color="auto"/>
            </w:tcBorders>
          </w:tcPr>
          <w:p w:rsidR="00E81433" w:rsidRDefault="00E81433" w:rsidP="00E81433">
            <w:pPr>
              <w:jc w:val="center"/>
            </w:pPr>
          </w:p>
        </w:tc>
        <w:tc>
          <w:tcPr>
            <w:tcW w:w="1482" w:type="dxa"/>
            <w:tcBorders>
              <w:top w:val="single" w:sz="4" w:space="0" w:color="auto"/>
              <w:left w:val="single" w:sz="4" w:space="0" w:color="auto"/>
              <w:bottom w:val="single" w:sz="4" w:space="0" w:color="auto"/>
              <w:right w:val="single" w:sz="4" w:space="0" w:color="auto"/>
            </w:tcBorders>
          </w:tcPr>
          <w:p w:rsidR="00E81433" w:rsidRPr="004515FB" w:rsidRDefault="00E81433" w:rsidP="00E81433">
            <w:pPr>
              <w:jc w:val="center"/>
            </w:pPr>
          </w:p>
        </w:tc>
        <w:tc>
          <w:tcPr>
            <w:tcW w:w="3205" w:type="dxa"/>
            <w:tcBorders>
              <w:top w:val="single" w:sz="4" w:space="0" w:color="auto"/>
              <w:left w:val="single" w:sz="4" w:space="0" w:color="auto"/>
              <w:bottom w:val="single" w:sz="4" w:space="0" w:color="auto"/>
              <w:right w:val="single" w:sz="4" w:space="0" w:color="auto"/>
            </w:tcBorders>
          </w:tcPr>
          <w:p w:rsidR="00E81433" w:rsidRPr="00FA641F" w:rsidRDefault="00E81433" w:rsidP="00E81433">
            <w:pPr>
              <w:rPr>
                <w:u w:val="single"/>
              </w:rPr>
            </w:pPr>
          </w:p>
        </w:tc>
      </w:tr>
      <w:tr w:rsidR="00E81433" w:rsidRPr="00701945" w:rsidTr="00FA641F">
        <w:trPr>
          <w:cantSplit/>
          <w:trHeight w:val="353"/>
        </w:trPr>
        <w:tc>
          <w:tcPr>
            <w:tcW w:w="3198" w:type="dxa"/>
            <w:tcBorders>
              <w:top w:val="single" w:sz="4" w:space="0" w:color="auto"/>
              <w:left w:val="single" w:sz="4" w:space="0" w:color="auto"/>
              <w:bottom w:val="single" w:sz="4" w:space="0" w:color="auto"/>
              <w:right w:val="single" w:sz="4" w:space="0" w:color="auto"/>
            </w:tcBorders>
          </w:tcPr>
          <w:p w:rsidR="00E81433" w:rsidRPr="00C8628F" w:rsidRDefault="00E81433" w:rsidP="00E81433">
            <w:pPr>
              <w:jc w:val="both"/>
            </w:pPr>
            <w:r>
              <w:t>Robert E. Barrett</w:t>
            </w:r>
          </w:p>
        </w:tc>
        <w:tc>
          <w:tcPr>
            <w:tcW w:w="1680" w:type="dxa"/>
            <w:tcBorders>
              <w:top w:val="single" w:sz="4" w:space="0" w:color="auto"/>
              <w:left w:val="single" w:sz="4" w:space="0" w:color="auto"/>
              <w:bottom w:val="single" w:sz="4" w:space="0" w:color="auto"/>
              <w:right w:val="single" w:sz="4" w:space="0" w:color="auto"/>
            </w:tcBorders>
          </w:tcPr>
          <w:p w:rsidR="00E81433" w:rsidRDefault="00E81433" w:rsidP="00E81433">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E81433" w:rsidRPr="004515FB" w:rsidRDefault="00E81433" w:rsidP="00E81433">
            <w:pPr>
              <w:jc w:val="center"/>
            </w:pPr>
            <w:r>
              <w:t>REB-15</w:t>
            </w:r>
          </w:p>
        </w:tc>
        <w:tc>
          <w:tcPr>
            <w:tcW w:w="3205" w:type="dxa"/>
            <w:tcBorders>
              <w:top w:val="single" w:sz="4" w:space="0" w:color="auto"/>
              <w:left w:val="single" w:sz="4" w:space="0" w:color="auto"/>
              <w:bottom w:val="single" w:sz="4" w:space="0" w:color="auto"/>
              <w:right w:val="single" w:sz="4" w:space="0" w:color="auto"/>
            </w:tcBorders>
          </w:tcPr>
          <w:p w:rsidR="00E81433" w:rsidRPr="00BF0EA4" w:rsidRDefault="00E81433" w:rsidP="00E81433">
            <w:r>
              <w:t>2021 Stipulation and Settlement Agreement</w:t>
            </w:r>
          </w:p>
        </w:tc>
      </w:tr>
      <w:tr w:rsidR="00E81433" w:rsidRPr="00701945" w:rsidTr="00FA641F">
        <w:trPr>
          <w:cantSplit/>
          <w:trHeight w:val="353"/>
        </w:trPr>
        <w:tc>
          <w:tcPr>
            <w:tcW w:w="3198" w:type="dxa"/>
            <w:tcBorders>
              <w:top w:val="single" w:sz="4" w:space="0" w:color="auto"/>
              <w:left w:val="single" w:sz="4" w:space="0" w:color="auto"/>
              <w:bottom w:val="single" w:sz="4" w:space="0" w:color="auto"/>
              <w:right w:val="single" w:sz="4" w:space="0" w:color="auto"/>
            </w:tcBorders>
          </w:tcPr>
          <w:p w:rsidR="00E81433" w:rsidRDefault="00E81433" w:rsidP="00E81433">
            <w:pPr>
              <w:jc w:val="both"/>
            </w:pPr>
            <w:r>
              <w:t>Scott R. Bores</w:t>
            </w:r>
          </w:p>
        </w:tc>
        <w:tc>
          <w:tcPr>
            <w:tcW w:w="1680" w:type="dxa"/>
            <w:tcBorders>
              <w:top w:val="single" w:sz="4" w:space="0" w:color="auto"/>
              <w:left w:val="single" w:sz="4" w:space="0" w:color="auto"/>
              <w:bottom w:val="single" w:sz="4" w:space="0" w:color="auto"/>
              <w:right w:val="single" w:sz="4" w:space="0" w:color="auto"/>
            </w:tcBorders>
          </w:tcPr>
          <w:p w:rsidR="00E81433" w:rsidRDefault="00E81433" w:rsidP="00E81433">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E81433" w:rsidRDefault="00E81433" w:rsidP="00E81433">
            <w:pPr>
              <w:jc w:val="center"/>
            </w:pPr>
            <w:r>
              <w:t>SRB-14</w:t>
            </w:r>
          </w:p>
        </w:tc>
        <w:tc>
          <w:tcPr>
            <w:tcW w:w="3205" w:type="dxa"/>
            <w:tcBorders>
              <w:top w:val="single" w:sz="4" w:space="0" w:color="auto"/>
              <w:left w:val="single" w:sz="4" w:space="0" w:color="auto"/>
              <w:bottom w:val="single" w:sz="4" w:space="0" w:color="auto"/>
              <w:right w:val="single" w:sz="4" w:space="0" w:color="auto"/>
            </w:tcBorders>
          </w:tcPr>
          <w:p w:rsidR="00E81433" w:rsidRDefault="00E81433" w:rsidP="00E81433">
            <w:r>
              <w:t>Extended SolarTogether Resource Plans</w:t>
            </w:r>
          </w:p>
        </w:tc>
      </w:tr>
      <w:tr w:rsidR="00E81433" w:rsidRPr="00701945" w:rsidTr="00FA641F">
        <w:trPr>
          <w:cantSplit/>
          <w:trHeight w:val="353"/>
        </w:trPr>
        <w:tc>
          <w:tcPr>
            <w:tcW w:w="3198" w:type="dxa"/>
            <w:tcBorders>
              <w:top w:val="single" w:sz="4" w:space="0" w:color="auto"/>
              <w:left w:val="single" w:sz="4" w:space="0" w:color="auto"/>
              <w:bottom w:val="single" w:sz="4" w:space="0" w:color="auto"/>
              <w:right w:val="single" w:sz="4" w:space="0" w:color="auto"/>
            </w:tcBorders>
          </w:tcPr>
          <w:p w:rsidR="00E81433" w:rsidRDefault="00E81433" w:rsidP="00E81433">
            <w:pPr>
              <w:jc w:val="both"/>
            </w:pPr>
            <w:r>
              <w:t>Scott R. Bores</w:t>
            </w:r>
          </w:p>
        </w:tc>
        <w:tc>
          <w:tcPr>
            <w:tcW w:w="1680" w:type="dxa"/>
            <w:tcBorders>
              <w:top w:val="single" w:sz="4" w:space="0" w:color="auto"/>
              <w:left w:val="single" w:sz="4" w:space="0" w:color="auto"/>
              <w:bottom w:val="single" w:sz="4" w:space="0" w:color="auto"/>
              <w:right w:val="single" w:sz="4" w:space="0" w:color="auto"/>
            </w:tcBorders>
          </w:tcPr>
          <w:p w:rsidR="00E81433" w:rsidRDefault="00E81433" w:rsidP="00E81433">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E81433" w:rsidRDefault="00E81433" w:rsidP="00E81433">
            <w:pPr>
              <w:jc w:val="center"/>
            </w:pPr>
            <w:r>
              <w:t>SRB-15</w:t>
            </w:r>
          </w:p>
        </w:tc>
        <w:tc>
          <w:tcPr>
            <w:tcW w:w="3205" w:type="dxa"/>
            <w:tcBorders>
              <w:top w:val="single" w:sz="4" w:space="0" w:color="auto"/>
              <w:left w:val="single" w:sz="4" w:space="0" w:color="auto"/>
              <w:bottom w:val="single" w:sz="4" w:space="0" w:color="auto"/>
              <w:right w:val="single" w:sz="4" w:space="0" w:color="auto"/>
            </w:tcBorders>
          </w:tcPr>
          <w:p w:rsidR="00E81433" w:rsidRDefault="00E81433" w:rsidP="00E81433">
            <w:r>
              <w:t xml:space="preserve">FPL SolarTogether Extension System Costs and Benefits </w:t>
            </w:r>
          </w:p>
        </w:tc>
      </w:tr>
      <w:tr w:rsidR="00E81433" w:rsidRPr="00701945" w:rsidTr="00FA641F">
        <w:trPr>
          <w:cantSplit/>
          <w:trHeight w:val="353"/>
        </w:trPr>
        <w:tc>
          <w:tcPr>
            <w:tcW w:w="3198" w:type="dxa"/>
            <w:tcBorders>
              <w:top w:val="single" w:sz="4" w:space="0" w:color="auto"/>
              <w:left w:val="single" w:sz="4" w:space="0" w:color="auto"/>
              <w:bottom w:val="single" w:sz="4" w:space="0" w:color="auto"/>
              <w:right w:val="single" w:sz="4" w:space="0" w:color="auto"/>
            </w:tcBorders>
          </w:tcPr>
          <w:p w:rsidR="00E81433" w:rsidRDefault="00E81433" w:rsidP="00E81433">
            <w:pPr>
              <w:jc w:val="both"/>
            </w:pPr>
            <w:r>
              <w:t>Scott R. Bores</w:t>
            </w:r>
          </w:p>
        </w:tc>
        <w:tc>
          <w:tcPr>
            <w:tcW w:w="1680" w:type="dxa"/>
            <w:tcBorders>
              <w:top w:val="single" w:sz="4" w:space="0" w:color="auto"/>
              <w:left w:val="single" w:sz="4" w:space="0" w:color="auto"/>
              <w:bottom w:val="single" w:sz="4" w:space="0" w:color="auto"/>
              <w:right w:val="single" w:sz="4" w:space="0" w:color="auto"/>
            </w:tcBorders>
          </w:tcPr>
          <w:p w:rsidR="00E81433" w:rsidRDefault="00E81433" w:rsidP="00E81433">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E81433" w:rsidRDefault="00E81433" w:rsidP="00E81433">
            <w:pPr>
              <w:jc w:val="center"/>
            </w:pPr>
            <w:r>
              <w:t>SRB-16</w:t>
            </w:r>
          </w:p>
        </w:tc>
        <w:tc>
          <w:tcPr>
            <w:tcW w:w="3205" w:type="dxa"/>
            <w:tcBorders>
              <w:top w:val="single" w:sz="4" w:space="0" w:color="auto"/>
              <w:left w:val="single" w:sz="4" w:space="0" w:color="auto"/>
              <w:bottom w:val="single" w:sz="4" w:space="0" w:color="auto"/>
              <w:right w:val="single" w:sz="4" w:space="0" w:color="auto"/>
            </w:tcBorders>
          </w:tcPr>
          <w:p w:rsidR="00E81433" w:rsidRDefault="00E81433" w:rsidP="00E81433">
            <w:r>
              <w:t xml:space="preserve">CPVRR Analysis for FPL’s Extended SolarTogether Program </w:t>
            </w:r>
          </w:p>
        </w:tc>
      </w:tr>
      <w:tr w:rsidR="00E81433" w:rsidRPr="00701945" w:rsidTr="00FA641F">
        <w:trPr>
          <w:cantSplit/>
          <w:trHeight w:val="353"/>
        </w:trPr>
        <w:tc>
          <w:tcPr>
            <w:tcW w:w="3198" w:type="dxa"/>
            <w:tcBorders>
              <w:top w:val="single" w:sz="4" w:space="0" w:color="auto"/>
              <w:left w:val="single" w:sz="4" w:space="0" w:color="auto"/>
              <w:bottom w:val="single" w:sz="4" w:space="0" w:color="auto"/>
              <w:right w:val="single" w:sz="4" w:space="0" w:color="auto"/>
            </w:tcBorders>
          </w:tcPr>
          <w:p w:rsidR="00E81433" w:rsidRDefault="00E81433" w:rsidP="00E81433">
            <w:pPr>
              <w:jc w:val="both"/>
            </w:pPr>
            <w:r>
              <w:lastRenderedPageBreak/>
              <w:t>Matthew Valle</w:t>
            </w:r>
          </w:p>
        </w:tc>
        <w:tc>
          <w:tcPr>
            <w:tcW w:w="1680" w:type="dxa"/>
            <w:tcBorders>
              <w:top w:val="single" w:sz="4" w:space="0" w:color="auto"/>
              <w:left w:val="single" w:sz="4" w:space="0" w:color="auto"/>
              <w:bottom w:val="single" w:sz="4" w:space="0" w:color="auto"/>
              <w:right w:val="single" w:sz="4" w:space="0" w:color="auto"/>
            </w:tcBorders>
          </w:tcPr>
          <w:p w:rsidR="00E81433" w:rsidRDefault="00E81433" w:rsidP="00E81433">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E81433" w:rsidRDefault="00E81433" w:rsidP="00E81433">
            <w:pPr>
              <w:jc w:val="center"/>
            </w:pPr>
            <w:r>
              <w:t>REB-15</w:t>
            </w:r>
          </w:p>
        </w:tc>
        <w:tc>
          <w:tcPr>
            <w:tcW w:w="3205" w:type="dxa"/>
            <w:tcBorders>
              <w:top w:val="single" w:sz="4" w:space="0" w:color="auto"/>
              <w:left w:val="single" w:sz="4" w:space="0" w:color="auto"/>
              <w:bottom w:val="single" w:sz="4" w:space="0" w:color="auto"/>
              <w:right w:val="single" w:sz="4" w:space="0" w:color="auto"/>
            </w:tcBorders>
          </w:tcPr>
          <w:p w:rsidR="00E81433" w:rsidRDefault="00E81433" w:rsidP="00E81433">
            <w:r>
              <w:t>Co-sponsor 2021 Stipulation and Settlement Agreement</w:t>
            </w:r>
          </w:p>
        </w:tc>
      </w:tr>
      <w:tr w:rsidR="00E81433" w:rsidRPr="00701945" w:rsidTr="00FA641F">
        <w:trPr>
          <w:cantSplit/>
          <w:trHeight w:val="353"/>
        </w:trPr>
        <w:tc>
          <w:tcPr>
            <w:tcW w:w="3198" w:type="dxa"/>
            <w:tcBorders>
              <w:top w:val="single" w:sz="4" w:space="0" w:color="auto"/>
              <w:left w:val="single" w:sz="4" w:space="0" w:color="auto"/>
              <w:bottom w:val="single" w:sz="4" w:space="0" w:color="auto"/>
              <w:right w:val="single" w:sz="4" w:space="0" w:color="auto"/>
            </w:tcBorders>
          </w:tcPr>
          <w:p w:rsidR="00E81433" w:rsidRDefault="00E81433" w:rsidP="00E81433">
            <w:pPr>
              <w:jc w:val="both"/>
            </w:pPr>
            <w:r>
              <w:t>Tiffany C. Cohen</w:t>
            </w:r>
          </w:p>
        </w:tc>
        <w:tc>
          <w:tcPr>
            <w:tcW w:w="1680" w:type="dxa"/>
            <w:tcBorders>
              <w:top w:val="single" w:sz="4" w:space="0" w:color="auto"/>
              <w:left w:val="single" w:sz="4" w:space="0" w:color="auto"/>
              <w:bottom w:val="single" w:sz="4" w:space="0" w:color="auto"/>
              <w:right w:val="single" w:sz="4" w:space="0" w:color="auto"/>
            </w:tcBorders>
          </w:tcPr>
          <w:p w:rsidR="00E81433" w:rsidRDefault="00E81433" w:rsidP="00E81433">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E81433" w:rsidRDefault="00E81433" w:rsidP="00E81433">
            <w:pPr>
              <w:jc w:val="center"/>
            </w:pPr>
            <w:r>
              <w:t>TCC-11</w:t>
            </w:r>
          </w:p>
        </w:tc>
        <w:tc>
          <w:tcPr>
            <w:tcW w:w="3205" w:type="dxa"/>
            <w:tcBorders>
              <w:top w:val="single" w:sz="4" w:space="0" w:color="auto"/>
              <w:left w:val="single" w:sz="4" w:space="0" w:color="auto"/>
              <w:bottom w:val="single" w:sz="4" w:space="0" w:color="auto"/>
              <w:right w:val="single" w:sz="4" w:space="0" w:color="auto"/>
            </w:tcBorders>
          </w:tcPr>
          <w:p w:rsidR="00E81433" w:rsidRDefault="00E81433" w:rsidP="00E81433">
            <w:r>
              <w:t>Bills at Unified Rates (current FPL customers)</w:t>
            </w:r>
          </w:p>
        </w:tc>
      </w:tr>
      <w:tr w:rsidR="00E81433" w:rsidRPr="00701945" w:rsidTr="00FA641F">
        <w:trPr>
          <w:cantSplit/>
          <w:trHeight w:val="353"/>
        </w:trPr>
        <w:tc>
          <w:tcPr>
            <w:tcW w:w="3198" w:type="dxa"/>
            <w:tcBorders>
              <w:top w:val="single" w:sz="4" w:space="0" w:color="auto"/>
              <w:left w:val="single" w:sz="4" w:space="0" w:color="auto"/>
              <w:bottom w:val="single" w:sz="4" w:space="0" w:color="auto"/>
              <w:right w:val="single" w:sz="4" w:space="0" w:color="auto"/>
            </w:tcBorders>
          </w:tcPr>
          <w:p w:rsidR="00E81433" w:rsidRDefault="00E81433" w:rsidP="00E81433">
            <w:pPr>
              <w:jc w:val="both"/>
            </w:pPr>
            <w:r>
              <w:t>Tiffany C. Cohen</w:t>
            </w:r>
          </w:p>
        </w:tc>
        <w:tc>
          <w:tcPr>
            <w:tcW w:w="1680" w:type="dxa"/>
            <w:tcBorders>
              <w:top w:val="single" w:sz="4" w:space="0" w:color="auto"/>
              <w:left w:val="single" w:sz="4" w:space="0" w:color="auto"/>
              <w:bottom w:val="single" w:sz="4" w:space="0" w:color="auto"/>
              <w:right w:val="single" w:sz="4" w:space="0" w:color="auto"/>
            </w:tcBorders>
          </w:tcPr>
          <w:p w:rsidR="00E81433" w:rsidRDefault="00E81433" w:rsidP="00E81433">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E81433" w:rsidRDefault="00E81433" w:rsidP="00E81433">
            <w:pPr>
              <w:jc w:val="center"/>
            </w:pPr>
            <w:r>
              <w:t>TCC-12</w:t>
            </w:r>
          </w:p>
        </w:tc>
        <w:tc>
          <w:tcPr>
            <w:tcW w:w="3205" w:type="dxa"/>
            <w:tcBorders>
              <w:top w:val="single" w:sz="4" w:space="0" w:color="auto"/>
              <w:left w:val="single" w:sz="4" w:space="0" w:color="auto"/>
              <w:bottom w:val="single" w:sz="4" w:space="0" w:color="auto"/>
              <w:right w:val="single" w:sz="4" w:space="0" w:color="auto"/>
            </w:tcBorders>
          </w:tcPr>
          <w:p w:rsidR="00E81433" w:rsidRDefault="00E81433" w:rsidP="00E81433">
            <w:r>
              <w:t>Bills at Unified Rates (Northwest Florida customers)</w:t>
            </w:r>
          </w:p>
        </w:tc>
      </w:tr>
    </w:tbl>
    <w:p w:rsidR="00DF6632" w:rsidRDefault="00DF6632" w:rsidP="00FB202F">
      <w:pPr>
        <w:jc w:val="both"/>
        <w:rPr>
          <w:b/>
          <w:u w:val="single"/>
        </w:rPr>
      </w:pPr>
    </w:p>
    <w:p w:rsidR="009B3391" w:rsidRDefault="009B3391" w:rsidP="00FB202F">
      <w:pPr>
        <w:jc w:val="both"/>
      </w:pPr>
      <w:r>
        <w:tab/>
        <w:t>Parties and Staff reserve the right to identify additional exhibits for the purpose of cross-examination.</w:t>
      </w:r>
    </w:p>
    <w:p w:rsidR="009B3391" w:rsidRPr="009B3391" w:rsidRDefault="009B3391" w:rsidP="00FB202F">
      <w:pPr>
        <w:jc w:val="both"/>
      </w:pPr>
      <w:r>
        <w:t xml:space="preserve"> </w:t>
      </w:r>
    </w:p>
    <w:p w:rsidR="005C77A1" w:rsidRDefault="005C77A1" w:rsidP="005C77A1">
      <w:pPr>
        <w:jc w:val="both"/>
        <w:rPr>
          <w:b/>
          <w:u w:val="single"/>
        </w:rPr>
      </w:pPr>
      <w:r>
        <w:rPr>
          <w:b/>
        </w:rPr>
        <w:t>V</w:t>
      </w:r>
      <w:r w:rsidR="009B3391">
        <w:rPr>
          <w:b/>
        </w:rPr>
        <w:t>I</w:t>
      </w:r>
      <w:r>
        <w:rPr>
          <w:b/>
        </w:rPr>
        <w:t>.</w:t>
      </w:r>
      <w:r>
        <w:rPr>
          <w:b/>
        </w:rPr>
        <w:tab/>
      </w:r>
      <w:r>
        <w:rPr>
          <w:b/>
          <w:u w:val="single"/>
        </w:rPr>
        <w:t>Issues</w:t>
      </w:r>
    </w:p>
    <w:p w:rsidR="009B4883" w:rsidRDefault="009B4883" w:rsidP="005C77A1">
      <w:pPr>
        <w:jc w:val="both"/>
      </w:pPr>
    </w:p>
    <w:p w:rsidR="00183911" w:rsidRDefault="00183911" w:rsidP="005C77A1">
      <w:pPr>
        <w:jc w:val="both"/>
      </w:pPr>
      <w:r>
        <w:tab/>
        <w:t xml:space="preserve">The following issues </w:t>
      </w:r>
      <w:r w:rsidR="00C02071">
        <w:t xml:space="preserve">associated with the Settlement Case </w:t>
      </w:r>
      <w:r>
        <w:t>will be briefed at the conclusion of th</w:t>
      </w:r>
      <w:r w:rsidR="00C02071">
        <w:t>e</w:t>
      </w:r>
      <w:r>
        <w:t xml:space="preserve"> hearing and considered by the Commission at the October 26, 2021 </w:t>
      </w:r>
      <w:r w:rsidR="00C02071">
        <w:t>S</w:t>
      </w:r>
      <w:r>
        <w:t xml:space="preserve">pecial </w:t>
      </w:r>
      <w:r w:rsidR="00C02071">
        <w:t>A</w:t>
      </w:r>
      <w:r>
        <w:t>gen</w:t>
      </w:r>
      <w:r w:rsidR="00C02071">
        <w:t>da.  Should the Commission vote to reject the 2021 Settlement on October 26, the issues identified in Order No. PSC-2021-0302-PHO-EI, pages 41-208, shall be briefed for consideration by the Commission at a later date.</w:t>
      </w:r>
    </w:p>
    <w:p w:rsidR="00183911" w:rsidRDefault="00183911" w:rsidP="005C77A1">
      <w:pPr>
        <w:jc w:val="both"/>
      </w:pPr>
      <w:r>
        <w:t xml:space="preserve"> </w:t>
      </w:r>
    </w:p>
    <w:p w:rsidR="005C77A1" w:rsidRPr="00C27A1B" w:rsidRDefault="005C77A1" w:rsidP="005C77A1">
      <w:pPr>
        <w:ind w:left="1440" w:hanging="1440"/>
        <w:jc w:val="both"/>
      </w:pPr>
      <w:r w:rsidRPr="00C27A1B">
        <w:rPr>
          <w:u w:val="single"/>
        </w:rPr>
        <w:t>ISSUE 1</w:t>
      </w:r>
      <w:r w:rsidRPr="00C27A1B">
        <w:t>:</w:t>
      </w:r>
      <w:r w:rsidRPr="00C27A1B">
        <w:tab/>
        <w:t>Does the Commission have the statutory authority to grant FPL’s requested storm cost recovery mechanism</w:t>
      </w:r>
      <w:r>
        <w:t xml:space="preserve"> as part of the Stipulation and Settlement Agreement</w:t>
      </w:r>
      <w:r w:rsidRPr="00C27A1B">
        <w:t>?</w:t>
      </w:r>
    </w:p>
    <w:p w:rsidR="005C77A1" w:rsidRPr="00C27A1B" w:rsidRDefault="005C77A1" w:rsidP="005C77A1">
      <w:pPr>
        <w:jc w:val="both"/>
      </w:pPr>
    </w:p>
    <w:p w:rsidR="005C77A1" w:rsidRPr="00C27A1B" w:rsidRDefault="005C77A1" w:rsidP="005C77A1">
      <w:pPr>
        <w:ind w:left="1440" w:hanging="1440"/>
        <w:jc w:val="both"/>
      </w:pPr>
      <w:r w:rsidRPr="00C27A1B">
        <w:rPr>
          <w:u w:val="single"/>
        </w:rPr>
        <w:t>ISSUE 2:</w:t>
      </w:r>
      <w:r w:rsidRPr="00C27A1B">
        <w:tab/>
        <w:t>Does the Commission have the statutory authority to approve FPL’s requested Reserve Surplus Amortization Mechanism (RSAM)</w:t>
      </w:r>
      <w:r>
        <w:t xml:space="preserve"> as part of the Stipulation and Settlement Agreement</w:t>
      </w:r>
      <w:r w:rsidRPr="00C27A1B">
        <w:t>?</w:t>
      </w:r>
    </w:p>
    <w:p w:rsidR="005C77A1" w:rsidRPr="00C27A1B" w:rsidRDefault="005C77A1" w:rsidP="005C77A1">
      <w:pPr>
        <w:ind w:left="1440" w:hanging="1440"/>
      </w:pPr>
    </w:p>
    <w:p w:rsidR="005C77A1" w:rsidRPr="00C27A1B" w:rsidRDefault="005C77A1" w:rsidP="005C77A1">
      <w:pPr>
        <w:ind w:left="1440" w:hanging="1440"/>
        <w:jc w:val="both"/>
      </w:pPr>
      <w:r w:rsidRPr="00C27A1B">
        <w:rPr>
          <w:u w:val="single"/>
        </w:rPr>
        <w:t>ISSUE 3:</w:t>
      </w:r>
      <w:r w:rsidRPr="00C27A1B">
        <w:tab/>
        <w:t>Does the Commission have the statutory authority to approve FPL’s requested Solar Base Rate Adjustment mechanism for 2024 and 2025</w:t>
      </w:r>
      <w:r>
        <w:t xml:space="preserve"> as part of the Stipulation and Settlement Agreement</w:t>
      </w:r>
      <w:r w:rsidRPr="00C27A1B">
        <w:t>?</w:t>
      </w:r>
    </w:p>
    <w:p w:rsidR="005C77A1" w:rsidRPr="00C27A1B" w:rsidRDefault="005C77A1" w:rsidP="005C77A1">
      <w:pPr>
        <w:ind w:left="1440" w:hanging="1440"/>
      </w:pPr>
    </w:p>
    <w:p w:rsidR="005C77A1" w:rsidRPr="00C27A1B" w:rsidRDefault="005C77A1" w:rsidP="005C77A1">
      <w:pPr>
        <w:ind w:left="1440" w:hanging="1440"/>
        <w:jc w:val="both"/>
      </w:pPr>
      <w:r w:rsidRPr="00C27A1B">
        <w:rPr>
          <w:u w:val="single"/>
        </w:rPr>
        <w:t>ISSUE 4</w:t>
      </w:r>
      <w:r w:rsidRPr="00C27A1B">
        <w:t>:</w:t>
      </w:r>
      <w:r w:rsidRPr="00C27A1B">
        <w:tab/>
        <w:t>Does the Commission have the statutory authority to adjust FPL’s authorized return on equity based on FPL’s performance</w:t>
      </w:r>
      <w:r>
        <w:t xml:space="preserve"> as part of the Stipulation and Settlement Agreement</w:t>
      </w:r>
      <w:r w:rsidRPr="00C27A1B">
        <w:t xml:space="preserve">?  </w:t>
      </w:r>
    </w:p>
    <w:p w:rsidR="005C77A1" w:rsidRPr="00C27A1B" w:rsidRDefault="005C77A1" w:rsidP="005C77A1">
      <w:pPr>
        <w:ind w:left="1440" w:hanging="1440"/>
      </w:pPr>
    </w:p>
    <w:p w:rsidR="005C77A1" w:rsidRPr="00C27A1B" w:rsidRDefault="005C77A1" w:rsidP="005C77A1">
      <w:pPr>
        <w:ind w:left="1440" w:hanging="1440"/>
        <w:jc w:val="both"/>
      </w:pPr>
      <w:r w:rsidRPr="00C27A1B">
        <w:rPr>
          <w:u w:val="single"/>
        </w:rPr>
        <w:t>ISSUE 5:</w:t>
      </w:r>
      <w:r w:rsidRPr="00C27A1B">
        <w:tab/>
        <w:t>Does the Commission have the statutory authority to include non-electric transactions in an asset optimization incentive mechanism</w:t>
      </w:r>
      <w:r>
        <w:t xml:space="preserve"> as part of the Stipulation and Settlement Agreement</w:t>
      </w:r>
      <w:r w:rsidRPr="00C27A1B">
        <w:t xml:space="preserve">? </w:t>
      </w:r>
    </w:p>
    <w:p w:rsidR="005C77A1" w:rsidRPr="00C27A1B" w:rsidRDefault="005C77A1" w:rsidP="005C77A1">
      <w:pPr>
        <w:ind w:left="1440" w:hanging="1440"/>
      </w:pPr>
    </w:p>
    <w:p w:rsidR="005C77A1" w:rsidRPr="00C27A1B" w:rsidRDefault="005C77A1" w:rsidP="005C77A1">
      <w:pPr>
        <w:ind w:left="1440" w:hanging="1440"/>
      </w:pPr>
      <w:r w:rsidRPr="00C27A1B">
        <w:rPr>
          <w:u w:val="single"/>
        </w:rPr>
        <w:t>ISSUE 5(a)</w:t>
      </w:r>
      <w:r w:rsidRPr="00C27A1B">
        <w:t xml:space="preserve">:   Does the </w:t>
      </w:r>
      <w:r>
        <w:t>C</w:t>
      </w:r>
      <w:r w:rsidRPr="00C27A1B">
        <w:t>ommission have the authority to approve FPL’s requested proposal for a federal corporate income tax adjustment that addresses a change in tax if any occurs during or after the pendency of this proceeding</w:t>
      </w:r>
      <w:r>
        <w:t xml:space="preserve"> as part of the Stipulation and Settlement Agreement</w:t>
      </w:r>
      <w:r w:rsidRPr="00C27A1B">
        <w:t>?</w:t>
      </w:r>
    </w:p>
    <w:p w:rsidR="005C77A1" w:rsidRPr="00C27A1B" w:rsidRDefault="005C77A1" w:rsidP="005C77A1">
      <w:pPr>
        <w:jc w:val="both"/>
        <w:rPr>
          <w:bCs/>
        </w:rPr>
      </w:pPr>
    </w:p>
    <w:p w:rsidR="005C77A1" w:rsidRPr="00C27A1B" w:rsidRDefault="005C77A1" w:rsidP="005C77A1">
      <w:pPr>
        <w:ind w:left="1440" w:hanging="1440"/>
        <w:jc w:val="both"/>
      </w:pPr>
      <w:r w:rsidRPr="00C27A1B">
        <w:rPr>
          <w:u w:val="single"/>
        </w:rPr>
        <w:lastRenderedPageBreak/>
        <w:t>ISSUE 6</w:t>
      </w:r>
      <w:r w:rsidRPr="00C27A1B">
        <w:t>:</w:t>
      </w:r>
      <w:r w:rsidRPr="00C27A1B">
        <w:tab/>
        <w:t>Does the Commission have the statutory authority to grant FPL’s requested four year plan</w:t>
      </w:r>
      <w:r>
        <w:t xml:space="preserve"> as part of the Stipulation and Settlement Agreement</w:t>
      </w:r>
      <w:r w:rsidRPr="00C27A1B">
        <w:t>?</w:t>
      </w:r>
    </w:p>
    <w:p w:rsidR="005C77A1" w:rsidRPr="00C27A1B" w:rsidRDefault="005C77A1" w:rsidP="005C77A1">
      <w:pPr>
        <w:jc w:val="both"/>
      </w:pPr>
    </w:p>
    <w:p w:rsidR="005C77A1" w:rsidRPr="00C27A1B" w:rsidRDefault="005C77A1" w:rsidP="005C77A1">
      <w:pPr>
        <w:ind w:left="1440" w:hanging="1440"/>
        <w:jc w:val="both"/>
      </w:pPr>
      <w:r w:rsidRPr="00C27A1B">
        <w:rPr>
          <w:u w:val="single"/>
        </w:rPr>
        <w:t>ISSUE 9</w:t>
      </w:r>
      <w:r w:rsidRPr="00C27A1B">
        <w:t>:</w:t>
      </w:r>
      <w:r w:rsidRPr="00C27A1B">
        <w:tab/>
        <w:t>Has Floridians Against Increased Rates, Inc. demonstrated individual and/or associational standing to intervene in this proceeding?</w:t>
      </w:r>
    </w:p>
    <w:p w:rsidR="005C77A1" w:rsidRPr="00C27A1B" w:rsidRDefault="005C77A1" w:rsidP="005C77A1">
      <w:pPr>
        <w:jc w:val="both"/>
      </w:pPr>
    </w:p>
    <w:p w:rsidR="005C77A1" w:rsidRPr="00C27A1B" w:rsidRDefault="005C77A1" w:rsidP="005C77A1">
      <w:pPr>
        <w:ind w:left="1440" w:hanging="1440"/>
        <w:jc w:val="both"/>
      </w:pPr>
      <w:r w:rsidRPr="00C27A1B">
        <w:rPr>
          <w:u w:val="single"/>
        </w:rPr>
        <w:t>ISSUE A</w:t>
      </w:r>
      <w:r w:rsidRPr="00C27A1B">
        <w:t>:</w:t>
      </w:r>
      <w:r w:rsidRPr="00C27A1B">
        <w:tab/>
        <w:t xml:space="preserve">Should the Stipulation and Settlement Agreement dated August 9, 2021, be approved? </w:t>
      </w:r>
    </w:p>
    <w:p w:rsidR="005C77A1" w:rsidRDefault="005C77A1" w:rsidP="005C77A1">
      <w:pPr>
        <w:jc w:val="both"/>
      </w:pPr>
    </w:p>
    <w:p w:rsidR="005C77A1" w:rsidRDefault="00F90689" w:rsidP="00FB202F">
      <w:pPr>
        <w:jc w:val="both"/>
        <w:rPr>
          <w:b/>
          <w:u w:val="single"/>
        </w:rPr>
      </w:pPr>
      <w:r w:rsidRPr="00F90689">
        <w:rPr>
          <w:b/>
        </w:rPr>
        <w:t>VII.</w:t>
      </w:r>
      <w:r>
        <w:rPr>
          <w:b/>
        </w:rPr>
        <w:tab/>
      </w:r>
      <w:r>
        <w:rPr>
          <w:b/>
          <w:u w:val="single"/>
        </w:rPr>
        <w:t>Opening Statements</w:t>
      </w:r>
    </w:p>
    <w:p w:rsidR="00F90689" w:rsidRDefault="00F90689" w:rsidP="00FB202F">
      <w:pPr>
        <w:jc w:val="both"/>
        <w:rPr>
          <w:b/>
          <w:u w:val="single"/>
        </w:rPr>
      </w:pPr>
    </w:p>
    <w:p w:rsidR="00F90689" w:rsidRDefault="00F90689" w:rsidP="00FB202F">
      <w:pPr>
        <w:jc w:val="both"/>
      </w:pPr>
      <w:r>
        <w:tab/>
        <w:t>Opening statements, if any, shall be limited to 15 minutes for FPL and seven minutes each for the remaining parties.  Any party may split their allotted time and make opening statements at the commencement of both the Rate Case and Settlement Case, or may use all their time to make an opening statement for either.</w:t>
      </w:r>
    </w:p>
    <w:p w:rsidR="00FB24B5" w:rsidRDefault="00FB24B5" w:rsidP="00FB202F">
      <w:pPr>
        <w:jc w:val="both"/>
      </w:pPr>
    </w:p>
    <w:p w:rsidR="00FB24B5" w:rsidRDefault="00FB24B5" w:rsidP="00FB202F">
      <w:pPr>
        <w:jc w:val="both"/>
      </w:pPr>
      <w:r>
        <w:tab/>
        <w:t>It is therefore,</w:t>
      </w:r>
    </w:p>
    <w:p w:rsidR="00FB24B5" w:rsidRDefault="00FB24B5" w:rsidP="00FB202F">
      <w:pPr>
        <w:jc w:val="both"/>
      </w:pPr>
    </w:p>
    <w:p w:rsidR="00FB24B5" w:rsidRDefault="00FB24B5" w:rsidP="00FB202F">
      <w:pPr>
        <w:jc w:val="both"/>
      </w:pPr>
      <w:r>
        <w:tab/>
        <w:t>ORDERED by Chairman Gary F. Clark, as Prehearing Officer, that this Second Prehearing Order shall govern the conduct of the proceeding to be held on September 20, 2021, unless modified by the Commission.  It is further</w:t>
      </w:r>
    </w:p>
    <w:p w:rsidR="00FB24B5" w:rsidRDefault="00FB24B5" w:rsidP="00FB202F">
      <w:pPr>
        <w:jc w:val="both"/>
      </w:pPr>
    </w:p>
    <w:p w:rsidR="00FB24B5" w:rsidRDefault="00FB24B5" w:rsidP="00FB202F">
      <w:pPr>
        <w:jc w:val="both"/>
      </w:pPr>
      <w:r>
        <w:tab/>
        <w:t>ORDERED that Order No. PSC-2021-0302-PHO-EI, issued August 10, 2021, is hereby reaffirmed to the extent not inconsistent with this Order.</w:t>
      </w:r>
    </w:p>
    <w:p w:rsidR="00FB24B5" w:rsidRDefault="00FB24B5" w:rsidP="00FB202F">
      <w:pPr>
        <w:jc w:val="both"/>
      </w:pPr>
    </w:p>
    <w:p w:rsidR="00630247" w:rsidRDefault="00630247" w:rsidP="00FB202F">
      <w:pPr>
        <w:jc w:val="both"/>
      </w:pPr>
    </w:p>
    <w:p w:rsidR="00FB24B5" w:rsidRDefault="00FB24B5" w:rsidP="00FB24B5">
      <w:pPr>
        <w:keepNext/>
        <w:keepLines/>
        <w:jc w:val="both"/>
      </w:pPr>
      <w:r>
        <w:lastRenderedPageBreak/>
        <w:tab/>
        <w:t xml:space="preserve">By ORDER of Chairman Gary F. Clark, as Presiding Officer, this </w:t>
      </w:r>
      <w:bookmarkStart w:id="5" w:name="replaceDate"/>
      <w:bookmarkEnd w:id="5"/>
      <w:r w:rsidR="00526783">
        <w:rPr>
          <w:u w:val="single"/>
        </w:rPr>
        <w:t>16th</w:t>
      </w:r>
      <w:r w:rsidR="00526783">
        <w:t xml:space="preserve"> day of </w:t>
      </w:r>
      <w:r w:rsidR="00526783">
        <w:rPr>
          <w:u w:val="single"/>
        </w:rPr>
        <w:t>September</w:t>
      </w:r>
      <w:r w:rsidR="00526783">
        <w:t xml:space="preserve">, </w:t>
      </w:r>
      <w:r w:rsidR="00526783">
        <w:rPr>
          <w:u w:val="single"/>
        </w:rPr>
        <w:t>2021</w:t>
      </w:r>
      <w:r w:rsidR="00526783">
        <w:t>.</w:t>
      </w:r>
    </w:p>
    <w:p w:rsidR="00526783" w:rsidRPr="00526783" w:rsidRDefault="00526783" w:rsidP="00FB24B5">
      <w:pPr>
        <w:keepNext/>
        <w:keepLines/>
        <w:jc w:val="both"/>
      </w:pPr>
    </w:p>
    <w:p w:rsidR="00FB24B5" w:rsidRDefault="00FB24B5" w:rsidP="00FB24B5">
      <w:pPr>
        <w:keepNext/>
        <w:keepLines/>
        <w:jc w:val="both"/>
      </w:pPr>
    </w:p>
    <w:p w:rsidR="00FB24B5" w:rsidRDefault="00FB24B5" w:rsidP="00FB24B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B24B5" w:rsidTr="00FB24B5">
        <w:tc>
          <w:tcPr>
            <w:tcW w:w="720" w:type="dxa"/>
            <w:shd w:val="clear" w:color="auto" w:fill="auto"/>
          </w:tcPr>
          <w:p w:rsidR="00FB24B5" w:rsidRDefault="00FB24B5" w:rsidP="00FB24B5">
            <w:pPr>
              <w:keepNext/>
              <w:keepLines/>
              <w:jc w:val="both"/>
            </w:pPr>
            <w:bookmarkStart w:id="6" w:name="bkmrkSignature" w:colFirst="0" w:colLast="0"/>
          </w:p>
        </w:tc>
        <w:tc>
          <w:tcPr>
            <w:tcW w:w="4320" w:type="dxa"/>
            <w:tcBorders>
              <w:bottom w:val="single" w:sz="4" w:space="0" w:color="auto"/>
            </w:tcBorders>
            <w:shd w:val="clear" w:color="auto" w:fill="auto"/>
          </w:tcPr>
          <w:p w:rsidR="00FB24B5" w:rsidRDefault="004D4633" w:rsidP="00FB24B5">
            <w:pPr>
              <w:keepNext/>
              <w:keepLines/>
              <w:jc w:val="both"/>
            </w:pPr>
            <w:r>
              <w:t>/s/ Gary F. Clark</w:t>
            </w:r>
            <w:bookmarkStart w:id="7" w:name="_GoBack"/>
            <w:bookmarkEnd w:id="7"/>
          </w:p>
        </w:tc>
      </w:tr>
      <w:bookmarkEnd w:id="6"/>
      <w:tr w:rsidR="00FB24B5" w:rsidTr="00FB24B5">
        <w:tc>
          <w:tcPr>
            <w:tcW w:w="720" w:type="dxa"/>
            <w:shd w:val="clear" w:color="auto" w:fill="auto"/>
          </w:tcPr>
          <w:p w:rsidR="00FB24B5" w:rsidRDefault="00FB24B5" w:rsidP="00FB24B5">
            <w:pPr>
              <w:keepNext/>
              <w:keepLines/>
              <w:jc w:val="both"/>
            </w:pPr>
          </w:p>
        </w:tc>
        <w:tc>
          <w:tcPr>
            <w:tcW w:w="4320" w:type="dxa"/>
            <w:tcBorders>
              <w:top w:val="single" w:sz="4" w:space="0" w:color="auto"/>
            </w:tcBorders>
            <w:shd w:val="clear" w:color="auto" w:fill="auto"/>
          </w:tcPr>
          <w:p w:rsidR="00FB24B5" w:rsidRDefault="00FB24B5" w:rsidP="00FB24B5">
            <w:pPr>
              <w:keepNext/>
              <w:keepLines/>
              <w:jc w:val="both"/>
            </w:pPr>
            <w:r>
              <w:t>GARY F. CLARK</w:t>
            </w:r>
          </w:p>
          <w:p w:rsidR="00FB24B5" w:rsidRDefault="00FB24B5" w:rsidP="00FB24B5">
            <w:pPr>
              <w:keepNext/>
              <w:keepLines/>
              <w:jc w:val="both"/>
            </w:pPr>
            <w:r>
              <w:t>Chairman and Presiding Officer</w:t>
            </w:r>
          </w:p>
        </w:tc>
      </w:tr>
    </w:tbl>
    <w:p w:rsidR="00FB24B5" w:rsidRDefault="00FB24B5" w:rsidP="00FB24B5">
      <w:pPr>
        <w:pStyle w:val="OrderSigInfo"/>
        <w:keepNext/>
        <w:keepLines/>
      </w:pPr>
      <w:r>
        <w:t>Florida Public Service Commission</w:t>
      </w:r>
    </w:p>
    <w:p w:rsidR="00FB24B5" w:rsidRDefault="00FB24B5" w:rsidP="00FB24B5">
      <w:pPr>
        <w:pStyle w:val="OrderSigInfo"/>
        <w:keepNext/>
        <w:keepLines/>
      </w:pPr>
      <w:r>
        <w:t>2540 Shumard Oak Boulevard</w:t>
      </w:r>
    </w:p>
    <w:p w:rsidR="00FB24B5" w:rsidRDefault="00FB24B5" w:rsidP="00FB24B5">
      <w:pPr>
        <w:pStyle w:val="OrderSigInfo"/>
        <w:keepNext/>
        <w:keepLines/>
      </w:pPr>
      <w:r>
        <w:t>Tallahassee, Florida 32399</w:t>
      </w:r>
    </w:p>
    <w:p w:rsidR="00FB24B5" w:rsidRDefault="00FB24B5" w:rsidP="00FB24B5">
      <w:pPr>
        <w:pStyle w:val="OrderSigInfo"/>
        <w:keepNext/>
        <w:keepLines/>
      </w:pPr>
      <w:r>
        <w:t>(850) 413</w:t>
      </w:r>
      <w:r>
        <w:noBreakHyphen/>
        <w:t>6770</w:t>
      </w:r>
    </w:p>
    <w:p w:rsidR="00FB24B5" w:rsidRDefault="00FB24B5" w:rsidP="00FB24B5">
      <w:pPr>
        <w:pStyle w:val="OrderSigInfo"/>
        <w:keepNext/>
        <w:keepLines/>
      </w:pPr>
      <w:r>
        <w:t>www.floridapsc.com</w:t>
      </w:r>
    </w:p>
    <w:p w:rsidR="00FB24B5" w:rsidRDefault="00FB24B5" w:rsidP="00FB24B5">
      <w:pPr>
        <w:pStyle w:val="OrderSigInfo"/>
        <w:keepNext/>
        <w:keepLines/>
      </w:pPr>
    </w:p>
    <w:p w:rsidR="00FB24B5" w:rsidRDefault="00FB24B5" w:rsidP="00FB24B5">
      <w:pPr>
        <w:pStyle w:val="OrderSigInfo"/>
        <w:keepNext/>
        <w:keepLines/>
      </w:pPr>
      <w:r>
        <w:t>Copies furnished:  A copy of this document is provided to the parties of record at the time of issuance and, if applicable, interested persons.</w:t>
      </w:r>
    </w:p>
    <w:p w:rsidR="00FB24B5" w:rsidRDefault="00FB24B5" w:rsidP="00FB24B5">
      <w:pPr>
        <w:pStyle w:val="OrderBody"/>
        <w:keepNext/>
        <w:keepLines/>
      </w:pPr>
      <w:r>
        <w:t xml:space="preserve">  </w:t>
      </w:r>
    </w:p>
    <w:p w:rsidR="00FB24B5" w:rsidRDefault="00FB24B5" w:rsidP="00FB24B5">
      <w:pPr>
        <w:keepNext/>
        <w:keepLines/>
        <w:jc w:val="both"/>
      </w:pPr>
    </w:p>
    <w:p w:rsidR="00FB24B5" w:rsidRDefault="00FB24B5" w:rsidP="00FB24B5">
      <w:pPr>
        <w:jc w:val="both"/>
      </w:pPr>
      <w:r>
        <w:t>SBr</w:t>
      </w:r>
    </w:p>
    <w:p w:rsidR="00D52A4F" w:rsidRDefault="00D52A4F">
      <w:r>
        <w:br w:type="page"/>
      </w:r>
    </w:p>
    <w:p w:rsidR="00FB24B5" w:rsidRDefault="00FB24B5" w:rsidP="00FB24B5">
      <w:pPr>
        <w:pStyle w:val="CenterUnderline"/>
      </w:pPr>
      <w:r>
        <w:lastRenderedPageBreak/>
        <w:t>NOTICE OF FURTHER PROCEEDINGS OR JUDICIAL REVIEW</w:t>
      </w:r>
    </w:p>
    <w:p w:rsidR="00FB24B5" w:rsidRDefault="00FB24B5" w:rsidP="00FB24B5">
      <w:pPr>
        <w:pStyle w:val="CenterUnderline"/>
      </w:pPr>
    </w:p>
    <w:p w:rsidR="00FB24B5" w:rsidRDefault="00FB24B5" w:rsidP="00FB24B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B24B5" w:rsidRDefault="00FB24B5" w:rsidP="00FB24B5">
      <w:pPr>
        <w:pStyle w:val="OrderBody"/>
      </w:pPr>
    </w:p>
    <w:p w:rsidR="00FB24B5" w:rsidRDefault="00FB24B5" w:rsidP="00FB24B5">
      <w:pPr>
        <w:pStyle w:val="OrderBody"/>
      </w:pPr>
      <w:r>
        <w:tab/>
        <w:t>Mediation may be available on a case-by-case basis.  If mediation is conducted, it does not affect a substantially interested person's right to a hearing.</w:t>
      </w:r>
    </w:p>
    <w:p w:rsidR="00FB24B5" w:rsidRDefault="00FB24B5" w:rsidP="00FB24B5">
      <w:pPr>
        <w:pStyle w:val="OrderBody"/>
      </w:pPr>
    </w:p>
    <w:p w:rsidR="00FB24B5" w:rsidRDefault="00FB24B5" w:rsidP="00FB24B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B24B5" w:rsidRDefault="00FB24B5" w:rsidP="00FB24B5">
      <w:pPr>
        <w:pStyle w:val="OrderBody"/>
      </w:pPr>
    </w:p>
    <w:p w:rsidR="00FB24B5" w:rsidRDefault="00FB24B5" w:rsidP="00FB24B5">
      <w:pPr>
        <w:pStyle w:val="OrderBody"/>
      </w:pPr>
    </w:p>
    <w:p w:rsidR="00FB24B5" w:rsidRDefault="00FB24B5" w:rsidP="00FB24B5">
      <w:pPr>
        <w:pStyle w:val="OrderBody"/>
      </w:pPr>
    </w:p>
    <w:p w:rsidR="00FB24B5" w:rsidRDefault="00FB24B5" w:rsidP="00FB24B5">
      <w:pPr>
        <w:jc w:val="both"/>
      </w:pPr>
    </w:p>
    <w:p w:rsidR="00FB24B5" w:rsidRDefault="00FB24B5" w:rsidP="00FB24B5">
      <w:pPr>
        <w:jc w:val="both"/>
      </w:pPr>
    </w:p>
    <w:p w:rsidR="00FB24B5" w:rsidRDefault="00FB24B5" w:rsidP="00FB24B5">
      <w:pPr>
        <w:jc w:val="both"/>
      </w:pPr>
    </w:p>
    <w:sectPr w:rsidR="00FB24B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783" w:rsidRDefault="00526783">
      <w:r>
        <w:separator/>
      </w:r>
    </w:p>
  </w:endnote>
  <w:endnote w:type="continuationSeparator" w:id="0">
    <w:p w:rsidR="00526783" w:rsidRDefault="00526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783" w:rsidRDefault="00526783">
    <w:pPr>
      <w:pStyle w:val="Footer"/>
    </w:pPr>
  </w:p>
  <w:p w:rsidR="00526783" w:rsidRDefault="00526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783" w:rsidRDefault="00526783">
      <w:r>
        <w:separator/>
      </w:r>
    </w:p>
  </w:footnote>
  <w:footnote w:type="continuationSeparator" w:id="0">
    <w:p w:rsidR="00526783" w:rsidRDefault="00526783">
      <w:r>
        <w:continuationSeparator/>
      </w:r>
    </w:p>
  </w:footnote>
  <w:footnote w:id="1">
    <w:p w:rsidR="00526783" w:rsidRDefault="00526783" w:rsidP="00D548E2">
      <w:pPr>
        <w:pStyle w:val="FootnoteText"/>
      </w:pPr>
      <w:r>
        <w:rPr>
          <w:rStyle w:val="FootnoteReference"/>
        </w:rPr>
        <w:footnoteRef/>
      </w:r>
      <w:r>
        <w:t xml:space="preserve"> Order No. PSC-2021-0062-PCO-EI, issued January 29, 2021.</w:t>
      </w:r>
    </w:p>
  </w:footnote>
  <w:footnote w:id="2">
    <w:p w:rsidR="00526783" w:rsidRDefault="00526783" w:rsidP="00D548E2">
      <w:pPr>
        <w:pStyle w:val="FootnoteText"/>
      </w:pPr>
      <w:r>
        <w:rPr>
          <w:rStyle w:val="FootnoteReference"/>
        </w:rPr>
        <w:footnoteRef/>
      </w:r>
      <w:r>
        <w:t xml:space="preserve"> Order No. PSC-2021-0132-PCO-EI, issued April 16, 2021; Order No. PSC-2021-0133-PCO-EI, issued April 16, 2021; Order No. PSC-2021-0255-PCO-EI, issued July 13, 2021; Order No. PSC-2021-0134-PCO-EI, issued April 16, 2021; Order No. PSC-2021-0136-PCO-EI, issued April 16, 2021; and Order No. PSC-2021-0179-PCO-EI, issued May 19, 2021.  </w:t>
      </w:r>
    </w:p>
  </w:footnote>
  <w:footnote w:id="3">
    <w:p w:rsidR="00526783" w:rsidRDefault="00526783" w:rsidP="00D548E2">
      <w:pPr>
        <w:pStyle w:val="FootnoteText"/>
      </w:pPr>
      <w:r>
        <w:rPr>
          <w:rStyle w:val="FootnoteReference"/>
        </w:rPr>
        <w:footnoteRef/>
      </w:r>
      <w:r>
        <w:t xml:space="preserve"> Order No. PSC-2021-0189-PCO-EI, issued May 26, 2021 and Order No. PSC-0135-PCO-EI, issued April 16, 2021.  </w:t>
      </w:r>
    </w:p>
  </w:footnote>
  <w:footnote w:id="4">
    <w:p w:rsidR="00526783" w:rsidRDefault="00526783" w:rsidP="00D548E2">
      <w:pPr>
        <w:pStyle w:val="FootnoteText"/>
      </w:pPr>
      <w:r>
        <w:rPr>
          <w:rStyle w:val="FootnoteReference"/>
        </w:rPr>
        <w:footnoteRef/>
      </w:r>
      <w:r>
        <w:t xml:space="preserve"> Order No. PSC-2021-0184-PCO-EI, issued May 20, 2021 and Order No. PSC-2021-0139-PCO-EI, issued April 20, 2021.</w:t>
      </w:r>
    </w:p>
  </w:footnote>
  <w:footnote w:id="5">
    <w:p w:rsidR="00526783" w:rsidRDefault="00526783">
      <w:pPr>
        <w:pStyle w:val="FootnoteText"/>
      </w:pPr>
      <w:r>
        <w:rPr>
          <w:rStyle w:val="FootnoteReference"/>
        </w:rPr>
        <w:footnoteRef/>
      </w:r>
      <w:r>
        <w:t xml:space="preserve"> Order NO. PSC-2021-0305-PCO-EI, issued August 12, 2021.</w:t>
      </w:r>
    </w:p>
  </w:footnote>
  <w:footnote w:id="6">
    <w:p w:rsidR="00526783" w:rsidRDefault="00526783" w:rsidP="00D23CC5">
      <w:pPr>
        <w:pStyle w:val="FootnoteText"/>
      </w:pPr>
      <w:r>
        <w:rPr>
          <w:rStyle w:val="FootnoteReference"/>
        </w:rPr>
        <w:footnoteRef/>
      </w:r>
      <w:r>
        <w:t xml:space="preserve"> The listed exhibits are only those associated with the witnesses who will appear in person at the Rate Case and Settlement Case hearing.  Additional Rate Case exhibits are listed on pages 5-9 of Order No. PSC-2021-0302-PHO-EI.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783" w:rsidRDefault="00526783">
    <w:pPr>
      <w:pStyle w:val="OrderHeader"/>
    </w:pPr>
    <w:r>
      <w:t xml:space="preserve">ORDER NO. </w:t>
    </w:r>
    <w:fldSimple w:instr=" REF OrderNo0362 ">
      <w:r w:rsidR="00630247">
        <w:t>PSC-2021-0362-PHO-EI</w:t>
      </w:r>
    </w:fldSimple>
  </w:p>
  <w:p w:rsidR="00526783" w:rsidRDefault="00526783">
    <w:pPr>
      <w:pStyle w:val="OrderHeader"/>
    </w:pPr>
    <w:bookmarkStart w:id="8" w:name="HeaderDocketNo"/>
    <w:bookmarkEnd w:id="8"/>
    <w:r>
      <w:t>DOCKET NO. 20210015-EI</w:t>
    </w:r>
  </w:p>
  <w:p w:rsidR="00526783" w:rsidRDefault="0052678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D4633">
      <w:rPr>
        <w:rStyle w:val="PageNumber"/>
        <w:noProof/>
      </w:rPr>
      <w:t>13</w:t>
    </w:r>
    <w:r>
      <w:rPr>
        <w:rStyle w:val="PageNumber"/>
      </w:rPr>
      <w:fldChar w:fldCharType="end"/>
    </w:r>
  </w:p>
  <w:p w:rsidR="00526783" w:rsidRDefault="00526783">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FB202F"/>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2D5"/>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3911"/>
    <w:rsid w:val="00187E32"/>
    <w:rsid w:val="00194A97"/>
    <w:rsid w:val="00194E81"/>
    <w:rsid w:val="001A15E7"/>
    <w:rsid w:val="001A33C9"/>
    <w:rsid w:val="001A58F3"/>
    <w:rsid w:val="001B034E"/>
    <w:rsid w:val="001C0F06"/>
    <w:rsid w:val="001C2847"/>
    <w:rsid w:val="001C3BB5"/>
    <w:rsid w:val="001C3F8C"/>
    <w:rsid w:val="001C6097"/>
    <w:rsid w:val="001C7126"/>
    <w:rsid w:val="001D008A"/>
    <w:rsid w:val="001E0152"/>
    <w:rsid w:val="001E0FF5"/>
    <w:rsid w:val="001F36B0"/>
    <w:rsid w:val="001F4CA3"/>
    <w:rsid w:val="001F59E0"/>
    <w:rsid w:val="002002ED"/>
    <w:rsid w:val="002044DD"/>
    <w:rsid w:val="002129B5"/>
    <w:rsid w:val="002170E5"/>
    <w:rsid w:val="00220D57"/>
    <w:rsid w:val="0022721A"/>
    <w:rsid w:val="00230BB9"/>
    <w:rsid w:val="002330D6"/>
    <w:rsid w:val="00236A92"/>
    <w:rsid w:val="00241CEF"/>
    <w:rsid w:val="0025124E"/>
    <w:rsid w:val="00252B30"/>
    <w:rsid w:val="002613E4"/>
    <w:rsid w:val="00262C43"/>
    <w:rsid w:val="0026544B"/>
    <w:rsid w:val="00270F89"/>
    <w:rsid w:val="00273369"/>
    <w:rsid w:val="00276CDC"/>
    <w:rsid w:val="00277655"/>
    <w:rsid w:val="002824B7"/>
    <w:rsid w:val="00282AC4"/>
    <w:rsid w:val="00293DC9"/>
    <w:rsid w:val="00297C37"/>
    <w:rsid w:val="002A11AC"/>
    <w:rsid w:val="002A5F78"/>
    <w:rsid w:val="002A6F30"/>
    <w:rsid w:val="002B3111"/>
    <w:rsid w:val="002B44DE"/>
    <w:rsid w:val="002C118E"/>
    <w:rsid w:val="002C2096"/>
    <w:rsid w:val="002C7908"/>
    <w:rsid w:val="002D391B"/>
    <w:rsid w:val="002D4B1F"/>
    <w:rsid w:val="002D7D15"/>
    <w:rsid w:val="002E1B2E"/>
    <w:rsid w:val="002E24A0"/>
    <w:rsid w:val="002E27EB"/>
    <w:rsid w:val="002E4EF4"/>
    <w:rsid w:val="002E5A71"/>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B4108"/>
    <w:rsid w:val="003C0431"/>
    <w:rsid w:val="003D3989"/>
    <w:rsid w:val="003D4CCA"/>
    <w:rsid w:val="003D52A6"/>
    <w:rsid w:val="003D6416"/>
    <w:rsid w:val="003E1D48"/>
    <w:rsid w:val="003E711F"/>
    <w:rsid w:val="003F1D2B"/>
    <w:rsid w:val="003F49A6"/>
    <w:rsid w:val="003F7445"/>
    <w:rsid w:val="00403B0F"/>
    <w:rsid w:val="00411DF2"/>
    <w:rsid w:val="00411E8F"/>
    <w:rsid w:val="00422FB9"/>
    <w:rsid w:val="004247F5"/>
    <w:rsid w:val="0042527B"/>
    <w:rsid w:val="00427EAC"/>
    <w:rsid w:val="004431B4"/>
    <w:rsid w:val="0045537F"/>
    <w:rsid w:val="00457DC7"/>
    <w:rsid w:val="004640B3"/>
    <w:rsid w:val="00472BCC"/>
    <w:rsid w:val="00490843"/>
    <w:rsid w:val="004A25CD"/>
    <w:rsid w:val="004A26CC"/>
    <w:rsid w:val="004B2108"/>
    <w:rsid w:val="004B3A2B"/>
    <w:rsid w:val="004B70D3"/>
    <w:rsid w:val="004C312D"/>
    <w:rsid w:val="004D2D1B"/>
    <w:rsid w:val="004D4633"/>
    <w:rsid w:val="004D5067"/>
    <w:rsid w:val="004D6838"/>
    <w:rsid w:val="004D72BC"/>
    <w:rsid w:val="004E469D"/>
    <w:rsid w:val="004E7F4F"/>
    <w:rsid w:val="004F2DDE"/>
    <w:rsid w:val="004F5A55"/>
    <w:rsid w:val="004F7826"/>
    <w:rsid w:val="0050097F"/>
    <w:rsid w:val="00514B1F"/>
    <w:rsid w:val="005164CF"/>
    <w:rsid w:val="00523C5C"/>
    <w:rsid w:val="00525E93"/>
    <w:rsid w:val="0052671D"/>
    <w:rsid w:val="00526783"/>
    <w:rsid w:val="005300C0"/>
    <w:rsid w:val="0054034E"/>
    <w:rsid w:val="00540E6B"/>
    <w:rsid w:val="0055595D"/>
    <w:rsid w:val="00556A10"/>
    <w:rsid w:val="00557F50"/>
    <w:rsid w:val="0056088D"/>
    <w:rsid w:val="00571D3D"/>
    <w:rsid w:val="0058264B"/>
    <w:rsid w:val="00586368"/>
    <w:rsid w:val="005868AA"/>
    <w:rsid w:val="00590845"/>
    <w:rsid w:val="005963C2"/>
    <w:rsid w:val="005A0D69"/>
    <w:rsid w:val="005A31F4"/>
    <w:rsid w:val="005A73EA"/>
    <w:rsid w:val="005B45F7"/>
    <w:rsid w:val="005B63EA"/>
    <w:rsid w:val="005C1A88"/>
    <w:rsid w:val="005C5033"/>
    <w:rsid w:val="005C77A1"/>
    <w:rsid w:val="005D4E1B"/>
    <w:rsid w:val="005E751B"/>
    <w:rsid w:val="005F2751"/>
    <w:rsid w:val="005F3354"/>
    <w:rsid w:val="005F4AD6"/>
    <w:rsid w:val="0060005E"/>
    <w:rsid w:val="0060095B"/>
    <w:rsid w:val="00601266"/>
    <w:rsid w:val="00610221"/>
    <w:rsid w:val="00610E73"/>
    <w:rsid w:val="00616DF2"/>
    <w:rsid w:val="0062385D"/>
    <w:rsid w:val="00630247"/>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3D2B"/>
    <w:rsid w:val="006E42BE"/>
    <w:rsid w:val="006E5D4D"/>
    <w:rsid w:val="006E6D16"/>
    <w:rsid w:val="00703F2A"/>
    <w:rsid w:val="00704C5D"/>
    <w:rsid w:val="007072BC"/>
    <w:rsid w:val="00715275"/>
    <w:rsid w:val="00721B44"/>
    <w:rsid w:val="007232A2"/>
    <w:rsid w:val="00726366"/>
    <w:rsid w:val="00733B6B"/>
    <w:rsid w:val="00740808"/>
    <w:rsid w:val="00741042"/>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B493C"/>
    <w:rsid w:val="007C0FBC"/>
    <w:rsid w:val="007C29C9"/>
    <w:rsid w:val="007C35B8"/>
    <w:rsid w:val="007C36E3"/>
    <w:rsid w:val="007C3ABB"/>
    <w:rsid w:val="007C7134"/>
    <w:rsid w:val="007D37AD"/>
    <w:rsid w:val="007D3D20"/>
    <w:rsid w:val="007D44F9"/>
    <w:rsid w:val="007D66E4"/>
    <w:rsid w:val="007D742E"/>
    <w:rsid w:val="007E3A27"/>
    <w:rsid w:val="007E3AFD"/>
    <w:rsid w:val="00801DAD"/>
    <w:rsid w:val="00803189"/>
    <w:rsid w:val="00804E7A"/>
    <w:rsid w:val="00805FBB"/>
    <w:rsid w:val="00814292"/>
    <w:rsid w:val="00815F53"/>
    <w:rsid w:val="008169A4"/>
    <w:rsid w:val="008278FE"/>
    <w:rsid w:val="00832598"/>
    <w:rsid w:val="0083397E"/>
    <w:rsid w:val="0083534B"/>
    <w:rsid w:val="00842035"/>
    <w:rsid w:val="00842602"/>
    <w:rsid w:val="008449F0"/>
    <w:rsid w:val="00847B45"/>
    <w:rsid w:val="00856421"/>
    <w:rsid w:val="00863A66"/>
    <w:rsid w:val="008703D7"/>
    <w:rsid w:val="00874429"/>
    <w:rsid w:val="00875D22"/>
    <w:rsid w:val="00883D9A"/>
    <w:rsid w:val="008919EF"/>
    <w:rsid w:val="00892B20"/>
    <w:rsid w:val="008931BC"/>
    <w:rsid w:val="0089695B"/>
    <w:rsid w:val="00897740"/>
    <w:rsid w:val="008A03EA"/>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4BB6"/>
    <w:rsid w:val="009057FD"/>
    <w:rsid w:val="00906FBA"/>
    <w:rsid w:val="009163E8"/>
    <w:rsid w:val="00916D19"/>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34A8"/>
    <w:rsid w:val="009924CF"/>
    <w:rsid w:val="00994100"/>
    <w:rsid w:val="009A6B17"/>
    <w:rsid w:val="009B052E"/>
    <w:rsid w:val="009B1AF7"/>
    <w:rsid w:val="009B3391"/>
    <w:rsid w:val="009B4883"/>
    <w:rsid w:val="009D4C29"/>
    <w:rsid w:val="009E58E9"/>
    <w:rsid w:val="009F6AD2"/>
    <w:rsid w:val="009F7C1B"/>
    <w:rsid w:val="00A00D8D"/>
    <w:rsid w:val="00A01BB6"/>
    <w:rsid w:val="00A22B28"/>
    <w:rsid w:val="00A4303C"/>
    <w:rsid w:val="00A46CAF"/>
    <w:rsid w:val="00A470FD"/>
    <w:rsid w:val="00A50B5E"/>
    <w:rsid w:val="00A51A42"/>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4EA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0EA4"/>
    <w:rsid w:val="00BF2928"/>
    <w:rsid w:val="00BF6691"/>
    <w:rsid w:val="00C02071"/>
    <w:rsid w:val="00C028FC"/>
    <w:rsid w:val="00C037F2"/>
    <w:rsid w:val="00C0386D"/>
    <w:rsid w:val="00C065A1"/>
    <w:rsid w:val="00C10ED5"/>
    <w:rsid w:val="00C12574"/>
    <w:rsid w:val="00C151A6"/>
    <w:rsid w:val="00C24098"/>
    <w:rsid w:val="00C27A1B"/>
    <w:rsid w:val="00C30A4E"/>
    <w:rsid w:val="00C411F3"/>
    <w:rsid w:val="00C43880"/>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65B"/>
    <w:rsid w:val="00D00E8E"/>
    <w:rsid w:val="00D02E0F"/>
    <w:rsid w:val="00D03EE8"/>
    <w:rsid w:val="00D13535"/>
    <w:rsid w:val="00D15497"/>
    <w:rsid w:val="00D17B79"/>
    <w:rsid w:val="00D205F5"/>
    <w:rsid w:val="00D23CC5"/>
    <w:rsid w:val="00D23FEA"/>
    <w:rsid w:val="00D269CA"/>
    <w:rsid w:val="00D30B48"/>
    <w:rsid w:val="00D3168A"/>
    <w:rsid w:val="00D46FAA"/>
    <w:rsid w:val="00D47A40"/>
    <w:rsid w:val="00D51D33"/>
    <w:rsid w:val="00D52A4F"/>
    <w:rsid w:val="00D548E2"/>
    <w:rsid w:val="00D57BB2"/>
    <w:rsid w:val="00D57E57"/>
    <w:rsid w:val="00D70752"/>
    <w:rsid w:val="00D80E2D"/>
    <w:rsid w:val="00D84D5E"/>
    <w:rsid w:val="00D8560E"/>
    <w:rsid w:val="00D8758F"/>
    <w:rsid w:val="00D94CE2"/>
    <w:rsid w:val="00DA4EDD"/>
    <w:rsid w:val="00DA6B78"/>
    <w:rsid w:val="00DB122B"/>
    <w:rsid w:val="00DC1D94"/>
    <w:rsid w:val="00DC42CF"/>
    <w:rsid w:val="00DD382A"/>
    <w:rsid w:val="00DE057F"/>
    <w:rsid w:val="00DE2082"/>
    <w:rsid w:val="00DE2289"/>
    <w:rsid w:val="00DF09A7"/>
    <w:rsid w:val="00DF2B51"/>
    <w:rsid w:val="00DF6632"/>
    <w:rsid w:val="00DF7FF2"/>
    <w:rsid w:val="00E001D6"/>
    <w:rsid w:val="00E03A76"/>
    <w:rsid w:val="00E04410"/>
    <w:rsid w:val="00E07484"/>
    <w:rsid w:val="00E11351"/>
    <w:rsid w:val="00E4225C"/>
    <w:rsid w:val="00E44879"/>
    <w:rsid w:val="00E72914"/>
    <w:rsid w:val="00E74458"/>
    <w:rsid w:val="00E75AE0"/>
    <w:rsid w:val="00E81433"/>
    <w:rsid w:val="00E83C1F"/>
    <w:rsid w:val="00E85684"/>
    <w:rsid w:val="00E8794B"/>
    <w:rsid w:val="00E94A7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0689"/>
    <w:rsid w:val="00FA092B"/>
    <w:rsid w:val="00FA20ED"/>
    <w:rsid w:val="00FA4F6C"/>
    <w:rsid w:val="00FA641F"/>
    <w:rsid w:val="00FA6EFD"/>
    <w:rsid w:val="00FB202F"/>
    <w:rsid w:val="00FB24B5"/>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48D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13,Style 12,(NECG) Footnote Reference,Appel note de bas de p,Style 124,fr,o,Style 3,FR,Style 17,Style 6,Footnote Reference/,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D548E2"/>
  </w:style>
  <w:style w:type="paragraph" w:styleId="BalloonText">
    <w:name w:val="Balloon Text"/>
    <w:basedOn w:val="Normal"/>
    <w:link w:val="BalloonTextChar"/>
    <w:semiHidden/>
    <w:unhideWhenUsed/>
    <w:rsid w:val="002E24A0"/>
    <w:rPr>
      <w:rFonts w:ascii="Segoe UI" w:hAnsi="Segoe UI" w:cs="Segoe UI"/>
      <w:sz w:val="18"/>
      <w:szCs w:val="18"/>
    </w:rPr>
  </w:style>
  <w:style w:type="character" w:customStyle="1" w:styleId="BalloonTextChar">
    <w:name w:val="Balloon Text Char"/>
    <w:basedOn w:val="DefaultParagraphFont"/>
    <w:link w:val="BalloonText"/>
    <w:semiHidden/>
    <w:rsid w:val="002E24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B2DDC-C7EC-43E2-BED6-5B4333809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13</Pages>
  <Words>2635</Words>
  <Characters>15023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2021-09-16T17:12:00Z</dcterms:created>
  <dcterms:modified xsi:type="dcterms:W3CDTF">2021-09-16T20:27:00Z</dcterms:modified>
</cp:coreProperties>
</file>