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506C2" w:rsidP="007506C2">
      <w:pPr>
        <w:pStyle w:val="OrderHeading"/>
      </w:pPr>
      <w:r>
        <w:t>BEFORE THE FLORIDA PUBLIC SERVICE COMMISSION</w:t>
      </w:r>
    </w:p>
    <w:p w:rsidR="007506C2" w:rsidRDefault="007506C2" w:rsidP="007506C2">
      <w:pPr>
        <w:pStyle w:val="OrderBody"/>
      </w:pPr>
    </w:p>
    <w:p w:rsidR="007506C2" w:rsidRDefault="007506C2" w:rsidP="007506C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506C2" w:rsidRPr="00C63FCF" w:rsidTr="00C63FCF">
        <w:trPr>
          <w:trHeight w:val="828"/>
        </w:trPr>
        <w:tc>
          <w:tcPr>
            <w:tcW w:w="4788" w:type="dxa"/>
            <w:tcBorders>
              <w:bottom w:val="single" w:sz="8" w:space="0" w:color="auto"/>
              <w:right w:val="double" w:sz="6" w:space="0" w:color="auto"/>
            </w:tcBorders>
            <w:shd w:val="clear" w:color="auto" w:fill="auto"/>
          </w:tcPr>
          <w:p w:rsidR="007506C2" w:rsidRDefault="007506C2" w:rsidP="00C63FCF">
            <w:pPr>
              <w:pStyle w:val="OrderBody"/>
              <w:tabs>
                <w:tab w:val="center" w:pos="4320"/>
                <w:tab w:val="right" w:pos="8640"/>
              </w:tabs>
              <w:jc w:val="left"/>
            </w:pPr>
            <w:r>
              <w:t xml:space="preserve">In re: </w:t>
            </w:r>
            <w:bookmarkStart w:id="0" w:name="SSInRe"/>
            <w:bookmarkEnd w:id="0"/>
            <w:r>
              <w:t>Limited proceeding to consider Duke Energy Florida, LLC's unopposed motion to approve rate mitigation agreement.</w:t>
            </w:r>
          </w:p>
        </w:tc>
        <w:tc>
          <w:tcPr>
            <w:tcW w:w="4788" w:type="dxa"/>
            <w:tcBorders>
              <w:left w:val="double" w:sz="6" w:space="0" w:color="auto"/>
            </w:tcBorders>
            <w:shd w:val="clear" w:color="auto" w:fill="auto"/>
          </w:tcPr>
          <w:p w:rsidR="007506C2" w:rsidRDefault="007506C2" w:rsidP="007506C2">
            <w:pPr>
              <w:pStyle w:val="OrderBody"/>
            </w:pPr>
            <w:r>
              <w:t xml:space="preserve">DOCKET NO. </w:t>
            </w:r>
            <w:bookmarkStart w:id="1" w:name="SSDocketNo"/>
            <w:bookmarkEnd w:id="1"/>
            <w:r>
              <w:t>20210158-EI</w:t>
            </w:r>
          </w:p>
          <w:p w:rsidR="007506C2" w:rsidRDefault="007506C2" w:rsidP="00C63FCF">
            <w:pPr>
              <w:pStyle w:val="OrderBody"/>
              <w:tabs>
                <w:tab w:val="center" w:pos="4320"/>
                <w:tab w:val="right" w:pos="8640"/>
              </w:tabs>
              <w:jc w:val="left"/>
            </w:pPr>
            <w:r>
              <w:t xml:space="preserve">ORDER NO. </w:t>
            </w:r>
            <w:bookmarkStart w:id="2" w:name="OrderNo0371"/>
            <w:r w:rsidR="00D45C0B">
              <w:t>PSC-2021-0371-PCO-EI</w:t>
            </w:r>
            <w:bookmarkEnd w:id="2"/>
          </w:p>
          <w:p w:rsidR="007506C2" w:rsidRDefault="007506C2" w:rsidP="00C63FCF">
            <w:pPr>
              <w:pStyle w:val="OrderBody"/>
              <w:tabs>
                <w:tab w:val="center" w:pos="4320"/>
                <w:tab w:val="right" w:pos="8640"/>
              </w:tabs>
              <w:jc w:val="left"/>
            </w:pPr>
            <w:r>
              <w:t xml:space="preserve">ISSUED: </w:t>
            </w:r>
            <w:r w:rsidR="00D45C0B">
              <w:t>September 23, 2021</w:t>
            </w:r>
          </w:p>
        </w:tc>
      </w:tr>
    </w:tbl>
    <w:p w:rsidR="007506C2" w:rsidRDefault="007506C2" w:rsidP="007506C2"/>
    <w:p w:rsidR="00013FC8" w:rsidRDefault="00013FC8" w:rsidP="007506C2"/>
    <w:p w:rsidR="007506C2" w:rsidRDefault="007506C2" w:rsidP="007506C2"/>
    <w:p w:rsidR="007506C2" w:rsidRDefault="007506C2" w:rsidP="007506C2">
      <w:pPr>
        <w:pStyle w:val="CenterUnderline"/>
      </w:pPr>
      <w:bookmarkStart w:id="3" w:name="Commissioners"/>
      <w:bookmarkEnd w:id="3"/>
      <w:r>
        <w:t>ORDER ON PROCEDURE</w:t>
      </w:r>
    </w:p>
    <w:p w:rsidR="00013FC8" w:rsidRDefault="00013FC8" w:rsidP="007506C2">
      <w:pPr>
        <w:pStyle w:val="OrderBody"/>
      </w:pPr>
    </w:p>
    <w:p w:rsidR="007506C2" w:rsidRPr="00232ECD" w:rsidRDefault="007506C2" w:rsidP="007506C2">
      <w:pPr>
        <w:pStyle w:val="OrderBody"/>
        <w:rPr>
          <w:b/>
        </w:rPr>
      </w:pPr>
      <w:bookmarkStart w:id="4" w:name="OrderText"/>
      <w:bookmarkEnd w:id="4"/>
      <w:r>
        <w:rPr>
          <w:b/>
        </w:rPr>
        <w:t>I</w:t>
      </w:r>
      <w:r w:rsidRPr="00232ECD">
        <w:rPr>
          <w:b/>
        </w:rPr>
        <w:t>.</w:t>
      </w:r>
      <w:r w:rsidRPr="00232ECD">
        <w:rPr>
          <w:b/>
        </w:rPr>
        <w:tab/>
      </w:r>
      <w:r w:rsidRPr="00232ECD">
        <w:rPr>
          <w:b/>
          <w:u w:val="single"/>
        </w:rPr>
        <w:t>Case Background</w:t>
      </w:r>
    </w:p>
    <w:p w:rsidR="007506C2" w:rsidRDefault="007506C2" w:rsidP="007506C2">
      <w:pPr>
        <w:pStyle w:val="OrderBody"/>
      </w:pPr>
    </w:p>
    <w:p w:rsidR="007506C2" w:rsidRDefault="007506C2" w:rsidP="007506C2">
      <w:pPr>
        <w:pStyle w:val="OrderBody"/>
      </w:pPr>
      <w:r>
        <w:tab/>
        <w:t>On September 3, 2021, Duke Energy Florida, LLC (DEF) filed an Unopposed Motion to Approve Rate Mitigation Agreement (Motion), in Docket Nos. 2021</w:t>
      </w:r>
      <w:r w:rsidR="00A53A18">
        <w:t>0</w:t>
      </w:r>
      <w:r>
        <w:t>001-EI,</w:t>
      </w:r>
      <w:r w:rsidR="0049456B">
        <w:t xml:space="preserve"> </w:t>
      </w:r>
      <w:r w:rsidR="008815BF">
        <w:rPr>
          <w:i/>
        </w:rPr>
        <w:t>In re: F</w:t>
      </w:r>
      <w:r w:rsidR="0049456B" w:rsidRPr="0049456B">
        <w:rPr>
          <w:i/>
        </w:rPr>
        <w:t>uel and purchased power cost recovery clause with generating performance incentive factor</w:t>
      </w:r>
      <w:r w:rsidR="0049456B">
        <w:t>,</w:t>
      </w:r>
      <w:r>
        <w:t xml:space="preserve"> 20210010-EI, </w:t>
      </w:r>
      <w:r w:rsidR="008815BF">
        <w:rPr>
          <w:i/>
        </w:rPr>
        <w:t xml:space="preserve">In re: </w:t>
      </w:r>
      <w:r w:rsidR="0049456B" w:rsidRPr="0049456B">
        <w:rPr>
          <w:i/>
        </w:rPr>
        <w:t>Storm protection plan cost recovery clause</w:t>
      </w:r>
      <w:r w:rsidR="0049456B">
        <w:t xml:space="preserve">, </w:t>
      </w:r>
      <w:r>
        <w:t>and 202</w:t>
      </w:r>
      <w:r w:rsidR="00A53A18">
        <w:t>1</w:t>
      </w:r>
      <w:r>
        <w:t>0097-EI</w:t>
      </w:r>
      <w:r w:rsidR="0049456B">
        <w:t xml:space="preserve">, </w:t>
      </w:r>
      <w:r w:rsidR="008815BF">
        <w:rPr>
          <w:i/>
        </w:rPr>
        <w:t xml:space="preserve">In re: </w:t>
      </w:r>
      <w:r w:rsidR="0049456B" w:rsidRPr="0049456B">
        <w:rPr>
          <w:i/>
        </w:rPr>
        <w:t>Petition for limited proceeding for recovery of incremental storm restoration costs related to Hurricanes Eta and Isaias, by Duke Energy Florida, LLC</w:t>
      </w:r>
      <w:r w:rsidR="0049456B" w:rsidRPr="0049456B">
        <w:t>.</w:t>
      </w:r>
      <w:r>
        <w:t xml:space="preserve"> Due to the continued increase in forecasted natural gas prices, DEF is projecting a $246.8 million under-recovery of fuel costs for 2021, that would otherwise be due from DEF’s customers starting in 2022. Recognizing the impact these fuel price increases will have on DEF’s customers, DEF states that it has worked collaboratively with a number of interested parties to develop a creative means to mitigate the rate impacts of this increase. The resulting Rate Mitigation Agreement addresses issues or cost recovery associated with the three dockets referenced above, as well as some matters not previously raised in those dockets. Therefore</w:t>
      </w:r>
      <w:r w:rsidR="00A53A18">
        <w:t>,</w:t>
      </w:r>
      <w:r>
        <w:t xml:space="preserve"> Docket No. 20210158-EI has been opened to address DEF’s Motion and the proposed Rate Mitigation Agreement.</w:t>
      </w:r>
    </w:p>
    <w:p w:rsidR="007506C2" w:rsidRDefault="007506C2" w:rsidP="007506C2">
      <w:pPr>
        <w:pStyle w:val="OrderBody"/>
      </w:pPr>
    </w:p>
    <w:p w:rsidR="007506C2" w:rsidRDefault="007506C2" w:rsidP="007506C2">
      <w:pPr>
        <w:pStyle w:val="OrderBody"/>
        <w:ind w:firstLine="720"/>
      </w:pPr>
      <w:r w:rsidRPr="0057037B">
        <w:t xml:space="preserve">DEF, the Office of Public Counsel, Florida Industrial Power Users Group, Florida Retail Federation, White Springs Agricultural Chemicals, Inc. d/b/a PCS Phosphate, Southern Alliance for Clean Energy, and Nucor Steel Florida, Inc. are signatories to the Rate Mitigation Agreement. </w:t>
      </w:r>
      <w:r w:rsidRPr="007E2A0C">
        <w:t>DEF represents that the signatories do not oppose granting DEF’s Motion</w:t>
      </w:r>
      <w:r>
        <w:t>. DEF represents that Tampa Electric Company, Florida Power &amp; Light Company, Gulf Power Company, and Florida Public Utilities Company, who are parties to Docket Nos. 2021</w:t>
      </w:r>
      <w:r w:rsidR="00A53A18">
        <w:t>0</w:t>
      </w:r>
      <w:r>
        <w:t>001-EI and 20210010-EI, take no position on the Motion.</w:t>
      </w:r>
      <w:r w:rsidR="00CF533C">
        <w:t xml:space="preserve"> Finally, DEF represents that Walmart Inc., </w:t>
      </w:r>
      <w:r w:rsidR="00CF14D7">
        <w:t>which is a party to Docket No. 20210010-EI, does not oppose the granting of DEF’s Motion.</w:t>
      </w:r>
    </w:p>
    <w:p w:rsidR="007506C2" w:rsidRDefault="007506C2" w:rsidP="007506C2">
      <w:pPr>
        <w:pStyle w:val="OrderBody"/>
      </w:pPr>
    </w:p>
    <w:p w:rsidR="007506C2" w:rsidRDefault="007506C2" w:rsidP="007506C2">
      <w:pPr>
        <w:pStyle w:val="OrderBody"/>
        <w:ind w:firstLine="720"/>
      </w:pPr>
      <w:r>
        <w:t xml:space="preserve">Consideration of DEF’s Motion and </w:t>
      </w:r>
      <w:r w:rsidR="00CF14D7">
        <w:t>the</w:t>
      </w:r>
      <w:r>
        <w:t xml:space="preserve"> proposed Rate Mitigation Agreement is hereby scheduled for hearing on November 2, 2021. The purpose of the hearing will be to consider whether it is in the public interest to approve the proposed Rate Mitigation Agreement.</w:t>
      </w:r>
      <w:r w:rsidRPr="00C17036">
        <w:t xml:space="preserve"> </w:t>
      </w:r>
      <w:r>
        <w:t xml:space="preserve">To promote transparency and access to </w:t>
      </w:r>
      <w:r w:rsidR="0049456B">
        <w:t>this proceeding, all</w:t>
      </w:r>
      <w:r>
        <w:t xml:space="preserve"> parties to Docket Nos. 20210001-E</w:t>
      </w:r>
      <w:r w:rsidR="00E97C23">
        <w:t>I, 20210010-EI, and 20210097-EI,</w:t>
      </w:r>
      <w:r w:rsidR="00F27915">
        <w:t xml:space="preserve"> as well as Florida Retail Federation and Southern Alliance for Clean Energy, </w:t>
      </w:r>
      <w:r>
        <w:t>shall also be parties in Docket No. 20210158-EI.</w:t>
      </w:r>
    </w:p>
    <w:p w:rsidR="007506C2" w:rsidRDefault="007506C2" w:rsidP="007506C2">
      <w:pPr>
        <w:pStyle w:val="OrderBody"/>
      </w:pPr>
    </w:p>
    <w:p w:rsidR="007506C2" w:rsidRDefault="007506C2" w:rsidP="007506C2">
      <w:pPr>
        <w:pStyle w:val="OrderBody"/>
      </w:pPr>
      <w:r>
        <w:tab/>
      </w:r>
      <w:r w:rsidRPr="006E6E55">
        <w:t xml:space="preserve">This Order is issued pursuant to the authority granted by Rule 28-106.211, </w:t>
      </w:r>
      <w:r>
        <w:t>Florida Administrative Code (</w:t>
      </w:r>
      <w:r w:rsidRPr="006E6E55">
        <w:t>F.A.C.</w:t>
      </w:r>
      <w:r>
        <w:t>)</w:t>
      </w:r>
      <w:r w:rsidRPr="006E6E55">
        <w:t>, which</w:t>
      </w:r>
      <w:r>
        <w:t xml:space="preserve"> </w:t>
      </w:r>
      <w:r w:rsidRPr="006E6E55">
        <w:t xml:space="preserve">provides that the presiding officer before whom a case is </w:t>
      </w:r>
      <w:r w:rsidRPr="006E6E55">
        <w:lastRenderedPageBreak/>
        <w:t>pending may issue any orders necessary</w:t>
      </w:r>
      <w:r>
        <w:t xml:space="preserve"> </w:t>
      </w:r>
      <w:r w:rsidRPr="006E6E55">
        <w:t>to effectuate discovery, prevent delay, and promote the just, speedy, and inexpensive</w:t>
      </w:r>
      <w:r>
        <w:t xml:space="preserve"> </w:t>
      </w:r>
      <w:r w:rsidRPr="006E6E55">
        <w:t>determination of all aspects of the case.</w:t>
      </w:r>
      <w:r w:rsidRPr="009A5229">
        <w:t xml:space="preserve"> </w:t>
      </w:r>
      <w:r>
        <w:t>Modifications to procedures governing parties to this docket may be made by subsequent procedural order.</w:t>
      </w:r>
      <w:r w:rsidRPr="00551608">
        <w:t xml:space="preserve"> </w:t>
      </w:r>
      <w:r>
        <w:t xml:space="preserve"> </w:t>
      </w:r>
    </w:p>
    <w:p w:rsidR="007506C2" w:rsidRDefault="007506C2" w:rsidP="007506C2">
      <w:pPr>
        <w:pStyle w:val="OrderBody"/>
      </w:pPr>
    </w:p>
    <w:p w:rsidR="007506C2" w:rsidRPr="005D3218" w:rsidRDefault="007506C2" w:rsidP="007506C2">
      <w:pPr>
        <w:pStyle w:val="OrderBody"/>
        <w:rPr>
          <w:b/>
        </w:rPr>
      </w:pPr>
      <w:r w:rsidRPr="005D3218">
        <w:rPr>
          <w:b/>
        </w:rPr>
        <w:t>II.</w:t>
      </w:r>
      <w:r w:rsidRPr="005D3218">
        <w:rPr>
          <w:b/>
        </w:rPr>
        <w:tab/>
      </w:r>
      <w:r w:rsidRPr="00AD7D64">
        <w:rPr>
          <w:b/>
          <w:u w:val="single"/>
        </w:rPr>
        <w:t>Procedural Matters</w:t>
      </w:r>
      <w:r>
        <w:rPr>
          <w:b/>
        </w:rPr>
        <w:t xml:space="preserve"> </w:t>
      </w:r>
    </w:p>
    <w:p w:rsidR="007506C2" w:rsidRDefault="007506C2" w:rsidP="007506C2">
      <w:pPr>
        <w:pStyle w:val="OrderBody"/>
      </w:pPr>
    </w:p>
    <w:p w:rsidR="007506C2" w:rsidRPr="00F33161" w:rsidRDefault="007506C2" w:rsidP="00750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Data Requests</w:t>
      </w:r>
    </w:p>
    <w:p w:rsidR="007506C2" w:rsidRDefault="007506C2" w:rsidP="00750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506C2" w:rsidRDefault="007506C2" w:rsidP="00750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Commission staff and the parties shall be permitted a limited time to send no more than 150 data requests. Parties are directed to respond to the data requests in writing so the response is received within 7 days of receipt of the request. </w:t>
      </w:r>
      <w:r w:rsidRPr="00011FC7">
        <w:t xml:space="preserve">All written data responses must be accompanied by an Affidavit identifying the persons providing the responses. All data responses must be received by </w:t>
      </w:r>
      <w:r>
        <w:t>October 22</w:t>
      </w:r>
      <w:r w:rsidRPr="00011FC7">
        <w:t>, 2021.</w:t>
      </w:r>
      <w:r>
        <w:t xml:space="preserve"> Information obtained through data requests may be used by the parties in their oral arguments, by staff in advising the Commission, and by the Commissioners in consideration of the proposed Rate Mitigation Agreement.</w:t>
      </w:r>
      <w:r w:rsidDel="00F17A60">
        <w:t xml:space="preserve"> </w:t>
      </w:r>
    </w:p>
    <w:p w:rsidR="007506C2" w:rsidRDefault="007506C2" w:rsidP="00750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506C2" w:rsidRDefault="007506C2" w:rsidP="00750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Pr>
          <w:u w:val="single"/>
        </w:rPr>
        <w:t>Confidential Information Provided Pursuant to Data Requests</w:t>
      </w:r>
    </w:p>
    <w:p w:rsidR="007506C2" w:rsidRDefault="007506C2" w:rsidP="00750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eastAsiaTheme="minorHAnsi"/>
        </w:rPr>
      </w:pPr>
    </w:p>
    <w:p w:rsidR="007506C2" w:rsidRDefault="007506C2" w:rsidP="007506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366.093 </w:t>
      </w:r>
      <w:r w:rsidR="0049456B">
        <w:t>Florida Statutes (</w:t>
      </w:r>
      <w:r>
        <w:t>F.S.</w:t>
      </w:r>
      <w:r w:rsidR="0049456B">
        <w:t>)</w:t>
      </w:r>
      <w:r>
        <w:t>, and Rule 25-22.006, F.A.C., shall be treated by the Commission as confidential. The information shall be exempt from S</w:t>
      </w:r>
      <w:r w:rsidR="00C8111B">
        <w:t>ubs</w:t>
      </w:r>
      <w:r>
        <w:t>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rsidR="007506C2" w:rsidRDefault="007506C2" w:rsidP="007506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506C2" w:rsidRPr="00011FC7" w:rsidRDefault="007506C2" w:rsidP="007506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011FC7">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7506C2" w:rsidRPr="00011FC7" w:rsidRDefault="007506C2" w:rsidP="007506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506C2" w:rsidRDefault="007506C2" w:rsidP="007506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11FC7">
        <w:tab/>
        <w:t>When a party other than the Commission staff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7506C2" w:rsidRDefault="007506C2" w:rsidP="00750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88" w:rsidRDefault="00484B88">
      <w:pPr>
        <w:rPr>
          <w:u w:val="single"/>
        </w:rPr>
      </w:pPr>
      <w:r>
        <w:rPr>
          <w:u w:val="single"/>
        </w:rPr>
        <w:br w:type="page"/>
      </w:r>
    </w:p>
    <w:p w:rsidR="007506C2" w:rsidRDefault="007506C2" w:rsidP="00750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u w:val="single"/>
        </w:rPr>
      </w:pPr>
      <w:r>
        <w:rPr>
          <w:u w:val="single"/>
        </w:rPr>
        <w:lastRenderedPageBreak/>
        <w:t>C</w:t>
      </w:r>
      <w:r w:rsidRPr="00FF5331">
        <w:rPr>
          <w:u w:val="single"/>
        </w:rPr>
        <w:t xml:space="preserve">onfidential Information </w:t>
      </w:r>
      <w:r>
        <w:rPr>
          <w:u w:val="single"/>
        </w:rPr>
        <w:t>at Hearing</w:t>
      </w:r>
    </w:p>
    <w:p w:rsidR="007506C2" w:rsidRPr="00FF5331" w:rsidRDefault="007506C2" w:rsidP="00750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7506C2" w:rsidRDefault="007506C2" w:rsidP="007506C2">
      <w:pPr>
        <w:ind w:firstLine="720"/>
        <w:jc w:val="both"/>
      </w:pPr>
      <w:r>
        <w:t>Information for which proprietary confidential business information status is requested</w:t>
      </w:r>
      <w:r w:rsidRPr="00A72918">
        <w:t xml:space="preserve"> pursuant to</w:t>
      </w:r>
      <w:r>
        <w:t xml:space="preserve"> Section 366.093, </w:t>
      </w:r>
      <w:smartTag w:uri="urn:schemas:contacts" w:element="GivenName">
        <w:r>
          <w:t>F.S.</w:t>
        </w:r>
      </w:smartTag>
      <w:r w:rsidRPr="00A72918">
        <w:t xml:space="preserve">, and Rule 25-22.006, </w:t>
      </w:r>
      <w:r>
        <w:t>F.A.C.</w:t>
      </w:r>
      <w:r w:rsidRPr="00A72918">
        <w:t>,</w:t>
      </w:r>
      <w:r>
        <w:t xml:space="preserve"> shall be treated by the Commission as confidential.  The information shall be exempt from S</w:t>
      </w:r>
      <w:r w:rsidR="00C8111B">
        <w:t>ubs</w:t>
      </w:r>
      <w:r>
        <w:t xml:space="preserve">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366.093, F.S.  T</w:t>
      </w:r>
      <w:r w:rsidRPr="00B2317F">
        <w:t>he Commission may determine that continued possession of the information is necessary for the Commission to conduct its business.</w:t>
      </w:r>
    </w:p>
    <w:p w:rsidR="007506C2" w:rsidRDefault="007506C2" w:rsidP="007506C2">
      <w:pPr>
        <w:jc w:val="both"/>
      </w:pPr>
    </w:p>
    <w:p w:rsidR="007506C2" w:rsidRDefault="007506C2" w:rsidP="007506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366.093, </w:t>
      </w:r>
      <w:smartTag w:uri="urn:schemas:contacts" w:element="GivenName">
        <w:r>
          <w:t>F.S.</w:t>
        </w:r>
      </w:smartTag>
      <w:r>
        <w:t xml:space="preserve">, to protect proprietary confidential business information from disclosure outside the proceeding.  Therefore, any party wishing to use any proprietary confidential business information, as that term is defined in Section 366.093, </w:t>
      </w:r>
      <w:smartTag w:uri="urn:schemas:contacts" w:element="GivenName">
        <w:r>
          <w:t>F.S.</w:t>
        </w:r>
      </w:smartTag>
      <w:r>
        <w:t>, at the hearing shall adhere to the following:</w:t>
      </w:r>
    </w:p>
    <w:p w:rsidR="007506C2" w:rsidRDefault="007506C2" w:rsidP="007506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506C2" w:rsidRDefault="007506C2" w:rsidP="007506C2">
      <w:pPr>
        <w:spacing w:line="2" w:lineRule="exact"/>
        <w:jc w:val="both"/>
      </w:pPr>
    </w:p>
    <w:p w:rsidR="007506C2" w:rsidRDefault="007506C2" w:rsidP="007506C2">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7506C2" w:rsidRDefault="007506C2" w:rsidP="007506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506C2" w:rsidRDefault="007506C2" w:rsidP="007506C2">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7506C2" w:rsidRDefault="007506C2" w:rsidP="007506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506C2" w:rsidRDefault="007506C2" w:rsidP="007506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49456B" w:rsidRDefault="0049456B" w:rsidP="007506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506C2" w:rsidRPr="00CB124A" w:rsidRDefault="0049456B" w:rsidP="00CB12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requests to hold portions of the hearing exempt from the requirements of S</w:t>
      </w:r>
      <w:r w:rsidR="00C8111B">
        <w:t>ubs</w:t>
      </w:r>
      <w:r>
        <w:t>ection 119.07(1), F.S., must be made in writing and filed with the Commission Clerk by October 22, 2021.</w:t>
      </w:r>
    </w:p>
    <w:p w:rsidR="007506C2" w:rsidRPr="00690C9F" w:rsidRDefault="007506C2" w:rsidP="007506C2">
      <w:pPr>
        <w:jc w:val="both"/>
        <w:rPr>
          <w:b/>
          <w:u w:val="single"/>
        </w:rPr>
      </w:pPr>
      <w:r w:rsidRPr="00690C9F">
        <w:rPr>
          <w:b/>
        </w:rPr>
        <w:lastRenderedPageBreak/>
        <w:t>I</w:t>
      </w:r>
      <w:r w:rsidR="00B24638">
        <w:rPr>
          <w:b/>
        </w:rPr>
        <w:t>II</w:t>
      </w:r>
      <w:r w:rsidRPr="00690C9F">
        <w:rPr>
          <w:b/>
        </w:rPr>
        <w:t>.</w:t>
      </w:r>
      <w:r w:rsidRPr="00690C9F">
        <w:rPr>
          <w:b/>
        </w:rPr>
        <w:tab/>
      </w:r>
      <w:r w:rsidRPr="00690C9F">
        <w:rPr>
          <w:b/>
          <w:u w:val="single"/>
        </w:rPr>
        <w:t>Hearing Procedures</w:t>
      </w:r>
    </w:p>
    <w:p w:rsidR="007506C2" w:rsidRDefault="007506C2" w:rsidP="007506C2">
      <w:pPr>
        <w:jc w:val="both"/>
      </w:pPr>
    </w:p>
    <w:p w:rsidR="007506C2" w:rsidRPr="000402A4" w:rsidRDefault="007506C2" w:rsidP="007506C2">
      <w:pPr>
        <w:ind w:firstLine="720"/>
        <w:jc w:val="both"/>
      </w:pPr>
      <w:r w:rsidRPr="000402A4">
        <w:t>S</w:t>
      </w:r>
      <w:r w:rsidR="00C8111B">
        <w:t>ubs</w:t>
      </w:r>
      <w:r w:rsidRPr="000402A4">
        <w:t xml:space="preserve">ection 120.57(4), F.S., permits the Commission to informally dispose of any proceeding by stipulation, agreed settlement, or consent order. Pursuant to Rule 28-106.302(2), F.A.C., the purpose of this hearing is for the Commission to take oral </w:t>
      </w:r>
      <w:r>
        <w:t xml:space="preserve">and written </w:t>
      </w:r>
      <w:r w:rsidRPr="000402A4">
        <w:t xml:space="preserve">evidence or argument regarding </w:t>
      </w:r>
      <w:r>
        <w:t xml:space="preserve">the </w:t>
      </w:r>
      <w:r w:rsidRPr="000402A4">
        <w:t>a</w:t>
      </w:r>
      <w:r>
        <w:t>pproval of the Rate Mitigation Agreement as being in the public interest</w:t>
      </w:r>
      <w:r w:rsidRPr="000402A4">
        <w:t xml:space="preserve">. </w:t>
      </w:r>
    </w:p>
    <w:p w:rsidR="007506C2" w:rsidRPr="000402A4" w:rsidRDefault="007506C2" w:rsidP="007506C2">
      <w:pPr>
        <w:ind w:firstLine="720"/>
        <w:jc w:val="both"/>
      </w:pPr>
    </w:p>
    <w:p w:rsidR="007506C2" w:rsidRDefault="007506C2" w:rsidP="007506C2">
      <w:pPr>
        <w:ind w:firstLine="720"/>
        <w:jc w:val="both"/>
      </w:pPr>
      <w:r w:rsidRPr="00657907">
        <w:t xml:space="preserve">The hearing agenda for </w:t>
      </w:r>
      <w:r>
        <w:t>November 2, 2021</w:t>
      </w:r>
      <w:r w:rsidRPr="00657907">
        <w:t>, will include the following:</w:t>
      </w:r>
    </w:p>
    <w:p w:rsidR="007506C2" w:rsidRPr="00657907" w:rsidRDefault="007506C2" w:rsidP="007506C2">
      <w:pPr>
        <w:ind w:firstLine="720"/>
        <w:jc w:val="both"/>
      </w:pPr>
    </w:p>
    <w:p w:rsidR="007506C2" w:rsidRDefault="007506C2" w:rsidP="007506C2">
      <w:pPr>
        <w:pStyle w:val="ListParagraph"/>
        <w:numPr>
          <w:ilvl w:val="0"/>
          <w:numId w:val="1"/>
        </w:numPr>
        <w:spacing w:line="480" w:lineRule="auto"/>
        <w:jc w:val="both"/>
      </w:pPr>
      <w:r w:rsidRPr="000402A4">
        <w:t>Parties present Opening Statements</w:t>
      </w:r>
      <w:r>
        <w:t xml:space="preserve"> of no more than five</w:t>
      </w:r>
      <w:r w:rsidRPr="000402A4">
        <w:t xml:space="preserve"> minutes per party</w:t>
      </w:r>
      <w:r>
        <w:t>;</w:t>
      </w:r>
    </w:p>
    <w:p w:rsidR="007506C2" w:rsidRPr="000402A4" w:rsidRDefault="007506C2" w:rsidP="007506C2">
      <w:pPr>
        <w:pStyle w:val="ListParagraph"/>
        <w:numPr>
          <w:ilvl w:val="0"/>
          <w:numId w:val="1"/>
        </w:numPr>
        <w:spacing w:line="480" w:lineRule="auto"/>
        <w:jc w:val="both"/>
      </w:pPr>
      <w:r>
        <w:t>Public comment;</w:t>
      </w:r>
      <w:r w:rsidRPr="000402A4">
        <w:t xml:space="preserve"> </w:t>
      </w:r>
    </w:p>
    <w:p w:rsidR="007506C2" w:rsidRPr="000402A4" w:rsidRDefault="007506C2" w:rsidP="007506C2">
      <w:pPr>
        <w:pStyle w:val="ListParagraph"/>
        <w:numPr>
          <w:ilvl w:val="0"/>
          <w:numId w:val="1"/>
        </w:numPr>
        <w:jc w:val="both"/>
      </w:pPr>
      <w:r w:rsidRPr="000402A4">
        <w:t xml:space="preserve">Parties present </w:t>
      </w:r>
      <w:r>
        <w:t xml:space="preserve">evidence and respond </w:t>
      </w:r>
      <w:r w:rsidRPr="000402A4">
        <w:t xml:space="preserve">to questions from Commissioners regarding the </w:t>
      </w:r>
      <w:r>
        <w:t>Rate Mitigation Agreement.</w:t>
      </w:r>
    </w:p>
    <w:p w:rsidR="007506C2" w:rsidRPr="005B557E" w:rsidRDefault="007506C2" w:rsidP="007506C2">
      <w:pPr>
        <w:jc w:val="both"/>
        <w:rPr>
          <w:highlight w:val="yellow"/>
        </w:rPr>
      </w:pPr>
    </w:p>
    <w:p w:rsidR="007506C2" w:rsidRPr="000402A4" w:rsidRDefault="007506C2" w:rsidP="007506C2">
      <w:pPr>
        <w:jc w:val="both"/>
      </w:pPr>
      <w:r>
        <w:tab/>
        <w:t xml:space="preserve">Upon </w:t>
      </w:r>
      <w:r w:rsidRPr="00657907">
        <w:t>the admission of all testimony and evidence, and completion of the Commission’s questions at hearing, the hearing record will be closed.</w:t>
      </w:r>
      <w:r>
        <w:t xml:space="preserve"> </w:t>
      </w:r>
      <w:r w:rsidRPr="00657907">
        <w:t>At that time, the Commission may render a bench decision, provided all parties are willing to waive filing of post-hearing briefs.</w:t>
      </w:r>
      <w:r>
        <w:t xml:space="preserve"> </w:t>
      </w:r>
      <w:r w:rsidRPr="000402A4">
        <w:t>If a bench decision is not made, the Commission will render a decision during a</w:t>
      </w:r>
      <w:r>
        <w:t>n</w:t>
      </w:r>
      <w:r w:rsidRPr="000402A4">
        <w:t xml:space="preserve"> Agenda Conference</w:t>
      </w:r>
      <w:r w:rsidR="0049456B">
        <w:t>,</w:t>
      </w:r>
      <w:r w:rsidRPr="000402A4">
        <w:t xml:space="preserve"> date and time to be determined. </w:t>
      </w:r>
      <w:r>
        <w:t>Briefs, if any, will be due November 16, 2021.</w:t>
      </w:r>
    </w:p>
    <w:p w:rsidR="007506C2" w:rsidRPr="00745CCF" w:rsidRDefault="007506C2" w:rsidP="007506C2">
      <w:pPr>
        <w:jc w:val="both"/>
        <w:rPr>
          <w:highlight w:val="yellow"/>
        </w:rPr>
      </w:pPr>
    </w:p>
    <w:p w:rsidR="007506C2" w:rsidRDefault="007506C2" w:rsidP="007506C2">
      <w:pPr>
        <w:jc w:val="both"/>
      </w:pPr>
      <w:r w:rsidRPr="00364118">
        <w:tab/>
        <w:t xml:space="preserve">The Commission has jurisdiction in this matter pursuant to Chapters 120, and 366, F.S., and is proceeding under its authority under Sections 366.04, </w:t>
      </w:r>
      <w:r>
        <w:t>366.05, 366.06,</w:t>
      </w:r>
      <w:r w:rsidRPr="00364118">
        <w:t xml:space="preserve"> </w:t>
      </w:r>
      <w:r>
        <w:t>and 120.57, F.S.</w:t>
      </w:r>
    </w:p>
    <w:p w:rsidR="00BA1D5C" w:rsidRDefault="00BA1D5C" w:rsidP="007506C2">
      <w:pPr>
        <w:jc w:val="both"/>
      </w:pPr>
    </w:p>
    <w:p w:rsidR="00BA1D5C" w:rsidRDefault="00BA1D5C" w:rsidP="007506C2">
      <w:pPr>
        <w:jc w:val="both"/>
      </w:pPr>
      <w:r>
        <w:tab/>
        <w:t>Based on the foregoing, it is</w:t>
      </w:r>
    </w:p>
    <w:p w:rsidR="00BA1D5C" w:rsidRDefault="00BA1D5C" w:rsidP="007506C2">
      <w:pPr>
        <w:jc w:val="both"/>
      </w:pPr>
    </w:p>
    <w:p w:rsidR="00BA1D5C" w:rsidRDefault="00BA1D5C" w:rsidP="007506C2">
      <w:pPr>
        <w:jc w:val="both"/>
      </w:pPr>
      <w:r>
        <w:tab/>
        <w:t>ORDERED by Commissioner Andrew Giles Fay, as Prehearing Officer, that this Order shall govern the conduct of these proceedings unless modified by the Commission.</w:t>
      </w:r>
    </w:p>
    <w:p w:rsidR="007506C2" w:rsidRDefault="007506C2" w:rsidP="007506C2">
      <w:pPr>
        <w:pStyle w:val="OrderBody"/>
        <w:keepNext/>
        <w:keepLines/>
      </w:pPr>
    </w:p>
    <w:p w:rsidR="00BA1D5C" w:rsidRDefault="007506C2" w:rsidP="007506C2">
      <w:pPr>
        <w:pStyle w:val="OrderBody"/>
        <w:keepNext/>
        <w:keepLines/>
      </w:pPr>
      <w:r>
        <w:tab/>
      </w:r>
    </w:p>
    <w:p w:rsidR="00BA1D5C" w:rsidRDefault="00BA1D5C">
      <w:r>
        <w:br w:type="page"/>
      </w:r>
    </w:p>
    <w:p w:rsidR="00D45C0B" w:rsidRDefault="007506C2" w:rsidP="00D45C0B">
      <w:pPr>
        <w:pStyle w:val="OrderBody"/>
        <w:keepNext/>
        <w:keepLines/>
        <w:ind w:firstLine="720"/>
      </w:pPr>
      <w:r>
        <w:lastRenderedPageBreak/>
        <w:t xml:space="preserve">By ORDER of Commissioner Andrew Giles Fay, as Prehearing Officer, this </w:t>
      </w:r>
      <w:bookmarkStart w:id="5" w:name="replaceDate"/>
      <w:bookmarkEnd w:id="5"/>
      <w:r w:rsidR="00D45C0B">
        <w:rPr>
          <w:u w:val="single"/>
        </w:rPr>
        <w:t>23rd</w:t>
      </w:r>
      <w:r w:rsidR="00D45C0B">
        <w:t xml:space="preserve"> day of </w:t>
      </w:r>
      <w:r w:rsidR="00D45C0B">
        <w:rPr>
          <w:u w:val="single"/>
        </w:rPr>
        <w:t>September</w:t>
      </w:r>
      <w:r w:rsidR="00D45C0B">
        <w:t xml:space="preserve">, </w:t>
      </w:r>
      <w:r w:rsidR="00D45C0B">
        <w:rPr>
          <w:u w:val="single"/>
        </w:rPr>
        <w:t>2021</w:t>
      </w:r>
      <w:r w:rsidR="00D45C0B">
        <w:t>.</w:t>
      </w:r>
    </w:p>
    <w:p w:rsidR="00D45C0B" w:rsidRPr="00D45C0B" w:rsidRDefault="00D45C0B" w:rsidP="00D45C0B">
      <w:pPr>
        <w:pStyle w:val="OrderBody"/>
        <w:keepNext/>
        <w:keepLines/>
        <w:ind w:firstLine="720"/>
      </w:pPr>
    </w:p>
    <w:p w:rsidR="007506C2" w:rsidRDefault="007506C2" w:rsidP="007506C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506C2" w:rsidTr="007506C2">
        <w:tc>
          <w:tcPr>
            <w:tcW w:w="720" w:type="dxa"/>
            <w:shd w:val="clear" w:color="auto" w:fill="auto"/>
          </w:tcPr>
          <w:p w:rsidR="007506C2" w:rsidRDefault="007506C2" w:rsidP="007506C2">
            <w:pPr>
              <w:pStyle w:val="OrderBody"/>
              <w:keepNext/>
              <w:keepLines/>
            </w:pPr>
            <w:bookmarkStart w:id="6" w:name="bkmrkSignature" w:colFirst="0" w:colLast="0"/>
          </w:p>
        </w:tc>
        <w:tc>
          <w:tcPr>
            <w:tcW w:w="4320" w:type="dxa"/>
            <w:tcBorders>
              <w:bottom w:val="single" w:sz="4" w:space="0" w:color="auto"/>
            </w:tcBorders>
            <w:shd w:val="clear" w:color="auto" w:fill="auto"/>
          </w:tcPr>
          <w:p w:rsidR="007506C2" w:rsidRDefault="00253DAE" w:rsidP="007506C2">
            <w:pPr>
              <w:pStyle w:val="OrderBody"/>
              <w:keepNext/>
              <w:keepLines/>
            </w:pPr>
            <w:r>
              <w:t>/s/ Andrew Giles Fay</w:t>
            </w:r>
            <w:bookmarkStart w:id="7" w:name="_GoBack"/>
            <w:bookmarkEnd w:id="7"/>
          </w:p>
        </w:tc>
      </w:tr>
      <w:bookmarkEnd w:id="6"/>
      <w:tr w:rsidR="007506C2" w:rsidTr="007506C2">
        <w:tc>
          <w:tcPr>
            <w:tcW w:w="720" w:type="dxa"/>
            <w:shd w:val="clear" w:color="auto" w:fill="auto"/>
          </w:tcPr>
          <w:p w:rsidR="007506C2" w:rsidRDefault="007506C2" w:rsidP="007506C2">
            <w:pPr>
              <w:pStyle w:val="OrderBody"/>
              <w:keepNext/>
              <w:keepLines/>
            </w:pPr>
          </w:p>
        </w:tc>
        <w:tc>
          <w:tcPr>
            <w:tcW w:w="4320" w:type="dxa"/>
            <w:tcBorders>
              <w:top w:val="single" w:sz="4" w:space="0" w:color="auto"/>
            </w:tcBorders>
            <w:shd w:val="clear" w:color="auto" w:fill="auto"/>
          </w:tcPr>
          <w:p w:rsidR="007506C2" w:rsidRDefault="007506C2" w:rsidP="007506C2">
            <w:pPr>
              <w:pStyle w:val="OrderBody"/>
              <w:keepNext/>
              <w:keepLines/>
            </w:pPr>
            <w:r>
              <w:t>ANDREW GILES FAY</w:t>
            </w:r>
          </w:p>
          <w:p w:rsidR="007506C2" w:rsidRDefault="007506C2" w:rsidP="007506C2">
            <w:pPr>
              <w:pStyle w:val="OrderBody"/>
              <w:keepNext/>
              <w:keepLines/>
            </w:pPr>
            <w:r>
              <w:t>Commissioner and Prehearing Officer</w:t>
            </w:r>
          </w:p>
        </w:tc>
      </w:tr>
    </w:tbl>
    <w:p w:rsidR="007506C2" w:rsidRDefault="007506C2" w:rsidP="007506C2">
      <w:pPr>
        <w:pStyle w:val="OrderSigInfo"/>
      </w:pPr>
      <w:r>
        <w:t>Florida Public Service Commission</w:t>
      </w:r>
    </w:p>
    <w:p w:rsidR="007506C2" w:rsidRDefault="007506C2" w:rsidP="007506C2">
      <w:pPr>
        <w:pStyle w:val="OrderSigInfo"/>
      </w:pPr>
      <w:r>
        <w:t>2540 Shumard Oak Boulevard</w:t>
      </w:r>
    </w:p>
    <w:p w:rsidR="007506C2" w:rsidRDefault="007506C2" w:rsidP="007506C2">
      <w:pPr>
        <w:pStyle w:val="OrderSigInfo"/>
      </w:pPr>
      <w:r>
        <w:t>Tallahassee, Florida 32399</w:t>
      </w:r>
    </w:p>
    <w:p w:rsidR="007506C2" w:rsidRDefault="007506C2" w:rsidP="007506C2">
      <w:pPr>
        <w:pStyle w:val="OrderSigInfo"/>
      </w:pPr>
      <w:r>
        <w:t>(850) 413</w:t>
      </w:r>
      <w:r>
        <w:noBreakHyphen/>
        <w:t>6770</w:t>
      </w:r>
    </w:p>
    <w:p w:rsidR="007506C2" w:rsidRDefault="007506C2" w:rsidP="007506C2">
      <w:pPr>
        <w:pStyle w:val="OrderSigInfo"/>
      </w:pPr>
      <w:r>
        <w:t>www.floridapsc.com</w:t>
      </w:r>
    </w:p>
    <w:p w:rsidR="007506C2" w:rsidRDefault="007506C2" w:rsidP="007506C2">
      <w:pPr>
        <w:pStyle w:val="OrderSigInfo"/>
      </w:pPr>
    </w:p>
    <w:p w:rsidR="007506C2" w:rsidRDefault="007506C2" w:rsidP="00D45C0B">
      <w:pPr>
        <w:pStyle w:val="OrderSigInfo"/>
      </w:pPr>
      <w:r>
        <w:t>Copies furnished:  A copy of this document is provided to the parties of record at the time of issuance and, if applicable, interested persons.</w:t>
      </w:r>
    </w:p>
    <w:p w:rsidR="007506C2" w:rsidRDefault="006D41D1" w:rsidP="007506C2">
      <w:pPr>
        <w:pStyle w:val="OrderBody"/>
        <w:keepNext/>
        <w:keepLines/>
      </w:pPr>
      <w:r>
        <w:t>J</w:t>
      </w:r>
      <w:r w:rsidR="00013BE3">
        <w:t>S</w:t>
      </w:r>
      <w:r>
        <w:t>C</w:t>
      </w:r>
    </w:p>
    <w:p w:rsidR="007506C2" w:rsidRDefault="007506C2" w:rsidP="007506C2">
      <w:pPr>
        <w:pStyle w:val="OrderBody"/>
        <w:keepNext/>
        <w:keepLines/>
      </w:pPr>
    </w:p>
    <w:p w:rsidR="007506C2" w:rsidRDefault="007506C2" w:rsidP="007506C2">
      <w:pPr>
        <w:pStyle w:val="OrderBody"/>
        <w:keepNext/>
        <w:keepLines/>
      </w:pPr>
    </w:p>
    <w:p w:rsidR="00B24638" w:rsidRDefault="00B24638">
      <w:pPr>
        <w:rPr>
          <w:u w:val="single"/>
        </w:rPr>
      </w:pPr>
    </w:p>
    <w:p w:rsidR="006D41D1" w:rsidRDefault="006D41D1" w:rsidP="006D41D1">
      <w:pPr>
        <w:pStyle w:val="CenterUnderline"/>
      </w:pPr>
      <w:r>
        <w:t>NOTICE OF FURTHER PROCEEDINGS OR JUDICIAL REVIEW</w:t>
      </w:r>
    </w:p>
    <w:p w:rsidR="007506C2" w:rsidRDefault="007506C2" w:rsidP="006D41D1">
      <w:pPr>
        <w:pStyle w:val="CenterUnderline"/>
        <w:rPr>
          <w:u w:val="none"/>
        </w:rPr>
      </w:pPr>
    </w:p>
    <w:p w:rsidR="006D41D1" w:rsidRDefault="006D41D1" w:rsidP="006D41D1">
      <w:pPr>
        <w:pStyle w:val="OrderBody"/>
      </w:pPr>
      <w:r>
        <w:tab/>
        <w:t>The Florida Public Service Commission is required by S</w:t>
      </w:r>
      <w:r w:rsidR="00C8111B">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D41D1" w:rsidRDefault="006D41D1" w:rsidP="006D41D1">
      <w:pPr>
        <w:pStyle w:val="OrderBody"/>
      </w:pPr>
    </w:p>
    <w:p w:rsidR="006D41D1" w:rsidRDefault="006D41D1" w:rsidP="006D41D1">
      <w:pPr>
        <w:pStyle w:val="OrderBody"/>
      </w:pPr>
      <w:r>
        <w:tab/>
        <w:t>Mediation may be available on a case-by-case basis.  If mediation is conducted, it does not affect a substantially interested person's right to a hearing.</w:t>
      </w:r>
    </w:p>
    <w:p w:rsidR="006D41D1" w:rsidRDefault="006D41D1" w:rsidP="006D41D1">
      <w:pPr>
        <w:pStyle w:val="OrderBody"/>
      </w:pPr>
    </w:p>
    <w:p w:rsidR="005F2751" w:rsidRDefault="006D41D1" w:rsidP="00BA1D5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DFE" w:rsidRDefault="00925DFE">
      <w:r>
        <w:separator/>
      </w:r>
    </w:p>
  </w:endnote>
  <w:endnote w:type="continuationSeparator" w:id="0">
    <w:p w:rsidR="00925DFE" w:rsidRDefault="0092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DFE" w:rsidRDefault="00925DFE">
      <w:r>
        <w:separator/>
      </w:r>
    </w:p>
  </w:footnote>
  <w:footnote w:type="continuationSeparator" w:id="0">
    <w:p w:rsidR="00925DFE" w:rsidRDefault="00925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53DAE">
      <w:fldChar w:fldCharType="begin"/>
    </w:r>
    <w:r w:rsidR="00253DAE">
      <w:instrText xml:space="preserve"> REF OrderNo0371 </w:instrText>
    </w:r>
    <w:r w:rsidR="00253DAE">
      <w:fldChar w:fldCharType="separate"/>
    </w:r>
    <w:r w:rsidR="00253DAE">
      <w:t>PSC-2021-0371-PCO-EI</w:t>
    </w:r>
    <w:r w:rsidR="00253DAE">
      <w:fldChar w:fldCharType="end"/>
    </w:r>
  </w:p>
  <w:p w:rsidR="00FA6EFD" w:rsidRDefault="007506C2">
    <w:pPr>
      <w:pStyle w:val="OrderHeader"/>
    </w:pPr>
    <w:bookmarkStart w:id="8" w:name="HeaderDocketNo"/>
    <w:bookmarkEnd w:id="8"/>
    <w:r>
      <w:t>DOCKET NO. 20210158-EI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53DAE">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6836"/>
    <w:multiLevelType w:val="hybridMultilevel"/>
    <w:tmpl w:val="A93A97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58-EI"/>
  </w:docVars>
  <w:rsids>
    <w:rsidRoot w:val="007506C2"/>
    <w:rsid w:val="000022B8"/>
    <w:rsid w:val="00002FD1"/>
    <w:rsid w:val="00003883"/>
    <w:rsid w:val="00011251"/>
    <w:rsid w:val="00013BE3"/>
    <w:rsid w:val="00013FC8"/>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1E6E"/>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27A7"/>
    <w:rsid w:val="001F36B0"/>
    <w:rsid w:val="001F4CA3"/>
    <w:rsid w:val="001F59E0"/>
    <w:rsid w:val="002002ED"/>
    <w:rsid w:val="002044DD"/>
    <w:rsid w:val="002170E5"/>
    <w:rsid w:val="00220D57"/>
    <w:rsid w:val="0022721A"/>
    <w:rsid w:val="00230BB9"/>
    <w:rsid w:val="00241CEF"/>
    <w:rsid w:val="0025124E"/>
    <w:rsid w:val="00252B30"/>
    <w:rsid w:val="00253DAE"/>
    <w:rsid w:val="002613E4"/>
    <w:rsid w:val="00262C43"/>
    <w:rsid w:val="0026544B"/>
    <w:rsid w:val="00270F89"/>
    <w:rsid w:val="00276CDC"/>
    <w:rsid w:val="00277655"/>
    <w:rsid w:val="002824B7"/>
    <w:rsid w:val="00282AC4"/>
    <w:rsid w:val="00293DC9"/>
    <w:rsid w:val="00297C37"/>
    <w:rsid w:val="002A11AC"/>
    <w:rsid w:val="002A6F30"/>
    <w:rsid w:val="002B3111"/>
    <w:rsid w:val="002B41CF"/>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84B88"/>
    <w:rsid w:val="0049456B"/>
    <w:rsid w:val="004A25CD"/>
    <w:rsid w:val="004A26CC"/>
    <w:rsid w:val="004B2108"/>
    <w:rsid w:val="004B3A2B"/>
    <w:rsid w:val="004B70D3"/>
    <w:rsid w:val="004C312D"/>
    <w:rsid w:val="004D2D1B"/>
    <w:rsid w:val="004D5067"/>
    <w:rsid w:val="004D6838"/>
    <w:rsid w:val="004D72BC"/>
    <w:rsid w:val="004E469D"/>
    <w:rsid w:val="004E53B3"/>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037B"/>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1EBD"/>
    <w:rsid w:val="00693483"/>
    <w:rsid w:val="006A0BF3"/>
    <w:rsid w:val="006B0036"/>
    <w:rsid w:val="006B0DA6"/>
    <w:rsid w:val="006C547E"/>
    <w:rsid w:val="006D2B51"/>
    <w:rsid w:val="006D41D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06C2"/>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2A0C"/>
    <w:rsid w:val="007E3AFD"/>
    <w:rsid w:val="007E68D0"/>
    <w:rsid w:val="00801DAD"/>
    <w:rsid w:val="00803189"/>
    <w:rsid w:val="00804E7A"/>
    <w:rsid w:val="00805FBB"/>
    <w:rsid w:val="00814292"/>
    <w:rsid w:val="008169A4"/>
    <w:rsid w:val="00825324"/>
    <w:rsid w:val="008278FE"/>
    <w:rsid w:val="00832598"/>
    <w:rsid w:val="0083397E"/>
    <w:rsid w:val="0083534B"/>
    <w:rsid w:val="00842035"/>
    <w:rsid w:val="00842602"/>
    <w:rsid w:val="008449F0"/>
    <w:rsid w:val="00847B45"/>
    <w:rsid w:val="00863A66"/>
    <w:rsid w:val="008703D7"/>
    <w:rsid w:val="00874429"/>
    <w:rsid w:val="00875D22"/>
    <w:rsid w:val="008815BF"/>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549"/>
    <w:rsid w:val="00906FBA"/>
    <w:rsid w:val="009163E8"/>
    <w:rsid w:val="00921BD3"/>
    <w:rsid w:val="009228C7"/>
    <w:rsid w:val="00922A7F"/>
    <w:rsid w:val="00923A5E"/>
    <w:rsid w:val="00924FE7"/>
    <w:rsid w:val="00925DFE"/>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1910"/>
    <w:rsid w:val="009E58E9"/>
    <w:rsid w:val="009F39E2"/>
    <w:rsid w:val="009F6AD2"/>
    <w:rsid w:val="009F7C1B"/>
    <w:rsid w:val="00A00D8D"/>
    <w:rsid w:val="00A01BB6"/>
    <w:rsid w:val="00A22B28"/>
    <w:rsid w:val="00A4303C"/>
    <w:rsid w:val="00A46CAF"/>
    <w:rsid w:val="00A470FD"/>
    <w:rsid w:val="00A50B5E"/>
    <w:rsid w:val="00A53A18"/>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D2B73"/>
    <w:rsid w:val="00B019C1"/>
    <w:rsid w:val="00B02001"/>
    <w:rsid w:val="00B03C50"/>
    <w:rsid w:val="00B0777D"/>
    <w:rsid w:val="00B11576"/>
    <w:rsid w:val="00B1195F"/>
    <w:rsid w:val="00B14D10"/>
    <w:rsid w:val="00B209C7"/>
    <w:rsid w:val="00B24638"/>
    <w:rsid w:val="00B358F0"/>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1D5C"/>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111B"/>
    <w:rsid w:val="00C830BC"/>
    <w:rsid w:val="00C8524D"/>
    <w:rsid w:val="00C90904"/>
    <w:rsid w:val="00C91123"/>
    <w:rsid w:val="00CA71FF"/>
    <w:rsid w:val="00CB124A"/>
    <w:rsid w:val="00CB5276"/>
    <w:rsid w:val="00CB5BFC"/>
    <w:rsid w:val="00CB68D7"/>
    <w:rsid w:val="00CB785B"/>
    <w:rsid w:val="00CC7E68"/>
    <w:rsid w:val="00CD3D74"/>
    <w:rsid w:val="00CD7132"/>
    <w:rsid w:val="00CE0E6F"/>
    <w:rsid w:val="00CE3B21"/>
    <w:rsid w:val="00CE56FC"/>
    <w:rsid w:val="00CE7A4D"/>
    <w:rsid w:val="00CF14D7"/>
    <w:rsid w:val="00CF32D2"/>
    <w:rsid w:val="00CF4CFE"/>
    <w:rsid w:val="00CF533C"/>
    <w:rsid w:val="00D00E8E"/>
    <w:rsid w:val="00D02E0F"/>
    <w:rsid w:val="00D03EE8"/>
    <w:rsid w:val="00D13535"/>
    <w:rsid w:val="00D15497"/>
    <w:rsid w:val="00D17B79"/>
    <w:rsid w:val="00D205F5"/>
    <w:rsid w:val="00D23FEA"/>
    <w:rsid w:val="00D269CA"/>
    <w:rsid w:val="00D30B48"/>
    <w:rsid w:val="00D3168A"/>
    <w:rsid w:val="00D45C0B"/>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DF4393"/>
    <w:rsid w:val="00E001D6"/>
    <w:rsid w:val="00E03A76"/>
    <w:rsid w:val="00E04410"/>
    <w:rsid w:val="00E07484"/>
    <w:rsid w:val="00E11351"/>
    <w:rsid w:val="00E4225C"/>
    <w:rsid w:val="00E44879"/>
    <w:rsid w:val="00E72914"/>
    <w:rsid w:val="00E75AE0"/>
    <w:rsid w:val="00E83C1F"/>
    <w:rsid w:val="00E85684"/>
    <w:rsid w:val="00E8794B"/>
    <w:rsid w:val="00E97656"/>
    <w:rsid w:val="00E97C23"/>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915"/>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7506C2"/>
    <w:pPr>
      <w:ind w:left="720"/>
      <w:contextualSpacing/>
    </w:pPr>
  </w:style>
  <w:style w:type="paragraph" w:customStyle="1" w:styleId="Level2">
    <w:name w:val="Level 2"/>
    <w:rsid w:val="007506C2"/>
    <w:pPr>
      <w:autoSpaceDE w:val="0"/>
      <w:autoSpaceDN w:val="0"/>
      <w:adjustRightInd w:val="0"/>
      <w:ind w:left="1440"/>
    </w:pPr>
    <w:rPr>
      <w:sz w:val="24"/>
      <w:szCs w:val="24"/>
    </w:rPr>
  </w:style>
  <w:style w:type="paragraph" w:styleId="BalloonText">
    <w:name w:val="Balloon Text"/>
    <w:basedOn w:val="Normal"/>
    <w:link w:val="BalloonTextChar"/>
    <w:semiHidden/>
    <w:unhideWhenUsed/>
    <w:rsid w:val="00002FD1"/>
    <w:rPr>
      <w:rFonts w:ascii="Segoe UI" w:hAnsi="Segoe UI" w:cs="Segoe UI"/>
      <w:sz w:val="18"/>
      <w:szCs w:val="18"/>
    </w:rPr>
  </w:style>
  <w:style w:type="character" w:customStyle="1" w:styleId="BalloonTextChar">
    <w:name w:val="Balloon Text Char"/>
    <w:basedOn w:val="DefaultParagraphFont"/>
    <w:link w:val="BalloonText"/>
    <w:semiHidden/>
    <w:rsid w:val="00002FD1"/>
    <w:rPr>
      <w:rFonts w:ascii="Segoe UI" w:hAnsi="Segoe UI" w:cs="Segoe UI"/>
      <w:sz w:val="18"/>
      <w:szCs w:val="18"/>
    </w:rPr>
  </w:style>
  <w:style w:type="character" w:styleId="CommentReference">
    <w:name w:val="annotation reference"/>
    <w:basedOn w:val="DefaultParagraphFont"/>
    <w:semiHidden/>
    <w:unhideWhenUsed/>
    <w:rsid w:val="009F39E2"/>
    <w:rPr>
      <w:sz w:val="16"/>
      <w:szCs w:val="16"/>
    </w:rPr>
  </w:style>
  <w:style w:type="paragraph" w:styleId="CommentText">
    <w:name w:val="annotation text"/>
    <w:basedOn w:val="Normal"/>
    <w:link w:val="CommentTextChar"/>
    <w:semiHidden/>
    <w:unhideWhenUsed/>
    <w:rsid w:val="009F39E2"/>
    <w:rPr>
      <w:sz w:val="20"/>
      <w:szCs w:val="20"/>
    </w:rPr>
  </w:style>
  <w:style w:type="character" w:customStyle="1" w:styleId="CommentTextChar">
    <w:name w:val="Comment Text Char"/>
    <w:basedOn w:val="DefaultParagraphFont"/>
    <w:link w:val="CommentText"/>
    <w:semiHidden/>
    <w:rsid w:val="009F39E2"/>
  </w:style>
  <w:style w:type="paragraph" w:styleId="CommentSubject">
    <w:name w:val="annotation subject"/>
    <w:basedOn w:val="CommentText"/>
    <w:next w:val="CommentText"/>
    <w:link w:val="CommentSubjectChar"/>
    <w:semiHidden/>
    <w:unhideWhenUsed/>
    <w:rsid w:val="009F39E2"/>
    <w:rPr>
      <w:b/>
      <w:bCs/>
    </w:rPr>
  </w:style>
  <w:style w:type="character" w:customStyle="1" w:styleId="CommentSubjectChar">
    <w:name w:val="Comment Subject Char"/>
    <w:basedOn w:val="CommentTextChar"/>
    <w:link w:val="CommentSubject"/>
    <w:semiHidden/>
    <w:rsid w:val="009F3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5</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2021-09-23T20:16:00Z</dcterms:created>
  <dcterms:modified xsi:type="dcterms:W3CDTF">2021-09-23T20:55:00Z</dcterms:modified>
</cp:coreProperties>
</file>