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81486">
            <w:pPr>
              <w:pStyle w:val="MemoHeading"/>
            </w:pPr>
            <w:bookmarkStart w:id="1" w:name="FilingDate"/>
            <w:r>
              <w:t>October 21,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81486" w:rsidRDefault="00A81486">
            <w:pPr>
              <w:pStyle w:val="MemoHeading"/>
            </w:pPr>
            <w:bookmarkStart w:id="2" w:name="From"/>
            <w:r>
              <w:t>Division of Economics (Guffey, Coston)</w:t>
            </w:r>
          </w:p>
          <w:p w:rsidR="007C0528" w:rsidRDefault="00A81486">
            <w:pPr>
              <w:pStyle w:val="MemoHeading"/>
            </w:pPr>
            <w:r>
              <w:t>Office of the General Counsel (Sandy,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81486">
            <w:pPr>
              <w:pStyle w:val="MemoHeadingRe"/>
            </w:pPr>
            <w:bookmarkStart w:id="3" w:name="Re"/>
            <w:r>
              <w:t>Docket No. 20210147-GU – Joint petition for approval of swing service rider rates for January through December 2022, by Florida Public Utilities Company, Florida Public Utilities Company-Indiantown Division,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81486">
            <w:pPr>
              <w:pStyle w:val="MemoHeading"/>
            </w:pPr>
            <w:bookmarkStart w:id="4" w:name="AgendaDate"/>
            <w:r>
              <w:t>11/02/21</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8148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8148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51941" w:rsidP="00D51941">
            <w:pPr>
              <w:pStyle w:val="MemoHeading"/>
            </w:pPr>
            <w:bookmarkStart w:id="9" w:name="CriticalDates"/>
            <w:r>
              <w:t xml:space="preserve">8-Month Effective Date: </w:t>
            </w:r>
            <w:r w:rsidR="00A81486">
              <w:t>4/30/22</w:t>
            </w:r>
            <w:bookmarkEnd w:id="9"/>
            <w:r w:rsidR="00A81486">
              <w:t xml:space="preserve"> </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8148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F83C05">
      <w:pPr>
        <w:pStyle w:val="BodyText"/>
      </w:pPr>
      <w:r>
        <w:t>On August 31, 2021, Florida Public Utilities Company, Florida Public Utilities Company-Indiantown Division, Florida Public Utilities Company-Fort Meade, and Florida Division of Chesapeake Utilities Corporation</w:t>
      </w:r>
      <w:r w:rsidR="00122A52">
        <w:t xml:space="preserve"> d/b/a Central Florida Gas</w:t>
      </w:r>
      <w:r>
        <w:t xml:space="preserve"> (jointly, Companies) filed a petition for approval of revised Swing Service Rider Rates and associated tariffs for the period January through December 2022. FPUC is a local </w:t>
      </w:r>
      <w:r w:rsidR="00E50DC4">
        <w:t xml:space="preserve">natural gas </w:t>
      </w:r>
      <w:r>
        <w:t>distribution company (LDC) subject to the regulatory jurisdiction of the Commission pursuant to Chapter 366, Florida Statutes (F.S.). FPUC is a wholly-owned subsidiary of Chesapeake Utilities Corporation, which is headquartered in Dover, Delaware. Chesapeake is also an LDC subject to the Commission’s jurisdiction under Chapter 366, F.S., and is an operating division of Chesapeake Utilities Corporation.</w:t>
      </w:r>
    </w:p>
    <w:p w:rsidR="00F83C05" w:rsidRDefault="00F83C05" w:rsidP="00F83C05">
      <w:pPr>
        <w:pStyle w:val="BodyText"/>
      </w:pPr>
      <w:r>
        <w:lastRenderedPageBreak/>
        <w:t xml:space="preserve">The Commission first approved the </w:t>
      </w:r>
      <w:r w:rsidR="00122A52">
        <w:t>C</w:t>
      </w:r>
      <w:r>
        <w:t>ompanies’ swing service rider tariff in Order No. PSC-16-0422-TRF-GU (swing service order) and the initial swing service rider rates were in effect for the period March through December 2017.</w:t>
      </w:r>
      <w:r>
        <w:rPr>
          <w:rStyle w:val="FootnoteReference"/>
        </w:rPr>
        <w:footnoteReference w:id="1"/>
      </w:r>
      <w:r>
        <w:t xml:space="preserve"> As required in the swing service order, the </w:t>
      </w:r>
      <w:r w:rsidR="00122A52">
        <w:t>C</w:t>
      </w:r>
      <w:r>
        <w:t>ompanies submitted the instant petition with revised 202</w:t>
      </w:r>
      <w:r w:rsidR="006458A4">
        <w:t>2</w:t>
      </w:r>
      <w:r>
        <w:t xml:space="preserve"> swing service rider rates for Commission approval by September 1, 202</w:t>
      </w:r>
      <w:r w:rsidR="006458A4">
        <w:t>1</w:t>
      </w:r>
      <w:r>
        <w:t>. The January through December 202</w:t>
      </w:r>
      <w:r w:rsidR="006458A4">
        <w:t>1</w:t>
      </w:r>
      <w:r>
        <w:t xml:space="preserve"> swing service rider rates were approved in Order No. PSC-20</w:t>
      </w:r>
      <w:r w:rsidR="006458A4">
        <w:t>20</w:t>
      </w:r>
      <w:r>
        <w:t>-04</w:t>
      </w:r>
      <w:r w:rsidR="006458A4">
        <w:t>52</w:t>
      </w:r>
      <w:r>
        <w:t>-TRF-GU.</w:t>
      </w:r>
      <w:r>
        <w:rPr>
          <w:rStyle w:val="FootnoteReference"/>
        </w:rPr>
        <w:footnoteReference w:id="2"/>
      </w:r>
      <w:r>
        <w:t xml:space="preserve"> The swing service rider is a cents per therm charge that is included in the monthly gas bill of transportation customers. This is staff’s recommendation on the 202</w:t>
      </w:r>
      <w:r w:rsidR="006458A4">
        <w:t>2</w:t>
      </w:r>
      <w:r>
        <w:t xml:space="preserve"> swing service rider rates. </w:t>
      </w:r>
    </w:p>
    <w:p w:rsidR="00F83C05" w:rsidRDefault="00F26E71" w:rsidP="00F83C05">
      <w:pPr>
        <w:pStyle w:val="BodyText"/>
      </w:pPr>
      <w:r>
        <w:t xml:space="preserve">At the October 10, 2021 </w:t>
      </w:r>
      <w:r w:rsidR="00D6149D">
        <w:t>A</w:t>
      </w:r>
      <w:r>
        <w:t xml:space="preserve">genda </w:t>
      </w:r>
      <w:r w:rsidR="00D6149D">
        <w:t>C</w:t>
      </w:r>
      <w:r>
        <w:t xml:space="preserve">onference, the Commission </w:t>
      </w:r>
      <w:r w:rsidR="00D51941">
        <w:t>suspended</w:t>
      </w:r>
      <w:r w:rsidR="00F83C05">
        <w:t xml:space="preserve"> the 60-day file and suspend provision of Section</w:t>
      </w:r>
      <w:r w:rsidR="00F83C05" w:rsidRPr="002E6AAF">
        <w:t xml:space="preserve"> 366.</w:t>
      </w:r>
      <w:r w:rsidR="00F83C05">
        <w:t>06(3), F</w:t>
      </w:r>
      <w:r>
        <w:t xml:space="preserve">.S. </w:t>
      </w:r>
      <w:r w:rsidR="00F83C05">
        <w:t xml:space="preserve">During its evaluation of the petition, staff issued </w:t>
      </w:r>
      <w:r w:rsidR="00EE67CC">
        <w:t>two</w:t>
      </w:r>
      <w:r w:rsidR="00F83C05">
        <w:t xml:space="preserve"> data request</w:t>
      </w:r>
      <w:r w:rsidR="00EE67CC">
        <w:t>s</w:t>
      </w:r>
      <w:r w:rsidR="00F83C05">
        <w:t xml:space="preserve"> to the </w:t>
      </w:r>
      <w:r w:rsidR="00E50DC4">
        <w:t>C</w:t>
      </w:r>
      <w:r w:rsidR="00F83C05">
        <w:t xml:space="preserve">ompanies for which responses were received on September </w:t>
      </w:r>
      <w:r>
        <w:t>23</w:t>
      </w:r>
      <w:r w:rsidR="00F83C05">
        <w:t>, 202</w:t>
      </w:r>
      <w:r>
        <w:t>1</w:t>
      </w:r>
      <w:r w:rsidR="00EE67CC">
        <w:t xml:space="preserve"> and on October 11, 2021</w:t>
      </w:r>
      <w:r>
        <w:t xml:space="preserve">. </w:t>
      </w:r>
      <w:r w:rsidR="00F83C05">
        <w:t xml:space="preserve">The updated swing service rider rates and </w:t>
      </w:r>
      <w:r w:rsidR="00987866">
        <w:t xml:space="preserve">associated </w:t>
      </w:r>
      <w:r w:rsidR="00F83C05">
        <w:t>revised tariff sheets are shown in Attachment A to the recommendation. The Commission has jurisdiction over this matter pursuant to Sections 366.04, 366.05, and 366.06,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8" w:name="DiscussionOfIssues"/>
      <w:r>
        <w:lastRenderedPageBreak/>
        <w:t>Discussion of Issues</w:t>
      </w:r>
    </w:p>
    <w:bookmarkEnd w:id="18"/>
    <w:p w:rsidR="00F26E71" w:rsidRDefault="00F26E71">
      <w:pPr>
        <w:pStyle w:val="IssueHeading"/>
        <w:rPr>
          <w:vanish/>
          <w:specVanish/>
        </w:rPr>
      </w:pPr>
      <w:r w:rsidRPr="004C3641">
        <w:t xml:space="preserve">Issue </w:t>
      </w:r>
      <w:r w:rsidR="00E34F5A">
        <w:fldChar w:fldCharType="begin"/>
      </w:r>
      <w:r w:rsidR="00E34F5A">
        <w:instrText xml:space="preserve"> SEQ Issue \* MERGEFORMAT </w:instrText>
      </w:r>
      <w:r w:rsidR="00E34F5A">
        <w:fldChar w:fldCharType="separate"/>
      </w:r>
      <w:r w:rsidR="0000562C">
        <w:rPr>
          <w:noProof/>
        </w:rPr>
        <w:t>1</w:t>
      </w:r>
      <w:r w:rsidR="00E34F5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0562C">
        <w:rPr>
          <w:noProof/>
        </w:rPr>
        <w:instrText>1</w:instrText>
      </w:r>
      <w:r>
        <w:fldChar w:fldCharType="end"/>
      </w:r>
      <w:r>
        <w:tab/>
        <w:instrText xml:space="preserve">(Guffey)" \l 1 </w:instrText>
      </w:r>
      <w:r>
        <w:fldChar w:fldCharType="end"/>
      </w:r>
      <w:r>
        <w:t> </w:t>
      </w:r>
    </w:p>
    <w:p w:rsidR="00F26E71" w:rsidRDefault="00F26E71">
      <w:pPr>
        <w:pStyle w:val="BodyText"/>
      </w:pPr>
      <w:r>
        <w:t xml:space="preserve"> Should the Commission approve the </w:t>
      </w:r>
      <w:r w:rsidR="00122A52">
        <w:t>C</w:t>
      </w:r>
      <w:r>
        <w:t>ompanies' proposed swing service rider rates and tariffs for the period January through December 2022?</w:t>
      </w:r>
    </w:p>
    <w:p w:rsidR="00F26E71" w:rsidRPr="004C3641" w:rsidRDefault="00F26E71">
      <w:pPr>
        <w:pStyle w:val="IssueSubsectionHeading"/>
        <w:rPr>
          <w:vanish/>
          <w:specVanish/>
        </w:rPr>
      </w:pPr>
      <w:r w:rsidRPr="004C3641">
        <w:t>Recommendation: </w:t>
      </w:r>
    </w:p>
    <w:p w:rsidR="00F26E71" w:rsidRDefault="00F26E71">
      <w:pPr>
        <w:pStyle w:val="BodyText"/>
      </w:pPr>
      <w:r>
        <w:t> </w:t>
      </w:r>
      <w:r w:rsidR="0057123E" w:rsidRPr="002D47FE">
        <w:t>No</w:t>
      </w:r>
      <w:r w:rsidRPr="002D47FE">
        <w:t>.</w:t>
      </w:r>
      <w:r w:rsidR="0057123E" w:rsidRPr="002D47FE">
        <w:t xml:space="preserve"> The Commission should deny the proposed swing service rider rates and tariffs for the period January through December 2022</w:t>
      </w:r>
      <w:r w:rsidR="00CB0D22">
        <w:t xml:space="preserve">, as filed. However, the Companies </w:t>
      </w:r>
      <w:r w:rsidR="00093777">
        <w:t xml:space="preserve">should </w:t>
      </w:r>
      <w:r w:rsidR="00CB0D22">
        <w:t xml:space="preserve">be given </w:t>
      </w:r>
      <w:r w:rsidR="00883F2C">
        <w:t>the option</w:t>
      </w:r>
      <w:r w:rsidR="00CB0D22">
        <w:t xml:space="preserve"> to file </w:t>
      </w:r>
      <w:r w:rsidR="00883F2C">
        <w:t>revised</w:t>
      </w:r>
      <w:r w:rsidR="00CB0D22">
        <w:t xml:space="preserve"> rates and tariffs </w:t>
      </w:r>
      <w:r w:rsidR="00883F2C">
        <w:t>within 10 days of the Commission’s vote</w:t>
      </w:r>
      <w:r w:rsidR="0057123E" w:rsidRPr="002D47FE">
        <w:t xml:space="preserve">, for </w:t>
      </w:r>
      <w:r w:rsidR="0085089C" w:rsidRPr="002D47FE">
        <w:t>administrative</w:t>
      </w:r>
      <w:r w:rsidR="0057123E" w:rsidRPr="002D47FE">
        <w:t xml:space="preserve"> approval by staff, that reflect the removal of $8,093 in legal fees from the calculation</w:t>
      </w:r>
      <w:r w:rsidR="00883F2C">
        <w:t>, for the period January through December 2022</w:t>
      </w:r>
      <w:r w:rsidR="0057123E" w:rsidRPr="002D47FE">
        <w:t>.</w:t>
      </w:r>
      <w:r w:rsidR="0057123E">
        <w:t xml:space="preserve"> </w:t>
      </w:r>
      <w:r>
        <w:t xml:space="preserve"> (Guffey</w:t>
      </w:r>
      <w:r w:rsidR="0057123E">
        <w:t>, Coston</w:t>
      </w:r>
      <w:r>
        <w:t>)</w:t>
      </w:r>
    </w:p>
    <w:p w:rsidR="00F26E71" w:rsidRPr="004C3641" w:rsidRDefault="00F26E71">
      <w:pPr>
        <w:pStyle w:val="IssueSubsectionHeading"/>
        <w:rPr>
          <w:vanish/>
          <w:specVanish/>
        </w:rPr>
      </w:pPr>
      <w:r w:rsidRPr="004C3641">
        <w:t>Staff Analysis: </w:t>
      </w:r>
    </w:p>
    <w:p w:rsidR="00F26E71" w:rsidRDefault="00F26E71">
      <w:pPr>
        <w:pStyle w:val="BodyText"/>
      </w:pPr>
      <w:r>
        <w:t xml:space="preserve"> The </w:t>
      </w:r>
      <w:r w:rsidR="00122A52">
        <w:t>C</w:t>
      </w:r>
      <w:r>
        <w:t xml:space="preserve">ompanies incur intrastate capacity costs when they transport natural gas on intrastate pipelines (i.e., pipelines operating within Florida only). The </w:t>
      </w:r>
      <w:r w:rsidR="00122A52">
        <w:t>C</w:t>
      </w:r>
      <w:r>
        <w:t xml:space="preserve">ompanies have two types of natural gas customers: sales and transportation. The swing service rider allows the </w:t>
      </w:r>
      <w:r w:rsidR="00122A52">
        <w:t>C</w:t>
      </w:r>
      <w:r>
        <w:t xml:space="preserve">ompanies to recover the intrastate </w:t>
      </w:r>
      <w:r w:rsidR="00122A52">
        <w:t xml:space="preserve">pipeline </w:t>
      </w:r>
      <w:r>
        <w:t>capacity costs directly from all transportation customers as intrastate pipeline projects benefit all customers.</w:t>
      </w:r>
    </w:p>
    <w:p w:rsidR="00E06484" w:rsidRDefault="00F26E71" w:rsidP="00F26E71">
      <w:pPr>
        <w:pStyle w:val="First-LevelSubheading"/>
      </w:pPr>
      <w:r>
        <w:t>Types of Natural Gas Customers</w:t>
      </w:r>
    </w:p>
    <w:p w:rsidR="00F26E71" w:rsidRDefault="00F26E71" w:rsidP="00F26E71">
      <w:pPr>
        <w:pStyle w:val="BodyText"/>
      </w:pPr>
      <w:r>
        <w:t>Sales customers are primarily residential and small commercial customers that purchase natural gas from an LDC and receive allocations of intrastate capacity costs through the Purchased Gas Adjustment (PGA)</w:t>
      </w:r>
      <w:r>
        <w:rPr>
          <w:rStyle w:val="FootnoteReference"/>
        </w:rPr>
        <w:footnoteReference w:id="3"/>
      </w:r>
      <w:r>
        <w:t xml:space="preserve"> charge. Of the joint petitioners in the instant docket, only Florida Public Utilities Company and Florida Public Utilities Company – Fort Meade have sales customers. </w:t>
      </w:r>
    </w:p>
    <w:p w:rsidR="00F26E71" w:rsidRDefault="00F26E71" w:rsidP="00F26E71">
      <w:pPr>
        <w:pStyle w:val="BodyText"/>
      </w:pPr>
      <w:r>
        <w:t>Transportation customers receive natural gas from third party marketers, also known as shippers</w:t>
      </w:r>
      <w:r>
        <w:rPr>
          <w:rStyle w:val="FootnoteReference"/>
        </w:rPr>
        <w:footnoteReference w:id="4"/>
      </w:r>
      <w:r>
        <w:t xml:space="preserve"> and, therefore, do not pay the PGA charge to the LDC. The </w:t>
      </w:r>
      <w:r w:rsidR="00E50DC4">
        <w:t>C</w:t>
      </w:r>
      <w:r>
        <w:t xml:space="preserve">ompanies’ transportation customers can be categorized as Transitional Transportation Service (TTS) or non-TTS. TTS program shippers purchase gas in aggregated customer pools for residential and small commercial customers, who do not contract directly with a shipper for their gas supply. Of the joint petitioners in the instant docket, only Florida Public Utilities Company – Indiantown Division (Indiantown) and Chesapeake have TTS customers. </w:t>
      </w:r>
    </w:p>
    <w:p w:rsidR="00F26E71" w:rsidRDefault="00F26E71" w:rsidP="00F26E71">
      <w:pPr>
        <w:pStyle w:val="BodyText"/>
      </w:pPr>
      <w:r>
        <w:t>TTS customers receive allocations of intrastate capacity costs through the swing service rider. Prior to the approval of the swing service rider, TTS customers received allocations of intrastate capacity costs through the Operational Balancing Account (OBA) mechanism. The OBA mechanism allowed Indiantown and Chesapeake to assign intrastate capacity costs to TTS shippers, who then passed the costs on to the TTS customers for whom they purchase gas. With the approval of the swing service rider, TTS customers are now charged directly for their allocated portion of the intrastate capacity costs (rather than Indiantown and Chesapeake charging the shippers who then passed the costs on to the TTS customers).</w:t>
      </w:r>
    </w:p>
    <w:p w:rsidR="00F96439" w:rsidRDefault="00F26E71" w:rsidP="00F96439">
      <w:pPr>
        <w:pStyle w:val="BodyText"/>
      </w:pPr>
      <w:r>
        <w:t xml:space="preserve">Non-TTS customers are primarily large commercial or industrial customers who contract directly with a shipper for their natural gas supply. Prior to the approval of the swing service rider, non-TTS customers were not paying a share of the intrastate capacity costs. </w:t>
      </w:r>
    </w:p>
    <w:p w:rsidR="00F26E71" w:rsidRDefault="00F26E71" w:rsidP="00F26E71">
      <w:pPr>
        <w:pStyle w:val="First-LevelSubheading"/>
      </w:pPr>
      <w:r>
        <w:lastRenderedPageBreak/>
        <w:t>Updated 2022 Swing Service Rider Rates</w:t>
      </w:r>
    </w:p>
    <w:p w:rsidR="00C717FD" w:rsidRDefault="00F26E71" w:rsidP="00F26E71">
      <w:pPr>
        <w:pStyle w:val="BodyText"/>
      </w:pPr>
      <w:r>
        <w:t>The updated 202</w:t>
      </w:r>
      <w:r w:rsidR="00711008">
        <w:t>2</w:t>
      </w:r>
      <w:r>
        <w:t xml:space="preserve"> swing service rider rates were calculated based on the same methodology approved in the </w:t>
      </w:r>
      <w:r w:rsidR="00BD672A">
        <w:t xml:space="preserve">2016 </w:t>
      </w:r>
      <w:r>
        <w:t xml:space="preserve">swing service order. As </w:t>
      </w:r>
      <w:r w:rsidR="00711008">
        <w:t>stated in paragraph 9 of</w:t>
      </w:r>
      <w:r>
        <w:t xml:space="preserve"> the </w:t>
      </w:r>
      <w:r w:rsidR="00A04EE9">
        <w:t>C</w:t>
      </w:r>
      <w:r>
        <w:t xml:space="preserve">ompanies’ </w:t>
      </w:r>
      <w:r w:rsidR="00BD672A">
        <w:t xml:space="preserve">instant </w:t>
      </w:r>
      <w:r>
        <w:t xml:space="preserve">petition, the total intrastate capacity costs for the period </w:t>
      </w:r>
      <w:r w:rsidR="00711008" w:rsidRPr="00711008">
        <w:t>July 2020</w:t>
      </w:r>
      <w:r w:rsidRPr="00711008">
        <w:t xml:space="preserve"> through June 202</w:t>
      </w:r>
      <w:r w:rsidR="00711008" w:rsidRPr="00711008">
        <w:t>1</w:t>
      </w:r>
      <w:r w:rsidRPr="00711008">
        <w:t xml:space="preserve"> are $</w:t>
      </w:r>
      <w:r w:rsidR="00711008" w:rsidRPr="00711008">
        <w:t>25,538,406</w:t>
      </w:r>
      <w:r w:rsidRPr="00711008">
        <w:t>.</w:t>
      </w:r>
      <w:r>
        <w:t xml:space="preserve"> The total intrastate capacity costs reflect payments by the </w:t>
      </w:r>
      <w:r w:rsidR="00A04EE9">
        <w:t>C</w:t>
      </w:r>
      <w:r>
        <w:t xml:space="preserve">ompanies to intrastate pipelines for the transportation of natural gas, pursuant to Commission approved transportation agreements. In addition, the intrastate capacity costs include payments to outside contractors the </w:t>
      </w:r>
      <w:r w:rsidR="00A04EE9">
        <w:t>C</w:t>
      </w:r>
      <w:r>
        <w:t>ompanies hired to provide expertise on the purchase of commodity and capacity</w:t>
      </w:r>
      <w:r w:rsidR="00A04EE9">
        <w:t>, and legal consulting fees</w:t>
      </w:r>
      <w:r>
        <w:t xml:space="preserve">. </w:t>
      </w:r>
    </w:p>
    <w:p w:rsidR="00F26E71" w:rsidRDefault="00F26E71" w:rsidP="00F26E71">
      <w:pPr>
        <w:pStyle w:val="BodyText"/>
      </w:pPr>
      <w:r>
        <w:t>Of these costs, $</w:t>
      </w:r>
      <w:r w:rsidR="00711008">
        <w:t>6,443,673</w:t>
      </w:r>
      <w:r w:rsidRPr="007D37FD">
        <w:t xml:space="preserve"> will</w:t>
      </w:r>
      <w:r>
        <w:t xml:space="preserve"> be billed directly to certain large special contract customers. The remaining costs of $</w:t>
      </w:r>
      <w:r w:rsidR="00711008" w:rsidRPr="005E05B2">
        <w:t>19,094,73</w:t>
      </w:r>
      <w:r w:rsidR="00F96439">
        <w:t>2</w:t>
      </w:r>
      <w:r w:rsidRPr="007D37FD">
        <w:t xml:space="preserve"> a</w:t>
      </w:r>
      <w:r>
        <w:t>re allocated between sales</w:t>
      </w:r>
      <w:r w:rsidR="00A04EE9">
        <w:t xml:space="preserve"> </w:t>
      </w:r>
      <w:r>
        <w:t>and transportation customers and will be recovered during the period January 1, 202</w:t>
      </w:r>
      <w:r w:rsidR="00711008">
        <w:t>2</w:t>
      </w:r>
      <w:r>
        <w:t xml:space="preserve"> through December 31, 202</w:t>
      </w:r>
      <w:r w:rsidR="00711008">
        <w:t>2</w:t>
      </w:r>
      <w:r>
        <w:t xml:space="preserve">. </w:t>
      </w:r>
    </w:p>
    <w:p w:rsidR="00F26E71" w:rsidRDefault="00C721D4" w:rsidP="00F26E71">
      <w:pPr>
        <w:pStyle w:val="BodyText"/>
      </w:pPr>
      <w:r>
        <w:t>The C</w:t>
      </w:r>
      <w:r w:rsidR="00F26E71">
        <w:t xml:space="preserve">ompanies used actual therm usage data for the period July </w:t>
      </w:r>
      <w:r w:rsidR="00F26E71" w:rsidRPr="007D37FD">
        <w:t>20</w:t>
      </w:r>
      <w:r w:rsidR="00711008">
        <w:t>20</w:t>
      </w:r>
      <w:r w:rsidR="00F26E71" w:rsidRPr="007D37FD">
        <w:t xml:space="preserve"> through June 20</w:t>
      </w:r>
      <w:r w:rsidR="00F26E71">
        <w:t>2</w:t>
      </w:r>
      <w:r w:rsidR="00711008">
        <w:t>1</w:t>
      </w:r>
      <w:r w:rsidR="00F26E71">
        <w:t xml:space="preserve"> to allocate the intrastate capacity costs. Based on the usage data, the appropriate split for allocating the cost is </w:t>
      </w:r>
      <w:r w:rsidR="005F0ECE">
        <w:t>69.3</w:t>
      </w:r>
      <w:r w:rsidR="005F0ECE" w:rsidRPr="000E5425">
        <w:t xml:space="preserve"> percent</w:t>
      </w:r>
      <w:r w:rsidR="005F0ECE">
        <w:t xml:space="preserve"> or </w:t>
      </w:r>
      <w:r w:rsidR="00F26E71" w:rsidRPr="006C4348">
        <w:t>$</w:t>
      </w:r>
      <w:r w:rsidR="00711008">
        <w:t>13,233,244</w:t>
      </w:r>
      <w:r w:rsidR="005F0ECE">
        <w:t xml:space="preserve"> </w:t>
      </w:r>
      <w:r w:rsidR="00F26E71" w:rsidRPr="000E5425">
        <w:t xml:space="preserve">to transportation customers and </w:t>
      </w:r>
      <w:r w:rsidR="005F0ECE">
        <w:t>30.7</w:t>
      </w:r>
      <w:r w:rsidR="005F0ECE" w:rsidRPr="000E5425">
        <w:t xml:space="preserve"> percent</w:t>
      </w:r>
      <w:r w:rsidR="005F0ECE">
        <w:t xml:space="preserve"> or </w:t>
      </w:r>
      <w:r w:rsidR="00F26E71" w:rsidRPr="006C4348">
        <w:t>$</w:t>
      </w:r>
      <w:r w:rsidR="00711008">
        <w:t>5,861,488</w:t>
      </w:r>
      <w:r w:rsidR="00F26E71">
        <w:t xml:space="preserve"> to sales customers. </w:t>
      </w:r>
      <w:r w:rsidR="00AC0C44">
        <w:t xml:space="preserve">The transportation customers’ share of $13,233,244 is allocated to the various transportation rate schedules in proportion with each rate schedule’s share of the </w:t>
      </w:r>
      <w:r w:rsidR="00E50DC4">
        <w:t>C</w:t>
      </w:r>
      <w:r w:rsidR="00AC0C44">
        <w:t xml:space="preserve">ompanies’ total throughput. </w:t>
      </w:r>
      <w:r w:rsidR="00F26E71" w:rsidRPr="00AC0C44">
        <w:t xml:space="preserve">The sales customers’ share of the cost </w:t>
      </w:r>
      <w:r w:rsidR="00103E6B">
        <w:t xml:space="preserve">of </w:t>
      </w:r>
      <w:r w:rsidR="00103E6B" w:rsidRPr="006C4348">
        <w:t>$</w:t>
      </w:r>
      <w:r w:rsidR="00103E6B">
        <w:t xml:space="preserve">5,861,488 </w:t>
      </w:r>
      <w:r w:rsidR="00F26E71" w:rsidRPr="00AC0C44">
        <w:t>is embedded in the PGA.</w:t>
      </w:r>
      <w:r w:rsidR="00F26E71">
        <w:t xml:space="preserve"> </w:t>
      </w:r>
    </w:p>
    <w:p w:rsidR="00F26E71" w:rsidRDefault="00F26E71" w:rsidP="00F26E71">
      <w:pPr>
        <w:pStyle w:val="BodyText"/>
      </w:pPr>
      <w:r>
        <w:t xml:space="preserve">To calculate the swing service rider rates, the </w:t>
      </w:r>
      <w:r w:rsidR="00103E6B">
        <w:t xml:space="preserve">transportation customers’ share of the </w:t>
      </w:r>
      <w:r>
        <w:t xml:space="preserve">cost </w:t>
      </w:r>
      <w:r w:rsidR="00103E6B">
        <w:t xml:space="preserve">is </w:t>
      </w:r>
      <w:r>
        <w:t xml:space="preserve">allocated to each rate schedule </w:t>
      </w:r>
      <w:r w:rsidR="00103E6B">
        <w:t xml:space="preserve">and </w:t>
      </w:r>
      <w:r>
        <w:t xml:space="preserve">is divided by the rate schedule’s number of therms. </w:t>
      </w:r>
      <w:r w:rsidR="00103E6B">
        <w:t xml:space="preserve">The swing service rider charge is billed directly to the customers. </w:t>
      </w:r>
      <w:r w:rsidR="002C404C">
        <w:t>T</w:t>
      </w:r>
      <w:r>
        <w:t xml:space="preserve">he swing service revenues the </w:t>
      </w:r>
      <w:r w:rsidR="00E50DC4">
        <w:t>C</w:t>
      </w:r>
      <w:r>
        <w:t xml:space="preserve">ompanies are projected to receive </w:t>
      </w:r>
      <w:r w:rsidR="002C404C">
        <w:t xml:space="preserve">in 2022 </w:t>
      </w:r>
      <w:r>
        <w:t xml:space="preserve">is a total of </w:t>
      </w:r>
      <w:r w:rsidRPr="008E1641">
        <w:t>$</w:t>
      </w:r>
      <w:r w:rsidR="00711008">
        <w:t>13,233,244</w:t>
      </w:r>
      <w:r>
        <w:t>.</w:t>
      </w:r>
    </w:p>
    <w:p w:rsidR="00F26E71" w:rsidRDefault="006B09D1" w:rsidP="00F26E71">
      <w:pPr>
        <w:pStyle w:val="First-LevelSubheading"/>
      </w:pPr>
      <w:r>
        <w:t>Credit to the PGA</w:t>
      </w:r>
    </w:p>
    <w:p w:rsidR="00F26E71" w:rsidRDefault="006B09D1" w:rsidP="00F26E71">
      <w:pPr>
        <w:pStyle w:val="BodyText"/>
      </w:pPr>
      <w:r>
        <w:t>The total intrastate capacity costs are embedded in the PGA with the projected 202</w:t>
      </w:r>
      <w:r w:rsidR="00E52EC4">
        <w:t>2</w:t>
      </w:r>
      <w:r>
        <w:t xml:space="preserve"> swing service rider revenues incorporated as a credit in the calculation of the 202</w:t>
      </w:r>
      <w:r w:rsidR="00E52EC4">
        <w:t>2</w:t>
      </w:r>
      <w:r>
        <w:t xml:space="preserve"> PGA. The amount credited to the 202</w:t>
      </w:r>
      <w:r w:rsidR="00E52EC4">
        <w:t>2</w:t>
      </w:r>
      <w:r>
        <w:t xml:space="preserve"> PGA is $</w:t>
      </w:r>
      <w:r w:rsidR="00E52EC4">
        <w:t>13,233,244</w:t>
      </w:r>
      <w:r w:rsidRPr="00B6403F">
        <w:t xml:space="preserve"> plus $</w:t>
      </w:r>
      <w:r w:rsidR="00E52EC4">
        <w:t>6,443,673</w:t>
      </w:r>
      <w:r>
        <w:t xml:space="preserve"> received from special contract customers, for a total of </w:t>
      </w:r>
      <w:r w:rsidRPr="00B6403F">
        <w:t>$</w:t>
      </w:r>
      <w:r w:rsidR="00E52EC4">
        <w:t>19,</w:t>
      </w:r>
      <w:r w:rsidR="00826581">
        <w:t>676,917</w:t>
      </w:r>
      <w:r w:rsidRPr="00602FDE">
        <w:t>.</w:t>
      </w:r>
      <w:r w:rsidRPr="00602FDE">
        <w:rPr>
          <w:rStyle w:val="FootnoteReference"/>
        </w:rPr>
        <w:footnoteReference w:id="5"/>
      </w:r>
    </w:p>
    <w:p w:rsidR="003D59EB" w:rsidRDefault="00F96439" w:rsidP="003D59EB">
      <w:pPr>
        <w:pStyle w:val="First-LevelSubheading"/>
      </w:pPr>
      <w:r>
        <w:t>COVID-19 Regulatory Asset Settlement Agreement</w:t>
      </w:r>
      <w:r w:rsidR="003D59EB">
        <w:t xml:space="preserve"> </w:t>
      </w:r>
    </w:p>
    <w:p w:rsidR="003D59EB" w:rsidRDefault="00871219" w:rsidP="00F26E71">
      <w:pPr>
        <w:pStyle w:val="BodyText"/>
      </w:pPr>
      <w:r>
        <w:t xml:space="preserve">The </w:t>
      </w:r>
      <w:r w:rsidR="00C721D4">
        <w:t>C</w:t>
      </w:r>
      <w:r>
        <w:t>ompanies</w:t>
      </w:r>
      <w:r w:rsidR="00F96439">
        <w:t>,</w:t>
      </w:r>
      <w:r>
        <w:t xml:space="preserve"> in their 2022 Swing Service Rider calculation, included additional costs in accordance with the </w:t>
      </w:r>
      <w:r w:rsidR="00F96439">
        <w:t>C</w:t>
      </w:r>
      <w:r w:rsidR="00E50DC4">
        <w:t>OVID</w:t>
      </w:r>
      <w:r w:rsidR="00F96439">
        <w:t xml:space="preserve">-19 Regulatory Asset Settlement Agreement </w:t>
      </w:r>
      <w:r w:rsidR="002C404C">
        <w:t xml:space="preserve">(Agreement) </w:t>
      </w:r>
      <w:r>
        <w:t xml:space="preserve">approved </w:t>
      </w:r>
      <w:r w:rsidR="00D6149D">
        <w:t>in</w:t>
      </w:r>
      <w:r>
        <w:t xml:space="preserve"> Order No. </w:t>
      </w:r>
      <w:r w:rsidR="0034773A">
        <w:t>PSC-2021-0266-S-P</w:t>
      </w:r>
      <w:r>
        <w:t>U.</w:t>
      </w:r>
      <w:r w:rsidR="0034773A">
        <w:rPr>
          <w:rStyle w:val="FootnoteReference"/>
        </w:rPr>
        <w:footnoteReference w:id="6"/>
      </w:r>
      <w:r>
        <w:t xml:space="preserve"> </w:t>
      </w:r>
      <w:r w:rsidR="0034773A">
        <w:t xml:space="preserve">This Agreement allows </w:t>
      </w:r>
      <w:r w:rsidR="00F96439">
        <w:t>FPUC</w:t>
      </w:r>
      <w:r w:rsidR="002C404C">
        <w:t>’s</w:t>
      </w:r>
      <w:r w:rsidR="00F96439">
        <w:t xml:space="preserve"> </w:t>
      </w:r>
      <w:r w:rsidR="00A25E1A">
        <w:t xml:space="preserve">natural gas </w:t>
      </w:r>
      <w:r w:rsidR="00D6149D">
        <w:t>utilities</w:t>
      </w:r>
      <w:r w:rsidR="00A25E1A">
        <w:t xml:space="preserve"> and electric division</w:t>
      </w:r>
      <w:r w:rsidR="0034773A">
        <w:t xml:space="preserve"> to recover</w:t>
      </w:r>
      <w:r w:rsidR="00F96439">
        <w:t xml:space="preserve">, over the next two years, </w:t>
      </w:r>
      <w:r w:rsidR="000855D9">
        <w:t>a total of</w:t>
      </w:r>
      <w:r w:rsidR="009430BA">
        <w:t xml:space="preserve"> </w:t>
      </w:r>
      <w:r w:rsidR="0034773A">
        <w:t xml:space="preserve">$2,085,759 </w:t>
      </w:r>
      <w:r w:rsidR="009430BA">
        <w:t xml:space="preserve">of incremental expenses </w:t>
      </w:r>
      <w:r w:rsidR="00F96439">
        <w:t>for costs incurred due to C</w:t>
      </w:r>
      <w:r w:rsidR="00E50DC4">
        <w:t>OVID</w:t>
      </w:r>
      <w:r w:rsidR="00F96439">
        <w:t>-19</w:t>
      </w:r>
      <w:r w:rsidR="0034773A">
        <w:t xml:space="preserve">. Of this amount, $731,659 </w:t>
      </w:r>
      <w:r w:rsidR="009B3E7A">
        <w:t>($365,830</w:t>
      </w:r>
      <w:r w:rsidR="00963725">
        <w:t xml:space="preserve"> annually) </w:t>
      </w:r>
      <w:r w:rsidR="0034773A">
        <w:t xml:space="preserve">is </w:t>
      </w:r>
      <w:r w:rsidR="008C0F92">
        <w:lastRenderedPageBreak/>
        <w:t>attributable</w:t>
      </w:r>
      <w:r w:rsidR="0034773A">
        <w:t xml:space="preserve"> to natural gas customers</w:t>
      </w:r>
      <w:r w:rsidR="00963725">
        <w:t xml:space="preserve">, while the </w:t>
      </w:r>
      <w:r w:rsidR="00C721D4">
        <w:t xml:space="preserve"> remainder </w:t>
      </w:r>
      <w:r w:rsidR="00706D5B">
        <w:t xml:space="preserve">($1,354,120) </w:t>
      </w:r>
      <w:r w:rsidR="00C721D4">
        <w:t xml:space="preserve">is attributable to </w:t>
      </w:r>
      <w:r w:rsidR="00963725">
        <w:t xml:space="preserve">FPUC’s </w:t>
      </w:r>
      <w:r w:rsidR="00C721D4">
        <w:t xml:space="preserve">electric </w:t>
      </w:r>
      <w:r w:rsidR="00963725">
        <w:t>division</w:t>
      </w:r>
      <w:r w:rsidR="0034773A">
        <w:t>.</w:t>
      </w:r>
      <w:r w:rsidR="002C404C">
        <w:rPr>
          <w:rStyle w:val="FootnoteReference"/>
        </w:rPr>
        <w:footnoteReference w:id="7"/>
      </w:r>
      <w:r w:rsidR="0034773A">
        <w:t xml:space="preserve"> </w:t>
      </w:r>
      <w:r w:rsidR="008C0F92">
        <w:t xml:space="preserve">Using the same allocation methodology in the calculation of the swing service rider, 69.3 </w:t>
      </w:r>
      <w:r w:rsidR="002C65D2">
        <w:t>percent</w:t>
      </w:r>
      <w:r w:rsidR="00963725">
        <w:t>,</w:t>
      </w:r>
      <w:r w:rsidR="008C0F92">
        <w:t xml:space="preserve"> or $507,04</w:t>
      </w:r>
      <w:r w:rsidR="009B3E7A">
        <w:t>0</w:t>
      </w:r>
      <w:r w:rsidR="008C0F92">
        <w:t xml:space="preserve"> </w:t>
      </w:r>
      <w:r w:rsidR="00963725">
        <w:t>($253,5</w:t>
      </w:r>
      <w:r w:rsidR="009B3E7A">
        <w:t>19</w:t>
      </w:r>
      <w:r w:rsidR="00963725">
        <w:t xml:space="preserve"> annually), </w:t>
      </w:r>
      <w:r w:rsidR="008C0F92">
        <w:t>will be allocated t</w:t>
      </w:r>
      <w:r w:rsidR="002C65D2">
        <w:t>o</w:t>
      </w:r>
      <w:r w:rsidR="008C0F92">
        <w:t xml:space="preserve"> the transportation customers and 30.7 percent</w:t>
      </w:r>
      <w:r w:rsidR="00963725">
        <w:t>,</w:t>
      </w:r>
      <w:r w:rsidR="008C0F92">
        <w:t xml:space="preserve"> or $2</w:t>
      </w:r>
      <w:r w:rsidR="009B3E7A">
        <w:t>24,619</w:t>
      </w:r>
      <w:r w:rsidR="008C0F92">
        <w:t xml:space="preserve"> </w:t>
      </w:r>
      <w:r w:rsidR="00963725">
        <w:t>($</w:t>
      </w:r>
      <w:r w:rsidR="009B3E7A">
        <w:t>112,309 annually</w:t>
      </w:r>
      <w:r w:rsidR="00963725">
        <w:t xml:space="preserve">) </w:t>
      </w:r>
      <w:r w:rsidR="008C0F92">
        <w:t>will be allocated to sales customers and recovered through the PGA</w:t>
      </w:r>
      <w:r w:rsidR="009430BA">
        <w:t xml:space="preserve"> over the next two years</w:t>
      </w:r>
      <w:r w:rsidR="008C0F92">
        <w:t xml:space="preserve">. </w:t>
      </w:r>
      <w:r w:rsidR="002C404C">
        <w:t xml:space="preserve">The </w:t>
      </w:r>
      <w:r w:rsidR="00517E4F">
        <w:t>proposed</w:t>
      </w:r>
      <w:r w:rsidR="002C404C">
        <w:t xml:space="preserve"> </w:t>
      </w:r>
      <w:r w:rsidR="00A7146E">
        <w:t>swing service rider rates include both the intrastate capacity costs and the Covid-19 costs approved in the Agreement.</w:t>
      </w:r>
    </w:p>
    <w:p w:rsidR="00C717FD" w:rsidRPr="00141716" w:rsidRDefault="00C717FD" w:rsidP="00C717FD">
      <w:pPr>
        <w:pStyle w:val="First-LevelSubheading"/>
      </w:pPr>
      <w:r w:rsidRPr="00141716">
        <w:t>Legal Fees</w:t>
      </w:r>
    </w:p>
    <w:p w:rsidR="00C717FD" w:rsidRPr="00141716" w:rsidRDefault="00C717FD" w:rsidP="00F26E71">
      <w:pPr>
        <w:pStyle w:val="BodyText"/>
      </w:pPr>
      <w:r w:rsidRPr="00141716">
        <w:t xml:space="preserve">The </w:t>
      </w:r>
      <w:r w:rsidR="0085089C" w:rsidRPr="00141716">
        <w:t>calculation of the propose</w:t>
      </w:r>
      <w:r w:rsidR="00F933AE" w:rsidRPr="00141716">
        <w:t>d</w:t>
      </w:r>
      <w:r w:rsidR="0085089C" w:rsidRPr="00141716">
        <w:t xml:space="preserve"> swing service rider rates</w:t>
      </w:r>
      <w:r w:rsidRPr="00141716">
        <w:t xml:space="preserve"> includes $17,054 in legal fees to Gunster Yoakley &amp; Stewart,</w:t>
      </w:r>
      <w:r w:rsidR="001A3E82" w:rsidRPr="00141716">
        <w:t xml:space="preserve"> P.A.,</w:t>
      </w:r>
      <w:r w:rsidRPr="00141716">
        <w:t xml:space="preserve"> one of the law firms that </w:t>
      </w:r>
      <w:r w:rsidR="00E50DC4" w:rsidRPr="00141716">
        <w:t xml:space="preserve">the </w:t>
      </w:r>
      <w:r w:rsidRPr="00141716">
        <w:t xml:space="preserve">Companies engage to provide advice and file petitions. </w:t>
      </w:r>
      <w:r w:rsidR="00093777">
        <w:t>The Compan</w:t>
      </w:r>
      <w:r w:rsidR="0000562C">
        <w:t>ies are</w:t>
      </w:r>
      <w:r w:rsidR="00093777">
        <w:t xml:space="preserve"> currently allowed legal fees in the amount of $8</w:t>
      </w:r>
      <w:r w:rsidR="0000562C">
        <w:t>,</w:t>
      </w:r>
      <w:r w:rsidR="00093777">
        <w:t xml:space="preserve">227. </w:t>
      </w:r>
      <w:r w:rsidRPr="00141716">
        <w:t xml:space="preserve">In response to staff </w:t>
      </w:r>
      <w:r w:rsidR="009D472C" w:rsidRPr="00141716">
        <w:t>data requests</w:t>
      </w:r>
      <w:r w:rsidRPr="00141716">
        <w:t xml:space="preserve"> regarding the increase of the legal fees from the currently approved $8,227 to $17,054, the Companies </w:t>
      </w:r>
      <w:r w:rsidR="0085089C" w:rsidRPr="00141716">
        <w:t>responded</w:t>
      </w:r>
      <w:r w:rsidRPr="00141716">
        <w:t xml:space="preserve"> that the increase was attributable to </w:t>
      </w:r>
      <w:r w:rsidR="0085089C" w:rsidRPr="00141716">
        <w:t>assistance</w:t>
      </w:r>
      <w:r w:rsidRPr="00141716">
        <w:t xml:space="preserve"> the law firm provided to the consolidation of the natural gas tariff</w:t>
      </w:r>
      <w:r w:rsidR="007D0A53" w:rsidRPr="00141716">
        <w:t>s</w:t>
      </w:r>
      <w:r w:rsidRPr="00141716">
        <w:t xml:space="preserve"> the Commission approved in Order No</w:t>
      </w:r>
      <w:r w:rsidR="007D0A53" w:rsidRPr="00141716">
        <w:t>. PSC-2021-0148-TRF-GU (consolidation docket).</w:t>
      </w:r>
      <w:r w:rsidR="007D0A53" w:rsidRPr="00141716">
        <w:rPr>
          <w:rStyle w:val="FootnoteReference"/>
        </w:rPr>
        <w:footnoteReference w:id="8"/>
      </w:r>
      <w:r w:rsidRPr="00141716">
        <w:t xml:space="preserve"> Specifically, $16,187 of legal costs related to the consolidation </w:t>
      </w:r>
      <w:r w:rsidR="007D0A53" w:rsidRPr="00141716">
        <w:t xml:space="preserve">docket </w:t>
      </w:r>
      <w:r w:rsidRPr="00141716">
        <w:t>was included in the instant petition.</w:t>
      </w:r>
      <w:r w:rsidR="007D0A53" w:rsidRPr="00141716">
        <w:t xml:space="preserve"> The </w:t>
      </w:r>
      <w:r w:rsidR="0085089C" w:rsidRPr="00141716">
        <w:t>remaining</w:t>
      </w:r>
      <w:r w:rsidR="007D0A53" w:rsidRPr="00141716">
        <w:t xml:space="preserve"> $867 </w:t>
      </w:r>
      <w:r w:rsidR="00093777">
        <w:t xml:space="preserve">in </w:t>
      </w:r>
      <w:r w:rsidR="007D0A53" w:rsidRPr="00141716">
        <w:t xml:space="preserve">legal fees are related to the swing service rider and are appropriate for inclusion in the calculation of the swing service rider </w:t>
      </w:r>
      <w:r w:rsidR="0085089C" w:rsidRPr="00141716">
        <w:t>rates</w:t>
      </w:r>
      <w:r w:rsidR="00F14C3D" w:rsidRPr="00141716">
        <w:t xml:space="preserve"> as those costs were not included to establish current base rates.</w:t>
      </w:r>
    </w:p>
    <w:p w:rsidR="005C57B5" w:rsidRPr="00141716" w:rsidRDefault="007D0A53" w:rsidP="00F26E71">
      <w:pPr>
        <w:pStyle w:val="BodyText"/>
      </w:pPr>
      <w:r w:rsidRPr="00141716">
        <w:t>Prior to the consolidation docket, the Companies had in place four utility-specific Commission-approved tariffs that presented a variety of administrative and operational challenges for the utilities and their customers. The Commission approved the consolidation of these tariffs into a new Original Volume 1 Tariff that applies to all four utilities</w:t>
      </w:r>
      <w:r w:rsidR="00CB0D22">
        <w:t>.</w:t>
      </w:r>
      <w:r w:rsidRPr="00141716">
        <w:t xml:space="preserve"> The </w:t>
      </w:r>
      <w:r w:rsidR="009D472C" w:rsidRPr="00141716">
        <w:t xml:space="preserve">approved </w:t>
      </w:r>
      <w:r w:rsidRPr="00141716">
        <w:t>revisions eliminated inconsistencies across the tariffs, without changing customer rates, and allow</w:t>
      </w:r>
      <w:r w:rsidR="0085089C" w:rsidRPr="00141716">
        <w:t>ed</w:t>
      </w:r>
      <w:r w:rsidRPr="00141716">
        <w:t xml:space="preserve"> the Companies to operate under a consolidated tariff.</w:t>
      </w:r>
      <w:r w:rsidR="005C57B5" w:rsidRPr="00141716">
        <w:t xml:space="preserve"> Tariff sections that were consolidated included miscellaneous and general information, system maps and communities served, rules and regulations, formatting of the tariffs showing rates and charges, </w:t>
      </w:r>
      <w:r w:rsidR="0085089C" w:rsidRPr="00141716">
        <w:t>revision</w:t>
      </w:r>
      <w:r w:rsidR="005C57B5" w:rsidRPr="00141716">
        <w:t xml:space="preserve"> </w:t>
      </w:r>
      <w:r w:rsidR="0085089C" w:rsidRPr="00141716">
        <w:t xml:space="preserve">to </w:t>
      </w:r>
      <w:r w:rsidR="005C57B5" w:rsidRPr="00141716">
        <w:t xml:space="preserve">the Area </w:t>
      </w:r>
      <w:r w:rsidR="0085089C" w:rsidRPr="00141716">
        <w:t>Extension</w:t>
      </w:r>
      <w:r w:rsidR="005C57B5" w:rsidRPr="00141716">
        <w:t xml:space="preserve"> Program tariff, provisions related to the Maximum Allowable Construction Cost (MACC), and standard forms</w:t>
      </w:r>
      <w:r w:rsidR="0057123E" w:rsidRPr="00141716">
        <w:t>.</w:t>
      </w:r>
      <w:r w:rsidR="005C57B5" w:rsidRPr="00141716">
        <w:t xml:space="preserve"> </w:t>
      </w:r>
    </w:p>
    <w:p w:rsidR="007D0A53" w:rsidRPr="00141716" w:rsidRDefault="005C57B5" w:rsidP="00F26E71">
      <w:pPr>
        <w:pStyle w:val="BodyText"/>
      </w:pPr>
      <w:r w:rsidRPr="00141716">
        <w:t xml:space="preserve">In addition, as part of their consolidation of tariffs, the Companies established consistent transportation service programs across the four utilities to be able to provide a more uniform transportation service. Allowing transportation customers and pool managers to operate under the same tariff provisions across the Companies results in a less cumbersome and </w:t>
      </w:r>
      <w:r w:rsidR="000F1F15" w:rsidRPr="00141716">
        <w:t xml:space="preserve">more </w:t>
      </w:r>
      <w:r w:rsidRPr="00141716">
        <w:t>efficient administrative process.</w:t>
      </w:r>
    </w:p>
    <w:p w:rsidR="00093777" w:rsidRDefault="0057123E" w:rsidP="00F26E71">
      <w:pPr>
        <w:pStyle w:val="BodyText"/>
      </w:pPr>
      <w:r w:rsidRPr="00141716">
        <w:t>The Companies included all the legal fees incurred for the consolidation docket</w:t>
      </w:r>
      <w:r w:rsidR="00E50DC4" w:rsidRPr="00141716">
        <w:t xml:space="preserve"> for recovery</w:t>
      </w:r>
      <w:r w:rsidRPr="00141716">
        <w:t xml:space="preserve"> in the instant docket. </w:t>
      </w:r>
      <w:r w:rsidR="0085089C" w:rsidRPr="00141716">
        <w:t>While s</w:t>
      </w:r>
      <w:r w:rsidR="008661FB" w:rsidRPr="00141716">
        <w:t xml:space="preserve">wing service is related to providing transportation services and the </w:t>
      </w:r>
      <w:r w:rsidR="008661FB" w:rsidRPr="00141716">
        <w:lastRenderedPageBreak/>
        <w:t>legal expenses incurred for the consolidation docket are not normal recurring legal expenses</w:t>
      </w:r>
      <w:r w:rsidRPr="00141716">
        <w:t>, the</w:t>
      </w:r>
      <w:r w:rsidRPr="0085089C">
        <w:rPr>
          <w:highlight w:val="yellow"/>
        </w:rPr>
        <w:t xml:space="preserve"> </w:t>
      </w:r>
      <w:r w:rsidRPr="00141716">
        <w:t>consolidation docket did not sole</w:t>
      </w:r>
      <w:r w:rsidR="00F14C3D" w:rsidRPr="00141716">
        <w:t>l</w:t>
      </w:r>
      <w:r w:rsidRPr="00141716">
        <w:t>y focus on transportation service</w:t>
      </w:r>
      <w:r w:rsidR="0085089C" w:rsidRPr="00141716">
        <w:t>.</w:t>
      </w:r>
      <w:r w:rsidR="00F14C3D" w:rsidRPr="00141716">
        <w:t xml:space="preserve"> </w:t>
      </w:r>
      <w:r w:rsidR="007C3B22">
        <w:t xml:space="preserve">The Companies didn’t state in the consolidation docket that they would seek recovery of legal fees associated with consolidation in </w:t>
      </w:r>
      <w:r w:rsidR="00093777">
        <w:t>this</w:t>
      </w:r>
      <w:r w:rsidR="007C3B22">
        <w:t xml:space="preserve"> docket. Further, t</w:t>
      </w:r>
      <w:r w:rsidR="0085089C" w:rsidRPr="00141716">
        <w:t xml:space="preserve">he Companies did not provide </w:t>
      </w:r>
      <w:r w:rsidR="004767C1">
        <w:t xml:space="preserve">support for their requested legal fees or </w:t>
      </w:r>
      <w:r w:rsidR="0085089C" w:rsidRPr="00141716">
        <w:t>a breakdown with respect to work done on the transportation-related tariff changes in the consolation docket and other tariff changes</w:t>
      </w:r>
      <w:r w:rsidR="009D472C" w:rsidRPr="00141716">
        <w:t xml:space="preserve"> not related to transportation ser</w:t>
      </w:r>
      <w:r w:rsidR="00E50DC4" w:rsidRPr="00141716">
        <w:t>vice</w:t>
      </w:r>
      <w:r w:rsidR="0085089C" w:rsidRPr="00141716">
        <w:t xml:space="preserve">. </w:t>
      </w:r>
      <w:r w:rsidR="009D472C" w:rsidRPr="00141716">
        <w:t xml:space="preserve">Therefore, staff does not believe inclusion of the total $16,187 amount is appropriate. </w:t>
      </w:r>
    </w:p>
    <w:p w:rsidR="0057123E" w:rsidRPr="00141716" w:rsidRDefault="004767C1" w:rsidP="00F26E71">
      <w:pPr>
        <w:pStyle w:val="BodyText"/>
      </w:pPr>
      <w:r>
        <w:t xml:space="preserve">However, staff agrees that some portion of the legal fees associated with the tariff consolidation were directed to promoting a more efficient and consistent transportation service across the Companies. </w:t>
      </w:r>
      <w:r w:rsidR="00F933AE" w:rsidRPr="00141716">
        <w:t>Absent an exact breakdown of the legal cost incurred</w:t>
      </w:r>
      <w:r w:rsidR="0085089C" w:rsidRPr="00141716">
        <w:t>, s</w:t>
      </w:r>
      <w:r w:rsidR="00F14C3D" w:rsidRPr="00141716">
        <w:t xml:space="preserve">taff believes it </w:t>
      </w:r>
      <w:r w:rsidR="00CB0D22">
        <w:t xml:space="preserve">would be </w:t>
      </w:r>
      <w:r>
        <w:t xml:space="preserve">reasonable </w:t>
      </w:r>
      <w:r w:rsidR="00F14C3D" w:rsidRPr="00141716">
        <w:t>to allow recovery of half the legal fees, $8,093 ($16,187 ÷ 2)</w:t>
      </w:r>
      <w:r w:rsidR="00093777">
        <w:t xml:space="preserve">, </w:t>
      </w:r>
      <w:r w:rsidR="00F14C3D" w:rsidRPr="00141716">
        <w:t>through the swing service rider</w:t>
      </w:r>
      <w:r w:rsidR="0085089C" w:rsidRPr="00141716">
        <w:t>.</w:t>
      </w:r>
      <w:r w:rsidR="008661FB" w:rsidRPr="00141716">
        <w:t xml:space="preserve"> </w:t>
      </w:r>
      <w:r w:rsidR="00CB0D22">
        <w:t xml:space="preserve">Staff notes that this would be </w:t>
      </w:r>
      <w:r w:rsidR="00DF3D2B">
        <w:t xml:space="preserve">more </w:t>
      </w:r>
      <w:r w:rsidR="00CB0D22">
        <w:t xml:space="preserve">in line with the </w:t>
      </w:r>
      <w:r w:rsidR="00CB0D22" w:rsidRPr="00141716">
        <w:t>$8,227</w:t>
      </w:r>
      <w:r w:rsidR="00CB0D22">
        <w:t xml:space="preserve"> of legal fees currently approved </w:t>
      </w:r>
      <w:r>
        <w:t xml:space="preserve">in the Companies’ </w:t>
      </w:r>
      <w:r w:rsidR="00CB0D22">
        <w:t xml:space="preserve">swing service rider rates. </w:t>
      </w:r>
    </w:p>
    <w:p w:rsidR="00F933AE" w:rsidRDefault="00F933AE" w:rsidP="00F26E71">
      <w:pPr>
        <w:pStyle w:val="BodyText"/>
      </w:pPr>
      <w:r w:rsidRPr="00141716">
        <w:t>In response to staff’s request</w:t>
      </w:r>
      <w:r w:rsidR="000F1F15" w:rsidRPr="00141716">
        <w:t xml:space="preserve"> for additional information and discussions with the Companies</w:t>
      </w:r>
      <w:r w:rsidRPr="00141716">
        <w:t xml:space="preserve">, the Companies provided the </w:t>
      </w:r>
      <w:r w:rsidR="000F1F15" w:rsidRPr="00141716">
        <w:t xml:space="preserve">calculation of the </w:t>
      </w:r>
      <w:r w:rsidRPr="00141716">
        <w:t>swing service rider rates with the $16,187</w:t>
      </w:r>
      <w:r w:rsidR="000F1F15" w:rsidRPr="00141716">
        <w:t xml:space="preserve"> removed and with half the amount removed. The calculations have been placed in the docket file.</w:t>
      </w:r>
      <w:r w:rsidR="000F1F15" w:rsidRPr="00141716">
        <w:rPr>
          <w:rStyle w:val="FootnoteReference"/>
        </w:rPr>
        <w:footnoteReference w:id="9"/>
      </w:r>
      <w:r w:rsidR="009D472C" w:rsidRPr="00141716">
        <w:t xml:space="preserve"> The impact on the swing service rider rates, under either calculation, </w:t>
      </w:r>
      <w:r w:rsidR="00D55F43">
        <w:t>is</w:t>
      </w:r>
      <w:r w:rsidR="00D55F43" w:rsidRPr="00141716">
        <w:t xml:space="preserve"> </w:t>
      </w:r>
      <w:r w:rsidR="009D472C" w:rsidRPr="00141716">
        <w:t>minor.</w:t>
      </w:r>
      <w:r w:rsidR="000F1F15">
        <w:t xml:space="preserve">  </w:t>
      </w:r>
      <w:r>
        <w:t xml:space="preserve"> </w:t>
      </w:r>
    </w:p>
    <w:p w:rsidR="006B09D1" w:rsidRDefault="006B09D1" w:rsidP="006B09D1">
      <w:pPr>
        <w:pStyle w:val="First-LevelSubheading"/>
      </w:pPr>
      <w:r>
        <w:t xml:space="preserve">Conclusion </w:t>
      </w:r>
    </w:p>
    <w:p w:rsidR="0085089C" w:rsidRPr="0085089C" w:rsidRDefault="0085089C" w:rsidP="0085089C">
      <w:pPr>
        <w:pStyle w:val="BodyText"/>
      </w:pPr>
      <w:r w:rsidRPr="00141716">
        <w:t>The Commission should deny the proposed swing service rider rates and tariffs for the period January through December 2022</w:t>
      </w:r>
      <w:r w:rsidR="00883F2C">
        <w:t>,</w:t>
      </w:r>
      <w:r w:rsidR="007C3B22">
        <w:t xml:space="preserve"> as filed. </w:t>
      </w:r>
      <w:r w:rsidR="00883F2C">
        <w:t xml:space="preserve">However, the Companies </w:t>
      </w:r>
      <w:r w:rsidR="0000562C">
        <w:t xml:space="preserve">should </w:t>
      </w:r>
      <w:r w:rsidR="00883F2C">
        <w:t>be given the option to file revised rates and tariffs within 10 days of the Commission’s vote</w:t>
      </w:r>
      <w:r w:rsidRPr="00141716">
        <w:t>, for administrative approval by staff, that reflect the removal of $8,093 in legal fees from the calculation</w:t>
      </w:r>
      <w:r w:rsidR="00883F2C">
        <w:t>, for the period January through December 2022</w:t>
      </w:r>
      <w:r w:rsidRPr="00141716">
        <w:t>.</w:t>
      </w:r>
      <w:r>
        <w:t xml:space="preserve">  </w:t>
      </w:r>
    </w:p>
    <w:p w:rsidR="006B09D1" w:rsidRDefault="006B09D1">
      <w:pPr>
        <w:pStyle w:val="IssueHeading"/>
        <w:rPr>
          <w:vanish/>
          <w:specVanish/>
        </w:rPr>
      </w:pPr>
      <w:r w:rsidRPr="004C3641">
        <w:rPr>
          <w:b w:val="0"/>
          <w:i w:val="0"/>
        </w:rPr>
        <w:br w:type="page"/>
      </w:r>
      <w:r w:rsidRPr="004C3641">
        <w:lastRenderedPageBreak/>
        <w:t xml:space="preserve">Issue </w:t>
      </w:r>
      <w:r w:rsidR="00E34F5A">
        <w:fldChar w:fldCharType="begin"/>
      </w:r>
      <w:r w:rsidR="00E34F5A">
        <w:instrText xml:space="preserve"> SEQ Issue \* MERGEFORMAT </w:instrText>
      </w:r>
      <w:r w:rsidR="00E34F5A">
        <w:fldChar w:fldCharType="separate"/>
      </w:r>
      <w:r w:rsidR="0000562C">
        <w:rPr>
          <w:noProof/>
        </w:rPr>
        <w:t>2</w:t>
      </w:r>
      <w:r w:rsidR="00E34F5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0562C">
        <w:rPr>
          <w:noProof/>
        </w:rPr>
        <w:instrText>2</w:instrText>
      </w:r>
      <w:r>
        <w:fldChar w:fldCharType="end"/>
      </w:r>
      <w:r>
        <w:tab/>
        <w:instrText xml:space="preserve">(Sandy)" \l 1 </w:instrText>
      </w:r>
      <w:r>
        <w:fldChar w:fldCharType="end"/>
      </w:r>
      <w:r>
        <w:t> </w:t>
      </w:r>
    </w:p>
    <w:p w:rsidR="006B09D1" w:rsidRDefault="006B09D1">
      <w:pPr>
        <w:pStyle w:val="BodyText"/>
      </w:pPr>
      <w:r>
        <w:t> Should this docket be closed?</w:t>
      </w:r>
    </w:p>
    <w:p w:rsidR="006B09D1" w:rsidRPr="004C3641" w:rsidRDefault="006B09D1">
      <w:pPr>
        <w:pStyle w:val="IssueSubsectionHeading"/>
        <w:rPr>
          <w:vanish/>
          <w:specVanish/>
        </w:rPr>
      </w:pPr>
      <w:r w:rsidRPr="004C3641">
        <w:t>Recommendation: </w:t>
      </w:r>
    </w:p>
    <w:p w:rsidR="00883F2C" w:rsidRDefault="006B09D1" w:rsidP="00D55F43">
      <w:pPr>
        <w:pStyle w:val="BodyText"/>
      </w:pPr>
      <w:r>
        <w:t> </w:t>
      </w:r>
      <w:r w:rsidR="00883F2C">
        <w:t xml:space="preserve">If the Commission approves staff’s recommendation in Issue 1, the Companies timely file revised </w:t>
      </w:r>
      <w:r w:rsidR="00987583">
        <w:t xml:space="preserve">rates and </w:t>
      </w:r>
      <w:r w:rsidR="00883F2C">
        <w:t>tariff</w:t>
      </w:r>
      <w:r w:rsidR="00987583">
        <w:t>s meeting the conditions of the order</w:t>
      </w:r>
      <w:r w:rsidR="00883F2C">
        <w:t>, and a protest is filed within 21 days of the issuance of the order, the revised tariff</w:t>
      </w:r>
      <w:r w:rsidR="00987583">
        <w:t>s</w:t>
      </w:r>
      <w:r w:rsidR="00883F2C">
        <w:t xml:space="preserve"> should remain in effect, with any revenues held subject to refund, pending resolution of the protest.  If the Companies timely file revised </w:t>
      </w:r>
      <w:r w:rsidR="00987583">
        <w:t xml:space="preserve">rates and </w:t>
      </w:r>
      <w:r w:rsidR="00883F2C">
        <w:t>tariff</w:t>
      </w:r>
      <w:r w:rsidR="00987583">
        <w:t>s</w:t>
      </w:r>
      <w:r w:rsidR="00883F2C">
        <w:t xml:space="preserve"> and no timely protest is filed, this docket should be closed upon the issuance of a consummating order.</w:t>
      </w:r>
    </w:p>
    <w:p w:rsidR="006B09D1" w:rsidRDefault="00883F2C">
      <w:pPr>
        <w:pStyle w:val="BodyText"/>
      </w:pPr>
      <w:r>
        <w:t xml:space="preserve">If the Commission approves staff’s recommendation in Issue 1, </w:t>
      </w:r>
      <w:r w:rsidR="00E61051">
        <w:t>the Companies</w:t>
      </w:r>
      <w:r>
        <w:t xml:space="preserve"> do not timely file revised </w:t>
      </w:r>
      <w:r w:rsidR="00987583">
        <w:t xml:space="preserve">rates and </w:t>
      </w:r>
      <w:r>
        <w:t>tariff</w:t>
      </w:r>
      <w:r w:rsidR="00987583">
        <w:t>s</w:t>
      </w:r>
      <w:r>
        <w:t xml:space="preserve"> meeting the conditions of the order, and a protest is filed within 21 days of the issuance of the order, the </w:t>
      </w:r>
      <w:r w:rsidR="00987583">
        <w:t xml:space="preserve">rates and </w:t>
      </w:r>
      <w:r>
        <w:t xml:space="preserve">charges originally requested in </w:t>
      </w:r>
      <w:r w:rsidR="00E61051">
        <w:t xml:space="preserve">the Companies’ August 31, 2021, </w:t>
      </w:r>
      <w:r>
        <w:t xml:space="preserve">filing </w:t>
      </w:r>
      <w:r w:rsidR="00987583">
        <w:t>could</w:t>
      </w:r>
      <w:r>
        <w:t xml:space="preserve"> be placed into effect, with any revenues held subject to refund, pending resolution of the protest.  If </w:t>
      </w:r>
      <w:r w:rsidR="00E61051">
        <w:t>the Companies</w:t>
      </w:r>
      <w:r>
        <w:t xml:space="preserve"> do not timely file revised </w:t>
      </w:r>
      <w:r w:rsidR="00987583">
        <w:t xml:space="preserve">rates and </w:t>
      </w:r>
      <w:r w:rsidR="00E61051">
        <w:t>t</w:t>
      </w:r>
      <w:r>
        <w:t>ariff</w:t>
      </w:r>
      <w:r w:rsidR="00987583">
        <w:t>s</w:t>
      </w:r>
      <w:r>
        <w:t xml:space="preserve"> and no timely protest is filed, the docket should be closed upon the issuance of a consummating order. </w:t>
      </w:r>
      <w:r w:rsidR="006B09D1">
        <w:t>(Sandy</w:t>
      </w:r>
      <w:r w:rsidR="00E61051">
        <w:t>, Crawford</w:t>
      </w:r>
      <w:r w:rsidR="006B09D1">
        <w:t>)</w:t>
      </w:r>
    </w:p>
    <w:p w:rsidR="006B09D1" w:rsidRPr="004C3641" w:rsidRDefault="006B09D1">
      <w:pPr>
        <w:pStyle w:val="IssueSubsectionHeading"/>
        <w:rPr>
          <w:vanish/>
          <w:specVanish/>
        </w:rPr>
      </w:pPr>
      <w:r w:rsidRPr="004C3641">
        <w:t>Staff Analysis: </w:t>
      </w:r>
    </w:p>
    <w:p w:rsidR="00987583" w:rsidRDefault="006B09D1" w:rsidP="00987583">
      <w:pPr>
        <w:pStyle w:val="BodyText"/>
      </w:pPr>
      <w:r>
        <w:t> </w:t>
      </w:r>
      <w:r w:rsidR="00987583" w:rsidDel="00E61051">
        <w:t xml:space="preserve"> </w:t>
      </w:r>
      <w:r w:rsidR="00987583" w:rsidRPr="00987583">
        <w:t xml:space="preserve"> </w:t>
      </w:r>
      <w:r w:rsidR="00987583">
        <w:t>If the Commission approves staff’s recommendation in Issue 1, the Companies timely file revised rates and tariffs meeting the conditions of the order, and a protest is filed within 21 days of the issuance of the order, the revised tariffs should remain in effect, with any revenues held subject to refund, pending resolution of the protest.  If the Companies timely file revised rates and tariffs and no timely protest is filed, this docket should be closed upon the issuance of a consummating order.</w:t>
      </w:r>
    </w:p>
    <w:p w:rsidR="006B09D1" w:rsidRDefault="00987583" w:rsidP="00987583">
      <w:pPr>
        <w:pStyle w:val="BodyText"/>
      </w:pPr>
      <w:r>
        <w:t>If the Commission approves staff’s recommendation in Issue 1, the Companies do not timely file revised rates and tariffs meeting the conditions of the order, and a protest is filed within 21 days of the issuance of the order, the rates and charges originally requested in the Companies’ August 31, 2021, filing could be placed into effect, with any revenues held subject to refund, pending resolution of the protest.  If the Companies do not timely file revised rates and tariffs and no timely protest is filed, the docket should be closed upon the issuance of a consummating order. </w:t>
      </w:r>
    </w:p>
    <w:p w:rsidR="006B09D1" w:rsidRDefault="006B09D1" w:rsidP="00F26E71">
      <w:pPr>
        <w:pStyle w:val="BodyText"/>
      </w:pPr>
    </w:p>
    <w:p w:rsidR="00087EF9" w:rsidRDefault="00087EF9" w:rsidP="00F26E71">
      <w:pPr>
        <w:pStyle w:val="BodyText"/>
        <w:sectPr w:rsidR="00087EF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087EF9" w:rsidRDefault="008E2317" w:rsidP="00F26E71">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ff Sheets_Legislative_Page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iff Sheets_Legislative_Page_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087EF9"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0FE" w:rsidRDefault="00A360FE">
      <w:r>
        <w:separator/>
      </w:r>
    </w:p>
  </w:endnote>
  <w:endnote w:type="continuationSeparator" w:id="0">
    <w:p w:rsidR="00A360FE" w:rsidRDefault="00A3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A53E9">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0FE" w:rsidRDefault="00A360FE">
      <w:r>
        <w:separator/>
      </w:r>
    </w:p>
  </w:footnote>
  <w:footnote w:type="continuationSeparator" w:id="0">
    <w:p w:rsidR="00A360FE" w:rsidRDefault="00A360FE">
      <w:r>
        <w:continuationSeparator/>
      </w:r>
    </w:p>
  </w:footnote>
  <w:footnote w:id="1">
    <w:p w:rsidR="00F83C05" w:rsidRPr="003A7046" w:rsidRDefault="00F83C05" w:rsidP="00F83C05">
      <w:pPr>
        <w:pStyle w:val="FootnoteText"/>
        <w:rPr>
          <w:i/>
        </w:rPr>
      </w:pPr>
      <w:r>
        <w:rPr>
          <w:rStyle w:val="FootnoteReference"/>
        </w:rPr>
        <w:footnoteRef/>
      </w:r>
      <w:r>
        <w:t xml:space="preserve"> Order No. PSC-16-0422-TRF-GU, issued October 3, 2016, </w:t>
      </w:r>
      <w:r w:rsidR="00BE4D4D">
        <w:t xml:space="preserve">in </w:t>
      </w:r>
      <w:r>
        <w:t xml:space="preserve">Docket No. 160085-GU, </w:t>
      </w:r>
      <w:r>
        <w:rPr>
          <w:i/>
        </w:rPr>
        <w:t xml:space="preserve">In re: Joint petition for approval of swing service rider, by Florida Public Utilities Company, Florida Public Utilities Company-Indiantown Division, Florida Public Utilities Company-Fort Meade, and Florida Division of Chesapeake Utilities Corporation. </w:t>
      </w:r>
    </w:p>
  </w:footnote>
  <w:footnote w:id="2">
    <w:p w:rsidR="00F83C05" w:rsidRPr="006458A4" w:rsidRDefault="00F83C05" w:rsidP="006458A4">
      <w:pPr>
        <w:pStyle w:val="OrderBody"/>
        <w:tabs>
          <w:tab w:val="center" w:pos="4320"/>
          <w:tab w:val="right" w:pos="8640"/>
        </w:tabs>
        <w:rPr>
          <w:sz w:val="20"/>
          <w:szCs w:val="20"/>
        </w:rPr>
      </w:pPr>
      <w:r>
        <w:rPr>
          <w:rStyle w:val="FootnoteReference"/>
        </w:rPr>
        <w:footnoteRef/>
      </w:r>
      <w:r>
        <w:t xml:space="preserve"> </w:t>
      </w:r>
      <w:r w:rsidR="006458A4" w:rsidRPr="006458A4">
        <w:rPr>
          <w:sz w:val="20"/>
          <w:szCs w:val="20"/>
        </w:rPr>
        <w:t>O</w:t>
      </w:r>
      <w:r w:rsidR="006458A4">
        <w:rPr>
          <w:sz w:val="20"/>
          <w:szCs w:val="20"/>
        </w:rPr>
        <w:t>rder</w:t>
      </w:r>
      <w:r w:rsidR="006458A4" w:rsidRPr="006458A4">
        <w:rPr>
          <w:sz w:val="20"/>
          <w:szCs w:val="20"/>
        </w:rPr>
        <w:t xml:space="preserve"> N</w:t>
      </w:r>
      <w:r w:rsidR="006458A4">
        <w:rPr>
          <w:sz w:val="20"/>
          <w:szCs w:val="20"/>
        </w:rPr>
        <w:t>o</w:t>
      </w:r>
      <w:r w:rsidR="006458A4" w:rsidRPr="006458A4">
        <w:rPr>
          <w:sz w:val="20"/>
          <w:szCs w:val="20"/>
        </w:rPr>
        <w:t xml:space="preserve">. </w:t>
      </w:r>
      <w:bookmarkStart w:id="14" w:name="OrderNo0452"/>
      <w:r w:rsidR="006458A4" w:rsidRPr="006458A4">
        <w:rPr>
          <w:sz w:val="20"/>
          <w:szCs w:val="20"/>
        </w:rPr>
        <w:t>PSC-2020-0452-TRF-GU</w:t>
      </w:r>
      <w:bookmarkEnd w:id="14"/>
      <w:r w:rsidR="006458A4">
        <w:rPr>
          <w:sz w:val="20"/>
          <w:szCs w:val="20"/>
        </w:rPr>
        <w:t xml:space="preserve">, issued </w:t>
      </w:r>
      <w:r w:rsidR="006458A4" w:rsidRPr="006458A4">
        <w:rPr>
          <w:sz w:val="20"/>
          <w:szCs w:val="20"/>
        </w:rPr>
        <w:t>November 23, 2020</w:t>
      </w:r>
      <w:r w:rsidR="006458A4">
        <w:rPr>
          <w:sz w:val="20"/>
          <w:szCs w:val="20"/>
        </w:rPr>
        <w:t xml:space="preserve">, Docket No. 20200203-GU, </w:t>
      </w:r>
      <w:r w:rsidR="006458A4" w:rsidRPr="006458A4">
        <w:rPr>
          <w:i/>
          <w:sz w:val="20"/>
          <w:szCs w:val="20"/>
        </w:rPr>
        <w:t xml:space="preserve">In re: </w:t>
      </w:r>
      <w:bookmarkStart w:id="15" w:name="SSInRe"/>
      <w:bookmarkEnd w:id="15"/>
      <w:r w:rsidR="006458A4" w:rsidRPr="006458A4">
        <w:rPr>
          <w:i/>
          <w:sz w:val="20"/>
          <w:szCs w:val="20"/>
        </w:rPr>
        <w:t>Joint petition for approval of swing service rider rates for January through December 2021, by Florida Public Utilities Company, Florida Public Utilities Company-Indiantown Division, Florida Public Utilities Company-Fort Meade, and Florida Division of Chesapeake Utilities Corporation</w:t>
      </w:r>
      <w:r w:rsidR="006458A4">
        <w:rPr>
          <w:sz w:val="20"/>
          <w:szCs w:val="20"/>
        </w:rPr>
        <w:t>.</w:t>
      </w:r>
    </w:p>
  </w:footnote>
  <w:footnote w:id="3">
    <w:p w:rsidR="00F26E71" w:rsidRDefault="00F26E71" w:rsidP="00F26E71">
      <w:pPr>
        <w:pStyle w:val="FootnoteText"/>
      </w:pPr>
      <w:r>
        <w:rPr>
          <w:rStyle w:val="FootnoteReference"/>
        </w:rPr>
        <w:footnoteRef/>
      </w:r>
      <w:r>
        <w:t xml:space="preserve"> The PGA charge is set by the Commission in the annual PGA cost recovery clause proceeding.</w:t>
      </w:r>
    </w:p>
  </w:footnote>
  <w:footnote w:id="4">
    <w:p w:rsidR="00F26E71" w:rsidRDefault="00F26E71" w:rsidP="00F26E71">
      <w:pPr>
        <w:pStyle w:val="FootnoteText"/>
      </w:pPr>
      <w:r>
        <w:rPr>
          <w:rStyle w:val="FootnoteReference"/>
        </w:rPr>
        <w:footnoteRef/>
      </w:r>
      <w:r>
        <w:t xml:space="preserve"> The Commission does not regulate the shippers or their charges for the gas commodity.</w:t>
      </w:r>
    </w:p>
  </w:footnote>
  <w:footnote w:id="5">
    <w:p w:rsidR="006B09D1" w:rsidRDefault="006B09D1" w:rsidP="006B09D1">
      <w:pPr>
        <w:pStyle w:val="FootnoteText"/>
      </w:pPr>
      <w:r w:rsidRPr="00826581">
        <w:rPr>
          <w:rStyle w:val="FootnoteReference"/>
        </w:rPr>
        <w:footnoteRef/>
      </w:r>
      <w:r w:rsidRPr="00826581">
        <w:t xml:space="preserve"> See direct testimony of Derrick M. Craig on behalf of FPUC, filed on August </w:t>
      </w:r>
      <w:r w:rsidR="00826581" w:rsidRPr="00826581">
        <w:t>6</w:t>
      </w:r>
      <w:r w:rsidRPr="00826581">
        <w:t>, 202</w:t>
      </w:r>
      <w:r w:rsidR="00826581" w:rsidRPr="00826581">
        <w:t>1</w:t>
      </w:r>
      <w:r w:rsidRPr="00826581">
        <w:t>, Document No. 0</w:t>
      </w:r>
      <w:r w:rsidR="00826581" w:rsidRPr="00826581">
        <w:t>8901</w:t>
      </w:r>
      <w:r w:rsidRPr="00826581">
        <w:t>-202</w:t>
      </w:r>
      <w:r w:rsidR="00826581" w:rsidRPr="00826581">
        <w:t>1</w:t>
      </w:r>
      <w:r w:rsidRPr="00826581">
        <w:t>, in Docket No. 202</w:t>
      </w:r>
      <w:r w:rsidR="00826581" w:rsidRPr="00826581">
        <w:t>1</w:t>
      </w:r>
      <w:r w:rsidRPr="00826581">
        <w:t>0003-GU, Exhibit No. DMC-2, Schedule E-1, line 8 on Page 1 of 6</w:t>
      </w:r>
      <w:r w:rsidR="009430BA">
        <w:t xml:space="preserve"> and </w:t>
      </w:r>
      <w:r w:rsidR="009430BA" w:rsidRPr="00826581">
        <w:t xml:space="preserve">direct testimony of Derrick M. Craig, </w:t>
      </w:r>
      <w:r w:rsidR="00381973">
        <w:t xml:space="preserve">page 6 lines 3-5, </w:t>
      </w:r>
      <w:r w:rsidR="009430BA" w:rsidRPr="00826581">
        <w:t xml:space="preserve">filed on August </w:t>
      </w:r>
      <w:r w:rsidR="00381973">
        <w:t>31</w:t>
      </w:r>
      <w:r w:rsidR="009430BA" w:rsidRPr="00826581">
        <w:t xml:space="preserve">, 2021, Document No. </w:t>
      </w:r>
      <w:r w:rsidR="00381973">
        <w:t>09957</w:t>
      </w:r>
      <w:r w:rsidR="009430BA" w:rsidRPr="00826581">
        <w:t>-2021, in Docket No. 20210</w:t>
      </w:r>
      <w:r w:rsidR="00381973">
        <w:t>147</w:t>
      </w:r>
      <w:r w:rsidR="009430BA" w:rsidRPr="00826581">
        <w:t>-GU</w:t>
      </w:r>
      <w:r w:rsidRPr="00826581">
        <w:t>.</w:t>
      </w:r>
      <w:r>
        <w:t xml:space="preserve">  </w:t>
      </w:r>
    </w:p>
  </w:footnote>
  <w:footnote w:id="6">
    <w:p w:rsidR="0034773A" w:rsidRPr="00BE4D4D" w:rsidRDefault="0034773A" w:rsidP="00BE4D4D">
      <w:pPr>
        <w:autoSpaceDE w:val="0"/>
        <w:autoSpaceDN w:val="0"/>
        <w:adjustRightInd w:val="0"/>
        <w:jc w:val="both"/>
        <w:rPr>
          <w:i/>
          <w:sz w:val="20"/>
          <w:szCs w:val="20"/>
        </w:rPr>
      </w:pPr>
      <w:r>
        <w:rPr>
          <w:rStyle w:val="FootnoteReference"/>
        </w:rPr>
        <w:footnoteRef/>
      </w:r>
      <w:r w:rsidRPr="00BE4D4D">
        <w:rPr>
          <w:sz w:val="20"/>
          <w:szCs w:val="20"/>
        </w:rPr>
        <w:t xml:space="preserve"> </w:t>
      </w:r>
      <w:r w:rsidR="00517E4F">
        <w:rPr>
          <w:sz w:val="20"/>
          <w:szCs w:val="20"/>
        </w:rPr>
        <w:t>Amendatory</w:t>
      </w:r>
      <w:r w:rsidR="00EB55B5">
        <w:rPr>
          <w:sz w:val="20"/>
          <w:szCs w:val="20"/>
        </w:rPr>
        <w:t xml:space="preserve"> </w:t>
      </w:r>
      <w:r w:rsidR="007E3139" w:rsidRPr="00BE4D4D">
        <w:rPr>
          <w:sz w:val="20"/>
          <w:szCs w:val="20"/>
        </w:rPr>
        <w:t>Order No. PSC-2021-0266</w:t>
      </w:r>
      <w:r w:rsidR="00EB55B5">
        <w:rPr>
          <w:sz w:val="20"/>
          <w:szCs w:val="20"/>
        </w:rPr>
        <w:t>A</w:t>
      </w:r>
      <w:r w:rsidR="007E3139" w:rsidRPr="00BE4D4D">
        <w:rPr>
          <w:sz w:val="20"/>
          <w:szCs w:val="20"/>
        </w:rPr>
        <w:t xml:space="preserve">-S-PU, issued </w:t>
      </w:r>
      <w:r w:rsidR="00EB55B5">
        <w:rPr>
          <w:sz w:val="20"/>
          <w:szCs w:val="20"/>
        </w:rPr>
        <w:t>August 26</w:t>
      </w:r>
      <w:r w:rsidR="007E3139" w:rsidRPr="00BE4D4D">
        <w:rPr>
          <w:sz w:val="20"/>
          <w:szCs w:val="20"/>
        </w:rPr>
        <w:t xml:space="preserve">, 2021, </w:t>
      </w:r>
      <w:r w:rsidR="00BE4D4D">
        <w:rPr>
          <w:sz w:val="20"/>
          <w:szCs w:val="20"/>
        </w:rPr>
        <w:t xml:space="preserve">in </w:t>
      </w:r>
      <w:r w:rsidR="007E3139" w:rsidRPr="00BE4D4D">
        <w:rPr>
          <w:sz w:val="20"/>
          <w:szCs w:val="20"/>
        </w:rPr>
        <w:t xml:space="preserve">Docket No. 20200194-PU, </w:t>
      </w:r>
      <w:r w:rsidR="00BE4D4D" w:rsidRPr="00BE4D4D">
        <w:rPr>
          <w:i/>
          <w:sz w:val="20"/>
          <w:szCs w:val="20"/>
        </w:rPr>
        <w:t>I</w:t>
      </w:r>
      <w:r w:rsidR="007E3139" w:rsidRPr="00BE4D4D">
        <w:rPr>
          <w:i/>
          <w:sz w:val="20"/>
          <w:szCs w:val="20"/>
        </w:rPr>
        <w:t>n re: Petition for approval of regulatory assets</w:t>
      </w:r>
      <w:r w:rsidR="00BE4D4D" w:rsidRPr="00BE4D4D">
        <w:rPr>
          <w:i/>
          <w:sz w:val="20"/>
          <w:szCs w:val="20"/>
        </w:rPr>
        <w:t xml:space="preserve"> </w:t>
      </w:r>
      <w:r w:rsidR="007E3139" w:rsidRPr="00BE4D4D">
        <w:rPr>
          <w:i/>
          <w:sz w:val="20"/>
          <w:szCs w:val="20"/>
        </w:rPr>
        <w:t>to record costs incurred due to COVID-19, by</w:t>
      </w:r>
      <w:r w:rsidR="00BE4D4D" w:rsidRPr="00BE4D4D">
        <w:rPr>
          <w:i/>
          <w:sz w:val="20"/>
          <w:szCs w:val="20"/>
        </w:rPr>
        <w:t xml:space="preserve"> </w:t>
      </w:r>
      <w:r w:rsidR="007E3139" w:rsidRPr="00BE4D4D">
        <w:rPr>
          <w:i/>
          <w:sz w:val="20"/>
          <w:szCs w:val="20"/>
        </w:rPr>
        <w:t>Florida Public Utilities Company, Florida</w:t>
      </w:r>
      <w:r w:rsidR="00BE4D4D" w:rsidRPr="00BE4D4D">
        <w:rPr>
          <w:i/>
          <w:sz w:val="20"/>
          <w:szCs w:val="20"/>
        </w:rPr>
        <w:t xml:space="preserve"> </w:t>
      </w:r>
      <w:r w:rsidR="007E3139" w:rsidRPr="00BE4D4D">
        <w:rPr>
          <w:i/>
          <w:sz w:val="20"/>
          <w:szCs w:val="20"/>
        </w:rPr>
        <w:t xml:space="preserve">Public Utilities Company </w:t>
      </w:r>
      <w:r w:rsidR="00BE4D4D" w:rsidRPr="00BE4D4D">
        <w:rPr>
          <w:i/>
          <w:sz w:val="20"/>
          <w:szCs w:val="20"/>
        </w:rPr>
        <w:t>–</w:t>
      </w:r>
      <w:r w:rsidR="007E3139" w:rsidRPr="00BE4D4D">
        <w:rPr>
          <w:i/>
          <w:sz w:val="20"/>
          <w:szCs w:val="20"/>
        </w:rPr>
        <w:t xml:space="preserve"> Indiantown</w:t>
      </w:r>
      <w:r w:rsidR="00BE4D4D" w:rsidRPr="00BE4D4D">
        <w:rPr>
          <w:i/>
          <w:sz w:val="20"/>
          <w:szCs w:val="20"/>
        </w:rPr>
        <w:t xml:space="preserve"> </w:t>
      </w:r>
      <w:r w:rsidR="007E3139" w:rsidRPr="00BE4D4D">
        <w:rPr>
          <w:i/>
          <w:sz w:val="20"/>
          <w:szCs w:val="20"/>
        </w:rPr>
        <w:t>Division, Florida Public Utilities Company -</w:t>
      </w:r>
      <w:r w:rsidR="00BE4D4D" w:rsidRPr="00BE4D4D">
        <w:rPr>
          <w:i/>
          <w:sz w:val="20"/>
          <w:szCs w:val="20"/>
        </w:rPr>
        <w:t xml:space="preserve"> </w:t>
      </w:r>
      <w:r w:rsidR="007E3139" w:rsidRPr="00BE4D4D">
        <w:rPr>
          <w:i/>
          <w:sz w:val="20"/>
          <w:szCs w:val="20"/>
        </w:rPr>
        <w:t>Fort Meade, Florida Division of Chesapeake</w:t>
      </w:r>
      <w:r w:rsidR="00BE4D4D" w:rsidRPr="00BE4D4D">
        <w:rPr>
          <w:i/>
          <w:sz w:val="20"/>
          <w:szCs w:val="20"/>
        </w:rPr>
        <w:t xml:space="preserve"> </w:t>
      </w:r>
      <w:r w:rsidR="007E3139" w:rsidRPr="00BE4D4D">
        <w:rPr>
          <w:i/>
          <w:sz w:val="20"/>
          <w:szCs w:val="20"/>
        </w:rPr>
        <w:t>Utilities Corporation</w:t>
      </w:r>
      <w:r w:rsidR="00BE4D4D" w:rsidRPr="00BE4D4D">
        <w:rPr>
          <w:i/>
          <w:sz w:val="20"/>
          <w:szCs w:val="20"/>
        </w:rPr>
        <w:t>.</w:t>
      </w:r>
    </w:p>
  </w:footnote>
  <w:footnote w:id="7">
    <w:p w:rsidR="002C404C" w:rsidRDefault="002C404C">
      <w:pPr>
        <w:pStyle w:val="FootnoteText"/>
      </w:pPr>
      <w:r>
        <w:rPr>
          <w:rStyle w:val="FootnoteReference"/>
        </w:rPr>
        <w:footnoteRef/>
      </w:r>
      <w:r>
        <w:t xml:space="preserve"> </w:t>
      </w:r>
      <w:r w:rsidR="00914FD1">
        <w:t>Exhibit A in Document No. 07608-2021, filed July 8, 2021, in Docket No. 20200194-PU</w:t>
      </w:r>
      <w:r w:rsidR="00D6149D">
        <w:t>.</w:t>
      </w:r>
    </w:p>
  </w:footnote>
  <w:footnote w:id="8">
    <w:p w:rsidR="007D0A53" w:rsidRDefault="007D0A53">
      <w:pPr>
        <w:pStyle w:val="FootnoteText"/>
      </w:pPr>
      <w:r>
        <w:rPr>
          <w:rStyle w:val="FootnoteReference"/>
        </w:rPr>
        <w:footnoteRef/>
      </w:r>
      <w:r>
        <w:t xml:space="preserve"> Order No. PSC-2021-0148-TRF-GU, issued April 22, 2021, in Docket No. 20200214-GU,</w:t>
      </w:r>
      <w:r w:rsidRPr="007D0A53">
        <w:rPr>
          <w:i/>
        </w:rPr>
        <w:t xml:space="preserve"> In re: Joint petition of Florida Public Utilities Company, Florida Public Utilities Company-Indiantown Division, Florida Public Utilities Company-Fort Meade, and the Florida Division of Chesapeake Utilities Corporation for approval of consolidation of tariffs, for modifications to retail choice transportation service programs, and to change the MACC for Florida Public Utilities Company.</w:t>
      </w:r>
    </w:p>
  </w:footnote>
  <w:footnote w:id="9">
    <w:p w:rsidR="000F1F15" w:rsidRDefault="000F1F15">
      <w:pPr>
        <w:pStyle w:val="FootnoteText"/>
      </w:pPr>
      <w:r>
        <w:rPr>
          <w:rStyle w:val="FootnoteReference"/>
        </w:rPr>
        <w:footnoteRef/>
      </w:r>
      <w:r>
        <w:t xml:space="preserve"> Document No. </w:t>
      </w:r>
      <w:r w:rsidR="00E50DC4">
        <w:t>12219-2021.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81486" w:rsidP="00220732">
    <w:pPr>
      <w:pStyle w:val="Header"/>
      <w:tabs>
        <w:tab w:val="clear" w:pos="4320"/>
        <w:tab w:val="clear" w:pos="8640"/>
        <w:tab w:val="right" w:pos="9360"/>
      </w:tabs>
    </w:pPr>
    <w:bookmarkStart w:id="16" w:name="DocketLabel"/>
    <w:r>
      <w:t>Docket No.</w:t>
    </w:r>
    <w:bookmarkEnd w:id="16"/>
    <w:r w:rsidR="00BC402E">
      <w:t xml:space="preserve"> </w:t>
    </w:r>
    <w:bookmarkStart w:id="17" w:name="DocketList"/>
    <w:r>
      <w:t>20210147-GU</w:t>
    </w:r>
    <w:bookmarkEnd w:id="17"/>
  </w:p>
  <w:p w:rsidR="00BC402E" w:rsidRDefault="00BC402E">
    <w:pPr>
      <w:pStyle w:val="Header"/>
    </w:pPr>
    <w:r>
      <w:t xml:space="preserve">Date: </w:t>
    </w:r>
    <w:r w:rsidR="00E34F5A">
      <w:fldChar w:fldCharType="begin"/>
    </w:r>
    <w:r w:rsidR="00E34F5A">
      <w:instrText xml:space="preserve"> REF FilingDate </w:instrText>
    </w:r>
    <w:r w:rsidR="00E34F5A">
      <w:fldChar w:fldCharType="separate"/>
    </w:r>
    <w:r w:rsidR="0000562C">
      <w:t>October 21, 2021</w:t>
    </w:r>
    <w:r w:rsidR="00E34F5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0562C">
      <w:t>Docket No.</w:t>
    </w:r>
    <w:r>
      <w:fldChar w:fldCharType="end"/>
    </w:r>
    <w:r>
      <w:t xml:space="preserve"> </w:t>
    </w:r>
    <w:r>
      <w:fldChar w:fldCharType="begin"/>
    </w:r>
    <w:r>
      <w:instrText xml:space="preserve"> REF DocketList</w:instrText>
    </w:r>
    <w:r>
      <w:fldChar w:fldCharType="separate"/>
    </w:r>
    <w:r w:rsidR="0000562C">
      <w:t>20210147-GU</w:t>
    </w:r>
    <w:r>
      <w:fldChar w:fldCharType="end"/>
    </w:r>
    <w:r>
      <w:tab/>
      <w:t xml:space="preserve">Issue </w:t>
    </w:r>
    <w:fldSimple w:instr=" Seq Issue \c \* Arabic ">
      <w:r w:rsidR="00AA53E9">
        <w:rPr>
          <w:noProof/>
        </w:rPr>
        <w:t>1</w:t>
      </w:r>
    </w:fldSimple>
  </w:p>
  <w:p w:rsidR="00BC402E" w:rsidRDefault="00BC402E">
    <w:pPr>
      <w:pStyle w:val="Header"/>
    </w:pPr>
    <w:r>
      <w:t xml:space="preserve">Date: </w:t>
    </w:r>
    <w:r w:rsidR="00E34F5A">
      <w:fldChar w:fldCharType="begin"/>
    </w:r>
    <w:r w:rsidR="00E34F5A">
      <w:instrText xml:space="preserve"> REF FilingDate </w:instrText>
    </w:r>
    <w:r w:rsidR="00E34F5A">
      <w:fldChar w:fldCharType="separate"/>
    </w:r>
    <w:r w:rsidR="0000562C">
      <w:t>October 21, 2021</w:t>
    </w:r>
    <w:r w:rsidR="00E34F5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F9" w:rsidRDefault="00087EF9" w:rsidP="00220732">
    <w:pPr>
      <w:pStyle w:val="Header"/>
      <w:tabs>
        <w:tab w:val="clear" w:pos="4320"/>
        <w:tab w:val="clear" w:pos="8640"/>
        <w:tab w:val="right" w:pos="9360"/>
      </w:tabs>
    </w:pPr>
    <w:r>
      <w:fldChar w:fldCharType="begin"/>
    </w:r>
    <w:r>
      <w:instrText xml:space="preserve"> REF DocketLabel</w:instrText>
    </w:r>
    <w:r>
      <w:fldChar w:fldCharType="separate"/>
    </w:r>
    <w:r w:rsidR="0000562C">
      <w:t>Docket No.</w:t>
    </w:r>
    <w:r>
      <w:fldChar w:fldCharType="end"/>
    </w:r>
    <w:r>
      <w:t xml:space="preserve"> </w:t>
    </w:r>
    <w:r>
      <w:fldChar w:fldCharType="begin"/>
    </w:r>
    <w:r>
      <w:instrText xml:space="preserve"> REF DocketList</w:instrText>
    </w:r>
    <w:r>
      <w:fldChar w:fldCharType="separate"/>
    </w:r>
    <w:r w:rsidR="0000562C">
      <w:t>20210147-GU</w:t>
    </w:r>
    <w:r>
      <w:fldChar w:fldCharType="end"/>
    </w:r>
    <w:r w:rsidR="008E2317">
      <w:tab/>
    </w:r>
    <w:r>
      <w:t>Attachment A</w:t>
    </w:r>
  </w:p>
  <w:p w:rsidR="00087EF9" w:rsidRDefault="00087EF9" w:rsidP="00B97A6B">
    <w:pPr>
      <w:pStyle w:val="Header"/>
    </w:pPr>
    <w:r>
      <w:t xml:space="preserve">Date: </w:t>
    </w:r>
    <w:fldSimple w:instr=" REF FilingDate ">
      <w:r w:rsidR="0000562C">
        <w:t>October 21, 2021</w:t>
      </w:r>
    </w:fldSimple>
    <w:r w:rsidR="008E2317">
      <w:tab/>
    </w:r>
    <w:r w:rsidR="008E2317">
      <w:tab/>
      <w:t xml:space="preserve">                                        </w:t>
    </w:r>
    <w:r w:rsidR="00B97A6B">
      <w:t xml:space="preserve">                      </w:t>
    </w:r>
    <w:r w:rsidR="008E2317">
      <w:t xml:space="preserve">Page </w:t>
    </w:r>
    <w:r w:rsidR="008E2317">
      <w:fldChar w:fldCharType="begin"/>
    </w:r>
    <w:r w:rsidR="008E2317">
      <w:instrText xml:space="preserve">= </w:instrText>
    </w:r>
    <w:r w:rsidR="008E2317">
      <w:fldChar w:fldCharType="begin"/>
    </w:r>
    <w:r w:rsidR="008E2317">
      <w:instrText>Page</w:instrText>
    </w:r>
    <w:r w:rsidR="008E2317">
      <w:fldChar w:fldCharType="separate"/>
    </w:r>
    <w:r w:rsidR="00AA53E9">
      <w:rPr>
        <w:noProof/>
      </w:rPr>
      <w:instrText>9</w:instrText>
    </w:r>
    <w:r w:rsidR="008E2317">
      <w:fldChar w:fldCharType="end"/>
    </w:r>
    <w:r w:rsidR="008E2317">
      <w:instrText xml:space="preserve">-6 </w:instrText>
    </w:r>
    <w:r w:rsidR="008E2317">
      <w:fldChar w:fldCharType="separate"/>
    </w:r>
    <w:r w:rsidR="00AA53E9">
      <w:rPr>
        <w:noProof/>
      </w:rPr>
      <w:t>3</w:t>
    </w:r>
    <w:r w:rsidR="008E2317">
      <w:fldChar w:fldCharType="end"/>
    </w:r>
    <w:r w:rsidR="008E2317">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81486"/>
    <w:rsid w:val="000043D5"/>
    <w:rsid w:val="0000562C"/>
    <w:rsid w:val="00006170"/>
    <w:rsid w:val="00010E37"/>
    <w:rsid w:val="000172DA"/>
    <w:rsid w:val="000247C5"/>
    <w:rsid w:val="000277C2"/>
    <w:rsid w:val="00035B48"/>
    <w:rsid w:val="00036CE2"/>
    <w:rsid w:val="0003720D"/>
    <w:rsid w:val="000437FE"/>
    <w:rsid w:val="000513BE"/>
    <w:rsid w:val="00065A06"/>
    <w:rsid w:val="000666F3"/>
    <w:rsid w:val="00070DCB"/>
    <w:rsid w:val="00072CCA"/>
    <w:rsid w:val="00073120"/>
    <w:rsid w:val="000764D0"/>
    <w:rsid w:val="000828D3"/>
    <w:rsid w:val="000855D9"/>
    <w:rsid w:val="00087EF9"/>
    <w:rsid w:val="00093777"/>
    <w:rsid w:val="000946B5"/>
    <w:rsid w:val="000A2B57"/>
    <w:rsid w:val="000A418B"/>
    <w:rsid w:val="000C035F"/>
    <w:rsid w:val="000C4431"/>
    <w:rsid w:val="000D1C06"/>
    <w:rsid w:val="000D4319"/>
    <w:rsid w:val="000F1F15"/>
    <w:rsid w:val="000F374A"/>
    <w:rsid w:val="00103E6B"/>
    <w:rsid w:val="001076AF"/>
    <w:rsid w:val="00117C8C"/>
    <w:rsid w:val="00122A52"/>
    <w:rsid w:val="00124C38"/>
    <w:rsid w:val="00124E2E"/>
    <w:rsid w:val="00125ED4"/>
    <w:rsid w:val="001305E9"/>
    <w:rsid w:val="001307AF"/>
    <w:rsid w:val="00135687"/>
    <w:rsid w:val="00141716"/>
    <w:rsid w:val="0015506E"/>
    <w:rsid w:val="00163031"/>
    <w:rsid w:val="00171A90"/>
    <w:rsid w:val="00180254"/>
    <w:rsid w:val="00191E1F"/>
    <w:rsid w:val="00192943"/>
    <w:rsid w:val="001A3E82"/>
    <w:rsid w:val="001A7406"/>
    <w:rsid w:val="001B130D"/>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C404C"/>
    <w:rsid w:val="002C65D2"/>
    <w:rsid w:val="002D226D"/>
    <w:rsid w:val="002D47FE"/>
    <w:rsid w:val="002F6030"/>
    <w:rsid w:val="003037E1"/>
    <w:rsid w:val="00307E51"/>
    <w:rsid w:val="003103EC"/>
    <w:rsid w:val="00311B1D"/>
    <w:rsid w:val="003144EF"/>
    <w:rsid w:val="00322F74"/>
    <w:rsid w:val="00340073"/>
    <w:rsid w:val="0034773A"/>
    <w:rsid w:val="003632FD"/>
    <w:rsid w:val="00372805"/>
    <w:rsid w:val="00373180"/>
    <w:rsid w:val="00375AB9"/>
    <w:rsid w:val="00381973"/>
    <w:rsid w:val="003821A0"/>
    <w:rsid w:val="00385B04"/>
    <w:rsid w:val="003864CF"/>
    <w:rsid w:val="003948AE"/>
    <w:rsid w:val="003A22A6"/>
    <w:rsid w:val="003A5494"/>
    <w:rsid w:val="003B2510"/>
    <w:rsid w:val="003C2CC4"/>
    <w:rsid w:val="003C3710"/>
    <w:rsid w:val="003D59EB"/>
    <w:rsid w:val="003E0EFC"/>
    <w:rsid w:val="003E4A2B"/>
    <w:rsid w:val="003E76C2"/>
    <w:rsid w:val="003F1679"/>
    <w:rsid w:val="003F21EB"/>
    <w:rsid w:val="003F32A3"/>
    <w:rsid w:val="003F4A35"/>
    <w:rsid w:val="003F7FDD"/>
    <w:rsid w:val="00402481"/>
    <w:rsid w:val="004042B4"/>
    <w:rsid w:val="00410DC4"/>
    <w:rsid w:val="00412DAE"/>
    <w:rsid w:val="004135B6"/>
    <w:rsid w:val="004242E6"/>
    <w:rsid w:val="00431598"/>
    <w:rsid w:val="004319AD"/>
    <w:rsid w:val="004426B8"/>
    <w:rsid w:val="00444432"/>
    <w:rsid w:val="00452B30"/>
    <w:rsid w:val="00471860"/>
    <w:rsid w:val="004767C1"/>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17E4F"/>
    <w:rsid w:val="00523B11"/>
    <w:rsid w:val="0052572A"/>
    <w:rsid w:val="00530C3B"/>
    <w:rsid w:val="00532DFB"/>
    <w:rsid w:val="00543CB3"/>
    <w:rsid w:val="005442E4"/>
    <w:rsid w:val="0055529B"/>
    <w:rsid w:val="00560FF0"/>
    <w:rsid w:val="005614BD"/>
    <w:rsid w:val="0057123E"/>
    <w:rsid w:val="0057154F"/>
    <w:rsid w:val="00580F69"/>
    <w:rsid w:val="00581CA3"/>
    <w:rsid w:val="00587A44"/>
    <w:rsid w:val="005972C1"/>
    <w:rsid w:val="00597730"/>
    <w:rsid w:val="005977EC"/>
    <w:rsid w:val="00597DE7"/>
    <w:rsid w:val="005A4AA2"/>
    <w:rsid w:val="005B34B6"/>
    <w:rsid w:val="005B6C8F"/>
    <w:rsid w:val="005B6EC3"/>
    <w:rsid w:val="005C57B5"/>
    <w:rsid w:val="005D0F74"/>
    <w:rsid w:val="005D2E7D"/>
    <w:rsid w:val="005D4A8F"/>
    <w:rsid w:val="005D561B"/>
    <w:rsid w:val="005D5ECF"/>
    <w:rsid w:val="005E05B2"/>
    <w:rsid w:val="005F0ECE"/>
    <w:rsid w:val="005F468D"/>
    <w:rsid w:val="005F69A3"/>
    <w:rsid w:val="00604CC7"/>
    <w:rsid w:val="00615423"/>
    <w:rsid w:val="006165B2"/>
    <w:rsid w:val="00617276"/>
    <w:rsid w:val="0062527B"/>
    <w:rsid w:val="00625D97"/>
    <w:rsid w:val="00625F1C"/>
    <w:rsid w:val="006279E1"/>
    <w:rsid w:val="00630CEB"/>
    <w:rsid w:val="00632264"/>
    <w:rsid w:val="006458A4"/>
    <w:rsid w:val="006470BC"/>
    <w:rsid w:val="006554D3"/>
    <w:rsid w:val="006567E2"/>
    <w:rsid w:val="00667036"/>
    <w:rsid w:val="00673BDB"/>
    <w:rsid w:val="00674341"/>
    <w:rsid w:val="006771B8"/>
    <w:rsid w:val="006843B6"/>
    <w:rsid w:val="0068481F"/>
    <w:rsid w:val="00692124"/>
    <w:rsid w:val="00696F5D"/>
    <w:rsid w:val="00697249"/>
    <w:rsid w:val="006973F5"/>
    <w:rsid w:val="006B09D1"/>
    <w:rsid w:val="006B3947"/>
    <w:rsid w:val="006B4293"/>
    <w:rsid w:val="006B624F"/>
    <w:rsid w:val="006C0C95"/>
    <w:rsid w:val="006C31E3"/>
    <w:rsid w:val="006D18D3"/>
    <w:rsid w:val="006E08CB"/>
    <w:rsid w:val="006E598D"/>
    <w:rsid w:val="0070437D"/>
    <w:rsid w:val="00704CF1"/>
    <w:rsid w:val="00705B04"/>
    <w:rsid w:val="00706D5B"/>
    <w:rsid w:val="00711008"/>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B22"/>
    <w:rsid w:val="007C3D38"/>
    <w:rsid w:val="007D0A53"/>
    <w:rsid w:val="007D0F35"/>
    <w:rsid w:val="007D4FEB"/>
    <w:rsid w:val="007D6146"/>
    <w:rsid w:val="007E0CE7"/>
    <w:rsid w:val="007E3139"/>
    <w:rsid w:val="007F1193"/>
    <w:rsid w:val="007F417F"/>
    <w:rsid w:val="007F7644"/>
    <w:rsid w:val="008042BD"/>
    <w:rsid w:val="00816624"/>
    <w:rsid w:val="00822427"/>
    <w:rsid w:val="00822562"/>
    <w:rsid w:val="00823663"/>
    <w:rsid w:val="00826581"/>
    <w:rsid w:val="00832DDC"/>
    <w:rsid w:val="008464AA"/>
    <w:rsid w:val="0085089C"/>
    <w:rsid w:val="00850BAC"/>
    <w:rsid w:val="00850D3E"/>
    <w:rsid w:val="00854A3E"/>
    <w:rsid w:val="00855D08"/>
    <w:rsid w:val="008661FB"/>
    <w:rsid w:val="00871219"/>
    <w:rsid w:val="00874344"/>
    <w:rsid w:val="00882155"/>
    <w:rsid w:val="0088233B"/>
    <w:rsid w:val="00883F2C"/>
    <w:rsid w:val="0088599E"/>
    <w:rsid w:val="00886C37"/>
    <w:rsid w:val="00892D99"/>
    <w:rsid w:val="00893315"/>
    <w:rsid w:val="008B62AE"/>
    <w:rsid w:val="008C04B5"/>
    <w:rsid w:val="008C0F92"/>
    <w:rsid w:val="008C14FA"/>
    <w:rsid w:val="008C7B0B"/>
    <w:rsid w:val="008D4057"/>
    <w:rsid w:val="008E1F19"/>
    <w:rsid w:val="008E2317"/>
    <w:rsid w:val="008F2262"/>
    <w:rsid w:val="008F4D2B"/>
    <w:rsid w:val="008F7736"/>
    <w:rsid w:val="0090019E"/>
    <w:rsid w:val="00901086"/>
    <w:rsid w:val="00901C8A"/>
    <w:rsid w:val="00905886"/>
    <w:rsid w:val="009070D6"/>
    <w:rsid w:val="009076C6"/>
    <w:rsid w:val="0091019E"/>
    <w:rsid w:val="009106F1"/>
    <w:rsid w:val="00912404"/>
    <w:rsid w:val="009145D6"/>
    <w:rsid w:val="00914FD1"/>
    <w:rsid w:val="00920E64"/>
    <w:rsid w:val="00922002"/>
    <w:rsid w:val="00924020"/>
    <w:rsid w:val="009271A7"/>
    <w:rsid w:val="0093658B"/>
    <w:rsid w:val="009429FF"/>
    <w:rsid w:val="009430BA"/>
    <w:rsid w:val="00945BD6"/>
    <w:rsid w:val="009479FB"/>
    <w:rsid w:val="00951C45"/>
    <w:rsid w:val="00963725"/>
    <w:rsid w:val="009656F2"/>
    <w:rsid w:val="00966A08"/>
    <w:rsid w:val="00971207"/>
    <w:rsid w:val="00975CB4"/>
    <w:rsid w:val="009863B0"/>
    <w:rsid w:val="00987583"/>
    <w:rsid w:val="00987866"/>
    <w:rsid w:val="00987DE1"/>
    <w:rsid w:val="00990571"/>
    <w:rsid w:val="0099673A"/>
    <w:rsid w:val="009A3330"/>
    <w:rsid w:val="009A7C96"/>
    <w:rsid w:val="009B3E7A"/>
    <w:rsid w:val="009C3DB9"/>
    <w:rsid w:val="009D46E5"/>
    <w:rsid w:val="009D472C"/>
    <w:rsid w:val="009D568A"/>
    <w:rsid w:val="009F04EC"/>
    <w:rsid w:val="009F2A7C"/>
    <w:rsid w:val="009F3B36"/>
    <w:rsid w:val="00A019B9"/>
    <w:rsid w:val="00A04EE9"/>
    <w:rsid w:val="00A12508"/>
    <w:rsid w:val="00A1282B"/>
    <w:rsid w:val="00A13A27"/>
    <w:rsid w:val="00A175B6"/>
    <w:rsid w:val="00A21835"/>
    <w:rsid w:val="00A2374B"/>
    <w:rsid w:val="00A25E1A"/>
    <w:rsid w:val="00A27D6E"/>
    <w:rsid w:val="00A328EC"/>
    <w:rsid w:val="00A33A51"/>
    <w:rsid w:val="00A360FE"/>
    <w:rsid w:val="00A41CA6"/>
    <w:rsid w:val="00A47927"/>
    <w:rsid w:val="00A47FFC"/>
    <w:rsid w:val="00A5442F"/>
    <w:rsid w:val="00A54FF9"/>
    <w:rsid w:val="00A56765"/>
    <w:rsid w:val="00A675AC"/>
    <w:rsid w:val="00A7146E"/>
    <w:rsid w:val="00A7581F"/>
    <w:rsid w:val="00A81486"/>
    <w:rsid w:val="00A92FB1"/>
    <w:rsid w:val="00A95A0C"/>
    <w:rsid w:val="00AA2765"/>
    <w:rsid w:val="00AA53E9"/>
    <w:rsid w:val="00AA724B"/>
    <w:rsid w:val="00AA77B5"/>
    <w:rsid w:val="00AB25FB"/>
    <w:rsid w:val="00AB6C5D"/>
    <w:rsid w:val="00AC0C44"/>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97A6B"/>
    <w:rsid w:val="00BA0D55"/>
    <w:rsid w:val="00BA37B3"/>
    <w:rsid w:val="00BA4CC6"/>
    <w:rsid w:val="00BB3493"/>
    <w:rsid w:val="00BB7468"/>
    <w:rsid w:val="00BC188A"/>
    <w:rsid w:val="00BC402E"/>
    <w:rsid w:val="00BD0F48"/>
    <w:rsid w:val="00BD672A"/>
    <w:rsid w:val="00BE4D4D"/>
    <w:rsid w:val="00BE6DDB"/>
    <w:rsid w:val="00BF5010"/>
    <w:rsid w:val="00C03D5F"/>
    <w:rsid w:val="00C13791"/>
    <w:rsid w:val="00C31BB3"/>
    <w:rsid w:val="00C36977"/>
    <w:rsid w:val="00C467DA"/>
    <w:rsid w:val="00C477D9"/>
    <w:rsid w:val="00C60BA3"/>
    <w:rsid w:val="00C623F7"/>
    <w:rsid w:val="00C62A81"/>
    <w:rsid w:val="00C717FD"/>
    <w:rsid w:val="00C721D4"/>
    <w:rsid w:val="00C75BC5"/>
    <w:rsid w:val="00C81670"/>
    <w:rsid w:val="00C81773"/>
    <w:rsid w:val="00C82861"/>
    <w:rsid w:val="00C86896"/>
    <w:rsid w:val="00C907A8"/>
    <w:rsid w:val="00C92B31"/>
    <w:rsid w:val="00C93211"/>
    <w:rsid w:val="00C942EC"/>
    <w:rsid w:val="00C96047"/>
    <w:rsid w:val="00C979D0"/>
    <w:rsid w:val="00CA0818"/>
    <w:rsid w:val="00CA15C8"/>
    <w:rsid w:val="00CA2C8F"/>
    <w:rsid w:val="00CA30DA"/>
    <w:rsid w:val="00CA3A24"/>
    <w:rsid w:val="00CB0D22"/>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6771"/>
    <w:rsid w:val="00D51941"/>
    <w:rsid w:val="00D55F43"/>
    <w:rsid w:val="00D60B16"/>
    <w:rsid w:val="00D60F02"/>
    <w:rsid w:val="00D6149D"/>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3D2B"/>
    <w:rsid w:val="00E02F1F"/>
    <w:rsid w:val="00E06484"/>
    <w:rsid w:val="00E137DA"/>
    <w:rsid w:val="00E20A7D"/>
    <w:rsid w:val="00E275D8"/>
    <w:rsid w:val="00E30F6A"/>
    <w:rsid w:val="00E3117C"/>
    <w:rsid w:val="00E375CA"/>
    <w:rsid w:val="00E50DC4"/>
    <w:rsid w:val="00E52EC4"/>
    <w:rsid w:val="00E5364F"/>
    <w:rsid w:val="00E567E8"/>
    <w:rsid w:val="00E61051"/>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55B5"/>
    <w:rsid w:val="00EC3FBB"/>
    <w:rsid w:val="00EC6B7A"/>
    <w:rsid w:val="00ED3A87"/>
    <w:rsid w:val="00ED5B67"/>
    <w:rsid w:val="00EE67CC"/>
    <w:rsid w:val="00EF038B"/>
    <w:rsid w:val="00EF264C"/>
    <w:rsid w:val="00EF3FEE"/>
    <w:rsid w:val="00F04B59"/>
    <w:rsid w:val="00F11741"/>
    <w:rsid w:val="00F12B1C"/>
    <w:rsid w:val="00F13CF8"/>
    <w:rsid w:val="00F14C3D"/>
    <w:rsid w:val="00F15855"/>
    <w:rsid w:val="00F200B2"/>
    <w:rsid w:val="00F227DC"/>
    <w:rsid w:val="00F26E71"/>
    <w:rsid w:val="00F32978"/>
    <w:rsid w:val="00F45CB2"/>
    <w:rsid w:val="00F544C0"/>
    <w:rsid w:val="00F55332"/>
    <w:rsid w:val="00F6504A"/>
    <w:rsid w:val="00F65519"/>
    <w:rsid w:val="00F713C0"/>
    <w:rsid w:val="00F75DDC"/>
    <w:rsid w:val="00F7792F"/>
    <w:rsid w:val="00F83C05"/>
    <w:rsid w:val="00F842AA"/>
    <w:rsid w:val="00F8476F"/>
    <w:rsid w:val="00F853E1"/>
    <w:rsid w:val="00F85604"/>
    <w:rsid w:val="00F933AE"/>
    <w:rsid w:val="00F94B7A"/>
    <w:rsid w:val="00F96439"/>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0C9ECFC-458F-4941-BDC9-254B3025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83C05"/>
    <w:rPr>
      <w:vertAlign w:val="superscript"/>
    </w:rPr>
  </w:style>
  <w:style w:type="paragraph" w:customStyle="1" w:styleId="OrderBody">
    <w:name w:val="Order Body"/>
    <w:basedOn w:val="Normal"/>
    <w:link w:val="OrderBodyChar"/>
    <w:rsid w:val="006458A4"/>
    <w:pPr>
      <w:jc w:val="both"/>
    </w:pPr>
  </w:style>
  <w:style w:type="character" w:customStyle="1" w:styleId="OrderBodyChar">
    <w:name w:val="Order Body Char"/>
    <w:link w:val="OrderBody"/>
    <w:rsid w:val="006458A4"/>
    <w:rPr>
      <w:sz w:val="24"/>
      <w:szCs w:val="24"/>
    </w:rPr>
  </w:style>
  <w:style w:type="character" w:customStyle="1" w:styleId="BalloonTextChar">
    <w:name w:val="Balloon Text Char"/>
    <w:basedOn w:val="DefaultParagraphFont"/>
    <w:link w:val="BalloonText"/>
    <w:semiHidden/>
    <w:rsid w:val="00645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CFD4-F59A-4E35-8D78-02BC025D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2395</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Andrea Mick</cp:lastModifiedBy>
  <cp:revision>2</cp:revision>
  <cp:lastPrinted>2021-10-21T12:45:00Z</cp:lastPrinted>
  <dcterms:created xsi:type="dcterms:W3CDTF">2021-10-21T13:45:00Z</dcterms:created>
  <dcterms:modified xsi:type="dcterms:W3CDTF">2021-10-21T13:45:00Z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20210147-GU</vt:lpwstr>
  </property>
  <property fmtid="{D5CDD505-2E9C-101B-9397-08002B2CF9AE}" pid="3" name="MasterDocument">
    <vt:bool>false</vt:bool>
  </property>
</Properties>
</file>