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8067C1">
            <w:pPr>
              <w:pStyle w:val="MemoHeading"/>
            </w:pPr>
            <w:bookmarkStart w:id="1" w:name="FilingDate"/>
            <w:r>
              <w:t>October 21, 2021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8067C1" w:rsidRDefault="008067C1">
            <w:pPr>
              <w:pStyle w:val="MemoHeading"/>
            </w:pPr>
            <w:bookmarkStart w:id="2" w:name="From"/>
            <w:r>
              <w:t>Division of Economics (Ward, Coston)</w:t>
            </w:r>
          </w:p>
          <w:p w:rsidR="007C0528" w:rsidRDefault="008067C1">
            <w:pPr>
              <w:pStyle w:val="MemoHeading"/>
            </w:pPr>
            <w:r>
              <w:t>Office of the General Counsel (Sandy)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067C1">
            <w:pPr>
              <w:pStyle w:val="MemoHeadingRe"/>
            </w:pPr>
            <w:bookmarkStart w:id="3" w:name="Re"/>
            <w:r>
              <w:t>Docket No. 20210126-GU – Petition for approval of variance to modify the Sebastian area extension program true-up and extend the amortization period, by Florida City Gas.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067C1">
            <w:pPr>
              <w:pStyle w:val="MemoHeading"/>
            </w:pPr>
            <w:bookmarkStart w:id="4" w:name="AgendaDate"/>
            <w:r>
              <w:t>11/02/21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3F3675">
              <w:t xml:space="preserve">Proposed Agency Action --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067C1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067C1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067C1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8067C1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200D9F" w:rsidRDefault="00A138A2" w:rsidP="00200D9F">
      <w:pPr>
        <w:pStyle w:val="BodyText"/>
      </w:pPr>
      <w:r>
        <w:t>On July 30, 2021, Florida City Gas (FCG</w:t>
      </w:r>
      <w:r w:rsidR="005D2F0D">
        <w:t xml:space="preserve"> or utility</w:t>
      </w:r>
      <w:r>
        <w:t xml:space="preserve">) filed a petition for approval </w:t>
      </w:r>
      <w:r w:rsidR="004C4E47">
        <w:t xml:space="preserve">of variance to </w:t>
      </w:r>
      <w:proofErr w:type="gramStart"/>
      <w:r w:rsidR="004C4E47">
        <w:t>modify</w:t>
      </w:r>
      <w:proofErr w:type="gramEnd"/>
      <w:r w:rsidR="004C4E47">
        <w:t xml:space="preserve"> the Sebastian area extension program (AEP) true-up and extend the amortization period</w:t>
      </w:r>
      <w:r w:rsidR="005D61DA">
        <w:t>.</w:t>
      </w:r>
      <w:r w:rsidR="00CC38C4">
        <w:t xml:space="preserve"> </w:t>
      </w:r>
      <w:r w:rsidR="00200D9F">
        <w:t>Specifically, FCG seeks Commission approval of the following modifications to the Sebastian AEP Project surcharge: (a) waive the year seven true-up and retain the current AEP surcharge subject to future true-ups; (b) extend the amortization period from ten years to fifteen years subject to earlier termination of the AEP surcharge upon full payment of the balance to be recovered through the AEP; and ( c) retain the year nine true-up per the tariff and add true-ups for years thirteen and fourteen.</w:t>
      </w:r>
    </w:p>
    <w:p w:rsidR="005A6A2B" w:rsidRDefault="005D2F0D" w:rsidP="00200D9F">
      <w:pPr>
        <w:pStyle w:val="BodyText"/>
      </w:pPr>
      <w:r>
        <w:t xml:space="preserve">The AEP tariff </w:t>
      </w:r>
      <w:r w:rsidR="004C4E47">
        <w:t xml:space="preserve">was </w:t>
      </w:r>
      <w:r w:rsidR="002010A0">
        <w:t xml:space="preserve">first </w:t>
      </w:r>
      <w:r w:rsidR="004C4E47">
        <w:t xml:space="preserve">approved by the Commission in 1995 and </w:t>
      </w:r>
      <w:r>
        <w:t xml:space="preserve">is designed to provide FCG with an optional method to recover its </w:t>
      </w:r>
      <w:r w:rsidR="008F5537">
        <w:t xml:space="preserve">capital </w:t>
      </w:r>
      <w:r>
        <w:t>investment</w:t>
      </w:r>
      <w:r w:rsidR="00FA50C6">
        <w:t xml:space="preserve"> to extend distribution facilities</w:t>
      </w:r>
      <w:r>
        <w:t xml:space="preserve"> to </w:t>
      </w:r>
      <w:r>
        <w:lastRenderedPageBreak/>
        <w:t xml:space="preserve">provide natural gas service to </w:t>
      </w:r>
      <w:r w:rsidR="008F5537">
        <w:t xml:space="preserve">new </w:t>
      </w:r>
      <w:r>
        <w:t>customers in a discrete geographic area</w:t>
      </w:r>
      <w:r w:rsidR="006F6B2C">
        <w:t>.</w:t>
      </w:r>
      <w:r>
        <w:rPr>
          <w:rStyle w:val="FootnoteReference"/>
        </w:rPr>
        <w:footnoteReference w:id="1"/>
      </w:r>
      <w:r w:rsidR="004F150D">
        <w:t xml:space="preserve"> </w:t>
      </w:r>
      <w:r>
        <w:t xml:space="preserve">The </w:t>
      </w:r>
      <w:r w:rsidR="00FB06C0">
        <w:t xml:space="preserve">AEP </w:t>
      </w:r>
      <w:r>
        <w:t xml:space="preserve">tariff </w:t>
      </w:r>
      <w:r w:rsidR="00FB06C0">
        <w:t xml:space="preserve">provides an alternative option for FCG to recover the cost of main extensions as required by </w:t>
      </w:r>
      <w:r w:rsidR="00497D10">
        <w:t>Rule 25-7.054,</w:t>
      </w:r>
      <w:r w:rsidR="00D15BBA">
        <w:t xml:space="preserve"> Extension of Facilities,</w:t>
      </w:r>
      <w:r w:rsidR="00497D10">
        <w:t xml:space="preserve"> </w:t>
      </w:r>
      <w:proofErr w:type="gramStart"/>
      <w:r w:rsidR="00497D10">
        <w:t>Florida</w:t>
      </w:r>
      <w:proofErr w:type="gramEnd"/>
      <w:r w:rsidR="00497D10">
        <w:t xml:space="preserve"> Administrative Code (F.A.C.)</w:t>
      </w:r>
      <w:r>
        <w:t>.</w:t>
      </w:r>
      <w:r w:rsidR="00497D10">
        <w:t xml:space="preserve"> </w:t>
      </w:r>
    </w:p>
    <w:p w:rsidR="003F3675" w:rsidRDefault="005A6A2B" w:rsidP="003F3675">
      <w:pPr>
        <w:pStyle w:val="BodyText"/>
      </w:pPr>
      <w:r>
        <w:t xml:space="preserve">The AEP tariff provides for the determination of a </w:t>
      </w:r>
      <w:r w:rsidR="00FA50C6">
        <w:t>sur</w:t>
      </w:r>
      <w:r>
        <w:t>charge applicable to all gas customers located in the</w:t>
      </w:r>
      <w:r w:rsidR="005D2F0D">
        <w:t xml:space="preserve"> specified</w:t>
      </w:r>
      <w:r>
        <w:t xml:space="preserve"> geographic area over a 10-year amortization period</w:t>
      </w:r>
      <w:r w:rsidR="003F3675">
        <w:t>.</w:t>
      </w:r>
      <w:r w:rsidR="003F3675" w:rsidDel="003F3675">
        <w:t xml:space="preserve"> The</w:t>
      </w:r>
      <w:r w:rsidR="003F3675">
        <w:t xml:space="preserve"> tariff requires FCG to recalculate and true-up the AEP </w:t>
      </w:r>
      <w:r w:rsidR="00FA50C6">
        <w:t>sur</w:t>
      </w:r>
      <w:r w:rsidR="003F3675">
        <w:t>charge on the third anniversary of the in</w:t>
      </w:r>
      <w:r w:rsidR="00FA50C6">
        <w:t>-</w:t>
      </w:r>
      <w:r w:rsidR="006F6B2C">
        <w:t>service</w:t>
      </w:r>
      <w:r w:rsidR="003F3675">
        <w:t xml:space="preserve"> date, or on the date when 80 percent of the originally forecast</w:t>
      </w:r>
      <w:r w:rsidR="00625362">
        <w:t>ed</w:t>
      </w:r>
      <w:r w:rsidR="003F3675">
        <w:t xml:space="preserve"> annual load is connected, whichever comes first.</w:t>
      </w:r>
      <w:r w:rsidR="00F45CE2">
        <w:t xml:space="preserve"> The recalculated AEP surcharge is applied prospectively over the remainder of the </w:t>
      </w:r>
      <w:r w:rsidR="00A14C56">
        <w:t>amortization</w:t>
      </w:r>
      <w:r w:rsidR="00F45CE2">
        <w:t xml:space="preserve"> period.</w:t>
      </w:r>
      <w:r w:rsidR="003F3675">
        <w:t xml:space="preserve"> In addition, </w:t>
      </w:r>
      <w:r w:rsidR="004F150D">
        <w:t xml:space="preserve">the AEP tariff provides for </w:t>
      </w:r>
      <w:r w:rsidR="003F3675">
        <w:t>true-up</w:t>
      </w:r>
      <w:r w:rsidR="004F150D">
        <w:t>s</w:t>
      </w:r>
      <w:r w:rsidR="003F3675">
        <w:t xml:space="preserve"> on the fifth, seventh and ninth anniversary of the in</w:t>
      </w:r>
      <w:r w:rsidR="004F150D">
        <w:t>-</w:t>
      </w:r>
      <w:r w:rsidR="003F3675">
        <w:t>service date</w:t>
      </w:r>
      <w:r w:rsidR="004F150D">
        <w:t xml:space="preserve"> of an AEP project</w:t>
      </w:r>
      <w:r w:rsidR="00D46D8C">
        <w:t>.</w:t>
      </w:r>
      <w:r w:rsidR="004F150D">
        <w:t xml:space="preserve"> The requirement to include true-ups on the fifth, seventh and ninth anniversary of the in-service date was approved in FCG’s 2018 rate case.</w:t>
      </w:r>
      <w:r w:rsidR="004F150D">
        <w:rPr>
          <w:rStyle w:val="FootnoteReference"/>
        </w:rPr>
        <w:footnoteReference w:id="2"/>
      </w:r>
      <w:r w:rsidR="00F45CE2">
        <w:t xml:space="preserve"> </w:t>
      </w:r>
    </w:p>
    <w:p w:rsidR="005D61DA" w:rsidRDefault="003F3675">
      <w:pPr>
        <w:pStyle w:val="BodyText"/>
      </w:pPr>
      <w:r>
        <w:t xml:space="preserve">The AEP </w:t>
      </w:r>
      <w:r w:rsidR="00FA50C6">
        <w:t>sur</w:t>
      </w:r>
      <w:r>
        <w:t>charge is applied on a per</w:t>
      </w:r>
      <w:r w:rsidR="00FA50C6">
        <w:t>-</w:t>
      </w:r>
      <w:proofErr w:type="spellStart"/>
      <w:r>
        <w:t>therm</w:t>
      </w:r>
      <w:proofErr w:type="spellEnd"/>
      <w:r>
        <w:t xml:space="preserve"> basis in addition to all other tariffed charges. The AEP </w:t>
      </w:r>
      <w:r w:rsidR="00625362">
        <w:t>sur</w:t>
      </w:r>
      <w:r>
        <w:t>charge is calculated by a formula based on the amount of investment required and the projected gas sales and resulting revenues collected from customer</w:t>
      </w:r>
      <w:r w:rsidR="00FA50C6">
        <w:t>s</w:t>
      </w:r>
      <w:r>
        <w:t xml:space="preserve"> in the AEP area. The AEP tariff specifies the formula to calculate the </w:t>
      </w:r>
      <w:r w:rsidR="00F45CE2">
        <w:t>sur</w:t>
      </w:r>
      <w:r>
        <w:t>charge</w:t>
      </w:r>
      <w:r w:rsidR="006F6B2C">
        <w:t xml:space="preserve"> and</w:t>
      </w:r>
      <w:r>
        <w:t xml:space="preserve"> the AEP </w:t>
      </w:r>
      <w:r w:rsidR="00FA50C6">
        <w:t>sur</w:t>
      </w:r>
      <w:r>
        <w:t>charge itself does not require Commission approval.</w:t>
      </w:r>
      <w:r w:rsidR="001F15A1" w:rsidRPr="001F15A1">
        <w:t xml:space="preserve"> </w:t>
      </w:r>
      <w:r w:rsidR="001F15A1">
        <w:t>The AEP tariff includes a provision that the length of the</w:t>
      </w:r>
      <w:r w:rsidR="00FA50C6">
        <w:t xml:space="preserve"> 10-year</w:t>
      </w:r>
      <w:r w:rsidR="001F15A1">
        <w:t xml:space="preserve"> amortization period may be modified upon Commission approval.</w:t>
      </w:r>
    </w:p>
    <w:p w:rsidR="005A6A2B" w:rsidRDefault="003F3675">
      <w:pPr>
        <w:pStyle w:val="BodyText"/>
      </w:pPr>
      <w:r>
        <w:t xml:space="preserve">Staff issued </w:t>
      </w:r>
      <w:r w:rsidR="001F15A1">
        <w:t>two</w:t>
      </w:r>
      <w:r>
        <w:t xml:space="preserve"> data request</w:t>
      </w:r>
      <w:r w:rsidR="001F15A1">
        <w:t>s</w:t>
      </w:r>
      <w:r>
        <w:t xml:space="preserve"> in this docket, for which </w:t>
      </w:r>
      <w:r w:rsidR="006C26E8">
        <w:t>FCG responded on August 25, 2021</w:t>
      </w:r>
      <w:r w:rsidR="001F15A1">
        <w:t xml:space="preserve"> and on October 14, 2021</w:t>
      </w:r>
      <w:r w:rsidR="006C26E8">
        <w:t xml:space="preserve">. </w:t>
      </w:r>
      <w:r w:rsidR="002A5BEC">
        <w:t>The Commission has jurisdiction over this matter pursuant to Sections 366.04, 366.05, 366.06, Florida Statutes (F.S.).</w:t>
      </w:r>
    </w:p>
    <w:p w:rsidR="0068481F" w:rsidRDefault="005A6A2B">
      <w:pPr>
        <w:pStyle w:val="BodyText"/>
      </w:pPr>
      <w:r>
        <w:t xml:space="preserve"> </w:t>
      </w: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611D1A" w:rsidRDefault="00611D1A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985F1E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85F1E">
        <w:rPr>
          <w:noProof/>
        </w:rPr>
        <w:instrText>1</w:instrText>
      </w:r>
      <w:r>
        <w:fldChar w:fldCharType="end"/>
      </w:r>
      <w:r>
        <w:tab/>
        <w:instrText xml:space="preserve">(Ward)" \l 1 </w:instrText>
      </w:r>
      <w:r>
        <w:fldChar w:fldCharType="end"/>
      </w:r>
      <w:r>
        <w:t> </w:t>
      </w:r>
    </w:p>
    <w:p w:rsidR="00611D1A" w:rsidRDefault="002A5BEC">
      <w:pPr>
        <w:pStyle w:val="BodyText"/>
      </w:pPr>
      <w:r>
        <w:t xml:space="preserve"> Should the Commission approve FCG’s proposed </w:t>
      </w:r>
      <w:r w:rsidR="009D2485">
        <w:t xml:space="preserve">AEP tariff </w:t>
      </w:r>
      <w:r>
        <w:t xml:space="preserve">variance to modify the Sebastian AEP </w:t>
      </w:r>
      <w:r w:rsidR="009D2485">
        <w:t xml:space="preserve">Project </w:t>
      </w:r>
      <w:r>
        <w:t>true-up</w:t>
      </w:r>
      <w:r w:rsidR="006F6B2C">
        <w:t xml:space="preserve"> timeline</w:t>
      </w:r>
      <w:r>
        <w:t xml:space="preserve"> and extend the amortization period?</w:t>
      </w:r>
    </w:p>
    <w:p w:rsidR="00611D1A" w:rsidRPr="004C3641" w:rsidRDefault="00611D1A">
      <w:pPr>
        <w:pStyle w:val="IssueSubsectionHeading"/>
        <w:rPr>
          <w:vanish/>
          <w:specVanish/>
        </w:rPr>
      </w:pPr>
      <w:r w:rsidRPr="004C3641">
        <w:t>Recommendation: </w:t>
      </w:r>
    </w:p>
    <w:p w:rsidR="00611D1A" w:rsidRDefault="00611D1A">
      <w:pPr>
        <w:pStyle w:val="BodyText"/>
      </w:pPr>
      <w:r>
        <w:t> Yes</w:t>
      </w:r>
      <w:r w:rsidR="002A5BEC">
        <w:t xml:space="preserve">, </w:t>
      </w:r>
      <w:r w:rsidR="009D2485">
        <w:t>the Commission should approve FCG’s tariff variance request to waive the year seven true-up</w:t>
      </w:r>
      <w:r w:rsidR="00D015D9">
        <w:t xml:space="preserve"> </w:t>
      </w:r>
      <w:r w:rsidR="0006421D">
        <w:t>requirement</w:t>
      </w:r>
      <w:r w:rsidR="009D2485">
        <w:t xml:space="preserve">, extend the amortization period </w:t>
      </w:r>
      <w:r w:rsidR="00D015D9">
        <w:t>from ten years to fifteen years</w:t>
      </w:r>
      <w:r w:rsidR="009D2485">
        <w:t>, and add a</w:t>
      </w:r>
      <w:r w:rsidR="00D015D9">
        <w:t>dditional</w:t>
      </w:r>
      <w:r w:rsidR="009D2485">
        <w:t xml:space="preserve"> true-up</w:t>
      </w:r>
      <w:r w:rsidR="00D015D9">
        <w:t xml:space="preserve"> requirements</w:t>
      </w:r>
      <w:r w:rsidR="009D2485">
        <w:t xml:space="preserve"> to years thirteen and fourteen for the Sebastian AEP </w:t>
      </w:r>
      <w:r w:rsidR="00BF26E1">
        <w:t>P</w:t>
      </w:r>
      <w:r w:rsidR="009D2485">
        <w:t>roject.</w:t>
      </w:r>
      <w:r>
        <w:t xml:space="preserve"> (Ward</w:t>
      </w:r>
      <w:r w:rsidR="00F356C5">
        <w:t>, Coston</w:t>
      </w:r>
      <w:r>
        <w:t>)</w:t>
      </w:r>
    </w:p>
    <w:p w:rsidR="00611D1A" w:rsidRPr="004C3641" w:rsidRDefault="00611D1A">
      <w:pPr>
        <w:pStyle w:val="IssueSubsectionHeading"/>
        <w:rPr>
          <w:vanish/>
          <w:specVanish/>
        </w:rPr>
      </w:pPr>
      <w:r w:rsidRPr="004C3641">
        <w:t>Staff Analysis: </w:t>
      </w:r>
    </w:p>
    <w:p w:rsidR="008754B6" w:rsidRDefault="00127332" w:rsidP="00E275D8">
      <w:pPr>
        <w:pStyle w:val="BodyText"/>
      </w:pPr>
      <w:r>
        <w:t> </w:t>
      </w:r>
      <w:r w:rsidR="00E70B6E">
        <w:t>In December of 2014</w:t>
      </w:r>
      <w:r w:rsidR="009D2485">
        <w:t>,</w:t>
      </w:r>
      <w:r w:rsidR="00E70B6E">
        <w:t xml:space="preserve"> FCG placed the Sebastian AEP </w:t>
      </w:r>
      <w:r w:rsidR="00BF26E1">
        <w:t>P</w:t>
      </w:r>
      <w:r w:rsidR="00E70B6E">
        <w:t xml:space="preserve">roject in-service. The Sebastian AEP </w:t>
      </w:r>
      <w:r w:rsidR="00BF26E1">
        <w:t>P</w:t>
      </w:r>
      <w:r w:rsidR="00E70B6E">
        <w:t xml:space="preserve">roject was designed to serve commercial and industrial customers in the Sebastian-Vero Beach area, as well as to serve additional residential, commercial, and industrial customers that the utility anticipated to connect to the Sebastian AEP </w:t>
      </w:r>
      <w:r w:rsidR="003972C9">
        <w:t>P</w:t>
      </w:r>
      <w:r w:rsidR="00E70B6E">
        <w:t>roject over time</w:t>
      </w:r>
      <w:r w:rsidR="0007260E">
        <w:t xml:space="preserve">. </w:t>
      </w:r>
      <w:r w:rsidR="00D015D9">
        <w:t xml:space="preserve">At the onset, the </w:t>
      </w:r>
      <w:r w:rsidR="0006421D">
        <w:t>qualifying</w:t>
      </w:r>
      <w:r w:rsidR="00D015D9">
        <w:t xml:space="preserve"> AEP </w:t>
      </w:r>
      <w:r w:rsidR="0006421D">
        <w:t>extension</w:t>
      </w:r>
      <w:r w:rsidR="00D015D9">
        <w:t xml:space="preserve"> project was estimated to be</w:t>
      </w:r>
      <w:r w:rsidR="009166AB">
        <w:t xml:space="preserve"> an additional</w:t>
      </w:r>
      <w:r w:rsidR="00D015D9">
        <w:t xml:space="preserve"> $1,22</w:t>
      </w:r>
      <w:r w:rsidR="009166AB">
        <w:t>4</w:t>
      </w:r>
      <w:r w:rsidR="00D015D9">
        <w:t>,</w:t>
      </w:r>
      <w:r w:rsidR="009166AB">
        <w:t xml:space="preserve">318 </w:t>
      </w:r>
      <w:r w:rsidR="006F6B2C">
        <w:t>above</w:t>
      </w:r>
      <w:r w:rsidR="009166AB">
        <w:t xml:space="preserve"> the </w:t>
      </w:r>
      <w:r w:rsidR="00067B17">
        <w:t>utility’s</w:t>
      </w:r>
      <w:r w:rsidR="009166AB">
        <w:t xml:space="preserve"> </w:t>
      </w:r>
      <w:r w:rsidR="00067B17">
        <w:t>Maximum Authorized Construction Contribution (</w:t>
      </w:r>
      <w:r w:rsidR="009166AB">
        <w:t>MACC</w:t>
      </w:r>
      <w:r w:rsidR="00067B17">
        <w:t>)</w:t>
      </w:r>
      <w:r w:rsidR="009166AB">
        <w:t xml:space="preserve"> allowance.</w:t>
      </w:r>
      <w:r w:rsidR="008754B6">
        <w:rPr>
          <w:rStyle w:val="FootnoteReference"/>
        </w:rPr>
        <w:footnoteReference w:id="3"/>
      </w:r>
      <w:r w:rsidR="006B0D22">
        <w:t xml:space="preserve"> This amount would be the responsibility of the new customers subscribing to the extension project.</w:t>
      </w:r>
      <w:r w:rsidR="00D015D9">
        <w:t xml:space="preserve"> </w:t>
      </w:r>
      <w:r w:rsidR="009166AB">
        <w:t xml:space="preserve">The utility stated that the original surcharge was calculated based on </w:t>
      </w:r>
      <w:r w:rsidR="006B0D22">
        <w:t xml:space="preserve">having </w:t>
      </w:r>
      <w:r w:rsidR="009166AB">
        <w:t>80 new customers</w:t>
      </w:r>
      <w:r w:rsidR="006B0D22">
        <w:t xml:space="preserve"> and </w:t>
      </w:r>
      <w:r w:rsidR="005E48AD">
        <w:t>approximately</w:t>
      </w:r>
      <w:r w:rsidR="006B0D22">
        <w:t xml:space="preserve"> 808,900 annual </w:t>
      </w:r>
      <w:proofErr w:type="spellStart"/>
      <w:r w:rsidR="006B0D22">
        <w:t>therm</w:t>
      </w:r>
      <w:proofErr w:type="spellEnd"/>
      <w:r w:rsidR="006B0D22">
        <w:t xml:space="preserve"> sales by the tenth and final year of the </w:t>
      </w:r>
      <w:r w:rsidR="0006421D">
        <w:t>amortization</w:t>
      </w:r>
      <w:r w:rsidR="009166AB">
        <w:t xml:space="preserve"> period.  </w:t>
      </w:r>
    </w:p>
    <w:p w:rsidR="00611D1A" w:rsidRDefault="009166AB" w:rsidP="00E275D8">
      <w:pPr>
        <w:pStyle w:val="BodyText"/>
      </w:pPr>
      <w:r>
        <w:t xml:space="preserve">However, as of July 30, 2021, the utility only had 48 customers paying the </w:t>
      </w:r>
      <w:r w:rsidR="00067B17">
        <w:t xml:space="preserve">AEP </w:t>
      </w:r>
      <w:r w:rsidR="00FA50C6">
        <w:t>sur</w:t>
      </w:r>
      <w:r>
        <w:t>charge</w:t>
      </w:r>
      <w:r w:rsidR="006F6B2C">
        <w:t>.</w:t>
      </w:r>
      <w:r>
        <w:t xml:space="preserve"> In addition, t</w:t>
      </w:r>
      <w:r w:rsidR="0007260E" w:rsidRPr="0007260E">
        <w:t xml:space="preserve">he utility stated that as of May 31, 2021, there is a remaining balance of $1,094,587 </w:t>
      </w:r>
      <w:r w:rsidR="00A764F9">
        <w:t>to be recovered through the AEP by the end of the ten-year amortization period.</w:t>
      </w:r>
      <w:r w:rsidR="0007260E" w:rsidRPr="0007260E">
        <w:t xml:space="preserve"> </w:t>
      </w:r>
      <w:r w:rsidR="000E7A34">
        <w:t xml:space="preserve">FCG </w:t>
      </w:r>
      <w:r w:rsidR="008754B6">
        <w:t xml:space="preserve">stated that the rate of new customer growth and conversion to natural gas along this </w:t>
      </w:r>
      <w:r w:rsidR="005E48AD">
        <w:t>extension</w:t>
      </w:r>
      <w:r w:rsidR="008754B6">
        <w:t xml:space="preserve"> has been slower </w:t>
      </w:r>
      <w:r w:rsidR="005E48AD">
        <w:t>than the original forecast</w:t>
      </w:r>
      <w:r w:rsidR="008754B6">
        <w:t xml:space="preserve">. The </w:t>
      </w:r>
      <w:r w:rsidR="005E48AD">
        <w:t>utility</w:t>
      </w:r>
      <w:r w:rsidR="008754B6">
        <w:t xml:space="preserve"> highlighted that one large commercial customer (which accounted for 29 percent of the </w:t>
      </w:r>
      <w:r w:rsidR="005E48AD">
        <w:t>original</w:t>
      </w:r>
      <w:r w:rsidR="008754B6">
        <w:t xml:space="preserve"> </w:t>
      </w:r>
      <w:r w:rsidR="005E48AD">
        <w:t>forecasted</w:t>
      </w:r>
      <w:r w:rsidR="008754B6">
        <w:t xml:space="preserve"> volume) was delayed, resulting in lower revenues during the first six years of the </w:t>
      </w:r>
      <w:r w:rsidR="005E48AD">
        <w:t>amortization</w:t>
      </w:r>
      <w:r w:rsidR="008754B6">
        <w:t xml:space="preserve"> period. In addition, FCG noted that the </w:t>
      </w:r>
      <w:r w:rsidR="005E48AD">
        <w:t>economic</w:t>
      </w:r>
      <w:r w:rsidR="008754B6">
        <w:t xml:space="preserve"> </w:t>
      </w:r>
      <w:r w:rsidR="005E48AD">
        <w:t>impact</w:t>
      </w:r>
      <w:r w:rsidR="008754B6">
        <w:t xml:space="preserve"> of the COVID-19 pandemic </w:t>
      </w:r>
      <w:r w:rsidR="00D46D8C">
        <w:t>has contributed</w:t>
      </w:r>
      <w:r w:rsidR="008754B6">
        <w:t xml:space="preserve"> to the lower than expected growth and sales forecast.</w:t>
      </w:r>
    </w:p>
    <w:p w:rsidR="000E7A34" w:rsidRDefault="000E7A34" w:rsidP="00E275D8">
      <w:pPr>
        <w:pStyle w:val="BodyText"/>
      </w:pPr>
      <w:r w:rsidRPr="00E66816">
        <w:t xml:space="preserve">In response to </w:t>
      </w:r>
      <w:r w:rsidR="00021B27" w:rsidRPr="00E66816">
        <w:t>s</w:t>
      </w:r>
      <w:r w:rsidRPr="00E66816">
        <w:t>taff’s second data request</w:t>
      </w:r>
      <w:r w:rsidR="00021B27" w:rsidRPr="00E66816">
        <w:t>,</w:t>
      </w:r>
      <w:r w:rsidRPr="00E66816">
        <w:t xml:space="preserve"> FCG </w:t>
      </w:r>
      <w:r w:rsidR="00021B27" w:rsidRPr="00E66816">
        <w:t>explained</w:t>
      </w:r>
      <w:r w:rsidRPr="00E66816">
        <w:t xml:space="preserve"> that</w:t>
      </w:r>
      <w:r w:rsidR="00021B27" w:rsidRPr="00E66816">
        <w:t xml:space="preserve"> the utility reassessed the Sebastian AEP </w:t>
      </w:r>
      <w:r w:rsidR="00330FA1" w:rsidRPr="00E66816">
        <w:t>surcharge on the third and fifth</w:t>
      </w:r>
      <w:r w:rsidR="00021B27" w:rsidRPr="00E66816">
        <w:t xml:space="preserve"> anniversary of the in</w:t>
      </w:r>
      <w:r w:rsidR="00511B30" w:rsidRPr="00E66816">
        <w:t>-</w:t>
      </w:r>
      <w:r w:rsidR="00021B27" w:rsidRPr="00E66816">
        <w:t>service date as required by the AEP tariff. FCG stated that</w:t>
      </w:r>
      <w:r w:rsidRPr="00E66816">
        <w:t xml:space="preserve"> </w:t>
      </w:r>
      <w:r w:rsidR="001166F7" w:rsidRPr="00E66816">
        <w:t xml:space="preserve">they did not </w:t>
      </w:r>
      <w:r w:rsidR="00021B27" w:rsidRPr="00E66816">
        <w:t>revise</w:t>
      </w:r>
      <w:r w:rsidR="000D1DA0" w:rsidRPr="00E66816">
        <w:t xml:space="preserve"> the AEP </w:t>
      </w:r>
      <w:r w:rsidR="00021B27" w:rsidRPr="00E66816">
        <w:t>sur</w:t>
      </w:r>
      <w:r w:rsidR="000D1DA0" w:rsidRPr="00E66816">
        <w:t xml:space="preserve">charge </w:t>
      </w:r>
      <w:r w:rsidR="00021B27" w:rsidRPr="00E66816">
        <w:t>at those times</w:t>
      </w:r>
      <w:r w:rsidR="000D1DA0" w:rsidRPr="00E66816">
        <w:t xml:space="preserve"> because</w:t>
      </w:r>
      <w:r w:rsidR="00021B27" w:rsidRPr="00E66816">
        <w:t xml:space="preserve">, based on the information available, </w:t>
      </w:r>
      <w:r w:rsidR="000D1DA0" w:rsidRPr="00E66816">
        <w:t>the</w:t>
      </w:r>
      <w:r w:rsidR="00021B27" w:rsidRPr="00E66816">
        <w:t xml:space="preserve"> utility</w:t>
      </w:r>
      <w:r w:rsidR="000D1DA0" w:rsidRPr="00E66816">
        <w:t xml:space="preserve"> forecasted customer growth and conversion to natural gas shortly after those true-up years. </w:t>
      </w:r>
      <w:r w:rsidR="00496CC7" w:rsidRPr="00E66816">
        <w:t>However, FCG stated that new customer growth and conversion to natural gas did not materialize</w:t>
      </w:r>
      <w:r w:rsidR="00A94EB7" w:rsidRPr="00E66816">
        <w:t xml:space="preserve"> as expected</w:t>
      </w:r>
      <w:r w:rsidR="00496CC7" w:rsidRPr="00E66816">
        <w:t xml:space="preserve"> after t</w:t>
      </w:r>
      <w:r w:rsidR="00D771CC" w:rsidRPr="00E66816">
        <w:t>he year three and five true-ups.</w:t>
      </w:r>
    </w:p>
    <w:p w:rsidR="00FD4AAE" w:rsidRDefault="0007260E" w:rsidP="00E275D8">
      <w:pPr>
        <w:pStyle w:val="BodyText"/>
      </w:pPr>
      <w:r>
        <w:t>As required by</w:t>
      </w:r>
      <w:r w:rsidR="00F87B42">
        <w:t xml:space="preserve"> </w:t>
      </w:r>
      <w:r w:rsidR="009166AB">
        <w:t xml:space="preserve">the </w:t>
      </w:r>
      <w:r w:rsidR="00F87B42">
        <w:t xml:space="preserve">AEP tariff, the </w:t>
      </w:r>
      <w:r w:rsidR="006F6B2C">
        <w:t>year seven</w:t>
      </w:r>
      <w:r w:rsidR="009166AB">
        <w:t xml:space="preserve"> true-up </w:t>
      </w:r>
      <w:r w:rsidR="00F87B42">
        <w:t xml:space="preserve">for the Sebastian Project </w:t>
      </w:r>
      <w:r>
        <w:t xml:space="preserve">is due </w:t>
      </w:r>
      <w:r w:rsidR="00F87B42">
        <w:t>in December 2021.</w:t>
      </w:r>
      <w:r w:rsidR="00D5147E">
        <w:t xml:space="preserve"> FCG explained that</w:t>
      </w:r>
      <w:r w:rsidR="006F6B2C">
        <w:t xml:space="preserve"> in</w:t>
      </w:r>
      <w:r w:rsidR="00912FD9">
        <w:t xml:space="preserve"> </w:t>
      </w:r>
      <w:r w:rsidR="00D5147E">
        <w:t>re</w:t>
      </w:r>
      <w:r w:rsidR="00912FD9">
        <w:t>calculating the year seven</w:t>
      </w:r>
      <w:r w:rsidR="006F6B2C">
        <w:t xml:space="preserve"> </w:t>
      </w:r>
      <w:r w:rsidR="00912FD9">
        <w:t>true-up</w:t>
      </w:r>
      <w:r w:rsidR="006F6B2C">
        <w:t xml:space="preserve"> amount</w:t>
      </w:r>
      <w:r w:rsidR="0006421D">
        <w:t>,</w:t>
      </w:r>
      <w:r w:rsidR="00912FD9">
        <w:t xml:space="preserve"> </w:t>
      </w:r>
      <w:r w:rsidR="00D5147E">
        <w:t xml:space="preserve">the AEP </w:t>
      </w:r>
      <w:r w:rsidR="00F45CE2">
        <w:t>sur</w:t>
      </w:r>
      <w:r w:rsidR="00D5147E">
        <w:t>charg</w:t>
      </w:r>
      <w:r w:rsidR="00A764F9">
        <w:t>e would increase from the current $0.4638</w:t>
      </w:r>
      <w:r w:rsidR="00067B17">
        <w:t xml:space="preserve"> per </w:t>
      </w:r>
      <w:proofErr w:type="spellStart"/>
      <w:r w:rsidR="00A764F9">
        <w:t>therm</w:t>
      </w:r>
      <w:proofErr w:type="spellEnd"/>
      <w:r w:rsidR="00A764F9">
        <w:t xml:space="preserve"> to</w:t>
      </w:r>
      <w:r w:rsidR="00D5147E">
        <w:t xml:space="preserve"> $1.3851</w:t>
      </w:r>
      <w:r w:rsidR="00067B17">
        <w:t xml:space="preserve"> per </w:t>
      </w:r>
      <w:proofErr w:type="spellStart"/>
      <w:r w:rsidR="00D5147E">
        <w:t>therm</w:t>
      </w:r>
      <w:proofErr w:type="spellEnd"/>
      <w:r w:rsidR="00A764F9">
        <w:t>,</w:t>
      </w:r>
      <w:r w:rsidR="006F6B2C">
        <w:t xml:space="preserve"> or an approximate 197 percent increase,</w:t>
      </w:r>
      <w:r w:rsidR="00A764F9">
        <w:t xml:space="preserve"> which would be applied to </w:t>
      </w:r>
      <w:r w:rsidR="00067B17">
        <w:t xml:space="preserve">the bills of </w:t>
      </w:r>
      <w:r w:rsidR="00DA03BE">
        <w:t xml:space="preserve">the </w:t>
      </w:r>
      <w:r w:rsidR="00067B17">
        <w:t xml:space="preserve">Sebastian AEP </w:t>
      </w:r>
      <w:r w:rsidR="00A764F9">
        <w:t>customer</w:t>
      </w:r>
      <w:r w:rsidR="00067B17">
        <w:t>s</w:t>
      </w:r>
      <w:r w:rsidR="00A764F9">
        <w:t xml:space="preserve"> from January 2022 through December 2024</w:t>
      </w:r>
      <w:r w:rsidR="008754B6">
        <w:t xml:space="preserve">. FCG stated that this increase would be </w:t>
      </w:r>
      <w:r w:rsidR="008754B6">
        <w:lastRenderedPageBreak/>
        <w:t>uneconomical for most customers</w:t>
      </w:r>
      <w:r w:rsidR="005E48AD">
        <w:t>, which could potentially lead to customers switching to alternative fuel sources.</w:t>
      </w:r>
    </w:p>
    <w:p w:rsidR="00BA5252" w:rsidRDefault="00764DFC" w:rsidP="00E275D8">
      <w:pPr>
        <w:pStyle w:val="BodyText"/>
      </w:pPr>
      <w:r>
        <w:t xml:space="preserve">To </w:t>
      </w:r>
      <w:r w:rsidR="006F6B2C">
        <w:t xml:space="preserve">reduce </w:t>
      </w:r>
      <w:r w:rsidR="009D2485">
        <w:t xml:space="preserve">the </w:t>
      </w:r>
      <w:r>
        <w:t>rate</w:t>
      </w:r>
      <w:r w:rsidR="009D2485">
        <w:t xml:space="preserve"> impact to the Sebastian</w:t>
      </w:r>
      <w:r w:rsidR="00DA03BE">
        <w:t xml:space="preserve"> AEP</w:t>
      </w:r>
      <w:r w:rsidR="009D2485">
        <w:t xml:space="preserve"> </w:t>
      </w:r>
      <w:r w:rsidR="00BF26E1">
        <w:t>P</w:t>
      </w:r>
      <w:r w:rsidR="006F6B2C">
        <w:t xml:space="preserve">roject </w:t>
      </w:r>
      <w:r w:rsidR="009D2485">
        <w:t>customers,</w:t>
      </w:r>
      <w:r>
        <w:t xml:space="preserve"> the utility has requested to waive the year seven true-up</w:t>
      </w:r>
      <w:r w:rsidR="007E72BF">
        <w:t xml:space="preserve"> and retain the current surcharge amount</w:t>
      </w:r>
      <w:r w:rsidR="006F6B2C">
        <w:t xml:space="preserve"> until the year nine true-up. In addition, </w:t>
      </w:r>
      <w:r w:rsidR="006B0D22">
        <w:t>the</w:t>
      </w:r>
      <w:r w:rsidR="006F6B2C">
        <w:t xml:space="preserve"> utility requested</w:t>
      </w:r>
      <w:r>
        <w:t xml:space="preserve"> to extend the amortization period from ten to fifteen years. FCG explained that</w:t>
      </w:r>
      <w:r w:rsidR="006B0D22">
        <w:t xml:space="preserve"> extending the amortization period would</w:t>
      </w:r>
      <w:r>
        <w:t xml:space="preserve"> give </w:t>
      </w:r>
      <w:r w:rsidR="009166AB">
        <w:t xml:space="preserve">the utility </w:t>
      </w:r>
      <w:r>
        <w:t xml:space="preserve">more time to attract new customers and increase volumes, </w:t>
      </w:r>
      <w:r w:rsidR="00625362">
        <w:t xml:space="preserve">and </w:t>
      </w:r>
      <w:r w:rsidR="002A5F02">
        <w:t xml:space="preserve">to collect the remaining balance. </w:t>
      </w:r>
      <w:r w:rsidR="006B0D22">
        <w:t>Finally</w:t>
      </w:r>
      <w:r w:rsidR="009166AB">
        <w:t>,</w:t>
      </w:r>
      <w:r>
        <w:t xml:space="preserve"> the utility also request</w:t>
      </w:r>
      <w:r w:rsidR="009166AB">
        <w:t>ed</w:t>
      </w:r>
      <w:r>
        <w:t xml:space="preserve"> to add a</w:t>
      </w:r>
      <w:r w:rsidR="009166AB">
        <w:t>dditional</w:t>
      </w:r>
      <w:r>
        <w:t xml:space="preserve"> true-up</w:t>
      </w:r>
      <w:r w:rsidR="009166AB">
        <w:t>s</w:t>
      </w:r>
      <w:r>
        <w:t xml:space="preserve"> for year thirteen and fourteen</w:t>
      </w:r>
      <w:r w:rsidR="009166AB">
        <w:t>,</w:t>
      </w:r>
      <w:r>
        <w:t xml:space="preserve"> </w:t>
      </w:r>
      <w:r w:rsidR="0089422D">
        <w:t>in order to further promote stability</w:t>
      </w:r>
      <w:r w:rsidR="006B0D22">
        <w:t xml:space="preserve"> </w:t>
      </w:r>
      <w:r w:rsidR="00DA03BE">
        <w:t xml:space="preserve">in the AEP surcharge </w:t>
      </w:r>
      <w:r w:rsidR="006B0D22">
        <w:t xml:space="preserve">through </w:t>
      </w:r>
      <w:r w:rsidR="003972C9">
        <w:t xml:space="preserve">the remainder of the </w:t>
      </w:r>
      <w:r w:rsidR="00416E34">
        <w:t>amortization</w:t>
      </w:r>
      <w:r w:rsidR="003972C9">
        <w:t xml:space="preserve"> period</w:t>
      </w:r>
      <w:r w:rsidR="0089422D">
        <w:t xml:space="preserve">. </w:t>
      </w:r>
    </w:p>
    <w:p w:rsidR="00F87B42" w:rsidRDefault="00BA5252" w:rsidP="00E275D8">
      <w:pPr>
        <w:pStyle w:val="BodyText"/>
      </w:pPr>
      <w:r>
        <w:t xml:space="preserve">FCG’s proposal only impacts the customers </w:t>
      </w:r>
      <w:r w:rsidR="009166AB">
        <w:t>with</w:t>
      </w:r>
      <w:r>
        <w:t xml:space="preserve">in the Sebastian AEP </w:t>
      </w:r>
      <w:r w:rsidR="00BF26E1">
        <w:t>P</w:t>
      </w:r>
      <w:r>
        <w:t>roject and does not impact the general body of ratepayers.</w:t>
      </w:r>
      <w:r w:rsidR="002A5F02">
        <w:t xml:space="preserve"> </w:t>
      </w:r>
      <w:r w:rsidR="006B0D22">
        <w:t>Also, this request would not apply to any other AEP</w:t>
      </w:r>
      <w:r w:rsidR="00D46D8C">
        <w:t xml:space="preserve"> </w:t>
      </w:r>
      <w:proofErr w:type="gramStart"/>
      <w:r w:rsidR="00D46D8C">
        <w:t xml:space="preserve">tariff </w:t>
      </w:r>
      <w:r w:rsidR="006B0D22">
        <w:t xml:space="preserve"> </w:t>
      </w:r>
      <w:r w:rsidR="00D46D8C">
        <w:t>p</w:t>
      </w:r>
      <w:r w:rsidR="006B0D22">
        <w:t>rojects</w:t>
      </w:r>
      <w:proofErr w:type="gramEnd"/>
      <w:r w:rsidR="006B0D22">
        <w:t xml:space="preserve">. </w:t>
      </w:r>
      <w:r w:rsidR="002A5F02">
        <w:t>In response to staff’s data request</w:t>
      </w:r>
      <w:r w:rsidR="00DA03BE">
        <w:t>,</w:t>
      </w:r>
      <w:r w:rsidR="002A5F02">
        <w:t xml:space="preserve"> FCG stated that</w:t>
      </w:r>
      <w:r w:rsidR="005D61DA">
        <w:t xml:space="preserve">, if approved by the Commission, it would </w:t>
      </w:r>
      <w:r w:rsidR="002A5F02">
        <w:t>notify customers of the changes</w:t>
      </w:r>
      <w:r w:rsidR="005D61DA">
        <w:t xml:space="preserve"> prior to implementation</w:t>
      </w:r>
      <w:r w:rsidR="002A5F02">
        <w:t xml:space="preserve">. </w:t>
      </w:r>
      <w:r w:rsidR="00764DFC">
        <w:t xml:space="preserve">  </w:t>
      </w:r>
    </w:p>
    <w:p w:rsidR="00611D1A" w:rsidRDefault="00926D52" w:rsidP="00926D52">
      <w:pPr>
        <w:pStyle w:val="First-LevelSubheading"/>
      </w:pPr>
      <w:r>
        <w:t>Conclusion</w:t>
      </w:r>
    </w:p>
    <w:p w:rsidR="00132C00" w:rsidRDefault="00132C00" w:rsidP="00926D52">
      <w:pPr>
        <w:pStyle w:val="BodyText"/>
      </w:pPr>
      <w:r>
        <w:t xml:space="preserve">The Commission has previously approved a delay in true-up and an extension of the </w:t>
      </w:r>
      <w:r w:rsidR="00A14C56">
        <w:t>amortization</w:t>
      </w:r>
      <w:r>
        <w:t xml:space="preserve"> period</w:t>
      </w:r>
      <w:r w:rsidR="00D2234D">
        <w:t xml:space="preserve"> for FCG</w:t>
      </w:r>
      <w:r w:rsidR="00F45CE2">
        <w:t xml:space="preserve">’s AEP </w:t>
      </w:r>
      <w:r w:rsidR="00BF26E1">
        <w:t>p</w:t>
      </w:r>
      <w:r w:rsidR="00F45CE2">
        <w:t>rojects</w:t>
      </w:r>
      <w:r>
        <w:t xml:space="preserve">. </w:t>
      </w:r>
      <w:r w:rsidR="00D2234D">
        <w:t xml:space="preserve">Specifically, in 2016, the Commission approved a delay in the true-up and an </w:t>
      </w:r>
      <w:r w:rsidR="00A14C56">
        <w:t>extension</w:t>
      </w:r>
      <w:r w:rsidR="00D2234D">
        <w:t xml:space="preserve"> of the amortization period for two years for an AEP project located in Hendry County (Glades Project).</w:t>
      </w:r>
      <w:r w:rsidR="00DF0578">
        <w:rPr>
          <w:rStyle w:val="FootnoteReference"/>
        </w:rPr>
        <w:footnoteReference w:id="4"/>
      </w:r>
      <w:r w:rsidR="00D2234D">
        <w:t xml:space="preserve"> In 2018, the Commission approved additional </w:t>
      </w:r>
      <w:r w:rsidR="00353FE3">
        <w:t xml:space="preserve">modifications </w:t>
      </w:r>
      <w:r w:rsidR="00DF0578">
        <w:t xml:space="preserve">to the AEP </w:t>
      </w:r>
      <w:r w:rsidR="00F45CE2">
        <w:t>sur</w:t>
      </w:r>
      <w:r w:rsidR="00DF0578">
        <w:t>char</w:t>
      </w:r>
      <w:r w:rsidR="00F45CE2">
        <w:t>ge</w:t>
      </w:r>
      <w:r w:rsidR="00DF0578">
        <w:t xml:space="preserve"> calculations in</w:t>
      </w:r>
      <w:r w:rsidR="00353FE3">
        <w:t xml:space="preserve"> the Glades Project</w:t>
      </w:r>
      <w:r>
        <w:t>.</w:t>
      </w:r>
      <w:r>
        <w:rPr>
          <w:rStyle w:val="FootnoteReference"/>
        </w:rPr>
        <w:footnoteReference w:id="5"/>
      </w:r>
    </w:p>
    <w:p w:rsidR="00926D52" w:rsidRPr="00926D52" w:rsidRDefault="00FD4AAE" w:rsidP="00926D52">
      <w:pPr>
        <w:pStyle w:val="BodyText"/>
      </w:pPr>
      <w:r>
        <w:t xml:space="preserve">Staff believes that FCG’s proposal is reasonable and appropriate because it will limit the risk to the Sebastian AEP </w:t>
      </w:r>
      <w:r w:rsidR="00BF26E1">
        <w:t>P</w:t>
      </w:r>
      <w:r>
        <w:t>roject customers</w:t>
      </w:r>
      <w:r w:rsidR="005D61DA">
        <w:t xml:space="preserve"> by minimizing rate impact</w:t>
      </w:r>
      <w:r w:rsidR="00D015D9">
        <w:t xml:space="preserve"> while also</w:t>
      </w:r>
      <w:r w:rsidR="005D61DA">
        <w:t xml:space="preserve"> providing the utility time to add additional customers onto the system. Additional customers would </w:t>
      </w:r>
      <w:r w:rsidR="009D2485">
        <w:t>disperse</w:t>
      </w:r>
      <w:r w:rsidR="005D61DA">
        <w:t xml:space="preserve"> the remaining </w:t>
      </w:r>
      <w:r w:rsidR="00BF26E1">
        <w:t xml:space="preserve">Sebastian </w:t>
      </w:r>
      <w:r w:rsidR="005D61DA">
        <w:t xml:space="preserve">AEP </w:t>
      </w:r>
      <w:r w:rsidR="00BF26E1">
        <w:t xml:space="preserve">Project </w:t>
      </w:r>
      <w:r w:rsidR="005D61DA">
        <w:t>costs over a larger customer base</w:t>
      </w:r>
      <w:r>
        <w:t xml:space="preserve">. Therefore, </w:t>
      </w:r>
      <w:r w:rsidR="00F21A5C">
        <w:t xml:space="preserve">the </w:t>
      </w:r>
      <w:r w:rsidR="00D015D9">
        <w:t xml:space="preserve">Commission should approve FCG’s tariff variance request to waive the year seven true-up </w:t>
      </w:r>
      <w:r w:rsidR="0006421D">
        <w:t>requirement</w:t>
      </w:r>
      <w:r w:rsidR="00D015D9">
        <w:t xml:space="preserve">, extend the amortization period from ten years to fifteen years, and add additional true-up requirements to years thirteen and fourteen for the Sebastian AEP </w:t>
      </w:r>
      <w:r w:rsidR="00BF26E1">
        <w:t>P</w:t>
      </w:r>
      <w:r w:rsidR="00D015D9">
        <w:t>roject.</w:t>
      </w:r>
    </w:p>
    <w:p w:rsidR="00926D52" w:rsidRDefault="00926D52" w:rsidP="00E275D8">
      <w:pPr>
        <w:pStyle w:val="BodyText"/>
      </w:pPr>
    </w:p>
    <w:p w:rsidR="00611D1A" w:rsidRDefault="00611D1A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985F1E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85F1E">
        <w:rPr>
          <w:noProof/>
        </w:rPr>
        <w:instrText>2</w:instrText>
      </w:r>
      <w:r>
        <w:fldChar w:fldCharType="end"/>
      </w:r>
      <w:r>
        <w:tab/>
        <w:instrText xml:space="preserve">(Sandy)" \l 1 </w:instrText>
      </w:r>
      <w:r>
        <w:fldChar w:fldCharType="end"/>
      </w:r>
      <w:r>
        <w:t> </w:t>
      </w:r>
    </w:p>
    <w:p w:rsidR="00611D1A" w:rsidRDefault="00611D1A">
      <w:pPr>
        <w:pStyle w:val="BodyText"/>
      </w:pPr>
      <w:r>
        <w:t> Should this docket be closed?</w:t>
      </w:r>
    </w:p>
    <w:p w:rsidR="00611D1A" w:rsidRPr="004C3641" w:rsidRDefault="00611D1A">
      <w:pPr>
        <w:pStyle w:val="IssueSubsectionHeading"/>
        <w:rPr>
          <w:vanish/>
          <w:specVanish/>
        </w:rPr>
      </w:pPr>
      <w:r w:rsidRPr="004C3641">
        <w:t>Recommendation: </w:t>
      </w:r>
    </w:p>
    <w:p w:rsidR="00611D1A" w:rsidRDefault="00611D1A">
      <w:pPr>
        <w:pStyle w:val="BodyText"/>
      </w:pPr>
      <w:r>
        <w:t> </w:t>
      </w:r>
      <w:r w:rsidR="00926D52" w:rsidRPr="00926D52">
        <w:t>Yes. If no protest</w:t>
      </w:r>
      <w:r w:rsidR="00926D52">
        <w:t xml:space="preserve"> is filed by a person whose subs</w:t>
      </w:r>
      <w:r w:rsidR="00926D52" w:rsidRPr="00926D52">
        <w:t>tantial interests are affected within 21 days of the issuance of the Order, this docket should be closed upon the issuance of a Consummating Order</w:t>
      </w:r>
      <w:r w:rsidR="00926D52">
        <w:t>.</w:t>
      </w:r>
      <w:r>
        <w:t xml:space="preserve"> (Sandy)</w:t>
      </w:r>
    </w:p>
    <w:p w:rsidR="00611D1A" w:rsidRPr="004C3641" w:rsidRDefault="00611D1A">
      <w:pPr>
        <w:pStyle w:val="IssueSubsectionHeading"/>
        <w:rPr>
          <w:vanish/>
          <w:specVanish/>
        </w:rPr>
      </w:pPr>
      <w:r w:rsidRPr="004C3641">
        <w:t>Staff Analysis: </w:t>
      </w:r>
    </w:p>
    <w:p w:rsidR="00611D1A" w:rsidRDefault="00926D52">
      <w:pPr>
        <w:pStyle w:val="BodyText"/>
      </w:pPr>
      <w:r>
        <w:t> </w:t>
      </w:r>
      <w:r w:rsidRPr="00926D52">
        <w:t>Yes. If no protest</w:t>
      </w:r>
      <w:r>
        <w:t xml:space="preserve"> is filed by a person whose substantia</w:t>
      </w:r>
      <w:r w:rsidRPr="00926D52">
        <w:t>l interests are affected within 21 days of the issuance of the Order, this docket should be closed upon the issuance of a Consummating Order</w:t>
      </w:r>
      <w:r>
        <w:t>.</w:t>
      </w:r>
    </w:p>
    <w:p w:rsidR="00611D1A" w:rsidRDefault="00611D1A">
      <w:pPr>
        <w:pStyle w:val="BodyText"/>
      </w:pPr>
    </w:p>
    <w:p w:rsidR="00611D1A" w:rsidRDefault="00611D1A" w:rsidP="00E275D8">
      <w:pPr>
        <w:pStyle w:val="BodyText"/>
      </w:pPr>
    </w:p>
    <w:sectPr w:rsidR="00611D1A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3C" w:rsidRDefault="00F6153C">
      <w:r>
        <w:separator/>
      </w:r>
    </w:p>
  </w:endnote>
  <w:endnote w:type="continuationSeparator" w:id="0">
    <w:p w:rsidR="00F6153C" w:rsidRDefault="00F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77BA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3C" w:rsidRDefault="00F6153C">
      <w:r>
        <w:separator/>
      </w:r>
    </w:p>
  </w:footnote>
  <w:footnote w:type="continuationSeparator" w:id="0">
    <w:p w:rsidR="00F6153C" w:rsidRDefault="00F6153C">
      <w:r>
        <w:continuationSeparator/>
      </w:r>
    </w:p>
  </w:footnote>
  <w:footnote w:id="1">
    <w:p w:rsidR="005D2F0D" w:rsidRPr="005D2F0D" w:rsidRDefault="005D2F0D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Order No. PSC-95-0506-FOF-GU, issued April 24, 1995, Docket No. 950206-GI, </w:t>
      </w:r>
      <w:r w:rsidR="00625362">
        <w:rPr>
          <w:i/>
        </w:rPr>
        <w:t>In re:</w:t>
      </w:r>
      <w:r w:rsidRPr="005D2F0D">
        <w:rPr>
          <w:i/>
        </w:rPr>
        <w:t xml:space="preserve"> Petition of approval of tariffs </w:t>
      </w:r>
      <w:r>
        <w:rPr>
          <w:i/>
        </w:rPr>
        <w:t>governing</w:t>
      </w:r>
      <w:r w:rsidRPr="005D2F0D">
        <w:rPr>
          <w:i/>
        </w:rPr>
        <w:t xml:space="preserve"> extension of facilities by City Gas Company of Florida.</w:t>
      </w:r>
    </w:p>
  </w:footnote>
  <w:footnote w:id="2">
    <w:p w:rsidR="004F150D" w:rsidRDefault="004F150D">
      <w:pPr>
        <w:pStyle w:val="FootnoteText"/>
      </w:pPr>
      <w:r>
        <w:rPr>
          <w:rStyle w:val="FootnoteReference"/>
        </w:rPr>
        <w:footnoteRef/>
      </w:r>
      <w:r>
        <w:t xml:space="preserve"> Order No. PSC-2018-0190-FOF-GU, issued April 20, 2018, in Docket No. 20170179-GU, </w:t>
      </w:r>
      <w:r w:rsidRPr="004F150D">
        <w:rPr>
          <w:i/>
        </w:rPr>
        <w:t>In re: Petition for rate increase by Florida City Gas</w:t>
      </w:r>
      <w:r>
        <w:t xml:space="preserve">. </w:t>
      </w:r>
    </w:p>
  </w:footnote>
  <w:footnote w:id="3">
    <w:p w:rsidR="008754B6" w:rsidRPr="00993A2A" w:rsidRDefault="008754B6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5E48AD">
        <w:t>Maximum</w:t>
      </w:r>
      <w:r>
        <w:t xml:space="preserve"> Authorized Construction Contribution (MACC)</w:t>
      </w:r>
      <w:r w:rsidR="00993A2A" w:rsidRPr="00993A2A">
        <w:t xml:space="preserve"> </w:t>
      </w:r>
      <w:r w:rsidR="00993A2A">
        <w:t xml:space="preserve">is the maximum capital cost to be incurred by a utility for an extension of main and service pipeline facilities. Customers are required to pay any additional </w:t>
      </w:r>
      <w:r w:rsidR="00F45CE2">
        <w:t>main</w:t>
      </w:r>
      <w:r w:rsidR="00993A2A">
        <w:t xml:space="preserve"> extension costs exceeding the MACC.</w:t>
      </w:r>
      <w:r w:rsidR="00FA50C6">
        <w:t xml:space="preserve"> </w:t>
      </w:r>
      <w:r w:rsidR="00F45CE2">
        <w:t>FCG’s tariff defines the</w:t>
      </w:r>
      <w:r w:rsidR="00FA50C6">
        <w:t xml:space="preserve"> MA</w:t>
      </w:r>
      <w:r w:rsidR="00F21A5C">
        <w:t>C</w:t>
      </w:r>
      <w:r w:rsidR="00FA50C6">
        <w:t xml:space="preserve">C at six times the </w:t>
      </w:r>
      <w:r w:rsidR="00F45CE2">
        <w:t xml:space="preserve">estimated </w:t>
      </w:r>
      <w:r w:rsidR="00FA50C6">
        <w:t xml:space="preserve">annual gas revenues to be derived from the facilities less the cost of gas. </w:t>
      </w:r>
    </w:p>
  </w:footnote>
  <w:footnote w:id="4">
    <w:p w:rsidR="00DF0578" w:rsidRDefault="00DF0578">
      <w:pPr>
        <w:pStyle w:val="FootnoteText"/>
      </w:pPr>
      <w:r>
        <w:rPr>
          <w:rStyle w:val="FootnoteReference"/>
        </w:rPr>
        <w:footnoteRef/>
      </w:r>
      <w:r>
        <w:t xml:space="preserve">Order No. PSC-16-0066-PAA-GU, issued February 5, 2016, in Docket No. 150232-GU, </w:t>
      </w:r>
      <w:r w:rsidRPr="00D2234D">
        <w:rPr>
          <w:i/>
        </w:rPr>
        <w:t>In re: Petition for approval of variance from area extension program (AEP) tariff to delay true-up and extend amortization period, by Florida City Ga</w:t>
      </w:r>
      <w:r>
        <w:rPr>
          <w:i/>
        </w:rPr>
        <w:t>s.</w:t>
      </w:r>
    </w:p>
  </w:footnote>
  <w:footnote w:id="5">
    <w:p w:rsidR="00132C00" w:rsidRDefault="00132C00" w:rsidP="00132C00">
      <w:pPr>
        <w:pStyle w:val="FootnoteText"/>
      </w:pPr>
      <w:r>
        <w:rPr>
          <w:rStyle w:val="FootnoteReference"/>
        </w:rPr>
        <w:footnoteRef/>
      </w:r>
      <w:r w:rsidR="00DF0578">
        <w:t xml:space="preserve">Order No. PSC-2018-0273-PAA-GU, issued May 31, 2018, in Docket No. </w:t>
      </w:r>
      <w:r w:rsidR="00F21A5C">
        <w:t>20180043</w:t>
      </w:r>
      <w:r w:rsidR="00DF0578">
        <w:t xml:space="preserve">-GU, </w:t>
      </w:r>
      <w:r w:rsidR="00DF0578" w:rsidRPr="00DF0578">
        <w:rPr>
          <w:i/>
        </w:rPr>
        <w:t>In re: Petition for approval of area extension plan rate extension agreement with United States Sugar Corporation, by Florida City Gas</w:t>
      </w:r>
      <w:r w:rsidR="00DF057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8067C1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20210126-GU</w:t>
    </w:r>
    <w:bookmarkEnd w:id="15"/>
  </w:p>
  <w:p w:rsidR="00BC402E" w:rsidRDefault="00BC402E">
    <w:pPr>
      <w:pStyle w:val="Header"/>
    </w:pPr>
    <w:r>
      <w:t xml:space="preserve">Date: </w:t>
    </w:r>
    <w:fldSimple w:instr=" REF FilingDate ">
      <w:r w:rsidR="00985F1E">
        <w:t>October 21, 2021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985F1E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985F1E">
      <w:t>20210126-GU</w:t>
    </w:r>
    <w:r>
      <w:fldChar w:fldCharType="end"/>
    </w:r>
    <w:r>
      <w:tab/>
      <w:t xml:space="preserve">Issue </w:t>
    </w:r>
    <w:fldSimple w:instr=" Seq Issue \c \* Arabic ">
      <w:r w:rsidR="00FD77BA">
        <w:rPr>
          <w:noProof/>
        </w:rPr>
        <w:t>2</w:t>
      </w:r>
    </w:fldSimple>
  </w:p>
  <w:p w:rsidR="00BC402E" w:rsidRDefault="00BC402E">
    <w:pPr>
      <w:pStyle w:val="Header"/>
    </w:pPr>
    <w:r>
      <w:t xml:space="preserve">Date: </w:t>
    </w:r>
    <w:fldSimple w:instr=" REF FilingDate ">
      <w:r w:rsidR="00985F1E">
        <w:t>October 21, 2021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8067C1"/>
    <w:rsid w:val="000043D5"/>
    <w:rsid w:val="00006170"/>
    <w:rsid w:val="00010E37"/>
    <w:rsid w:val="00014182"/>
    <w:rsid w:val="000172DA"/>
    <w:rsid w:val="00021B27"/>
    <w:rsid w:val="000247C5"/>
    <w:rsid w:val="000277C2"/>
    <w:rsid w:val="00035B48"/>
    <w:rsid w:val="00036CE2"/>
    <w:rsid w:val="000437FE"/>
    <w:rsid w:val="000513BE"/>
    <w:rsid w:val="0006421D"/>
    <w:rsid w:val="00065A06"/>
    <w:rsid w:val="000666F3"/>
    <w:rsid w:val="00067B17"/>
    <w:rsid w:val="00070DCB"/>
    <w:rsid w:val="0007260E"/>
    <w:rsid w:val="00072CCA"/>
    <w:rsid w:val="00073120"/>
    <w:rsid w:val="000764D0"/>
    <w:rsid w:val="000828D3"/>
    <w:rsid w:val="00087258"/>
    <w:rsid w:val="000A2B57"/>
    <w:rsid w:val="000A418B"/>
    <w:rsid w:val="000C4431"/>
    <w:rsid w:val="000C61EA"/>
    <w:rsid w:val="000D1C06"/>
    <w:rsid w:val="000D1DA0"/>
    <w:rsid w:val="000D4319"/>
    <w:rsid w:val="000E7A34"/>
    <w:rsid w:val="000F374A"/>
    <w:rsid w:val="001076AF"/>
    <w:rsid w:val="001166F7"/>
    <w:rsid w:val="00117C8C"/>
    <w:rsid w:val="00124C38"/>
    <w:rsid w:val="00124E2E"/>
    <w:rsid w:val="00125ED4"/>
    <w:rsid w:val="00127332"/>
    <w:rsid w:val="001305E9"/>
    <w:rsid w:val="001307AF"/>
    <w:rsid w:val="00132C00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0685"/>
    <w:rsid w:val="001F15A1"/>
    <w:rsid w:val="001F2245"/>
    <w:rsid w:val="001F2C63"/>
    <w:rsid w:val="001F48C7"/>
    <w:rsid w:val="001F6DA1"/>
    <w:rsid w:val="00200D9F"/>
    <w:rsid w:val="002010A0"/>
    <w:rsid w:val="002044E6"/>
    <w:rsid w:val="00205C82"/>
    <w:rsid w:val="00205DC2"/>
    <w:rsid w:val="00212371"/>
    <w:rsid w:val="00212B17"/>
    <w:rsid w:val="002163B6"/>
    <w:rsid w:val="00220732"/>
    <w:rsid w:val="00221D32"/>
    <w:rsid w:val="00225C3F"/>
    <w:rsid w:val="00243952"/>
    <w:rsid w:val="00263D44"/>
    <w:rsid w:val="002702AD"/>
    <w:rsid w:val="00292D82"/>
    <w:rsid w:val="002963CB"/>
    <w:rsid w:val="002A5BEC"/>
    <w:rsid w:val="002A5F02"/>
    <w:rsid w:val="002B4A01"/>
    <w:rsid w:val="002D226D"/>
    <w:rsid w:val="002F6030"/>
    <w:rsid w:val="003037E1"/>
    <w:rsid w:val="00307E51"/>
    <w:rsid w:val="003103EC"/>
    <w:rsid w:val="003144EF"/>
    <w:rsid w:val="00322F74"/>
    <w:rsid w:val="00330FA1"/>
    <w:rsid w:val="00340073"/>
    <w:rsid w:val="00353FE3"/>
    <w:rsid w:val="003632FD"/>
    <w:rsid w:val="00372805"/>
    <w:rsid w:val="00373180"/>
    <w:rsid w:val="00375AB9"/>
    <w:rsid w:val="003821A0"/>
    <w:rsid w:val="00385B04"/>
    <w:rsid w:val="003864CF"/>
    <w:rsid w:val="003948AE"/>
    <w:rsid w:val="003972C9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3675"/>
    <w:rsid w:val="003F4A35"/>
    <w:rsid w:val="003F7FDD"/>
    <w:rsid w:val="00402481"/>
    <w:rsid w:val="004042B4"/>
    <w:rsid w:val="00410DC4"/>
    <w:rsid w:val="00412DAE"/>
    <w:rsid w:val="00416E34"/>
    <w:rsid w:val="004242E6"/>
    <w:rsid w:val="00431598"/>
    <w:rsid w:val="004319AD"/>
    <w:rsid w:val="004426B8"/>
    <w:rsid w:val="00444432"/>
    <w:rsid w:val="004446DE"/>
    <w:rsid w:val="00471860"/>
    <w:rsid w:val="00477026"/>
    <w:rsid w:val="00496CC7"/>
    <w:rsid w:val="00497D10"/>
    <w:rsid w:val="004A744D"/>
    <w:rsid w:val="004B60BD"/>
    <w:rsid w:val="004C3150"/>
    <w:rsid w:val="004C3641"/>
    <w:rsid w:val="004C4390"/>
    <w:rsid w:val="004C4AF7"/>
    <w:rsid w:val="004C4E47"/>
    <w:rsid w:val="004D2881"/>
    <w:rsid w:val="004D385F"/>
    <w:rsid w:val="004D5B39"/>
    <w:rsid w:val="004E0B11"/>
    <w:rsid w:val="004E330D"/>
    <w:rsid w:val="004E5147"/>
    <w:rsid w:val="004E69B5"/>
    <w:rsid w:val="004F150D"/>
    <w:rsid w:val="004F5C43"/>
    <w:rsid w:val="0050652D"/>
    <w:rsid w:val="00506C03"/>
    <w:rsid w:val="00511A11"/>
    <w:rsid w:val="00511B30"/>
    <w:rsid w:val="00513D40"/>
    <w:rsid w:val="00516496"/>
    <w:rsid w:val="00523B11"/>
    <w:rsid w:val="0052572A"/>
    <w:rsid w:val="00532DFB"/>
    <w:rsid w:val="00542C4C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9711D"/>
    <w:rsid w:val="00597730"/>
    <w:rsid w:val="005977EC"/>
    <w:rsid w:val="00597DE7"/>
    <w:rsid w:val="005A4AA2"/>
    <w:rsid w:val="005A6A2B"/>
    <w:rsid w:val="005B34B6"/>
    <w:rsid w:val="005B6C8F"/>
    <w:rsid w:val="005B6EC3"/>
    <w:rsid w:val="005C5F99"/>
    <w:rsid w:val="005D0F74"/>
    <w:rsid w:val="005D2E7D"/>
    <w:rsid w:val="005D2F0D"/>
    <w:rsid w:val="005D4A8F"/>
    <w:rsid w:val="005D561B"/>
    <w:rsid w:val="005D5ECF"/>
    <w:rsid w:val="005D61DA"/>
    <w:rsid w:val="005E48AD"/>
    <w:rsid w:val="005F468D"/>
    <w:rsid w:val="005F69A3"/>
    <w:rsid w:val="00604CC7"/>
    <w:rsid w:val="00611D1A"/>
    <w:rsid w:val="00615423"/>
    <w:rsid w:val="006165B2"/>
    <w:rsid w:val="00617276"/>
    <w:rsid w:val="0062527B"/>
    <w:rsid w:val="00625362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0D22"/>
    <w:rsid w:val="006B3947"/>
    <w:rsid w:val="006B4293"/>
    <w:rsid w:val="006B624F"/>
    <w:rsid w:val="006C0C95"/>
    <w:rsid w:val="006C26E8"/>
    <w:rsid w:val="006C31E3"/>
    <w:rsid w:val="006D18D3"/>
    <w:rsid w:val="006E08CB"/>
    <w:rsid w:val="006E598D"/>
    <w:rsid w:val="006F6B2C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64DFC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E72BF"/>
    <w:rsid w:val="007F1193"/>
    <w:rsid w:val="007F417F"/>
    <w:rsid w:val="007F7644"/>
    <w:rsid w:val="008042BD"/>
    <w:rsid w:val="008067C1"/>
    <w:rsid w:val="00816624"/>
    <w:rsid w:val="00822427"/>
    <w:rsid w:val="00822562"/>
    <w:rsid w:val="00823663"/>
    <w:rsid w:val="00827197"/>
    <w:rsid w:val="00832DDC"/>
    <w:rsid w:val="00850BAC"/>
    <w:rsid w:val="00854A3E"/>
    <w:rsid w:val="00855D08"/>
    <w:rsid w:val="00874344"/>
    <w:rsid w:val="008754B6"/>
    <w:rsid w:val="00876951"/>
    <w:rsid w:val="00882155"/>
    <w:rsid w:val="0088233B"/>
    <w:rsid w:val="0088599E"/>
    <w:rsid w:val="00886C37"/>
    <w:rsid w:val="00891227"/>
    <w:rsid w:val="00892D99"/>
    <w:rsid w:val="00893315"/>
    <w:rsid w:val="0089422D"/>
    <w:rsid w:val="00896B29"/>
    <w:rsid w:val="008B62AE"/>
    <w:rsid w:val="008C04B5"/>
    <w:rsid w:val="008C14FA"/>
    <w:rsid w:val="008C7B0B"/>
    <w:rsid w:val="008D4057"/>
    <w:rsid w:val="008E1F19"/>
    <w:rsid w:val="008F2262"/>
    <w:rsid w:val="008F4D2B"/>
    <w:rsid w:val="008F5537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2FD9"/>
    <w:rsid w:val="009145D6"/>
    <w:rsid w:val="009166AB"/>
    <w:rsid w:val="00920E64"/>
    <w:rsid w:val="00921094"/>
    <w:rsid w:val="00922002"/>
    <w:rsid w:val="00924020"/>
    <w:rsid w:val="00926D52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77E05"/>
    <w:rsid w:val="00985F1E"/>
    <w:rsid w:val="009863B0"/>
    <w:rsid w:val="00987DE1"/>
    <w:rsid w:val="00990571"/>
    <w:rsid w:val="00993A2A"/>
    <w:rsid w:val="0099673A"/>
    <w:rsid w:val="009A3330"/>
    <w:rsid w:val="009A7C96"/>
    <w:rsid w:val="009C3DB9"/>
    <w:rsid w:val="009D1FB0"/>
    <w:rsid w:val="009D2485"/>
    <w:rsid w:val="009D46E5"/>
    <w:rsid w:val="009D568A"/>
    <w:rsid w:val="009F04EC"/>
    <w:rsid w:val="009F2A7C"/>
    <w:rsid w:val="009F3B36"/>
    <w:rsid w:val="00A019B9"/>
    <w:rsid w:val="00A12508"/>
    <w:rsid w:val="00A1282B"/>
    <w:rsid w:val="00A138A2"/>
    <w:rsid w:val="00A13A27"/>
    <w:rsid w:val="00A14C56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5A6C"/>
    <w:rsid w:val="00A56765"/>
    <w:rsid w:val="00A675AC"/>
    <w:rsid w:val="00A7581F"/>
    <w:rsid w:val="00A764F9"/>
    <w:rsid w:val="00A92FB1"/>
    <w:rsid w:val="00A94EB7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A5252"/>
    <w:rsid w:val="00BB3493"/>
    <w:rsid w:val="00BB7468"/>
    <w:rsid w:val="00BC188A"/>
    <w:rsid w:val="00BC402E"/>
    <w:rsid w:val="00BD0F48"/>
    <w:rsid w:val="00BE6DDB"/>
    <w:rsid w:val="00BF26E1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C38C4"/>
    <w:rsid w:val="00CE2BF8"/>
    <w:rsid w:val="00CE484E"/>
    <w:rsid w:val="00CE656F"/>
    <w:rsid w:val="00CF0DA8"/>
    <w:rsid w:val="00CF2E25"/>
    <w:rsid w:val="00CF4453"/>
    <w:rsid w:val="00CF5D94"/>
    <w:rsid w:val="00CF7E0F"/>
    <w:rsid w:val="00D015D9"/>
    <w:rsid w:val="00D034D7"/>
    <w:rsid w:val="00D04BE4"/>
    <w:rsid w:val="00D06FC7"/>
    <w:rsid w:val="00D12565"/>
    <w:rsid w:val="00D14127"/>
    <w:rsid w:val="00D15BBA"/>
    <w:rsid w:val="00D2234D"/>
    <w:rsid w:val="00D36F58"/>
    <w:rsid w:val="00D416C1"/>
    <w:rsid w:val="00D46D8C"/>
    <w:rsid w:val="00D5147E"/>
    <w:rsid w:val="00D60B16"/>
    <w:rsid w:val="00D60F02"/>
    <w:rsid w:val="00D66E49"/>
    <w:rsid w:val="00D70D71"/>
    <w:rsid w:val="00D72F74"/>
    <w:rsid w:val="00D771CC"/>
    <w:rsid w:val="00D81563"/>
    <w:rsid w:val="00D82038"/>
    <w:rsid w:val="00D85907"/>
    <w:rsid w:val="00D9073E"/>
    <w:rsid w:val="00D9221D"/>
    <w:rsid w:val="00D958DF"/>
    <w:rsid w:val="00D96DA1"/>
    <w:rsid w:val="00DA03BE"/>
    <w:rsid w:val="00DA51E7"/>
    <w:rsid w:val="00DB0260"/>
    <w:rsid w:val="00DB1C78"/>
    <w:rsid w:val="00DB7D96"/>
    <w:rsid w:val="00DC23FE"/>
    <w:rsid w:val="00DC59E6"/>
    <w:rsid w:val="00DD150B"/>
    <w:rsid w:val="00DD5025"/>
    <w:rsid w:val="00DF0578"/>
    <w:rsid w:val="00DF1510"/>
    <w:rsid w:val="00E02F1F"/>
    <w:rsid w:val="00E05E84"/>
    <w:rsid w:val="00E06484"/>
    <w:rsid w:val="00E20A7D"/>
    <w:rsid w:val="00E275D8"/>
    <w:rsid w:val="00E30F6A"/>
    <w:rsid w:val="00E3117C"/>
    <w:rsid w:val="00E375CA"/>
    <w:rsid w:val="00E5364F"/>
    <w:rsid w:val="00E567E8"/>
    <w:rsid w:val="00E64679"/>
    <w:rsid w:val="00E65EBC"/>
    <w:rsid w:val="00E66816"/>
    <w:rsid w:val="00E677FE"/>
    <w:rsid w:val="00E70B6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07D5C"/>
    <w:rsid w:val="00F11741"/>
    <w:rsid w:val="00F12B1C"/>
    <w:rsid w:val="00F13CF8"/>
    <w:rsid w:val="00F15855"/>
    <w:rsid w:val="00F200B2"/>
    <w:rsid w:val="00F21A5C"/>
    <w:rsid w:val="00F227DC"/>
    <w:rsid w:val="00F32978"/>
    <w:rsid w:val="00F356C5"/>
    <w:rsid w:val="00F45CB2"/>
    <w:rsid w:val="00F45CE2"/>
    <w:rsid w:val="00F544C0"/>
    <w:rsid w:val="00F55332"/>
    <w:rsid w:val="00F6153C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87B42"/>
    <w:rsid w:val="00F94B7A"/>
    <w:rsid w:val="00FA17AC"/>
    <w:rsid w:val="00FA32DE"/>
    <w:rsid w:val="00FA3382"/>
    <w:rsid w:val="00FA50C6"/>
    <w:rsid w:val="00FA59CD"/>
    <w:rsid w:val="00FB06C0"/>
    <w:rsid w:val="00FB1740"/>
    <w:rsid w:val="00FC5469"/>
    <w:rsid w:val="00FC6D7D"/>
    <w:rsid w:val="00FD16B0"/>
    <w:rsid w:val="00FD4AAE"/>
    <w:rsid w:val="00FD4FED"/>
    <w:rsid w:val="00FD77BA"/>
    <w:rsid w:val="00FE0577"/>
    <w:rsid w:val="00FE59EC"/>
    <w:rsid w:val="00FE5B67"/>
    <w:rsid w:val="00FE60D6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A95EC9C-F56A-4445-8C2F-A7324AC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5D2F0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132C00"/>
  </w:style>
  <w:style w:type="character" w:styleId="CommentReference">
    <w:name w:val="annotation reference"/>
    <w:basedOn w:val="DefaultParagraphFont"/>
    <w:semiHidden/>
    <w:unhideWhenUsed/>
    <w:rsid w:val="00200D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5C73-F92D-4E26-B18E-E074FE5A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5</Pages>
  <Words>1430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Oakley  Ward</dc:creator>
  <cp:lastModifiedBy>Andrea Mick</cp:lastModifiedBy>
  <cp:revision>2</cp:revision>
  <cp:lastPrinted>2021-10-15T14:31:00Z</cp:lastPrinted>
  <dcterms:created xsi:type="dcterms:W3CDTF">2021-10-21T13:33:00Z</dcterms:created>
  <dcterms:modified xsi:type="dcterms:W3CDTF">2021-10-21T13:33:00Z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20210126-GU</vt:lpwstr>
  </property>
  <property fmtid="{D5CDD505-2E9C-101B-9397-08002B2CF9AE}" pid="3" name="MasterDocument">
    <vt:bool>false</vt:bool>
  </property>
</Properties>
</file>